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16" w:lineRule="exact"/>
        <w:rPr>
          <w:sz w:val="24"/>
          <w:szCs w:val="24"/>
          <w:color w:val="auto"/>
        </w:rPr>
      </w:pPr>
    </w:p>
    <w:p>
      <w:pPr>
        <w:ind w:left="2820" w:hanging="144"/>
        <w:spacing w:after="0"/>
        <w:tabs>
          <w:tab w:leader="none" w:pos="282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Quarterly Period Ended March 31, 2026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76" w:lineRule="exact"/>
        <w:rPr>
          <w:sz w:val="24"/>
          <w:szCs w:val="24"/>
          <w:color w:val="auto"/>
        </w:rPr>
      </w:pPr>
    </w:p>
    <w:p>
      <w:pPr>
        <w:ind w:left="2820" w:hanging="143"/>
        <w:spacing w:after="0"/>
        <w:tabs>
          <w:tab w:leader="none" w:pos="2820" w:val="left"/>
        </w:tabs>
        <w:numPr>
          <w:ilvl w:val="0"/>
          <w:numId w:val="2"/>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TRANSITION REPORT PURSUANT TO SECTION 13 OR 15(d) OF THE SECURITIES EXCHANGE ACT OF 1934</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Commission File Number</w:t>
            </w:r>
          </w:p>
        </w:tc>
        <w:tc>
          <w:tcPr>
            <w:tcW w:w="100" w:type="dxa"/>
            <w:vAlign w:val="bottom"/>
          </w:tcPr>
          <w:p>
            <w:pPr>
              <w:spacing w:after="0"/>
              <w:rPr>
                <w:sz w:val="12"/>
                <w:szCs w:val="12"/>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Registrant; State or Other Jurisdiction of Incorporation; Address of Principal Executive Offices; and Telephone Number</w:t>
            </w:r>
          </w:p>
        </w:tc>
        <w:tc>
          <w:tcPr>
            <w:tcW w:w="80" w:type="dxa"/>
            <w:vAlign w:val="bottom"/>
          </w:tcPr>
          <w:p>
            <w:pPr>
              <w:spacing w:after="0"/>
              <w:rPr>
                <w:sz w:val="12"/>
                <w:szCs w:val="12"/>
                <w:color w:val="auto"/>
              </w:rPr>
            </w:pPr>
          </w:p>
        </w:tc>
        <w:tc>
          <w:tcPr>
            <w:tcW w:w="250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w w:val="96"/>
              </w:rPr>
              <w:t>IRS Employer Identification Number</w:t>
            </w:r>
          </w:p>
        </w:tc>
      </w:tr>
      <w:tr>
        <w:trPr>
          <w:trHeight w:val="192"/>
        </w:trPr>
        <w:tc>
          <w:tcPr>
            <w:tcW w:w="1460" w:type="dxa"/>
            <w:vAlign w:val="bottom"/>
            <w:gridSpan w:val="2"/>
          </w:tcPr>
          <w:p>
            <w:pPr>
              <w:ind w:left="20"/>
              <w:spacing w:after="0"/>
              <w:rPr>
                <w:sz w:val="20"/>
                <w:szCs w:val="20"/>
                <w:color w:val="auto"/>
              </w:rPr>
            </w:pPr>
            <w:r>
              <w:rPr>
                <w:rFonts w:ascii="Arial" w:cs="Arial" w:eastAsia="Arial" w:hAnsi="Arial"/>
                <w:sz w:val="13"/>
                <w:szCs w:val="13"/>
                <w:color w:val="auto"/>
              </w:rPr>
              <w:t>001-16169</w:t>
            </w:r>
          </w:p>
        </w:tc>
        <w:tc>
          <w:tcPr>
            <w:tcW w:w="100" w:type="dxa"/>
            <w:vAlign w:val="bottom"/>
          </w:tcPr>
          <w:p>
            <w:pPr>
              <w:spacing w:after="0"/>
              <w:rPr>
                <w:sz w:val="16"/>
                <w:szCs w:val="16"/>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color w:val="auto"/>
              </w:rPr>
              <w:t>EXELON CORPORATION</w:t>
            </w:r>
          </w:p>
        </w:tc>
        <w:tc>
          <w:tcPr>
            <w:tcW w:w="2500" w:type="dxa"/>
            <w:vAlign w:val="bottom"/>
          </w:tcPr>
          <w:p>
            <w:pPr>
              <w:jc w:val="right"/>
              <w:spacing w:after="0"/>
              <w:rPr>
                <w:sz w:val="20"/>
                <w:szCs w:val="20"/>
                <w:color w:val="auto"/>
              </w:rPr>
            </w:pPr>
            <w:r>
              <w:rPr>
                <w:rFonts w:ascii="Arial" w:cs="Arial" w:eastAsia="Arial" w:hAnsi="Arial"/>
                <w:sz w:val="13"/>
                <w:szCs w:val="13"/>
                <w:color w:val="auto"/>
              </w:rPr>
              <w:t>23-2990190</w:t>
            </w: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30" w:lineRule="exact"/>
              <w:rPr>
                <w:sz w:val="20"/>
                <w:szCs w:val="20"/>
                <w:color w:val="auto"/>
              </w:rPr>
            </w:pPr>
            <w:r>
              <w:rPr>
                <w:rFonts w:ascii="Arial" w:cs="Arial" w:eastAsia="Arial" w:hAnsi="Arial"/>
                <w:sz w:val="13"/>
                <w:szCs w:val="13"/>
                <w:color w:val="auto"/>
              </w:rPr>
              <w:t>(a Pennsylvania corporation)</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10 South Dearborn Street</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P.O. Box 805379</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Chicago, Illinois 60680-5379</w:t>
            </w:r>
          </w:p>
        </w:tc>
        <w:tc>
          <w:tcPr>
            <w:tcW w:w="25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Pr>
          <w:p>
            <w:pPr>
              <w:ind w:left="20"/>
              <w:spacing w:after="0"/>
              <w:rPr>
                <w:sz w:val="20"/>
                <w:szCs w:val="20"/>
                <w:color w:val="auto"/>
              </w:rPr>
            </w:pPr>
            <w:r>
              <w:rPr>
                <w:rFonts w:ascii="Arial" w:cs="Arial" w:eastAsia="Arial" w:hAnsi="Arial"/>
                <w:sz w:val="13"/>
                <w:szCs w:val="13"/>
                <w:color w:val="auto"/>
              </w:rPr>
              <w:t>(800) 483-3220</w:t>
            </w: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2"/>
        </w:trPr>
        <w:tc>
          <w:tcPr>
            <w:tcW w:w="1460" w:type="dxa"/>
            <w:vAlign w:val="bottom"/>
            <w:gridSpan w:val="2"/>
          </w:tcPr>
          <w:p>
            <w:pPr>
              <w:ind w:left="20"/>
              <w:spacing w:after="0"/>
              <w:rPr>
                <w:sz w:val="20"/>
                <w:szCs w:val="20"/>
                <w:color w:val="auto"/>
              </w:rPr>
            </w:pPr>
            <w:r>
              <w:rPr>
                <w:rFonts w:ascii="Arial" w:cs="Arial" w:eastAsia="Arial" w:hAnsi="Arial"/>
                <w:sz w:val="13"/>
                <w:szCs w:val="13"/>
                <w:color w:val="auto"/>
              </w:rPr>
              <w:t>001-01839</w:t>
            </w:r>
          </w:p>
        </w:tc>
        <w:tc>
          <w:tcPr>
            <w:tcW w:w="10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color w:val="auto"/>
              </w:rPr>
              <w:t>COMMONWEALTH EDISON COMPANY</w:t>
            </w:r>
          </w:p>
        </w:tc>
        <w:tc>
          <w:tcPr>
            <w:tcW w:w="2500" w:type="dxa"/>
            <w:vAlign w:val="bottom"/>
          </w:tcPr>
          <w:p>
            <w:pPr>
              <w:jc w:val="right"/>
              <w:spacing w:after="0"/>
              <w:rPr>
                <w:sz w:val="20"/>
                <w:szCs w:val="20"/>
                <w:color w:val="auto"/>
              </w:rPr>
            </w:pPr>
            <w:r>
              <w:rPr>
                <w:rFonts w:ascii="Arial" w:cs="Arial" w:eastAsia="Arial" w:hAnsi="Arial"/>
                <w:sz w:val="13"/>
                <w:szCs w:val="13"/>
                <w:color w:val="auto"/>
              </w:rPr>
              <w:t>36-0938600</w:t>
            </w: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30" w:lineRule="exact"/>
              <w:rPr>
                <w:sz w:val="20"/>
                <w:szCs w:val="20"/>
                <w:color w:val="auto"/>
              </w:rPr>
            </w:pPr>
            <w:r>
              <w:rPr>
                <w:rFonts w:ascii="Arial" w:cs="Arial" w:eastAsia="Arial" w:hAnsi="Arial"/>
                <w:sz w:val="13"/>
                <w:szCs w:val="13"/>
                <w:color w:val="auto"/>
              </w:rPr>
              <w:t>(an Illinois corporation)</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10 South Dearborn Street</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Chicago, Illinois 60603-2300</w:t>
            </w:r>
          </w:p>
        </w:tc>
        <w:tc>
          <w:tcPr>
            <w:tcW w:w="25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Pr>
          <w:p>
            <w:pPr>
              <w:ind w:left="20"/>
              <w:spacing w:after="0"/>
              <w:rPr>
                <w:sz w:val="20"/>
                <w:szCs w:val="20"/>
                <w:color w:val="auto"/>
              </w:rPr>
            </w:pPr>
            <w:r>
              <w:rPr>
                <w:rFonts w:ascii="Arial" w:cs="Arial" w:eastAsia="Arial" w:hAnsi="Arial"/>
                <w:sz w:val="13"/>
                <w:szCs w:val="13"/>
                <w:color w:val="auto"/>
              </w:rPr>
              <w:t>(312) 394-4321</w:t>
            </w: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2"/>
        </w:trPr>
        <w:tc>
          <w:tcPr>
            <w:tcW w:w="1460" w:type="dxa"/>
            <w:vAlign w:val="bottom"/>
            <w:gridSpan w:val="2"/>
          </w:tcPr>
          <w:p>
            <w:pPr>
              <w:ind w:left="20"/>
              <w:spacing w:after="0"/>
              <w:rPr>
                <w:sz w:val="20"/>
                <w:szCs w:val="20"/>
                <w:color w:val="auto"/>
              </w:rPr>
            </w:pPr>
            <w:r>
              <w:rPr>
                <w:rFonts w:ascii="Arial" w:cs="Arial" w:eastAsia="Arial" w:hAnsi="Arial"/>
                <w:sz w:val="13"/>
                <w:szCs w:val="13"/>
                <w:color w:val="auto"/>
              </w:rPr>
              <w:t>000-16844</w:t>
            </w:r>
          </w:p>
        </w:tc>
        <w:tc>
          <w:tcPr>
            <w:tcW w:w="10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color w:val="auto"/>
              </w:rPr>
              <w:t>PECO ENERGY COMPANY</w:t>
            </w:r>
          </w:p>
        </w:tc>
        <w:tc>
          <w:tcPr>
            <w:tcW w:w="2500" w:type="dxa"/>
            <w:vAlign w:val="bottom"/>
          </w:tcPr>
          <w:p>
            <w:pPr>
              <w:jc w:val="right"/>
              <w:spacing w:after="0"/>
              <w:rPr>
                <w:sz w:val="20"/>
                <w:szCs w:val="20"/>
                <w:color w:val="auto"/>
              </w:rPr>
            </w:pPr>
            <w:r>
              <w:rPr>
                <w:rFonts w:ascii="Arial" w:cs="Arial" w:eastAsia="Arial" w:hAnsi="Arial"/>
                <w:sz w:val="13"/>
                <w:szCs w:val="13"/>
                <w:color w:val="auto"/>
              </w:rPr>
              <w:t>23-0970240</w:t>
            </w: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30" w:lineRule="exact"/>
              <w:rPr>
                <w:sz w:val="20"/>
                <w:szCs w:val="20"/>
                <w:color w:val="auto"/>
              </w:rPr>
            </w:pPr>
            <w:r>
              <w:rPr>
                <w:rFonts w:ascii="Arial" w:cs="Arial" w:eastAsia="Arial" w:hAnsi="Arial"/>
                <w:sz w:val="13"/>
                <w:szCs w:val="13"/>
                <w:color w:val="auto"/>
              </w:rPr>
              <w:t>(a Pennsylvania corporation)</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2301 Market Street</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P.O. Box 8699</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Philadelphia, Pennsylvania 19101-8699</w:t>
            </w:r>
          </w:p>
        </w:tc>
        <w:tc>
          <w:tcPr>
            <w:tcW w:w="25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Pr>
          <w:p>
            <w:pPr>
              <w:ind w:left="20"/>
              <w:spacing w:after="0"/>
              <w:rPr>
                <w:sz w:val="20"/>
                <w:szCs w:val="20"/>
                <w:color w:val="auto"/>
              </w:rPr>
            </w:pPr>
            <w:r>
              <w:rPr>
                <w:rFonts w:ascii="Arial" w:cs="Arial" w:eastAsia="Arial" w:hAnsi="Arial"/>
                <w:sz w:val="13"/>
                <w:szCs w:val="13"/>
                <w:color w:val="auto"/>
              </w:rPr>
              <w:t>(215) 841-4000</w:t>
            </w: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2"/>
        </w:trPr>
        <w:tc>
          <w:tcPr>
            <w:tcW w:w="1460" w:type="dxa"/>
            <w:vAlign w:val="bottom"/>
            <w:gridSpan w:val="2"/>
          </w:tcPr>
          <w:p>
            <w:pPr>
              <w:ind w:left="20"/>
              <w:spacing w:after="0"/>
              <w:rPr>
                <w:sz w:val="20"/>
                <w:szCs w:val="20"/>
                <w:color w:val="auto"/>
              </w:rPr>
            </w:pPr>
            <w:r>
              <w:rPr>
                <w:rFonts w:ascii="Arial" w:cs="Arial" w:eastAsia="Arial" w:hAnsi="Arial"/>
                <w:sz w:val="13"/>
                <w:szCs w:val="13"/>
                <w:color w:val="auto"/>
              </w:rPr>
              <w:t>001-01910</w:t>
            </w:r>
          </w:p>
        </w:tc>
        <w:tc>
          <w:tcPr>
            <w:tcW w:w="10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color w:val="auto"/>
              </w:rPr>
              <w:t>BALTIMORE GAS AND ELECTRIC COMPANY</w:t>
            </w:r>
          </w:p>
        </w:tc>
        <w:tc>
          <w:tcPr>
            <w:tcW w:w="2500" w:type="dxa"/>
            <w:vAlign w:val="bottom"/>
          </w:tcPr>
          <w:p>
            <w:pPr>
              <w:jc w:val="right"/>
              <w:spacing w:after="0"/>
              <w:rPr>
                <w:sz w:val="20"/>
                <w:szCs w:val="20"/>
                <w:color w:val="auto"/>
              </w:rPr>
            </w:pPr>
            <w:r>
              <w:rPr>
                <w:rFonts w:ascii="Arial" w:cs="Arial" w:eastAsia="Arial" w:hAnsi="Arial"/>
                <w:sz w:val="13"/>
                <w:szCs w:val="13"/>
                <w:color w:val="auto"/>
              </w:rPr>
              <w:t>52-0280210</w:t>
            </w: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30" w:lineRule="exact"/>
              <w:rPr>
                <w:sz w:val="20"/>
                <w:szCs w:val="20"/>
                <w:color w:val="auto"/>
              </w:rPr>
            </w:pPr>
            <w:r>
              <w:rPr>
                <w:rFonts w:ascii="Arial" w:cs="Arial" w:eastAsia="Arial" w:hAnsi="Arial"/>
                <w:sz w:val="13"/>
                <w:szCs w:val="13"/>
                <w:color w:val="auto"/>
              </w:rPr>
              <w:t>(a Maryland corporation)</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2 Center Plaza</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110 West Fayette Street</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Baltimore, Maryland 21201-3708</w:t>
            </w:r>
          </w:p>
        </w:tc>
        <w:tc>
          <w:tcPr>
            <w:tcW w:w="25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Pr>
          <w:p>
            <w:pPr>
              <w:ind w:left="20"/>
              <w:spacing w:after="0"/>
              <w:rPr>
                <w:sz w:val="20"/>
                <w:szCs w:val="20"/>
                <w:color w:val="auto"/>
              </w:rPr>
            </w:pPr>
            <w:r>
              <w:rPr>
                <w:rFonts w:ascii="Arial" w:cs="Arial" w:eastAsia="Arial" w:hAnsi="Arial"/>
                <w:sz w:val="13"/>
                <w:szCs w:val="13"/>
                <w:color w:val="auto"/>
              </w:rPr>
              <w:t>(410) 234-5000</w:t>
            </w: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2"/>
        </w:trPr>
        <w:tc>
          <w:tcPr>
            <w:tcW w:w="1460" w:type="dxa"/>
            <w:vAlign w:val="bottom"/>
            <w:gridSpan w:val="2"/>
          </w:tcPr>
          <w:p>
            <w:pPr>
              <w:ind w:left="20"/>
              <w:spacing w:after="0"/>
              <w:rPr>
                <w:sz w:val="20"/>
                <w:szCs w:val="20"/>
                <w:color w:val="auto"/>
              </w:rPr>
            </w:pPr>
            <w:r>
              <w:rPr>
                <w:rFonts w:ascii="Arial" w:cs="Arial" w:eastAsia="Arial" w:hAnsi="Arial"/>
                <w:sz w:val="13"/>
                <w:szCs w:val="13"/>
                <w:color w:val="auto"/>
              </w:rPr>
              <w:t>001-31403</w:t>
            </w:r>
          </w:p>
        </w:tc>
        <w:tc>
          <w:tcPr>
            <w:tcW w:w="10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color w:val="auto"/>
              </w:rPr>
              <w:t>PEPCO HOLDINGS LLC</w:t>
            </w:r>
          </w:p>
        </w:tc>
        <w:tc>
          <w:tcPr>
            <w:tcW w:w="2500" w:type="dxa"/>
            <w:vAlign w:val="bottom"/>
          </w:tcPr>
          <w:p>
            <w:pPr>
              <w:jc w:val="right"/>
              <w:spacing w:after="0"/>
              <w:rPr>
                <w:sz w:val="20"/>
                <w:szCs w:val="20"/>
                <w:color w:val="auto"/>
              </w:rPr>
            </w:pPr>
            <w:r>
              <w:rPr>
                <w:rFonts w:ascii="Arial" w:cs="Arial" w:eastAsia="Arial" w:hAnsi="Arial"/>
                <w:sz w:val="13"/>
                <w:szCs w:val="13"/>
                <w:color w:val="auto"/>
              </w:rPr>
              <w:t>52-2297449</w:t>
            </w: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30" w:lineRule="exact"/>
              <w:rPr>
                <w:sz w:val="20"/>
                <w:szCs w:val="20"/>
                <w:color w:val="auto"/>
              </w:rPr>
            </w:pPr>
            <w:r>
              <w:rPr>
                <w:rFonts w:ascii="Arial" w:cs="Arial" w:eastAsia="Arial" w:hAnsi="Arial"/>
                <w:sz w:val="13"/>
                <w:szCs w:val="13"/>
                <w:color w:val="auto"/>
              </w:rPr>
              <w:t>(a Delaware limited liability company)</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701 Ninth Street, N.W.</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Washington, District of Columbia 20068-0001</w:t>
            </w:r>
          </w:p>
        </w:tc>
        <w:tc>
          <w:tcPr>
            <w:tcW w:w="25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Pr>
          <w:p>
            <w:pPr>
              <w:ind w:left="20"/>
              <w:spacing w:after="0"/>
              <w:rPr>
                <w:sz w:val="20"/>
                <w:szCs w:val="20"/>
                <w:color w:val="auto"/>
              </w:rPr>
            </w:pPr>
            <w:r>
              <w:rPr>
                <w:rFonts w:ascii="Arial" w:cs="Arial" w:eastAsia="Arial" w:hAnsi="Arial"/>
                <w:sz w:val="13"/>
                <w:szCs w:val="13"/>
                <w:color w:val="auto"/>
              </w:rPr>
              <w:t>(202) 872-2000</w:t>
            </w: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2"/>
        </w:trPr>
        <w:tc>
          <w:tcPr>
            <w:tcW w:w="1460" w:type="dxa"/>
            <w:vAlign w:val="bottom"/>
            <w:gridSpan w:val="2"/>
          </w:tcPr>
          <w:p>
            <w:pPr>
              <w:ind w:left="20"/>
              <w:spacing w:after="0"/>
              <w:rPr>
                <w:sz w:val="20"/>
                <w:szCs w:val="20"/>
                <w:color w:val="auto"/>
              </w:rPr>
            </w:pPr>
            <w:r>
              <w:rPr>
                <w:rFonts w:ascii="Arial" w:cs="Arial" w:eastAsia="Arial" w:hAnsi="Arial"/>
                <w:sz w:val="13"/>
                <w:szCs w:val="13"/>
                <w:color w:val="auto"/>
              </w:rPr>
              <w:t>001-01072</w:t>
            </w:r>
          </w:p>
        </w:tc>
        <w:tc>
          <w:tcPr>
            <w:tcW w:w="10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color w:val="auto"/>
              </w:rPr>
              <w:t>POTOMAC ELECTRIC POWER COMPANY</w:t>
            </w:r>
          </w:p>
        </w:tc>
        <w:tc>
          <w:tcPr>
            <w:tcW w:w="2500" w:type="dxa"/>
            <w:vAlign w:val="bottom"/>
          </w:tcPr>
          <w:p>
            <w:pPr>
              <w:jc w:val="right"/>
              <w:spacing w:after="0"/>
              <w:rPr>
                <w:sz w:val="20"/>
                <w:szCs w:val="20"/>
                <w:color w:val="auto"/>
              </w:rPr>
            </w:pPr>
            <w:r>
              <w:rPr>
                <w:rFonts w:ascii="Arial" w:cs="Arial" w:eastAsia="Arial" w:hAnsi="Arial"/>
                <w:sz w:val="13"/>
                <w:szCs w:val="13"/>
                <w:color w:val="auto"/>
              </w:rPr>
              <w:t>53-0127880</w:t>
            </w: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30" w:lineRule="exact"/>
              <w:rPr>
                <w:sz w:val="20"/>
                <w:szCs w:val="20"/>
                <w:color w:val="auto"/>
              </w:rPr>
            </w:pPr>
            <w:r>
              <w:rPr>
                <w:rFonts w:ascii="Arial" w:cs="Arial" w:eastAsia="Arial" w:hAnsi="Arial"/>
                <w:sz w:val="13"/>
                <w:szCs w:val="13"/>
                <w:color w:val="auto"/>
              </w:rPr>
              <w:t>(a District of Columbia and Virginia corporation)</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701 Ninth Street, N.W.</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Washington, District of Columbia 20068-0001</w:t>
            </w:r>
          </w:p>
        </w:tc>
        <w:tc>
          <w:tcPr>
            <w:tcW w:w="25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Pr>
          <w:p>
            <w:pPr>
              <w:ind w:left="20"/>
              <w:spacing w:after="0"/>
              <w:rPr>
                <w:sz w:val="20"/>
                <w:szCs w:val="20"/>
                <w:color w:val="auto"/>
              </w:rPr>
            </w:pPr>
            <w:r>
              <w:rPr>
                <w:rFonts w:ascii="Arial" w:cs="Arial" w:eastAsia="Arial" w:hAnsi="Arial"/>
                <w:sz w:val="13"/>
                <w:szCs w:val="13"/>
                <w:color w:val="auto"/>
              </w:rPr>
              <w:t>(202) 872-2000</w:t>
            </w: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2"/>
        </w:trPr>
        <w:tc>
          <w:tcPr>
            <w:tcW w:w="1460" w:type="dxa"/>
            <w:vAlign w:val="bottom"/>
            <w:gridSpan w:val="2"/>
          </w:tcPr>
          <w:p>
            <w:pPr>
              <w:ind w:left="20"/>
              <w:spacing w:after="0"/>
              <w:rPr>
                <w:sz w:val="20"/>
                <w:szCs w:val="20"/>
                <w:color w:val="auto"/>
              </w:rPr>
            </w:pPr>
            <w:r>
              <w:rPr>
                <w:rFonts w:ascii="Arial" w:cs="Arial" w:eastAsia="Arial" w:hAnsi="Arial"/>
                <w:sz w:val="13"/>
                <w:szCs w:val="13"/>
                <w:color w:val="auto"/>
              </w:rPr>
              <w:t>001-01405</w:t>
            </w:r>
          </w:p>
        </w:tc>
        <w:tc>
          <w:tcPr>
            <w:tcW w:w="10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color w:val="auto"/>
              </w:rPr>
              <w:t>DELMARVA POWER &amp; LIGHT COMPANY</w:t>
            </w:r>
          </w:p>
        </w:tc>
        <w:tc>
          <w:tcPr>
            <w:tcW w:w="2500" w:type="dxa"/>
            <w:vAlign w:val="bottom"/>
          </w:tcPr>
          <w:p>
            <w:pPr>
              <w:jc w:val="right"/>
              <w:spacing w:after="0"/>
              <w:rPr>
                <w:sz w:val="20"/>
                <w:szCs w:val="20"/>
                <w:color w:val="auto"/>
              </w:rPr>
            </w:pPr>
            <w:r>
              <w:rPr>
                <w:rFonts w:ascii="Arial" w:cs="Arial" w:eastAsia="Arial" w:hAnsi="Arial"/>
                <w:sz w:val="13"/>
                <w:szCs w:val="13"/>
                <w:color w:val="auto"/>
              </w:rPr>
              <w:t>51-0084283</w:t>
            </w: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30" w:lineRule="exact"/>
              <w:rPr>
                <w:sz w:val="20"/>
                <w:szCs w:val="20"/>
                <w:color w:val="auto"/>
              </w:rPr>
            </w:pPr>
            <w:r>
              <w:rPr>
                <w:rFonts w:ascii="Arial" w:cs="Arial" w:eastAsia="Arial" w:hAnsi="Arial"/>
                <w:sz w:val="13"/>
                <w:szCs w:val="13"/>
                <w:color w:val="auto"/>
              </w:rPr>
              <w:t>(a Delaware and Virginia corporation)</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500 North Wakefield Drive</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Newark, Delaware 19702-5440</w:t>
            </w:r>
          </w:p>
        </w:tc>
        <w:tc>
          <w:tcPr>
            <w:tcW w:w="25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Pr>
          <w:p>
            <w:pPr>
              <w:ind w:left="20"/>
              <w:spacing w:after="0"/>
              <w:rPr>
                <w:sz w:val="20"/>
                <w:szCs w:val="20"/>
                <w:color w:val="auto"/>
              </w:rPr>
            </w:pPr>
            <w:r>
              <w:rPr>
                <w:rFonts w:ascii="Arial" w:cs="Arial" w:eastAsia="Arial" w:hAnsi="Arial"/>
                <w:sz w:val="13"/>
                <w:szCs w:val="13"/>
                <w:color w:val="auto"/>
              </w:rPr>
              <w:t>(202) 872-2000</w:t>
            </w: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2"/>
        </w:trPr>
        <w:tc>
          <w:tcPr>
            <w:tcW w:w="1460" w:type="dxa"/>
            <w:vAlign w:val="bottom"/>
            <w:gridSpan w:val="2"/>
          </w:tcPr>
          <w:p>
            <w:pPr>
              <w:ind w:left="20"/>
              <w:spacing w:after="0"/>
              <w:rPr>
                <w:sz w:val="20"/>
                <w:szCs w:val="20"/>
                <w:color w:val="auto"/>
              </w:rPr>
            </w:pPr>
            <w:r>
              <w:rPr>
                <w:rFonts w:ascii="Arial" w:cs="Arial" w:eastAsia="Arial" w:hAnsi="Arial"/>
                <w:sz w:val="13"/>
                <w:szCs w:val="13"/>
                <w:color w:val="auto"/>
              </w:rPr>
              <w:t>001-03559</w:t>
            </w:r>
          </w:p>
        </w:tc>
        <w:tc>
          <w:tcPr>
            <w:tcW w:w="10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3"/>
                <w:szCs w:val="13"/>
                <w:color w:val="auto"/>
              </w:rPr>
              <w:t>ATLANTIC CITY ELECTRIC COMPANY</w:t>
            </w:r>
          </w:p>
        </w:tc>
        <w:tc>
          <w:tcPr>
            <w:tcW w:w="2500" w:type="dxa"/>
            <w:vAlign w:val="bottom"/>
          </w:tcPr>
          <w:p>
            <w:pPr>
              <w:jc w:val="right"/>
              <w:spacing w:after="0"/>
              <w:rPr>
                <w:sz w:val="20"/>
                <w:szCs w:val="20"/>
                <w:color w:val="auto"/>
              </w:rPr>
            </w:pPr>
            <w:r>
              <w:rPr>
                <w:rFonts w:ascii="Arial" w:cs="Arial" w:eastAsia="Arial" w:hAnsi="Arial"/>
                <w:sz w:val="13"/>
                <w:szCs w:val="13"/>
                <w:color w:val="auto"/>
              </w:rPr>
              <w:t>21-0398280</w:t>
            </w: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30" w:lineRule="exact"/>
              <w:rPr>
                <w:sz w:val="20"/>
                <w:szCs w:val="20"/>
                <w:color w:val="auto"/>
              </w:rPr>
            </w:pPr>
            <w:r>
              <w:rPr>
                <w:rFonts w:ascii="Arial" w:cs="Arial" w:eastAsia="Arial" w:hAnsi="Arial"/>
                <w:sz w:val="13"/>
                <w:szCs w:val="13"/>
                <w:color w:val="auto"/>
              </w:rPr>
              <w:t>(a New Jersey corporation)</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500 North Wakefield Drive</w:t>
            </w:r>
          </w:p>
        </w:tc>
        <w:tc>
          <w:tcPr>
            <w:tcW w:w="250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2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Newark, Delaware 19702-5440</w:t>
            </w:r>
          </w:p>
        </w:tc>
        <w:tc>
          <w:tcPr>
            <w:tcW w:w="25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Pr>
          <w:p>
            <w:pPr>
              <w:ind w:left="20"/>
              <w:spacing w:after="0"/>
              <w:rPr>
                <w:sz w:val="20"/>
                <w:szCs w:val="20"/>
                <w:color w:val="auto"/>
              </w:rPr>
            </w:pPr>
            <w:r>
              <w:rPr>
                <w:rFonts w:ascii="Arial" w:cs="Arial" w:eastAsia="Arial" w:hAnsi="Arial"/>
                <w:sz w:val="13"/>
                <w:szCs w:val="13"/>
                <w:color w:val="auto"/>
              </w:rPr>
              <w:t>(202) 872-2000</w:t>
            </w: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789"/>
        </w:trPr>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80" w:type="dxa"/>
            <w:vAlign w:val="bottom"/>
            <w:tcBorders>
              <w:bottom w:val="single" w:sz="8" w:color="auto"/>
            </w:tcBorders>
          </w:tcPr>
          <w:p>
            <w:pPr>
              <w:ind w:left="1940"/>
              <w:spacing w:after="0"/>
              <w:rPr>
                <w:sz w:val="20"/>
                <w:szCs w:val="20"/>
                <w:color w:val="auto"/>
              </w:rPr>
            </w:pPr>
            <w:r>
              <w:rPr>
                <w:rFonts w:ascii="Arial" w:cs="Arial" w:eastAsia="Arial" w:hAnsi="Arial"/>
                <w:sz w:val="11"/>
                <w:szCs w:val="11"/>
                <w:b w:val="1"/>
                <w:bCs w:val="1"/>
                <w:color w:val="auto"/>
              </w:rPr>
              <w:t>Title of each class</w:t>
            </w:r>
          </w:p>
        </w:tc>
        <w:tc>
          <w:tcPr>
            <w:tcW w:w="10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Trading Symbol(s)</w:t>
            </w:r>
          </w:p>
        </w:tc>
        <w:tc>
          <w:tcPr>
            <w:tcW w:w="100" w:type="dxa"/>
            <w:vAlign w:val="bottom"/>
          </w:tcPr>
          <w:p>
            <w:pPr>
              <w:spacing w:after="0"/>
              <w:rPr>
                <w:sz w:val="12"/>
                <w:szCs w:val="12"/>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Name of each exchange on which registered</w:t>
            </w:r>
          </w:p>
        </w:tc>
      </w:tr>
      <w:tr>
        <w:trPr>
          <w:trHeight w:val="152"/>
        </w:trPr>
        <w:tc>
          <w:tcPr>
            <w:tcW w:w="48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EXELON CORPORATION:</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53"/>
        </w:trPr>
        <w:tc>
          <w:tcPr>
            <w:tcW w:w="4880" w:type="dxa"/>
            <w:vAlign w:val="bottom"/>
            <w:gridSpan w:val="2"/>
          </w:tcPr>
          <w:p>
            <w:pPr>
              <w:ind w:left="20"/>
              <w:spacing w:after="0"/>
              <w:rPr>
                <w:sz w:val="20"/>
                <w:szCs w:val="20"/>
                <w:color w:val="auto"/>
              </w:rPr>
            </w:pPr>
            <w:r>
              <w:rPr>
                <w:rFonts w:ascii="Arial" w:cs="Arial" w:eastAsia="Arial" w:hAnsi="Arial"/>
                <w:sz w:val="11"/>
                <w:szCs w:val="11"/>
                <w:color w:val="auto"/>
              </w:rPr>
              <w:t>Common stock, without par value</w:t>
            </w: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color w:val="auto"/>
              </w:rPr>
              <w:t>EXC</w:t>
            </w:r>
          </w:p>
        </w:tc>
        <w:tc>
          <w:tcPr>
            <w:tcW w:w="4740" w:type="dxa"/>
            <w:vAlign w:val="bottom"/>
          </w:tcPr>
          <w:p>
            <w:pPr>
              <w:jc w:val="center"/>
              <w:spacing w:after="0"/>
              <w:rPr>
                <w:sz w:val="20"/>
                <w:szCs w:val="20"/>
                <w:color w:val="auto"/>
              </w:rPr>
            </w:pPr>
            <w:r>
              <w:rPr>
                <w:rFonts w:ascii="Arial" w:cs="Arial" w:eastAsia="Arial" w:hAnsi="Arial"/>
                <w:sz w:val="11"/>
                <w:szCs w:val="11"/>
                <w:color w:val="auto"/>
              </w:rPr>
              <w:t>The Nasdaq Stock Market LLC</w:t>
            </w:r>
          </w:p>
        </w:tc>
      </w:tr>
    </w:tbl>
    <w:p>
      <w:pPr>
        <w:spacing w:after="0" w:line="265"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137"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147"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1840" w:type="dxa"/>
            <w:vAlign w:val="bottom"/>
          </w:tcPr>
          <w:p>
            <w:pPr>
              <w:spacing w:after="0"/>
              <w:rPr>
                <w:sz w:val="20"/>
                <w:szCs w:val="20"/>
                <w:color w:val="auto"/>
              </w:rPr>
            </w:pPr>
            <w:r>
              <w:rPr>
                <w:rFonts w:ascii="Arial" w:cs="Arial" w:eastAsia="Arial" w:hAnsi="Arial"/>
                <w:sz w:val="11"/>
                <w:szCs w:val="11"/>
                <w:color w:val="auto"/>
              </w:rPr>
              <w:t>Exelon Corporation</w:t>
            </w:r>
          </w:p>
        </w:tc>
        <w:tc>
          <w:tcPr>
            <w:tcW w:w="1980" w:type="dxa"/>
            <w:vAlign w:val="bottom"/>
            <w:gridSpan w:val="2"/>
          </w:tcPr>
          <w:p>
            <w:pPr>
              <w:ind w:left="340"/>
              <w:spacing w:after="0"/>
              <w:rPr>
                <w:sz w:val="20"/>
                <w:szCs w:val="20"/>
                <w:color w:val="auto"/>
              </w:rPr>
            </w:pPr>
            <w:r>
              <w:rPr>
                <w:rFonts w:ascii="Arial" w:cs="Arial" w:eastAsia="Arial" w:hAnsi="Arial"/>
                <w:sz w:val="11"/>
                <w:szCs w:val="11"/>
                <w:color w:val="auto"/>
              </w:rPr>
              <w:t xml:space="preserve">Large Accelerated Filer </w:t>
            </w:r>
            <w:r>
              <w:rPr>
                <w:rFonts w:ascii="Wingdings" w:cs="Wingdings" w:eastAsia="Wingdings" w:hAnsi="Wingdings"/>
                <w:sz w:val="11"/>
                <w:szCs w:val="11"/>
                <w:b w:val="1"/>
                <w:bCs w:val="1"/>
                <w:color w:val="auto"/>
              </w:rPr>
              <w:t>x</w:t>
            </w:r>
          </w:p>
        </w:tc>
        <w:tc>
          <w:tcPr>
            <w:tcW w:w="1200" w:type="dxa"/>
            <w:vAlign w:val="bottom"/>
          </w:tcPr>
          <w:p>
            <w:pPr>
              <w:ind w:left="380"/>
              <w:spacing w:after="0"/>
              <w:rPr>
                <w:sz w:val="20"/>
                <w:szCs w:val="20"/>
                <w:color w:val="auto"/>
              </w:rPr>
            </w:pPr>
            <w:r>
              <w:rPr>
                <w:rFonts w:ascii="Arial" w:cs="Arial" w:eastAsia="Arial" w:hAnsi="Arial"/>
                <w:sz w:val="11"/>
                <w:szCs w:val="11"/>
                <w:color w:val="auto"/>
                <w:w w:val="96"/>
              </w:rPr>
              <w:t>Accelerated Filer</w:t>
            </w:r>
          </w:p>
        </w:tc>
        <w:tc>
          <w:tcPr>
            <w:tcW w:w="540" w:type="dxa"/>
            <w:vAlign w:val="bottom"/>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820" w:type="dxa"/>
            <w:vAlign w:val="bottom"/>
          </w:tcPr>
          <w:p>
            <w:pPr>
              <w:ind w:left="40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tc>
        <w:tc>
          <w:tcPr>
            <w:tcW w:w="1600" w:type="dxa"/>
            <w:vAlign w:val="bottom"/>
          </w:tcPr>
          <w:p>
            <w:pPr>
              <w:ind w:left="240"/>
              <w:spacing w:after="0"/>
              <w:rPr>
                <w:sz w:val="20"/>
                <w:szCs w:val="20"/>
                <w:color w:val="auto"/>
              </w:rPr>
            </w:pPr>
            <w:r>
              <w:rPr>
                <w:rFonts w:ascii="Arial" w:cs="Arial" w:eastAsia="Arial" w:hAnsi="Arial"/>
                <w:sz w:val="11"/>
                <w:szCs w:val="11"/>
                <w:color w:val="auto"/>
                <w:w w:val="96"/>
              </w:rPr>
              <w:t>Smaller Reporting Company</w:t>
            </w:r>
          </w:p>
        </w:tc>
        <w:tc>
          <w:tcPr>
            <w:tcW w:w="38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600" w:type="dxa"/>
            <w:vAlign w:val="bottom"/>
          </w:tcPr>
          <w:p>
            <w:pPr>
              <w:ind w:left="260"/>
              <w:spacing w:after="0"/>
              <w:rPr>
                <w:sz w:val="20"/>
                <w:szCs w:val="20"/>
                <w:color w:val="auto"/>
              </w:rPr>
            </w:pPr>
            <w:r>
              <w:rPr>
                <w:rFonts w:ascii="Arial" w:cs="Arial" w:eastAsia="Arial" w:hAnsi="Arial"/>
                <w:sz w:val="11"/>
                <w:szCs w:val="11"/>
                <w:color w:val="auto"/>
                <w:w w:val="97"/>
              </w:rPr>
              <w:t>Emerging Growth Company</w:t>
            </w:r>
          </w:p>
        </w:tc>
        <w:tc>
          <w:tcPr>
            <w:tcW w:w="120" w:type="dxa"/>
            <w:vAlign w:val="bottom"/>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Commonwealth Edison</w:t>
            </w:r>
          </w:p>
        </w:tc>
        <w:tc>
          <w:tcPr>
            <w:tcW w:w="1480" w:type="dxa"/>
            <w:vAlign w:val="bottom"/>
            <w:vMerge w:val="restart"/>
          </w:tcPr>
          <w:p>
            <w:pPr>
              <w:ind w:left="340"/>
              <w:spacing w:after="0"/>
              <w:rPr>
                <w:sz w:val="20"/>
                <w:szCs w:val="20"/>
                <w:color w:val="auto"/>
              </w:rPr>
            </w:pPr>
            <w:r>
              <w:rPr>
                <w:rFonts w:ascii="Arial" w:cs="Arial" w:eastAsia="Arial" w:hAnsi="Arial"/>
                <w:sz w:val="11"/>
                <w:szCs w:val="11"/>
                <w:color w:val="auto"/>
                <w:w w:val="98"/>
              </w:rPr>
              <w:t>Large Accelerated Filer</w:t>
            </w:r>
          </w:p>
        </w:tc>
        <w:tc>
          <w:tcPr>
            <w:tcW w:w="5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200" w:type="dxa"/>
            <w:vAlign w:val="bottom"/>
            <w:vMerge w:val="restart"/>
          </w:tcPr>
          <w:p>
            <w:pPr>
              <w:ind w:left="380"/>
              <w:spacing w:after="0"/>
              <w:rPr>
                <w:sz w:val="20"/>
                <w:szCs w:val="20"/>
                <w:color w:val="auto"/>
              </w:rPr>
            </w:pPr>
            <w:r>
              <w:rPr>
                <w:rFonts w:ascii="Arial" w:cs="Arial" w:eastAsia="Arial" w:hAnsi="Arial"/>
                <w:sz w:val="11"/>
                <w:szCs w:val="11"/>
                <w:color w:val="auto"/>
                <w:w w:val="96"/>
              </w:rPr>
              <w:t>Accelerated Filer</w:t>
            </w:r>
          </w:p>
        </w:tc>
        <w:tc>
          <w:tcPr>
            <w:tcW w:w="5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820" w:type="dxa"/>
            <w:vAlign w:val="bottom"/>
            <w:vMerge w:val="restart"/>
          </w:tcPr>
          <w:p>
            <w:pPr>
              <w:ind w:left="400"/>
              <w:spacing w:after="0"/>
              <w:rPr>
                <w:sz w:val="20"/>
                <w:szCs w:val="20"/>
                <w:color w:val="auto"/>
              </w:rPr>
            </w:pPr>
            <w:r>
              <w:rPr>
                <w:rFonts w:ascii="Arial" w:cs="Arial" w:eastAsia="Arial" w:hAnsi="Arial"/>
                <w:sz w:val="11"/>
                <w:szCs w:val="11"/>
                <w:color w:val="auto"/>
              </w:rPr>
              <w:t xml:space="preserve">Non-accelerated Filer </w:t>
            </w:r>
            <w:r>
              <w:rPr>
                <w:rFonts w:ascii="Wingdings" w:cs="Wingdings" w:eastAsia="Wingdings" w:hAnsi="Wingdings"/>
                <w:sz w:val="11"/>
                <w:szCs w:val="11"/>
                <w:b w:val="1"/>
                <w:bCs w:val="1"/>
                <w:color w:val="auto"/>
              </w:rPr>
              <w:t>x</w:t>
            </w:r>
          </w:p>
        </w:tc>
        <w:tc>
          <w:tcPr>
            <w:tcW w:w="1600" w:type="dxa"/>
            <w:vAlign w:val="bottom"/>
            <w:vMerge w:val="restart"/>
          </w:tcPr>
          <w:p>
            <w:pPr>
              <w:ind w:left="240"/>
              <w:spacing w:after="0"/>
              <w:rPr>
                <w:sz w:val="20"/>
                <w:szCs w:val="20"/>
                <w:color w:val="auto"/>
              </w:rPr>
            </w:pPr>
            <w:r>
              <w:rPr>
                <w:rFonts w:ascii="Arial" w:cs="Arial" w:eastAsia="Arial" w:hAnsi="Arial"/>
                <w:sz w:val="11"/>
                <w:szCs w:val="11"/>
                <w:color w:val="auto"/>
                <w:w w:val="96"/>
              </w:rPr>
              <w:t>Smaller Reporting Company</w:t>
            </w:r>
          </w:p>
        </w:tc>
        <w:tc>
          <w:tcPr>
            <w:tcW w:w="38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600" w:type="dxa"/>
            <w:vAlign w:val="bottom"/>
            <w:vMerge w:val="restart"/>
          </w:tcPr>
          <w:p>
            <w:pPr>
              <w:ind w:left="260"/>
              <w:spacing w:after="0"/>
              <w:rPr>
                <w:sz w:val="20"/>
                <w:szCs w:val="20"/>
                <w:color w:val="auto"/>
              </w:rPr>
            </w:pPr>
            <w:r>
              <w:rPr>
                <w:rFonts w:ascii="Arial" w:cs="Arial" w:eastAsia="Arial" w:hAnsi="Arial"/>
                <w:sz w:val="11"/>
                <w:szCs w:val="11"/>
                <w:color w:val="auto"/>
                <w:w w:val="97"/>
              </w:rPr>
              <w:t>Emerging Growth Company</w:t>
            </w:r>
          </w:p>
        </w:tc>
        <w:tc>
          <w:tcPr>
            <w:tcW w:w="12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Company</w:t>
            </w:r>
          </w:p>
        </w:tc>
        <w:tc>
          <w:tcPr>
            <w:tcW w:w="14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840" w:type="dxa"/>
            <w:vAlign w:val="bottom"/>
          </w:tcPr>
          <w:p>
            <w:pPr>
              <w:spacing w:after="0"/>
              <w:rPr>
                <w:sz w:val="20"/>
                <w:szCs w:val="20"/>
                <w:color w:val="auto"/>
              </w:rPr>
            </w:pPr>
            <w:r>
              <w:rPr>
                <w:rFonts w:ascii="Arial" w:cs="Arial" w:eastAsia="Arial" w:hAnsi="Arial"/>
                <w:sz w:val="11"/>
                <w:szCs w:val="11"/>
                <w:color w:val="auto"/>
              </w:rPr>
              <w:t>PECO Energy Company</w:t>
            </w:r>
          </w:p>
        </w:tc>
        <w:tc>
          <w:tcPr>
            <w:tcW w:w="1480" w:type="dxa"/>
            <w:vAlign w:val="bottom"/>
          </w:tcPr>
          <w:p>
            <w:pPr>
              <w:ind w:left="340"/>
              <w:spacing w:after="0"/>
              <w:rPr>
                <w:sz w:val="20"/>
                <w:szCs w:val="20"/>
                <w:color w:val="auto"/>
              </w:rPr>
            </w:pPr>
            <w:r>
              <w:rPr>
                <w:rFonts w:ascii="Arial" w:cs="Arial" w:eastAsia="Arial" w:hAnsi="Arial"/>
                <w:sz w:val="11"/>
                <w:szCs w:val="11"/>
                <w:color w:val="auto"/>
                <w:w w:val="98"/>
              </w:rPr>
              <w:t>Large Accelerated Filer</w:t>
            </w:r>
          </w:p>
        </w:tc>
        <w:tc>
          <w:tcPr>
            <w:tcW w:w="50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200" w:type="dxa"/>
            <w:vAlign w:val="bottom"/>
          </w:tcPr>
          <w:p>
            <w:pPr>
              <w:ind w:left="380"/>
              <w:spacing w:after="0"/>
              <w:rPr>
                <w:sz w:val="20"/>
                <w:szCs w:val="20"/>
                <w:color w:val="auto"/>
              </w:rPr>
            </w:pPr>
            <w:r>
              <w:rPr>
                <w:rFonts w:ascii="Arial" w:cs="Arial" w:eastAsia="Arial" w:hAnsi="Arial"/>
                <w:sz w:val="11"/>
                <w:szCs w:val="11"/>
                <w:color w:val="auto"/>
                <w:w w:val="96"/>
              </w:rPr>
              <w:t>Accelerated Filer</w:t>
            </w:r>
          </w:p>
        </w:tc>
        <w:tc>
          <w:tcPr>
            <w:tcW w:w="540" w:type="dxa"/>
            <w:vAlign w:val="bottom"/>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820" w:type="dxa"/>
            <w:vAlign w:val="bottom"/>
          </w:tcPr>
          <w:p>
            <w:pPr>
              <w:ind w:left="400"/>
              <w:spacing w:after="0"/>
              <w:rPr>
                <w:sz w:val="20"/>
                <w:szCs w:val="20"/>
                <w:color w:val="auto"/>
              </w:rPr>
            </w:pPr>
            <w:r>
              <w:rPr>
                <w:rFonts w:ascii="Arial" w:cs="Arial" w:eastAsia="Arial" w:hAnsi="Arial"/>
                <w:sz w:val="11"/>
                <w:szCs w:val="11"/>
                <w:color w:val="auto"/>
              </w:rPr>
              <w:t xml:space="preserve">Non-accelerated Filer </w:t>
            </w:r>
            <w:r>
              <w:rPr>
                <w:rFonts w:ascii="Wingdings" w:cs="Wingdings" w:eastAsia="Wingdings" w:hAnsi="Wingdings"/>
                <w:sz w:val="11"/>
                <w:szCs w:val="11"/>
                <w:b w:val="1"/>
                <w:bCs w:val="1"/>
                <w:color w:val="auto"/>
              </w:rPr>
              <w:t>x</w:t>
            </w:r>
          </w:p>
        </w:tc>
        <w:tc>
          <w:tcPr>
            <w:tcW w:w="1600" w:type="dxa"/>
            <w:vAlign w:val="bottom"/>
          </w:tcPr>
          <w:p>
            <w:pPr>
              <w:ind w:left="240"/>
              <w:spacing w:after="0"/>
              <w:rPr>
                <w:sz w:val="20"/>
                <w:szCs w:val="20"/>
                <w:color w:val="auto"/>
              </w:rPr>
            </w:pPr>
            <w:r>
              <w:rPr>
                <w:rFonts w:ascii="Arial" w:cs="Arial" w:eastAsia="Arial" w:hAnsi="Arial"/>
                <w:sz w:val="11"/>
                <w:szCs w:val="11"/>
                <w:color w:val="auto"/>
                <w:w w:val="96"/>
              </w:rPr>
              <w:t>Smaller Reporting Company</w:t>
            </w:r>
          </w:p>
        </w:tc>
        <w:tc>
          <w:tcPr>
            <w:tcW w:w="38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600" w:type="dxa"/>
            <w:vAlign w:val="bottom"/>
          </w:tcPr>
          <w:p>
            <w:pPr>
              <w:ind w:left="260"/>
              <w:spacing w:after="0"/>
              <w:rPr>
                <w:sz w:val="20"/>
                <w:szCs w:val="20"/>
                <w:color w:val="auto"/>
              </w:rPr>
            </w:pPr>
            <w:r>
              <w:rPr>
                <w:rFonts w:ascii="Arial" w:cs="Arial" w:eastAsia="Arial" w:hAnsi="Arial"/>
                <w:sz w:val="11"/>
                <w:szCs w:val="11"/>
                <w:color w:val="auto"/>
                <w:w w:val="97"/>
              </w:rPr>
              <w:t>Emerging Growth Company</w:t>
            </w:r>
          </w:p>
        </w:tc>
        <w:tc>
          <w:tcPr>
            <w:tcW w:w="120" w:type="dxa"/>
            <w:vAlign w:val="bottom"/>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Baltimore Gas and Electric</w:t>
            </w:r>
          </w:p>
        </w:tc>
        <w:tc>
          <w:tcPr>
            <w:tcW w:w="1480" w:type="dxa"/>
            <w:vAlign w:val="bottom"/>
            <w:vMerge w:val="restart"/>
          </w:tcPr>
          <w:p>
            <w:pPr>
              <w:ind w:left="340"/>
              <w:spacing w:after="0"/>
              <w:rPr>
                <w:sz w:val="20"/>
                <w:szCs w:val="20"/>
                <w:color w:val="auto"/>
              </w:rPr>
            </w:pPr>
            <w:r>
              <w:rPr>
                <w:rFonts w:ascii="Arial" w:cs="Arial" w:eastAsia="Arial" w:hAnsi="Arial"/>
                <w:sz w:val="11"/>
                <w:szCs w:val="11"/>
                <w:color w:val="auto"/>
                <w:w w:val="98"/>
              </w:rPr>
              <w:t>Large Accelerated Filer</w:t>
            </w:r>
          </w:p>
        </w:tc>
        <w:tc>
          <w:tcPr>
            <w:tcW w:w="5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200" w:type="dxa"/>
            <w:vAlign w:val="bottom"/>
            <w:vMerge w:val="restart"/>
          </w:tcPr>
          <w:p>
            <w:pPr>
              <w:ind w:left="380"/>
              <w:spacing w:after="0"/>
              <w:rPr>
                <w:sz w:val="20"/>
                <w:szCs w:val="20"/>
                <w:color w:val="auto"/>
              </w:rPr>
            </w:pPr>
            <w:r>
              <w:rPr>
                <w:rFonts w:ascii="Arial" w:cs="Arial" w:eastAsia="Arial" w:hAnsi="Arial"/>
                <w:sz w:val="11"/>
                <w:szCs w:val="11"/>
                <w:color w:val="auto"/>
                <w:w w:val="96"/>
              </w:rPr>
              <w:t>Accelerated Filer</w:t>
            </w:r>
          </w:p>
        </w:tc>
        <w:tc>
          <w:tcPr>
            <w:tcW w:w="5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820" w:type="dxa"/>
            <w:vAlign w:val="bottom"/>
            <w:vMerge w:val="restart"/>
          </w:tcPr>
          <w:p>
            <w:pPr>
              <w:ind w:left="400"/>
              <w:spacing w:after="0"/>
              <w:rPr>
                <w:sz w:val="20"/>
                <w:szCs w:val="20"/>
                <w:color w:val="auto"/>
              </w:rPr>
            </w:pPr>
            <w:r>
              <w:rPr>
                <w:rFonts w:ascii="Arial" w:cs="Arial" w:eastAsia="Arial" w:hAnsi="Arial"/>
                <w:sz w:val="11"/>
                <w:szCs w:val="11"/>
                <w:color w:val="auto"/>
              </w:rPr>
              <w:t xml:space="preserve">Non-accelerated Filer </w:t>
            </w:r>
            <w:r>
              <w:rPr>
                <w:rFonts w:ascii="Wingdings" w:cs="Wingdings" w:eastAsia="Wingdings" w:hAnsi="Wingdings"/>
                <w:sz w:val="11"/>
                <w:szCs w:val="11"/>
                <w:b w:val="1"/>
                <w:bCs w:val="1"/>
                <w:color w:val="auto"/>
              </w:rPr>
              <w:t>x</w:t>
            </w:r>
          </w:p>
        </w:tc>
        <w:tc>
          <w:tcPr>
            <w:tcW w:w="1600" w:type="dxa"/>
            <w:vAlign w:val="bottom"/>
            <w:vMerge w:val="restart"/>
          </w:tcPr>
          <w:p>
            <w:pPr>
              <w:ind w:left="240"/>
              <w:spacing w:after="0"/>
              <w:rPr>
                <w:sz w:val="20"/>
                <w:szCs w:val="20"/>
                <w:color w:val="auto"/>
              </w:rPr>
            </w:pPr>
            <w:r>
              <w:rPr>
                <w:rFonts w:ascii="Arial" w:cs="Arial" w:eastAsia="Arial" w:hAnsi="Arial"/>
                <w:sz w:val="11"/>
                <w:szCs w:val="11"/>
                <w:color w:val="auto"/>
                <w:w w:val="96"/>
              </w:rPr>
              <w:t>Smaller Reporting Company</w:t>
            </w:r>
          </w:p>
        </w:tc>
        <w:tc>
          <w:tcPr>
            <w:tcW w:w="38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600" w:type="dxa"/>
            <w:vAlign w:val="bottom"/>
            <w:vMerge w:val="restart"/>
          </w:tcPr>
          <w:p>
            <w:pPr>
              <w:ind w:left="260"/>
              <w:spacing w:after="0"/>
              <w:rPr>
                <w:sz w:val="20"/>
                <w:szCs w:val="20"/>
                <w:color w:val="auto"/>
              </w:rPr>
            </w:pPr>
            <w:r>
              <w:rPr>
                <w:rFonts w:ascii="Arial" w:cs="Arial" w:eastAsia="Arial" w:hAnsi="Arial"/>
                <w:sz w:val="11"/>
                <w:szCs w:val="11"/>
                <w:color w:val="auto"/>
                <w:w w:val="97"/>
              </w:rPr>
              <w:t>Emerging Growth Company</w:t>
            </w:r>
          </w:p>
        </w:tc>
        <w:tc>
          <w:tcPr>
            <w:tcW w:w="12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Company</w:t>
            </w:r>
          </w:p>
        </w:tc>
        <w:tc>
          <w:tcPr>
            <w:tcW w:w="14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840" w:type="dxa"/>
            <w:vAlign w:val="bottom"/>
          </w:tcPr>
          <w:p>
            <w:pPr>
              <w:spacing w:after="0"/>
              <w:rPr>
                <w:sz w:val="20"/>
                <w:szCs w:val="20"/>
                <w:color w:val="auto"/>
              </w:rPr>
            </w:pPr>
            <w:r>
              <w:rPr>
                <w:rFonts w:ascii="Arial" w:cs="Arial" w:eastAsia="Arial" w:hAnsi="Arial"/>
                <w:sz w:val="11"/>
                <w:szCs w:val="11"/>
                <w:color w:val="auto"/>
              </w:rPr>
              <w:t>Pepco Holdings LLC</w:t>
            </w:r>
          </w:p>
        </w:tc>
        <w:tc>
          <w:tcPr>
            <w:tcW w:w="1480" w:type="dxa"/>
            <w:vAlign w:val="bottom"/>
          </w:tcPr>
          <w:p>
            <w:pPr>
              <w:ind w:left="340"/>
              <w:spacing w:after="0"/>
              <w:rPr>
                <w:sz w:val="20"/>
                <w:szCs w:val="20"/>
                <w:color w:val="auto"/>
              </w:rPr>
            </w:pPr>
            <w:r>
              <w:rPr>
                <w:rFonts w:ascii="Arial" w:cs="Arial" w:eastAsia="Arial" w:hAnsi="Arial"/>
                <w:sz w:val="11"/>
                <w:szCs w:val="11"/>
                <w:color w:val="auto"/>
                <w:w w:val="98"/>
              </w:rPr>
              <w:t>Large Accelerated Filer</w:t>
            </w:r>
          </w:p>
        </w:tc>
        <w:tc>
          <w:tcPr>
            <w:tcW w:w="50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200" w:type="dxa"/>
            <w:vAlign w:val="bottom"/>
          </w:tcPr>
          <w:p>
            <w:pPr>
              <w:ind w:left="380"/>
              <w:spacing w:after="0"/>
              <w:rPr>
                <w:sz w:val="20"/>
                <w:szCs w:val="20"/>
                <w:color w:val="auto"/>
              </w:rPr>
            </w:pPr>
            <w:r>
              <w:rPr>
                <w:rFonts w:ascii="Arial" w:cs="Arial" w:eastAsia="Arial" w:hAnsi="Arial"/>
                <w:sz w:val="11"/>
                <w:szCs w:val="11"/>
                <w:color w:val="auto"/>
                <w:w w:val="96"/>
              </w:rPr>
              <w:t>Accelerated Filer</w:t>
            </w:r>
          </w:p>
        </w:tc>
        <w:tc>
          <w:tcPr>
            <w:tcW w:w="540" w:type="dxa"/>
            <w:vAlign w:val="bottom"/>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820" w:type="dxa"/>
            <w:vAlign w:val="bottom"/>
          </w:tcPr>
          <w:p>
            <w:pPr>
              <w:ind w:left="400"/>
              <w:spacing w:after="0"/>
              <w:rPr>
                <w:sz w:val="20"/>
                <w:szCs w:val="20"/>
                <w:color w:val="auto"/>
              </w:rPr>
            </w:pPr>
            <w:r>
              <w:rPr>
                <w:rFonts w:ascii="Arial" w:cs="Arial" w:eastAsia="Arial" w:hAnsi="Arial"/>
                <w:sz w:val="11"/>
                <w:szCs w:val="11"/>
                <w:color w:val="auto"/>
              </w:rPr>
              <w:t xml:space="preserve">Non-accelerated Filer </w:t>
            </w:r>
            <w:r>
              <w:rPr>
                <w:rFonts w:ascii="Wingdings" w:cs="Wingdings" w:eastAsia="Wingdings" w:hAnsi="Wingdings"/>
                <w:sz w:val="11"/>
                <w:szCs w:val="11"/>
                <w:b w:val="1"/>
                <w:bCs w:val="1"/>
                <w:color w:val="auto"/>
              </w:rPr>
              <w:t>x</w:t>
            </w:r>
          </w:p>
        </w:tc>
        <w:tc>
          <w:tcPr>
            <w:tcW w:w="1600" w:type="dxa"/>
            <w:vAlign w:val="bottom"/>
          </w:tcPr>
          <w:p>
            <w:pPr>
              <w:ind w:left="240"/>
              <w:spacing w:after="0"/>
              <w:rPr>
                <w:sz w:val="20"/>
                <w:szCs w:val="20"/>
                <w:color w:val="auto"/>
              </w:rPr>
            </w:pPr>
            <w:r>
              <w:rPr>
                <w:rFonts w:ascii="Arial" w:cs="Arial" w:eastAsia="Arial" w:hAnsi="Arial"/>
                <w:sz w:val="11"/>
                <w:szCs w:val="11"/>
                <w:color w:val="auto"/>
                <w:w w:val="96"/>
              </w:rPr>
              <w:t>Smaller Reporting Company</w:t>
            </w:r>
          </w:p>
        </w:tc>
        <w:tc>
          <w:tcPr>
            <w:tcW w:w="38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600" w:type="dxa"/>
            <w:vAlign w:val="bottom"/>
          </w:tcPr>
          <w:p>
            <w:pPr>
              <w:ind w:left="260"/>
              <w:spacing w:after="0"/>
              <w:rPr>
                <w:sz w:val="20"/>
                <w:szCs w:val="20"/>
                <w:color w:val="auto"/>
              </w:rPr>
            </w:pPr>
            <w:r>
              <w:rPr>
                <w:rFonts w:ascii="Arial" w:cs="Arial" w:eastAsia="Arial" w:hAnsi="Arial"/>
                <w:sz w:val="11"/>
                <w:szCs w:val="11"/>
                <w:color w:val="auto"/>
                <w:w w:val="97"/>
              </w:rPr>
              <w:t>Emerging Growth Company</w:t>
            </w:r>
          </w:p>
        </w:tc>
        <w:tc>
          <w:tcPr>
            <w:tcW w:w="120" w:type="dxa"/>
            <w:vAlign w:val="bottom"/>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Potomac Electric Power</w:t>
            </w:r>
          </w:p>
        </w:tc>
        <w:tc>
          <w:tcPr>
            <w:tcW w:w="1480" w:type="dxa"/>
            <w:vAlign w:val="bottom"/>
            <w:vMerge w:val="restart"/>
          </w:tcPr>
          <w:p>
            <w:pPr>
              <w:ind w:left="340"/>
              <w:spacing w:after="0"/>
              <w:rPr>
                <w:sz w:val="20"/>
                <w:szCs w:val="20"/>
                <w:color w:val="auto"/>
              </w:rPr>
            </w:pPr>
            <w:r>
              <w:rPr>
                <w:rFonts w:ascii="Arial" w:cs="Arial" w:eastAsia="Arial" w:hAnsi="Arial"/>
                <w:sz w:val="11"/>
                <w:szCs w:val="11"/>
                <w:color w:val="auto"/>
                <w:w w:val="98"/>
              </w:rPr>
              <w:t>Large Accelerated Filer</w:t>
            </w:r>
          </w:p>
        </w:tc>
        <w:tc>
          <w:tcPr>
            <w:tcW w:w="5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200" w:type="dxa"/>
            <w:vAlign w:val="bottom"/>
            <w:vMerge w:val="restart"/>
          </w:tcPr>
          <w:p>
            <w:pPr>
              <w:ind w:left="380"/>
              <w:spacing w:after="0"/>
              <w:rPr>
                <w:sz w:val="20"/>
                <w:szCs w:val="20"/>
                <w:color w:val="auto"/>
              </w:rPr>
            </w:pPr>
            <w:r>
              <w:rPr>
                <w:rFonts w:ascii="Arial" w:cs="Arial" w:eastAsia="Arial" w:hAnsi="Arial"/>
                <w:sz w:val="11"/>
                <w:szCs w:val="11"/>
                <w:color w:val="auto"/>
                <w:w w:val="96"/>
              </w:rPr>
              <w:t>Accelerated Filer</w:t>
            </w:r>
          </w:p>
        </w:tc>
        <w:tc>
          <w:tcPr>
            <w:tcW w:w="5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820" w:type="dxa"/>
            <w:vAlign w:val="bottom"/>
            <w:vMerge w:val="restart"/>
          </w:tcPr>
          <w:p>
            <w:pPr>
              <w:ind w:left="400"/>
              <w:spacing w:after="0"/>
              <w:rPr>
                <w:sz w:val="20"/>
                <w:szCs w:val="20"/>
                <w:color w:val="auto"/>
              </w:rPr>
            </w:pPr>
            <w:r>
              <w:rPr>
                <w:rFonts w:ascii="Arial" w:cs="Arial" w:eastAsia="Arial" w:hAnsi="Arial"/>
                <w:sz w:val="11"/>
                <w:szCs w:val="11"/>
                <w:color w:val="auto"/>
              </w:rPr>
              <w:t xml:space="preserve">Non-accelerated Filer </w:t>
            </w:r>
            <w:r>
              <w:rPr>
                <w:rFonts w:ascii="Wingdings" w:cs="Wingdings" w:eastAsia="Wingdings" w:hAnsi="Wingdings"/>
                <w:sz w:val="11"/>
                <w:szCs w:val="11"/>
                <w:b w:val="1"/>
                <w:bCs w:val="1"/>
                <w:color w:val="auto"/>
              </w:rPr>
              <w:t>x</w:t>
            </w:r>
          </w:p>
        </w:tc>
        <w:tc>
          <w:tcPr>
            <w:tcW w:w="1600" w:type="dxa"/>
            <w:vAlign w:val="bottom"/>
            <w:vMerge w:val="restart"/>
          </w:tcPr>
          <w:p>
            <w:pPr>
              <w:ind w:left="240"/>
              <w:spacing w:after="0"/>
              <w:rPr>
                <w:sz w:val="20"/>
                <w:szCs w:val="20"/>
                <w:color w:val="auto"/>
              </w:rPr>
            </w:pPr>
            <w:r>
              <w:rPr>
                <w:rFonts w:ascii="Arial" w:cs="Arial" w:eastAsia="Arial" w:hAnsi="Arial"/>
                <w:sz w:val="11"/>
                <w:szCs w:val="11"/>
                <w:color w:val="auto"/>
                <w:w w:val="96"/>
              </w:rPr>
              <w:t>Smaller Reporting Company</w:t>
            </w:r>
          </w:p>
        </w:tc>
        <w:tc>
          <w:tcPr>
            <w:tcW w:w="38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600" w:type="dxa"/>
            <w:vAlign w:val="bottom"/>
            <w:vMerge w:val="restart"/>
          </w:tcPr>
          <w:p>
            <w:pPr>
              <w:ind w:left="260"/>
              <w:spacing w:after="0"/>
              <w:rPr>
                <w:sz w:val="20"/>
                <w:szCs w:val="20"/>
                <w:color w:val="auto"/>
              </w:rPr>
            </w:pPr>
            <w:r>
              <w:rPr>
                <w:rFonts w:ascii="Arial" w:cs="Arial" w:eastAsia="Arial" w:hAnsi="Arial"/>
                <w:sz w:val="11"/>
                <w:szCs w:val="11"/>
                <w:color w:val="auto"/>
                <w:w w:val="97"/>
              </w:rPr>
              <w:t>Emerging Growth Company</w:t>
            </w:r>
          </w:p>
        </w:tc>
        <w:tc>
          <w:tcPr>
            <w:tcW w:w="12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20"/>
                <w:szCs w:val="20"/>
                <w:color w:val="auto"/>
              </w:rPr>
            </w:pPr>
            <w:r>
              <w:rPr>
                <w:rFonts w:ascii="Arial" w:cs="Arial" w:eastAsia="Arial" w:hAnsi="Arial"/>
                <w:sz w:val="11"/>
                <w:szCs w:val="11"/>
                <w:color w:val="auto"/>
              </w:rPr>
              <w:t>Company</w:t>
            </w:r>
          </w:p>
        </w:tc>
        <w:tc>
          <w:tcPr>
            <w:tcW w:w="14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line="117" w:lineRule="exact"/>
              <w:rPr>
                <w:sz w:val="20"/>
                <w:szCs w:val="20"/>
                <w:color w:val="auto"/>
              </w:rPr>
            </w:pPr>
            <w:r>
              <w:rPr>
                <w:rFonts w:ascii="Arial" w:cs="Arial" w:eastAsia="Arial" w:hAnsi="Arial"/>
                <w:sz w:val="11"/>
                <w:szCs w:val="11"/>
                <w:color w:val="auto"/>
              </w:rPr>
              <w:t>Delmarva Power &amp; Light</w:t>
            </w:r>
          </w:p>
        </w:tc>
        <w:tc>
          <w:tcPr>
            <w:tcW w:w="1480" w:type="dxa"/>
            <w:vAlign w:val="bottom"/>
            <w:vMerge w:val="restart"/>
          </w:tcPr>
          <w:p>
            <w:pPr>
              <w:ind w:left="340"/>
              <w:spacing w:after="0"/>
              <w:rPr>
                <w:sz w:val="20"/>
                <w:szCs w:val="20"/>
                <w:color w:val="auto"/>
              </w:rPr>
            </w:pPr>
            <w:r>
              <w:rPr>
                <w:rFonts w:ascii="Arial" w:cs="Arial" w:eastAsia="Arial" w:hAnsi="Arial"/>
                <w:sz w:val="11"/>
                <w:szCs w:val="11"/>
                <w:color w:val="auto"/>
                <w:w w:val="98"/>
              </w:rPr>
              <w:t>Large Accelerated Filer</w:t>
            </w:r>
          </w:p>
        </w:tc>
        <w:tc>
          <w:tcPr>
            <w:tcW w:w="5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200" w:type="dxa"/>
            <w:vAlign w:val="bottom"/>
            <w:vMerge w:val="restart"/>
          </w:tcPr>
          <w:p>
            <w:pPr>
              <w:ind w:left="380"/>
              <w:spacing w:after="0"/>
              <w:rPr>
                <w:sz w:val="20"/>
                <w:szCs w:val="20"/>
                <w:color w:val="auto"/>
              </w:rPr>
            </w:pPr>
            <w:r>
              <w:rPr>
                <w:rFonts w:ascii="Arial" w:cs="Arial" w:eastAsia="Arial" w:hAnsi="Arial"/>
                <w:sz w:val="11"/>
                <w:szCs w:val="11"/>
                <w:color w:val="auto"/>
                <w:w w:val="96"/>
              </w:rPr>
              <w:t>Accelerated Filer</w:t>
            </w:r>
          </w:p>
        </w:tc>
        <w:tc>
          <w:tcPr>
            <w:tcW w:w="5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820" w:type="dxa"/>
            <w:vAlign w:val="bottom"/>
            <w:vMerge w:val="restart"/>
          </w:tcPr>
          <w:p>
            <w:pPr>
              <w:ind w:left="400"/>
              <w:spacing w:after="0"/>
              <w:rPr>
                <w:sz w:val="20"/>
                <w:szCs w:val="20"/>
                <w:color w:val="auto"/>
              </w:rPr>
            </w:pPr>
            <w:r>
              <w:rPr>
                <w:rFonts w:ascii="Arial" w:cs="Arial" w:eastAsia="Arial" w:hAnsi="Arial"/>
                <w:sz w:val="11"/>
                <w:szCs w:val="11"/>
                <w:color w:val="auto"/>
              </w:rPr>
              <w:t xml:space="preserve">Non-accelerated Filer </w:t>
            </w:r>
            <w:r>
              <w:rPr>
                <w:rFonts w:ascii="Wingdings" w:cs="Wingdings" w:eastAsia="Wingdings" w:hAnsi="Wingdings"/>
                <w:sz w:val="11"/>
                <w:szCs w:val="11"/>
                <w:b w:val="1"/>
                <w:bCs w:val="1"/>
                <w:color w:val="auto"/>
              </w:rPr>
              <w:t>x</w:t>
            </w:r>
          </w:p>
        </w:tc>
        <w:tc>
          <w:tcPr>
            <w:tcW w:w="1600" w:type="dxa"/>
            <w:vAlign w:val="bottom"/>
            <w:vMerge w:val="restart"/>
          </w:tcPr>
          <w:p>
            <w:pPr>
              <w:ind w:left="240"/>
              <w:spacing w:after="0"/>
              <w:rPr>
                <w:sz w:val="20"/>
                <w:szCs w:val="20"/>
                <w:color w:val="auto"/>
              </w:rPr>
            </w:pPr>
            <w:r>
              <w:rPr>
                <w:rFonts w:ascii="Arial" w:cs="Arial" w:eastAsia="Arial" w:hAnsi="Arial"/>
                <w:sz w:val="11"/>
                <w:szCs w:val="11"/>
                <w:color w:val="auto"/>
                <w:w w:val="96"/>
              </w:rPr>
              <w:t>Smaller Reporting Company</w:t>
            </w:r>
          </w:p>
        </w:tc>
        <w:tc>
          <w:tcPr>
            <w:tcW w:w="38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600" w:type="dxa"/>
            <w:vAlign w:val="bottom"/>
            <w:vMerge w:val="restart"/>
          </w:tcPr>
          <w:p>
            <w:pPr>
              <w:ind w:left="260"/>
              <w:spacing w:after="0"/>
              <w:rPr>
                <w:sz w:val="20"/>
                <w:szCs w:val="20"/>
                <w:color w:val="auto"/>
              </w:rPr>
            </w:pPr>
            <w:r>
              <w:rPr>
                <w:rFonts w:ascii="Arial" w:cs="Arial" w:eastAsia="Arial" w:hAnsi="Arial"/>
                <w:sz w:val="11"/>
                <w:szCs w:val="11"/>
                <w:color w:val="auto"/>
                <w:w w:val="97"/>
              </w:rPr>
              <w:t>Emerging Growth Company</w:t>
            </w:r>
          </w:p>
        </w:tc>
        <w:tc>
          <w:tcPr>
            <w:tcW w:w="12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Company</w:t>
            </w:r>
          </w:p>
        </w:tc>
        <w:tc>
          <w:tcPr>
            <w:tcW w:w="14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840" w:type="dxa"/>
            <w:vAlign w:val="bottom"/>
          </w:tcPr>
          <w:p>
            <w:pPr>
              <w:spacing w:after="0"/>
              <w:rPr>
                <w:sz w:val="20"/>
                <w:szCs w:val="20"/>
                <w:color w:val="auto"/>
              </w:rPr>
            </w:pPr>
            <w:r>
              <w:rPr>
                <w:rFonts w:ascii="Arial" w:cs="Arial" w:eastAsia="Arial" w:hAnsi="Arial"/>
                <w:sz w:val="11"/>
                <w:szCs w:val="11"/>
                <w:color w:val="auto"/>
              </w:rPr>
              <w:t>Atlantic City Electric Company</w:t>
            </w:r>
          </w:p>
        </w:tc>
        <w:tc>
          <w:tcPr>
            <w:tcW w:w="1480" w:type="dxa"/>
            <w:vAlign w:val="bottom"/>
          </w:tcPr>
          <w:p>
            <w:pPr>
              <w:ind w:left="340"/>
              <w:spacing w:after="0"/>
              <w:rPr>
                <w:sz w:val="20"/>
                <w:szCs w:val="20"/>
                <w:color w:val="auto"/>
              </w:rPr>
            </w:pPr>
            <w:r>
              <w:rPr>
                <w:rFonts w:ascii="Arial" w:cs="Arial" w:eastAsia="Arial" w:hAnsi="Arial"/>
                <w:sz w:val="11"/>
                <w:szCs w:val="11"/>
                <w:color w:val="auto"/>
                <w:w w:val="98"/>
              </w:rPr>
              <w:t>Large Accelerated Filer</w:t>
            </w:r>
          </w:p>
        </w:tc>
        <w:tc>
          <w:tcPr>
            <w:tcW w:w="50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200" w:type="dxa"/>
            <w:vAlign w:val="bottom"/>
          </w:tcPr>
          <w:p>
            <w:pPr>
              <w:ind w:left="380"/>
              <w:spacing w:after="0"/>
              <w:rPr>
                <w:sz w:val="20"/>
                <w:szCs w:val="20"/>
                <w:color w:val="auto"/>
              </w:rPr>
            </w:pPr>
            <w:r>
              <w:rPr>
                <w:rFonts w:ascii="Arial" w:cs="Arial" w:eastAsia="Arial" w:hAnsi="Arial"/>
                <w:sz w:val="11"/>
                <w:szCs w:val="11"/>
                <w:color w:val="auto"/>
                <w:w w:val="96"/>
              </w:rPr>
              <w:t>Accelerated Filer</w:t>
            </w:r>
          </w:p>
        </w:tc>
        <w:tc>
          <w:tcPr>
            <w:tcW w:w="540" w:type="dxa"/>
            <w:vAlign w:val="bottom"/>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820" w:type="dxa"/>
            <w:vAlign w:val="bottom"/>
          </w:tcPr>
          <w:p>
            <w:pPr>
              <w:ind w:left="400"/>
              <w:spacing w:after="0"/>
              <w:rPr>
                <w:sz w:val="20"/>
                <w:szCs w:val="20"/>
                <w:color w:val="auto"/>
              </w:rPr>
            </w:pPr>
            <w:r>
              <w:rPr>
                <w:rFonts w:ascii="Arial" w:cs="Arial" w:eastAsia="Arial" w:hAnsi="Arial"/>
                <w:sz w:val="11"/>
                <w:szCs w:val="11"/>
                <w:color w:val="auto"/>
              </w:rPr>
              <w:t xml:space="preserve">Non-accelerated Filer </w:t>
            </w:r>
            <w:r>
              <w:rPr>
                <w:rFonts w:ascii="Wingdings" w:cs="Wingdings" w:eastAsia="Wingdings" w:hAnsi="Wingdings"/>
                <w:sz w:val="11"/>
                <w:szCs w:val="11"/>
                <w:b w:val="1"/>
                <w:bCs w:val="1"/>
                <w:color w:val="auto"/>
              </w:rPr>
              <w:t>x</w:t>
            </w:r>
          </w:p>
        </w:tc>
        <w:tc>
          <w:tcPr>
            <w:tcW w:w="1600" w:type="dxa"/>
            <w:vAlign w:val="bottom"/>
          </w:tcPr>
          <w:p>
            <w:pPr>
              <w:ind w:left="240"/>
              <w:spacing w:after="0"/>
              <w:rPr>
                <w:sz w:val="20"/>
                <w:szCs w:val="20"/>
                <w:color w:val="auto"/>
              </w:rPr>
            </w:pPr>
            <w:r>
              <w:rPr>
                <w:rFonts w:ascii="Arial" w:cs="Arial" w:eastAsia="Arial" w:hAnsi="Arial"/>
                <w:sz w:val="11"/>
                <w:szCs w:val="11"/>
                <w:color w:val="auto"/>
                <w:w w:val="96"/>
              </w:rPr>
              <w:t>Smaller Reporting Company</w:t>
            </w:r>
          </w:p>
        </w:tc>
        <w:tc>
          <w:tcPr>
            <w:tcW w:w="38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600" w:type="dxa"/>
            <w:vAlign w:val="bottom"/>
          </w:tcPr>
          <w:p>
            <w:pPr>
              <w:ind w:left="260"/>
              <w:spacing w:after="0"/>
              <w:rPr>
                <w:sz w:val="20"/>
                <w:szCs w:val="20"/>
                <w:color w:val="auto"/>
              </w:rPr>
            </w:pPr>
            <w:r>
              <w:rPr>
                <w:rFonts w:ascii="Arial" w:cs="Arial" w:eastAsia="Arial" w:hAnsi="Arial"/>
                <w:sz w:val="11"/>
                <w:szCs w:val="11"/>
                <w:color w:val="auto"/>
                <w:w w:val="97"/>
              </w:rPr>
              <w:t>Emerging Growth Company</w:t>
            </w:r>
          </w:p>
        </w:tc>
        <w:tc>
          <w:tcPr>
            <w:tcW w:w="120" w:type="dxa"/>
            <w:vAlign w:val="bottom"/>
          </w:tcPr>
          <w:p>
            <w:pPr>
              <w:ind w:left="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line="15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0" w:type="dxa"/>
            <w:vAlign w:val="bottom"/>
          </w:tcPr>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w:t>
            </w:r>
          </w:p>
        </w:tc>
        <w:tc>
          <w:tcPr>
            <w:tcW w:w="5880" w:type="dxa"/>
            <w:vAlign w:val="bottom"/>
          </w:tcPr>
          <w:p>
            <w:pPr>
              <w:ind w:left="20"/>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x</w:t>
            </w:r>
          </w:p>
        </w:tc>
      </w:tr>
      <w:tr>
        <w:trPr>
          <w:trHeight w:val="324"/>
        </w:trPr>
        <w:tc>
          <w:tcPr>
            <w:tcW w:w="5400" w:type="dxa"/>
            <w:vAlign w:val="bottom"/>
          </w:tcPr>
          <w:p>
            <w:pPr>
              <w:spacing w:after="0"/>
              <w:rPr>
                <w:sz w:val="20"/>
                <w:szCs w:val="20"/>
                <w:color w:val="auto"/>
              </w:rPr>
            </w:pPr>
            <w:r>
              <w:rPr>
                <w:rFonts w:ascii="Arial" w:cs="Arial" w:eastAsia="Arial" w:hAnsi="Arial"/>
                <w:sz w:val="11"/>
                <w:szCs w:val="11"/>
                <w:color w:val="auto"/>
              </w:rPr>
              <w:t>The number of shares outstanding of each registrant’s common stock as of March 31, 2026 was:</w:t>
            </w:r>
          </w:p>
        </w:tc>
        <w:tc>
          <w:tcPr>
            <w:tcW w:w="5880" w:type="dxa"/>
            <w:vAlign w:val="bottom"/>
          </w:tcPr>
          <w:p>
            <w:pPr>
              <w:spacing w:after="0"/>
              <w:rPr>
                <w:sz w:val="24"/>
                <w:szCs w:val="24"/>
                <w:color w:val="auto"/>
              </w:rPr>
            </w:pPr>
          </w:p>
        </w:tc>
      </w:tr>
      <w:tr>
        <w:trPr>
          <w:trHeight w:val="244"/>
        </w:trPr>
        <w:tc>
          <w:tcPr>
            <w:tcW w:w="5400" w:type="dxa"/>
            <w:vAlign w:val="bottom"/>
          </w:tcPr>
          <w:p>
            <w:pPr>
              <w:ind w:left="20"/>
              <w:spacing w:after="0"/>
              <w:rPr>
                <w:sz w:val="20"/>
                <w:szCs w:val="20"/>
                <w:color w:val="auto"/>
              </w:rPr>
            </w:pPr>
            <w:r>
              <w:rPr>
                <w:rFonts w:ascii="Arial" w:cs="Arial" w:eastAsia="Arial" w:hAnsi="Arial"/>
                <w:sz w:val="11"/>
                <w:szCs w:val="11"/>
                <w:color w:val="auto"/>
              </w:rPr>
              <w:t>Exelon Corporation Common Stock, without par value</w:t>
            </w:r>
          </w:p>
        </w:tc>
        <w:tc>
          <w:tcPr>
            <w:tcW w:w="5880" w:type="dxa"/>
            <w:vAlign w:val="bottom"/>
          </w:tcPr>
          <w:p>
            <w:pPr>
              <w:jc w:val="center"/>
              <w:ind w:left="1063"/>
              <w:spacing w:after="0"/>
              <w:rPr>
                <w:sz w:val="20"/>
                <w:szCs w:val="20"/>
                <w:color w:val="auto"/>
              </w:rPr>
            </w:pPr>
            <w:r>
              <w:rPr>
                <w:rFonts w:ascii="Arial" w:cs="Arial" w:eastAsia="Arial" w:hAnsi="Arial"/>
                <w:sz w:val="11"/>
                <w:szCs w:val="11"/>
                <w:color w:val="auto"/>
              </w:rPr>
              <w:t>1,023,208,142</w:t>
            </w:r>
          </w:p>
        </w:tc>
      </w:tr>
      <w:tr>
        <w:trPr>
          <w:trHeight w:val="159"/>
        </w:trPr>
        <w:tc>
          <w:tcPr>
            <w:tcW w:w="5400" w:type="dxa"/>
            <w:vAlign w:val="bottom"/>
          </w:tcPr>
          <w:p>
            <w:pPr>
              <w:ind w:left="20"/>
              <w:spacing w:after="0"/>
              <w:rPr>
                <w:sz w:val="20"/>
                <w:szCs w:val="20"/>
                <w:color w:val="auto"/>
              </w:rPr>
            </w:pPr>
            <w:r>
              <w:rPr>
                <w:rFonts w:ascii="Arial" w:cs="Arial" w:eastAsia="Arial" w:hAnsi="Arial"/>
                <w:sz w:val="11"/>
                <w:szCs w:val="11"/>
                <w:color w:val="auto"/>
              </w:rPr>
              <w:t>Commonwealth Edison Company Common Stock, $12.50 par value</w:t>
            </w:r>
          </w:p>
        </w:tc>
        <w:tc>
          <w:tcPr>
            <w:tcW w:w="5880" w:type="dxa"/>
            <w:vAlign w:val="bottom"/>
          </w:tcPr>
          <w:p>
            <w:pPr>
              <w:jc w:val="center"/>
              <w:ind w:left="1083"/>
              <w:spacing w:after="0"/>
              <w:rPr>
                <w:sz w:val="20"/>
                <w:szCs w:val="20"/>
                <w:color w:val="auto"/>
              </w:rPr>
            </w:pPr>
            <w:r>
              <w:rPr>
                <w:rFonts w:ascii="Arial" w:cs="Arial" w:eastAsia="Arial" w:hAnsi="Arial"/>
                <w:sz w:val="11"/>
                <w:szCs w:val="11"/>
                <w:color w:val="auto"/>
              </w:rPr>
              <w:t>127,021,425</w:t>
            </w:r>
          </w:p>
        </w:tc>
      </w:tr>
      <w:tr>
        <w:trPr>
          <w:trHeight w:val="159"/>
        </w:trPr>
        <w:tc>
          <w:tcPr>
            <w:tcW w:w="5400" w:type="dxa"/>
            <w:vAlign w:val="bottom"/>
          </w:tcPr>
          <w:p>
            <w:pPr>
              <w:ind w:left="20"/>
              <w:spacing w:after="0"/>
              <w:rPr>
                <w:sz w:val="20"/>
                <w:szCs w:val="20"/>
                <w:color w:val="auto"/>
              </w:rPr>
            </w:pPr>
            <w:r>
              <w:rPr>
                <w:rFonts w:ascii="Arial" w:cs="Arial" w:eastAsia="Arial" w:hAnsi="Arial"/>
                <w:sz w:val="11"/>
                <w:szCs w:val="11"/>
                <w:color w:val="auto"/>
              </w:rPr>
              <w:t>PECO Energy Company Common Stock, without par value</w:t>
            </w:r>
          </w:p>
        </w:tc>
        <w:tc>
          <w:tcPr>
            <w:tcW w:w="5880" w:type="dxa"/>
            <w:vAlign w:val="bottom"/>
          </w:tcPr>
          <w:p>
            <w:pPr>
              <w:jc w:val="center"/>
              <w:ind w:left="1083"/>
              <w:spacing w:after="0"/>
              <w:rPr>
                <w:sz w:val="20"/>
                <w:szCs w:val="20"/>
                <w:color w:val="auto"/>
              </w:rPr>
            </w:pPr>
            <w:r>
              <w:rPr>
                <w:rFonts w:ascii="Arial" w:cs="Arial" w:eastAsia="Arial" w:hAnsi="Arial"/>
                <w:sz w:val="11"/>
                <w:szCs w:val="11"/>
                <w:color w:val="auto"/>
              </w:rPr>
              <w:t>170,478,507</w:t>
            </w:r>
          </w:p>
        </w:tc>
      </w:tr>
      <w:tr>
        <w:trPr>
          <w:trHeight w:val="159"/>
        </w:trPr>
        <w:tc>
          <w:tcPr>
            <w:tcW w:w="5400" w:type="dxa"/>
            <w:vAlign w:val="bottom"/>
          </w:tcPr>
          <w:p>
            <w:pPr>
              <w:ind w:left="20"/>
              <w:spacing w:after="0"/>
              <w:rPr>
                <w:sz w:val="20"/>
                <w:szCs w:val="20"/>
                <w:color w:val="auto"/>
              </w:rPr>
            </w:pPr>
            <w:r>
              <w:rPr>
                <w:rFonts w:ascii="Arial" w:cs="Arial" w:eastAsia="Arial" w:hAnsi="Arial"/>
                <w:sz w:val="11"/>
                <w:szCs w:val="11"/>
                <w:color w:val="auto"/>
              </w:rPr>
              <w:t>Baltimore Gas and Electric Company Common Stock, without par value</w:t>
            </w:r>
          </w:p>
        </w:tc>
        <w:tc>
          <w:tcPr>
            <w:tcW w:w="5880" w:type="dxa"/>
            <w:vAlign w:val="bottom"/>
          </w:tcPr>
          <w:p>
            <w:pPr>
              <w:jc w:val="center"/>
              <w:ind w:left="1063"/>
              <w:spacing w:after="0"/>
              <w:rPr>
                <w:sz w:val="20"/>
                <w:szCs w:val="20"/>
                <w:color w:val="auto"/>
              </w:rPr>
            </w:pPr>
            <w:r>
              <w:rPr>
                <w:rFonts w:ascii="Arial" w:cs="Arial" w:eastAsia="Arial" w:hAnsi="Arial"/>
                <w:sz w:val="11"/>
                <w:szCs w:val="11"/>
                <w:color w:val="auto"/>
              </w:rPr>
              <w:t>1,000</w:t>
            </w:r>
          </w:p>
        </w:tc>
      </w:tr>
      <w:tr>
        <w:trPr>
          <w:trHeight w:val="159"/>
        </w:trPr>
        <w:tc>
          <w:tcPr>
            <w:tcW w:w="5400" w:type="dxa"/>
            <w:vAlign w:val="bottom"/>
          </w:tcPr>
          <w:p>
            <w:pPr>
              <w:ind w:left="20"/>
              <w:spacing w:after="0"/>
              <w:rPr>
                <w:sz w:val="20"/>
                <w:szCs w:val="20"/>
                <w:color w:val="auto"/>
              </w:rPr>
            </w:pPr>
            <w:r>
              <w:rPr>
                <w:rFonts w:ascii="Arial" w:cs="Arial" w:eastAsia="Arial" w:hAnsi="Arial"/>
                <w:sz w:val="11"/>
                <w:szCs w:val="11"/>
                <w:color w:val="auto"/>
              </w:rPr>
              <w:t>Pepco Holdings LLC</w:t>
            </w:r>
          </w:p>
        </w:tc>
        <w:tc>
          <w:tcPr>
            <w:tcW w:w="5880" w:type="dxa"/>
            <w:vAlign w:val="bottom"/>
          </w:tcPr>
          <w:p>
            <w:pPr>
              <w:ind w:left="3160"/>
              <w:spacing w:after="0"/>
              <w:rPr>
                <w:sz w:val="20"/>
                <w:szCs w:val="20"/>
                <w:color w:val="auto"/>
              </w:rPr>
            </w:pPr>
            <w:r>
              <w:rPr>
                <w:rFonts w:ascii="Arial" w:cs="Arial" w:eastAsia="Arial" w:hAnsi="Arial"/>
                <w:sz w:val="11"/>
                <w:szCs w:val="11"/>
                <w:color w:val="auto"/>
              </w:rPr>
              <w:t>not applicable</w:t>
            </w:r>
          </w:p>
        </w:tc>
      </w:tr>
      <w:tr>
        <w:trPr>
          <w:trHeight w:val="159"/>
        </w:trPr>
        <w:tc>
          <w:tcPr>
            <w:tcW w:w="5400" w:type="dxa"/>
            <w:vAlign w:val="bottom"/>
          </w:tcPr>
          <w:p>
            <w:pPr>
              <w:ind w:left="20"/>
              <w:spacing w:after="0"/>
              <w:rPr>
                <w:sz w:val="20"/>
                <w:szCs w:val="20"/>
                <w:color w:val="auto"/>
              </w:rPr>
            </w:pPr>
            <w:r>
              <w:rPr>
                <w:rFonts w:ascii="Arial" w:cs="Arial" w:eastAsia="Arial" w:hAnsi="Arial"/>
                <w:sz w:val="11"/>
                <w:szCs w:val="11"/>
                <w:color w:val="auto"/>
              </w:rPr>
              <w:t>Potomac Electric Power Company Common Stock, $0.01 par value</w:t>
            </w:r>
          </w:p>
        </w:tc>
        <w:tc>
          <w:tcPr>
            <w:tcW w:w="5880" w:type="dxa"/>
            <w:vAlign w:val="bottom"/>
          </w:tcPr>
          <w:p>
            <w:pPr>
              <w:jc w:val="center"/>
              <w:ind w:left="1083"/>
              <w:spacing w:after="0"/>
              <w:rPr>
                <w:sz w:val="20"/>
                <w:szCs w:val="20"/>
                <w:color w:val="auto"/>
              </w:rPr>
            </w:pPr>
            <w:r>
              <w:rPr>
                <w:rFonts w:ascii="Arial" w:cs="Arial" w:eastAsia="Arial" w:hAnsi="Arial"/>
                <w:sz w:val="11"/>
                <w:szCs w:val="11"/>
                <w:color w:val="auto"/>
                <w:w w:val="97"/>
              </w:rPr>
              <w:t>100</w:t>
            </w:r>
          </w:p>
        </w:tc>
      </w:tr>
      <w:tr>
        <w:trPr>
          <w:trHeight w:val="159"/>
        </w:trPr>
        <w:tc>
          <w:tcPr>
            <w:tcW w:w="5400" w:type="dxa"/>
            <w:vAlign w:val="bottom"/>
          </w:tcPr>
          <w:p>
            <w:pPr>
              <w:ind w:left="20"/>
              <w:spacing w:after="0"/>
              <w:rPr>
                <w:sz w:val="20"/>
                <w:szCs w:val="20"/>
                <w:color w:val="auto"/>
              </w:rPr>
            </w:pPr>
            <w:r>
              <w:rPr>
                <w:rFonts w:ascii="Arial" w:cs="Arial" w:eastAsia="Arial" w:hAnsi="Arial"/>
                <w:sz w:val="11"/>
                <w:szCs w:val="11"/>
                <w:color w:val="auto"/>
              </w:rPr>
              <w:t>Delmarva Power &amp; Light Company Common Stock, $2.25 par value</w:t>
            </w:r>
          </w:p>
        </w:tc>
        <w:tc>
          <w:tcPr>
            <w:tcW w:w="5880" w:type="dxa"/>
            <w:vAlign w:val="bottom"/>
          </w:tcPr>
          <w:p>
            <w:pPr>
              <w:jc w:val="center"/>
              <w:ind w:left="1063"/>
              <w:spacing w:after="0"/>
              <w:rPr>
                <w:sz w:val="20"/>
                <w:szCs w:val="20"/>
                <w:color w:val="auto"/>
              </w:rPr>
            </w:pPr>
            <w:r>
              <w:rPr>
                <w:rFonts w:ascii="Arial" w:cs="Arial" w:eastAsia="Arial" w:hAnsi="Arial"/>
                <w:sz w:val="11"/>
                <w:szCs w:val="11"/>
                <w:color w:val="auto"/>
              </w:rPr>
              <w:t>1,000</w:t>
            </w:r>
          </w:p>
        </w:tc>
      </w:tr>
      <w:tr>
        <w:trPr>
          <w:trHeight w:val="159"/>
        </w:trPr>
        <w:tc>
          <w:tcPr>
            <w:tcW w:w="5400" w:type="dxa"/>
            <w:vAlign w:val="bottom"/>
          </w:tcPr>
          <w:p>
            <w:pPr>
              <w:ind w:left="20"/>
              <w:spacing w:after="0"/>
              <w:rPr>
                <w:sz w:val="20"/>
                <w:szCs w:val="20"/>
                <w:color w:val="auto"/>
              </w:rPr>
            </w:pPr>
            <w:r>
              <w:rPr>
                <w:rFonts w:ascii="Arial" w:cs="Arial" w:eastAsia="Arial" w:hAnsi="Arial"/>
                <w:sz w:val="11"/>
                <w:szCs w:val="11"/>
                <w:color w:val="auto"/>
              </w:rPr>
              <w:t>Atlantic City Electric Company Common Stock, $3.00 par value</w:t>
            </w:r>
          </w:p>
        </w:tc>
        <w:tc>
          <w:tcPr>
            <w:tcW w:w="5880" w:type="dxa"/>
            <w:vAlign w:val="bottom"/>
          </w:tcPr>
          <w:p>
            <w:pPr>
              <w:jc w:val="center"/>
              <w:ind w:left="1083"/>
              <w:spacing w:after="0"/>
              <w:rPr>
                <w:sz w:val="20"/>
                <w:szCs w:val="20"/>
                <w:color w:val="auto"/>
              </w:rPr>
            </w:pPr>
            <w:r>
              <w:rPr>
                <w:rFonts w:ascii="Arial" w:cs="Arial" w:eastAsia="Arial" w:hAnsi="Arial"/>
                <w:sz w:val="11"/>
                <w:szCs w:val="11"/>
                <w:color w:val="auto"/>
              </w:rPr>
              <w:t>8,546,017</w:t>
            </w:r>
          </w:p>
        </w:tc>
      </w:tr>
      <w:tr>
        <w:trPr>
          <w:trHeight w:val="793"/>
        </w:trPr>
        <w:tc>
          <w:tcPr>
            <w:tcW w:w="540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00" w:type="dxa"/>
            <w:vAlign w:val="bottom"/>
            <w:gridSpan w:val="5"/>
          </w:tcPr>
          <w:p>
            <w:pPr>
              <w:spacing w:after="0"/>
              <w:rPr>
                <w:sz w:val="20"/>
                <w:szCs w:val="20"/>
                <w:color w:val="auto"/>
              </w:rPr>
            </w:pPr>
            <w:r>
              <w:rPr>
                <w:rFonts w:ascii="Arial" w:cs="Arial" w:eastAsia="Arial" w:hAnsi="Arial"/>
                <w:sz w:val="14"/>
                <w:szCs w:val="14"/>
                <w:b w:val="1"/>
                <w:bCs w:val="1"/>
                <w:color w:val="auto"/>
              </w:rPr>
              <w:t>TABLE OF CONTENTS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80" w:type="dxa"/>
            <w:vAlign w:val="bottom"/>
            <w:gridSpan w:val="8"/>
            <w:vMerge w:val="restart"/>
          </w:tcPr>
          <w:p>
            <w:pPr>
              <w:spacing w:after="0"/>
              <w:rPr>
                <w:sz w:val="20"/>
                <w:szCs w:val="20"/>
                <w:color w:val="auto"/>
              </w:rPr>
            </w:pPr>
            <w:r>
              <w:rPr>
                <w:rFonts w:ascii="Arial" w:cs="Arial" w:eastAsia="Arial" w:hAnsi="Arial"/>
                <w:sz w:val="13"/>
                <w:szCs w:val="13"/>
                <w:b w:val="1"/>
                <w:bCs w:val="1"/>
                <w:color w:val="0000FF"/>
                <w:w w:val="95"/>
              </w:rPr>
              <w:t>GLOSSARY OF TERMS AND ABBREVIATIONS</w:t>
            </w:r>
          </w:p>
        </w:tc>
        <w:tc>
          <w:tcPr>
            <w:tcW w:w="6980" w:type="dxa"/>
            <w:vAlign w:val="bottom"/>
            <w:gridSpan w:val="16"/>
            <w:vMerge w:val="restart"/>
          </w:tcPr>
          <w:p>
            <w:pPr>
              <w:spacing w:after="0"/>
              <w:rPr>
                <w:sz w:val="15"/>
                <w:szCs w:val="15"/>
                <w:color w:val="auto"/>
              </w:rPr>
            </w:pPr>
          </w:p>
        </w:tc>
        <w:tc>
          <w:tcPr>
            <w:tcW w:w="150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Page No.</w:t>
            </w:r>
          </w:p>
        </w:tc>
        <w:tc>
          <w:tcPr>
            <w:tcW w:w="0" w:type="dxa"/>
            <w:vAlign w:val="bottom"/>
          </w:tcPr>
          <w:p>
            <w:pPr>
              <w:spacing w:after="0"/>
              <w:rPr>
                <w:sz w:val="1"/>
                <w:szCs w:val="1"/>
                <w:color w:val="auto"/>
              </w:rPr>
            </w:pPr>
          </w:p>
        </w:tc>
      </w:tr>
      <w:tr>
        <w:trPr>
          <w:trHeight w:val="118"/>
        </w:trPr>
        <w:tc>
          <w:tcPr>
            <w:tcW w:w="2780" w:type="dxa"/>
            <w:vAlign w:val="bottom"/>
            <w:gridSpan w:val="8"/>
            <w:vMerge w:val="continue"/>
          </w:tcPr>
          <w:p>
            <w:pPr>
              <w:spacing w:after="0"/>
              <w:rPr>
                <w:sz w:val="10"/>
                <w:szCs w:val="10"/>
                <w:color w:val="auto"/>
              </w:rPr>
            </w:pPr>
          </w:p>
        </w:tc>
        <w:tc>
          <w:tcPr>
            <w:tcW w:w="6980" w:type="dxa"/>
            <w:vAlign w:val="bottom"/>
            <w:gridSpan w:val="16"/>
            <w:vMerge w:val="continue"/>
          </w:tcPr>
          <w:p>
            <w:pPr>
              <w:spacing w:after="0"/>
              <w:rPr>
                <w:sz w:val="10"/>
                <w:szCs w:val="10"/>
                <w:color w:val="auto"/>
              </w:rPr>
            </w:pPr>
          </w:p>
        </w:tc>
        <w:tc>
          <w:tcPr>
            <w:tcW w:w="1480" w:type="dxa"/>
            <w:vAlign w:val="bottom"/>
            <w:gridSpan w:val="2"/>
          </w:tcPr>
          <w:p>
            <w:pPr>
              <w:jc w:val="right"/>
              <w:spacing w:after="0" w:line="107" w:lineRule="exact"/>
              <w:rPr>
                <w:sz w:val="20"/>
                <w:szCs w:val="20"/>
                <w:color w:val="auto"/>
              </w:rPr>
            </w:pPr>
            <w:r>
              <w:rPr>
                <w:rFonts w:ascii="Arial" w:cs="Arial" w:eastAsia="Arial" w:hAnsi="Arial"/>
                <w:sz w:val="12"/>
                <w:szCs w:val="12"/>
                <w:color w:val="0000FF"/>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80" w:type="dxa"/>
            <w:vAlign w:val="bottom"/>
            <w:gridSpan w:val="2"/>
          </w:tcPr>
          <w:p>
            <w:pPr>
              <w:spacing w:after="0"/>
              <w:rPr>
                <w:sz w:val="20"/>
                <w:szCs w:val="20"/>
                <w:color w:val="auto"/>
              </w:rPr>
            </w:pPr>
            <w:r>
              <w:rPr>
                <w:rFonts w:ascii="Arial" w:cs="Arial" w:eastAsia="Arial" w:hAnsi="Arial"/>
                <w:sz w:val="13"/>
                <w:szCs w:val="13"/>
                <w:b w:val="1"/>
                <w:bCs w:val="1"/>
                <w:color w:val="0000FF"/>
                <w:w w:val="94"/>
              </w:rPr>
              <w:t>FILING FORMAT</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760" w:type="dxa"/>
            <w:vAlign w:val="bottom"/>
            <w:gridSpan w:val="24"/>
          </w:tcPr>
          <w:p>
            <w:pPr>
              <w:spacing w:after="0"/>
              <w:rPr>
                <w:sz w:val="20"/>
                <w:szCs w:val="20"/>
                <w:color w:val="auto"/>
              </w:rPr>
            </w:pPr>
            <w:r>
              <w:rPr>
                <w:rFonts w:ascii="Arial" w:cs="Arial" w:eastAsia="Arial" w:hAnsi="Arial"/>
                <w:sz w:val="13"/>
                <w:szCs w:val="13"/>
                <w:b w:val="1"/>
                <w:bCs w:val="1"/>
                <w:color w:val="0000FF"/>
              </w:rPr>
              <w:t>CAUTIONARY STATEMENTS REGARDING FORWARD-LOOKING INFORMATION</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360" w:type="dxa"/>
            <w:vAlign w:val="bottom"/>
            <w:gridSpan w:val="6"/>
          </w:tcPr>
          <w:p>
            <w:pPr>
              <w:spacing w:after="0"/>
              <w:rPr>
                <w:sz w:val="20"/>
                <w:szCs w:val="20"/>
                <w:color w:val="auto"/>
              </w:rPr>
            </w:pPr>
            <w:r>
              <w:rPr>
                <w:rFonts w:ascii="Arial" w:cs="Arial" w:eastAsia="Arial" w:hAnsi="Arial"/>
                <w:sz w:val="13"/>
                <w:szCs w:val="13"/>
                <w:b w:val="1"/>
                <w:bCs w:val="1"/>
                <w:color w:val="0000FF"/>
                <w:w w:val="96"/>
              </w:rPr>
              <w:t>WHERE TO FIND MORE INFORMATION</w:t>
            </w:r>
          </w:p>
        </w:tc>
        <w:tc>
          <w:tcPr>
            <w:tcW w:w="2420" w:type="dxa"/>
            <w:vAlign w:val="bottom"/>
            <w:gridSpan w:val="12"/>
          </w:tcPr>
          <w:p>
            <w:pPr>
              <w:spacing w:after="0"/>
              <w:rPr>
                <w:sz w:val="13"/>
                <w:szCs w:val="13"/>
                <w:color w:val="auto"/>
              </w:rPr>
            </w:pPr>
          </w:p>
        </w:tc>
        <w:tc>
          <w:tcPr>
            <w:tcW w:w="4980" w:type="dxa"/>
            <w:vAlign w:val="bottom"/>
            <w:gridSpan w:val="6"/>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80" w:type="dxa"/>
            <w:vAlign w:val="bottom"/>
            <w:gridSpan w:val="2"/>
          </w:tcPr>
          <w:p>
            <w:pPr>
              <w:spacing w:after="0"/>
              <w:rPr>
                <w:sz w:val="20"/>
                <w:szCs w:val="20"/>
                <w:color w:val="auto"/>
              </w:rPr>
            </w:pPr>
            <w:r>
              <w:rPr>
                <w:rFonts w:ascii="Arial" w:cs="Arial" w:eastAsia="Arial" w:hAnsi="Arial"/>
                <w:sz w:val="13"/>
                <w:szCs w:val="13"/>
                <w:b w:val="1"/>
                <w:bCs w:val="1"/>
                <w:color w:val="0000FF"/>
              </w:rPr>
              <w:t>PART I.</w:t>
            </w:r>
          </w:p>
        </w:tc>
        <w:tc>
          <w:tcPr>
            <w:tcW w:w="460" w:type="dxa"/>
            <w:vAlign w:val="bottom"/>
          </w:tcPr>
          <w:p>
            <w:pPr>
              <w:spacing w:after="0"/>
              <w:rPr>
                <w:sz w:val="13"/>
                <w:szCs w:val="13"/>
                <w:color w:val="auto"/>
              </w:rPr>
            </w:pPr>
          </w:p>
        </w:tc>
        <w:tc>
          <w:tcPr>
            <w:tcW w:w="8320" w:type="dxa"/>
            <w:vAlign w:val="bottom"/>
            <w:gridSpan w:val="21"/>
          </w:tcPr>
          <w:p>
            <w:pPr>
              <w:spacing w:after="0"/>
              <w:rPr>
                <w:sz w:val="20"/>
                <w:szCs w:val="20"/>
                <w:color w:val="auto"/>
              </w:rPr>
            </w:pPr>
            <w:r>
              <w:rPr>
                <w:rFonts w:ascii="Arial" w:cs="Arial" w:eastAsia="Arial" w:hAnsi="Arial"/>
                <w:sz w:val="13"/>
                <w:szCs w:val="13"/>
                <w:b w:val="1"/>
                <w:bCs w:val="1"/>
                <w:color w:val="0000FF"/>
              </w:rPr>
              <w:t>FINANCIAL INFORMATION</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80" w:type="dxa"/>
            <w:vAlign w:val="bottom"/>
            <w:gridSpan w:val="2"/>
          </w:tcPr>
          <w:p>
            <w:pPr>
              <w:spacing w:after="0"/>
              <w:rPr>
                <w:sz w:val="20"/>
                <w:szCs w:val="20"/>
                <w:color w:val="auto"/>
              </w:rPr>
            </w:pPr>
            <w:r>
              <w:rPr>
                <w:rFonts w:ascii="Arial" w:cs="Arial" w:eastAsia="Arial" w:hAnsi="Arial"/>
                <w:sz w:val="13"/>
                <w:szCs w:val="13"/>
                <w:b w:val="1"/>
                <w:bCs w:val="1"/>
                <w:color w:val="0000FF"/>
              </w:rPr>
              <w:t>ITEM 1.</w:t>
            </w:r>
          </w:p>
        </w:tc>
        <w:tc>
          <w:tcPr>
            <w:tcW w:w="460" w:type="dxa"/>
            <w:vAlign w:val="bottom"/>
          </w:tcPr>
          <w:p>
            <w:pPr>
              <w:spacing w:after="0"/>
              <w:rPr>
                <w:sz w:val="13"/>
                <w:szCs w:val="13"/>
                <w:color w:val="auto"/>
              </w:rPr>
            </w:pPr>
          </w:p>
        </w:tc>
        <w:tc>
          <w:tcPr>
            <w:tcW w:w="8320" w:type="dxa"/>
            <w:vAlign w:val="bottom"/>
            <w:gridSpan w:val="21"/>
          </w:tcPr>
          <w:p>
            <w:pPr>
              <w:spacing w:after="0"/>
              <w:rPr>
                <w:sz w:val="20"/>
                <w:szCs w:val="20"/>
                <w:color w:val="auto"/>
              </w:rPr>
            </w:pPr>
            <w:r>
              <w:rPr>
                <w:rFonts w:ascii="Arial" w:cs="Arial" w:eastAsia="Arial" w:hAnsi="Arial"/>
                <w:sz w:val="13"/>
                <w:szCs w:val="13"/>
                <w:b w:val="1"/>
                <w:bCs w:val="1"/>
                <w:color w:val="0000FF"/>
              </w:rPr>
              <w:t>FINANCIAL STATEMENTS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gridSpan w:val="6"/>
          </w:tcPr>
          <w:p>
            <w:pPr>
              <w:spacing w:after="0"/>
              <w:rPr>
                <w:sz w:val="20"/>
                <w:szCs w:val="20"/>
                <w:color w:val="auto"/>
              </w:rPr>
            </w:pPr>
            <w:r>
              <w:rPr>
                <w:rFonts w:ascii="Arial" w:cs="Arial" w:eastAsia="Arial" w:hAnsi="Arial"/>
                <w:sz w:val="13"/>
                <w:szCs w:val="13"/>
                <w:b w:val="1"/>
                <w:bCs w:val="1"/>
                <w:color w:val="0000FF"/>
              </w:rPr>
              <w:t>Exelon Corporation</w:t>
            </w:r>
          </w:p>
        </w:tc>
        <w:tc>
          <w:tcPr>
            <w:tcW w:w="6760" w:type="dxa"/>
            <w:vAlign w:val="bottom"/>
            <w:gridSpan w:val="14"/>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Consolidated Statements of Operations and Comprehensive Income</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Borders>
              <w:top w:val="single" w:sz="8" w:color="0000FF"/>
            </w:tcBorders>
            <w:gridSpan w:val="11"/>
          </w:tcPr>
          <w:p>
            <w:pPr>
              <w:spacing w:after="0"/>
              <w:rPr>
                <w:sz w:val="20"/>
                <w:szCs w:val="20"/>
                <w:color w:val="auto"/>
              </w:rPr>
            </w:pPr>
            <w:r>
              <w:rPr>
                <w:rFonts w:ascii="Arial" w:cs="Arial" w:eastAsia="Arial" w:hAnsi="Arial"/>
                <w:sz w:val="13"/>
                <w:szCs w:val="13"/>
                <w:color w:val="0000FF"/>
                <w:w w:val="96"/>
              </w:rPr>
              <w:t>Consolidated Statements of Cash Flows</w:t>
            </w:r>
          </w:p>
        </w:tc>
        <w:tc>
          <w:tcPr>
            <w:tcW w:w="1580" w:type="dxa"/>
            <w:vAlign w:val="bottom"/>
            <w:tcBorders>
              <w:top w:val="single" w:sz="8" w:color="0000FF"/>
            </w:tcBorders>
            <w:gridSpan w:val="7"/>
          </w:tcPr>
          <w:p>
            <w:pPr>
              <w:spacing w:after="0"/>
              <w:rPr>
                <w:sz w:val="13"/>
                <w:szCs w:val="13"/>
                <w:color w:val="auto"/>
              </w:rPr>
            </w:pPr>
          </w:p>
        </w:tc>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top w:val="single" w:sz="8" w:color="0000FF"/>
            </w:tcBorders>
          </w:tcPr>
          <w:p>
            <w:pPr>
              <w:jc w:val="right"/>
              <w:spacing w:after="0"/>
              <w:rPr>
                <w:sz w:val="20"/>
                <w:szCs w:val="20"/>
                <w:color w:val="auto"/>
              </w:rPr>
            </w:pPr>
            <w:r>
              <w:rPr>
                <w:rFonts w:ascii="Arial" w:cs="Arial" w:eastAsia="Arial" w:hAnsi="Arial"/>
                <w:sz w:val="12"/>
                <w:szCs w:val="12"/>
                <w:color w:val="0000FF"/>
                <w:w w:val="74"/>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11"/>
          </w:tcPr>
          <w:p>
            <w:pPr>
              <w:spacing w:after="0"/>
              <w:rPr>
                <w:sz w:val="20"/>
                <w:szCs w:val="20"/>
                <w:color w:val="auto"/>
              </w:rPr>
            </w:pPr>
            <w:r>
              <w:rPr>
                <w:rFonts w:ascii="Arial" w:cs="Arial" w:eastAsia="Arial" w:hAnsi="Arial"/>
                <w:sz w:val="13"/>
                <w:szCs w:val="13"/>
                <w:color w:val="0000FF"/>
              </w:rPr>
              <w:t>Consolidated Balance Sheets</w:t>
            </w:r>
          </w:p>
        </w:tc>
        <w:tc>
          <w:tcPr>
            <w:tcW w:w="5700" w:type="dxa"/>
            <w:vAlign w:val="bottom"/>
            <w:gridSpan w:val="8"/>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60" w:type="dxa"/>
            <w:vAlign w:val="bottom"/>
            <w:tcBorders>
              <w:bottom w:val="single" w:sz="8" w:color="0000FF"/>
            </w:tcBorders>
            <w:gridSpan w:val="17"/>
          </w:tcPr>
          <w:p>
            <w:pPr>
              <w:spacing w:after="0"/>
              <w:rPr>
                <w:sz w:val="20"/>
                <w:szCs w:val="20"/>
                <w:color w:val="auto"/>
              </w:rPr>
            </w:pPr>
            <w:r>
              <w:rPr>
                <w:rFonts w:ascii="Arial" w:cs="Arial" w:eastAsia="Arial" w:hAnsi="Arial"/>
                <w:sz w:val="13"/>
                <w:szCs w:val="13"/>
                <w:color w:val="0000FF"/>
                <w:w w:val="97"/>
              </w:rPr>
              <w:t>Consolidated Statements of Changes in Shareholders’ Equity</w:t>
            </w:r>
          </w:p>
        </w:tc>
        <w:tc>
          <w:tcPr>
            <w:tcW w:w="450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2"/>
                <w:szCs w:val="12"/>
                <w:color w:val="0000FF"/>
                <w:w w:val="74"/>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160" w:type="dxa"/>
            <w:vAlign w:val="bottom"/>
            <w:gridSpan w:val="20"/>
          </w:tcPr>
          <w:p>
            <w:pPr>
              <w:spacing w:after="0"/>
              <w:rPr>
                <w:sz w:val="20"/>
                <w:szCs w:val="20"/>
                <w:color w:val="auto"/>
              </w:rPr>
            </w:pPr>
            <w:r>
              <w:rPr>
                <w:rFonts w:ascii="Arial" w:cs="Arial" w:eastAsia="Arial" w:hAnsi="Arial"/>
                <w:sz w:val="13"/>
                <w:szCs w:val="13"/>
                <w:b w:val="1"/>
                <w:bCs w:val="1"/>
                <w:color w:val="0000FF"/>
              </w:rPr>
              <w:t>Commonwealth Edison Company</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Consolidated Statements of Operations and Comprehensive Income</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3"/>
                <w:szCs w:val="13"/>
                <w:color w:val="0000FF"/>
                <w:w w:val="96"/>
              </w:rPr>
              <w:t>Consolidated Statements of Cash Flows</w:t>
            </w:r>
          </w:p>
        </w:tc>
        <w:tc>
          <w:tcPr>
            <w:tcW w:w="1580" w:type="dxa"/>
            <w:vAlign w:val="bottom"/>
            <w:tcBorders>
              <w:top w:val="single" w:sz="8" w:color="0000FF"/>
            </w:tcBorders>
            <w:gridSpan w:val="7"/>
          </w:tcPr>
          <w:p>
            <w:pPr>
              <w:spacing w:after="0"/>
              <w:rPr>
                <w:sz w:val="13"/>
                <w:szCs w:val="13"/>
                <w:color w:val="auto"/>
              </w:rPr>
            </w:pPr>
          </w:p>
        </w:tc>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2"/>
                <w:szCs w:val="12"/>
                <w:color w:val="0000FF"/>
                <w:w w:val="74"/>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Consolidated Balance Sheets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Consolidated Statements of Changes in Shareholders' Equity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160" w:type="dxa"/>
            <w:vAlign w:val="bottom"/>
            <w:gridSpan w:val="20"/>
          </w:tcPr>
          <w:p>
            <w:pPr>
              <w:spacing w:after="0"/>
              <w:rPr>
                <w:sz w:val="20"/>
                <w:szCs w:val="20"/>
                <w:color w:val="auto"/>
              </w:rPr>
            </w:pPr>
            <w:r>
              <w:rPr>
                <w:rFonts w:ascii="Arial" w:cs="Arial" w:eastAsia="Arial" w:hAnsi="Arial"/>
                <w:sz w:val="13"/>
                <w:szCs w:val="13"/>
                <w:b w:val="1"/>
                <w:bCs w:val="1"/>
                <w:color w:val="0000FF"/>
              </w:rPr>
              <w:t>PECO Energy Company</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Consolidated Statements of Operations and Comprehensive Income</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3"/>
                <w:szCs w:val="13"/>
                <w:color w:val="0000FF"/>
                <w:w w:val="96"/>
              </w:rPr>
              <w:t>Consolidated Statements of Cash Flows</w:t>
            </w:r>
          </w:p>
        </w:tc>
        <w:tc>
          <w:tcPr>
            <w:tcW w:w="1580" w:type="dxa"/>
            <w:vAlign w:val="bottom"/>
            <w:tcBorders>
              <w:top w:val="single" w:sz="8" w:color="0000FF"/>
            </w:tcBorders>
            <w:gridSpan w:val="7"/>
          </w:tcPr>
          <w:p>
            <w:pPr>
              <w:spacing w:after="0"/>
              <w:rPr>
                <w:sz w:val="13"/>
                <w:szCs w:val="13"/>
                <w:color w:val="auto"/>
              </w:rPr>
            </w:pPr>
          </w:p>
        </w:tc>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2"/>
                <w:szCs w:val="12"/>
                <w:color w:val="0000FF"/>
                <w:w w:val="74"/>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Consolidated Balance Sheets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Consolidated Statements of Changes in Shareholder's Equity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Borders>
              <w:bottom w:val="single" w:sz="8" w:color="0000FF"/>
            </w:tcBorders>
            <w:gridSpan w:val="11"/>
          </w:tcPr>
          <w:p>
            <w:pPr>
              <w:spacing w:after="0"/>
              <w:rPr>
                <w:sz w:val="20"/>
                <w:szCs w:val="20"/>
                <w:color w:val="auto"/>
              </w:rPr>
            </w:pPr>
            <w:r>
              <w:rPr>
                <w:rFonts w:ascii="Arial" w:cs="Arial" w:eastAsia="Arial" w:hAnsi="Arial"/>
                <w:sz w:val="13"/>
                <w:szCs w:val="13"/>
                <w:b w:val="1"/>
                <w:bCs w:val="1"/>
                <w:color w:val="0000FF"/>
                <w:w w:val="97"/>
              </w:rPr>
              <w:t>Baltimore Gas and Electric Company</w:t>
            </w:r>
          </w:p>
        </w:tc>
        <w:tc>
          <w:tcPr>
            <w:tcW w:w="5920" w:type="dxa"/>
            <w:vAlign w:val="bottom"/>
            <w:gridSpan w:val="9"/>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Statements of Operations and Comprehensive Income</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3"/>
                <w:szCs w:val="13"/>
                <w:color w:val="0000FF"/>
                <w:w w:val="96"/>
              </w:rPr>
              <w:t>Statements of Cash Flows</w:t>
            </w:r>
          </w:p>
        </w:tc>
        <w:tc>
          <w:tcPr>
            <w:tcW w:w="1580" w:type="dxa"/>
            <w:vAlign w:val="bottom"/>
            <w:tcBorders>
              <w:top w:val="single" w:sz="8" w:color="0000FF"/>
            </w:tcBorders>
            <w:gridSpan w:val="7"/>
          </w:tcPr>
          <w:p>
            <w:pPr>
              <w:spacing w:after="0"/>
              <w:rPr>
                <w:sz w:val="13"/>
                <w:szCs w:val="13"/>
                <w:color w:val="auto"/>
              </w:rPr>
            </w:pPr>
          </w:p>
        </w:tc>
        <w:tc>
          <w:tcPr>
            <w:tcW w:w="4900" w:type="dxa"/>
            <w:vAlign w:val="bottom"/>
            <w:gridSpan w:val="5"/>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2"/>
                <w:szCs w:val="12"/>
                <w:color w:val="0000FF"/>
                <w:w w:val="74"/>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Balance Sheets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Statements of Changes in Shareholder's Equity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620" w:type="dxa"/>
            <w:vAlign w:val="bottom"/>
            <w:gridSpan w:val="8"/>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160" w:type="dxa"/>
            <w:vAlign w:val="bottom"/>
            <w:gridSpan w:val="20"/>
          </w:tcPr>
          <w:p>
            <w:pPr>
              <w:spacing w:after="0"/>
              <w:rPr>
                <w:sz w:val="20"/>
                <w:szCs w:val="20"/>
                <w:color w:val="auto"/>
              </w:rPr>
            </w:pPr>
            <w:r>
              <w:rPr>
                <w:rFonts w:ascii="Arial" w:cs="Arial" w:eastAsia="Arial" w:hAnsi="Arial"/>
                <w:sz w:val="13"/>
                <w:szCs w:val="13"/>
                <w:b w:val="1"/>
                <w:bCs w:val="1"/>
                <w:color w:val="0000FF"/>
              </w:rPr>
              <w:t>Pepco Holdings LLC</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Consolidated Statements of Operations and Comprehensive Income</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3"/>
                <w:szCs w:val="13"/>
                <w:color w:val="0000FF"/>
                <w:w w:val="96"/>
              </w:rPr>
              <w:t>Consolidated Statements of Cash Flows</w:t>
            </w:r>
          </w:p>
        </w:tc>
        <w:tc>
          <w:tcPr>
            <w:tcW w:w="1580" w:type="dxa"/>
            <w:vAlign w:val="bottom"/>
            <w:tcBorders>
              <w:top w:val="single" w:sz="8" w:color="0000FF"/>
            </w:tcBorders>
            <w:gridSpan w:val="7"/>
          </w:tcPr>
          <w:p>
            <w:pPr>
              <w:spacing w:after="0"/>
              <w:rPr>
                <w:sz w:val="13"/>
                <w:szCs w:val="13"/>
                <w:color w:val="auto"/>
              </w:rPr>
            </w:pPr>
          </w:p>
        </w:tc>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2"/>
                <w:szCs w:val="12"/>
                <w:color w:val="0000FF"/>
                <w:w w:val="74"/>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19"/>
          </w:tcPr>
          <w:p>
            <w:pPr>
              <w:spacing w:after="0"/>
              <w:rPr>
                <w:sz w:val="20"/>
                <w:szCs w:val="20"/>
                <w:color w:val="auto"/>
              </w:rPr>
            </w:pPr>
            <w:r>
              <w:rPr>
                <w:rFonts w:ascii="Arial" w:cs="Arial" w:eastAsia="Arial" w:hAnsi="Arial"/>
                <w:sz w:val="13"/>
                <w:szCs w:val="13"/>
                <w:color w:val="0000FF"/>
              </w:rPr>
              <w:t>Consolidated Balance Sheets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tcBorders>
              <w:bottom w:val="single" w:sz="8" w:color="0000FF"/>
            </w:tcBorders>
            <w:gridSpan w:val="15"/>
          </w:tcPr>
          <w:p>
            <w:pPr>
              <w:spacing w:after="0"/>
              <w:rPr>
                <w:sz w:val="20"/>
                <w:szCs w:val="20"/>
                <w:color w:val="auto"/>
              </w:rPr>
            </w:pPr>
            <w:r>
              <w:rPr>
                <w:rFonts w:ascii="Arial" w:cs="Arial" w:eastAsia="Arial" w:hAnsi="Arial"/>
                <w:sz w:val="13"/>
                <w:szCs w:val="13"/>
                <w:color w:val="0000FF"/>
                <w:w w:val="97"/>
              </w:rPr>
              <w:t>Consolidated Statements of Changes in Member's Equity</w:t>
            </w:r>
          </w:p>
        </w:tc>
        <w:tc>
          <w:tcPr>
            <w:tcW w:w="4740" w:type="dxa"/>
            <w:vAlign w:val="bottom"/>
            <w:gridSpan w:val="4"/>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2"/>
                <w:szCs w:val="12"/>
                <w:color w:val="0000FF"/>
                <w:w w:val="74"/>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419735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71" w:right="319" w:bottom="1440" w:gutter="0" w:footer="0" w:header="0"/>
        </w:sectPr>
      </w:pPr>
    </w:p>
    <w:bookmarkStart w:id="3" w:name="page4"/>
    <w:bookmarkEnd w:id="3"/>
    <w:tbl>
      <w:tblPr>
        <w:tblLayout w:type="fixed"/>
        <w:tblInd w:w="480" w:type="dxa"/>
        <w:tblCellMar>
          <w:top w:w="0" w:type="dxa"/>
          <w:left w:w="0" w:type="dxa"/>
          <w:bottom w:w="0" w:type="dxa"/>
          <w:right w:w="0" w:type="dxa"/>
        </w:tblCellMar>
      </w:tblPr>
      <w:tr>
        <w:trPr>
          <w:trHeight w:val="170"/>
        </w:trPr>
        <w:tc>
          <w:tcPr>
            <w:tcW w:w="8160" w:type="dxa"/>
            <w:vAlign w:val="bottom"/>
            <w:gridSpan w:val="24"/>
            <w:vMerge w:val="restart"/>
          </w:tcPr>
          <w:p>
            <w:pPr>
              <w:spacing w:after="0"/>
              <w:rPr>
                <w:sz w:val="20"/>
                <w:szCs w:val="20"/>
                <w:color w:val="auto"/>
              </w:rPr>
            </w:pPr>
            <w:r>
              <w:rPr>
                <w:rFonts w:ascii="Arial" w:cs="Arial" w:eastAsia="Arial" w:hAnsi="Arial"/>
                <w:sz w:val="13"/>
                <w:szCs w:val="13"/>
                <w:b w:val="1"/>
                <w:bCs w:val="1"/>
                <w:color w:val="0000FF"/>
              </w:rPr>
              <w:t>Potomac Electric Power Company</w:t>
            </w:r>
          </w:p>
        </w:tc>
        <w:tc>
          <w:tcPr>
            <w:tcW w:w="150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Page No.</w:t>
            </w:r>
          </w:p>
        </w:tc>
        <w:tc>
          <w:tcPr>
            <w:tcW w:w="0" w:type="dxa"/>
            <w:vAlign w:val="bottom"/>
          </w:tcPr>
          <w:p>
            <w:pPr>
              <w:spacing w:after="0"/>
              <w:rPr>
                <w:sz w:val="1"/>
                <w:szCs w:val="1"/>
                <w:color w:val="auto"/>
              </w:rPr>
            </w:pPr>
          </w:p>
        </w:tc>
      </w:tr>
      <w:tr>
        <w:trPr>
          <w:trHeight w:val="118"/>
        </w:trPr>
        <w:tc>
          <w:tcPr>
            <w:tcW w:w="8160" w:type="dxa"/>
            <w:vAlign w:val="bottom"/>
            <w:gridSpan w:val="24"/>
            <w:vMerge w:val="continue"/>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Statements of Operations and Comprehensive Income</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3"/>
                <w:szCs w:val="13"/>
                <w:color w:val="0000FF"/>
                <w:w w:val="96"/>
              </w:rPr>
              <w:t>Statements of Cash Flows</w:t>
            </w:r>
          </w:p>
        </w:tc>
        <w:tc>
          <w:tcPr>
            <w:tcW w:w="1580" w:type="dxa"/>
            <w:vAlign w:val="bottom"/>
            <w:tcBorders>
              <w:top w:val="single" w:sz="8" w:color="0000FF"/>
            </w:tcBorders>
            <w:gridSpan w:val="11"/>
          </w:tcPr>
          <w:p>
            <w:pPr>
              <w:spacing w:after="0"/>
              <w:rPr>
                <w:sz w:val="13"/>
                <w:szCs w:val="13"/>
                <w:color w:val="auto"/>
              </w:rPr>
            </w:pPr>
          </w:p>
        </w:tc>
        <w:tc>
          <w:tcPr>
            <w:tcW w:w="4900" w:type="dxa"/>
            <w:vAlign w:val="bottom"/>
            <w:gridSpan w:val="5"/>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Balance Sheets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Statements of Changes in Shareholder's Equity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60" w:type="dxa"/>
            <w:vAlign w:val="bottom"/>
            <w:gridSpan w:val="24"/>
          </w:tcPr>
          <w:p>
            <w:pPr>
              <w:spacing w:after="0"/>
              <w:rPr>
                <w:sz w:val="20"/>
                <w:szCs w:val="20"/>
                <w:color w:val="auto"/>
              </w:rPr>
            </w:pPr>
            <w:r>
              <w:rPr>
                <w:rFonts w:ascii="Arial" w:cs="Arial" w:eastAsia="Arial" w:hAnsi="Arial"/>
                <w:sz w:val="13"/>
                <w:szCs w:val="13"/>
                <w:b w:val="1"/>
                <w:bCs w:val="1"/>
                <w:color w:val="0000FF"/>
              </w:rPr>
              <w:t>Delmarva Power &amp; Light Company</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Statements of Operations and Comprehensive Income</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3"/>
                <w:szCs w:val="13"/>
                <w:color w:val="0000FF"/>
                <w:w w:val="96"/>
              </w:rPr>
              <w:t>Statements of Cash Flows</w:t>
            </w:r>
          </w:p>
        </w:tc>
        <w:tc>
          <w:tcPr>
            <w:tcW w:w="1580" w:type="dxa"/>
            <w:vAlign w:val="bottom"/>
            <w:tcBorders>
              <w:top w:val="single" w:sz="8" w:color="0000FF"/>
            </w:tcBorders>
            <w:gridSpan w:val="11"/>
          </w:tcPr>
          <w:p>
            <w:pPr>
              <w:spacing w:after="0"/>
              <w:rPr>
                <w:sz w:val="13"/>
                <w:szCs w:val="13"/>
                <w:color w:val="auto"/>
              </w:rPr>
            </w:pPr>
          </w:p>
        </w:tc>
        <w:tc>
          <w:tcPr>
            <w:tcW w:w="4900" w:type="dxa"/>
            <w:vAlign w:val="bottom"/>
            <w:gridSpan w:val="5"/>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Balance Sheets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Statements of Changes in Shareholder’s Equity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86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b w:val="1"/>
                <w:bCs w:val="1"/>
                <w:color w:val="0000FF"/>
                <w:w w:val="97"/>
              </w:rPr>
              <w:t>Atlantic City Electric Company</w:t>
            </w:r>
          </w:p>
        </w:tc>
        <w:tc>
          <w:tcPr>
            <w:tcW w:w="6300" w:type="dxa"/>
            <w:vAlign w:val="bottom"/>
            <w:gridSpan w:val="15"/>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Consolidated Statements of Operations and Comprehensive Income</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3"/>
                <w:szCs w:val="13"/>
                <w:color w:val="0000FF"/>
                <w:w w:val="96"/>
              </w:rPr>
              <w:t>Consolidated Statements of Cash Flows</w:t>
            </w:r>
          </w:p>
        </w:tc>
        <w:tc>
          <w:tcPr>
            <w:tcW w:w="1580" w:type="dxa"/>
            <w:vAlign w:val="bottom"/>
            <w:tcBorders>
              <w:top w:val="single" w:sz="8" w:color="0000FF"/>
            </w:tcBorders>
            <w:gridSpan w:val="8"/>
          </w:tcPr>
          <w:p>
            <w:pPr>
              <w:spacing w:after="0"/>
              <w:rPr>
                <w:sz w:val="13"/>
                <w:szCs w:val="13"/>
                <w:color w:val="auto"/>
              </w:rPr>
            </w:pPr>
          </w:p>
        </w:tc>
        <w:tc>
          <w:tcPr>
            <w:tcW w:w="4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Consolidated Balance Sheets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Consolidated Statements of Changes in Shareholder’s Equity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320" w:type="dxa"/>
            <w:vAlign w:val="bottom"/>
            <w:tcBorders>
              <w:bottom w:val="single" w:sz="8" w:color="0000FF"/>
            </w:tcBorders>
            <w:gridSpan w:val="20"/>
          </w:tcPr>
          <w:p>
            <w:pPr>
              <w:spacing w:after="0"/>
              <w:rPr>
                <w:sz w:val="20"/>
                <w:szCs w:val="20"/>
                <w:color w:val="auto"/>
              </w:rPr>
            </w:pPr>
            <w:r>
              <w:rPr>
                <w:rFonts w:ascii="Arial" w:cs="Arial" w:eastAsia="Arial" w:hAnsi="Arial"/>
                <w:sz w:val="13"/>
                <w:szCs w:val="13"/>
                <w:b w:val="1"/>
                <w:bCs w:val="1"/>
                <w:color w:val="0000FF"/>
                <w:w w:val="97"/>
              </w:rPr>
              <w:t>Combined Notes to Consolidated Financial Statements</w:t>
            </w:r>
          </w:p>
        </w:tc>
        <w:tc>
          <w:tcPr>
            <w:tcW w:w="4840" w:type="dxa"/>
            <w:vAlign w:val="bottom"/>
            <w:gridSpan w:val="4"/>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0" w:type="dxa"/>
            <w:vAlign w:val="bottom"/>
            <w:gridSpan w:val="2"/>
          </w:tcPr>
          <w:p>
            <w:pPr>
              <w:ind w:left="200"/>
              <w:spacing w:after="0"/>
              <w:rPr>
                <w:sz w:val="20"/>
                <w:szCs w:val="20"/>
                <w:color w:val="auto"/>
              </w:rPr>
            </w:pPr>
            <w:r>
              <w:rPr>
                <w:rFonts w:ascii="Arial" w:cs="Arial" w:eastAsia="Arial" w:hAnsi="Arial"/>
                <w:sz w:val="13"/>
                <w:szCs w:val="13"/>
                <w:color w:val="0000FF"/>
                <w:w w:val="91"/>
              </w:rPr>
              <w:t>1.</w:t>
            </w:r>
          </w:p>
        </w:tc>
        <w:tc>
          <w:tcPr>
            <w:tcW w:w="7840" w:type="dxa"/>
            <w:vAlign w:val="bottom"/>
            <w:gridSpan w:val="22"/>
          </w:tcPr>
          <w:p>
            <w:pPr>
              <w:ind w:left="20"/>
              <w:spacing w:after="0"/>
              <w:rPr>
                <w:sz w:val="20"/>
                <w:szCs w:val="20"/>
                <w:color w:val="auto"/>
              </w:rPr>
            </w:pPr>
            <w:r>
              <w:rPr>
                <w:rFonts w:ascii="Arial" w:cs="Arial" w:eastAsia="Arial" w:hAnsi="Arial"/>
                <w:sz w:val="13"/>
                <w:szCs w:val="13"/>
                <w:color w:val="0000FF"/>
              </w:rPr>
              <w:t>Significant Accounting Policies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 w:type="dxa"/>
            <w:vAlign w:val="bottom"/>
            <w:gridSpan w:val="2"/>
          </w:tcPr>
          <w:p>
            <w:pPr>
              <w:ind w:left="200"/>
              <w:spacing w:after="0"/>
              <w:rPr>
                <w:sz w:val="20"/>
                <w:szCs w:val="20"/>
                <w:color w:val="auto"/>
              </w:rPr>
            </w:pPr>
            <w:r>
              <w:rPr>
                <w:rFonts w:ascii="Arial" w:cs="Arial" w:eastAsia="Arial" w:hAnsi="Arial"/>
                <w:sz w:val="13"/>
                <w:szCs w:val="13"/>
                <w:color w:val="0000FF"/>
                <w:w w:val="91"/>
              </w:rPr>
              <w:t>2.</w:t>
            </w:r>
          </w:p>
        </w:tc>
        <w:tc>
          <w:tcPr>
            <w:tcW w:w="7840" w:type="dxa"/>
            <w:vAlign w:val="bottom"/>
            <w:gridSpan w:val="22"/>
          </w:tcPr>
          <w:p>
            <w:pPr>
              <w:ind w:left="20"/>
              <w:spacing w:after="0"/>
              <w:rPr>
                <w:sz w:val="20"/>
                <w:szCs w:val="20"/>
                <w:color w:val="auto"/>
              </w:rPr>
            </w:pPr>
            <w:r>
              <w:rPr>
                <w:rFonts w:ascii="Arial" w:cs="Arial" w:eastAsia="Arial" w:hAnsi="Arial"/>
                <w:sz w:val="13"/>
                <w:szCs w:val="13"/>
                <w:color w:val="0000FF"/>
              </w:rPr>
              <w:t>Regulatory Matters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 w:type="dxa"/>
            <w:vAlign w:val="bottom"/>
            <w:gridSpan w:val="2"/>
          </w:tcPr>
          <w:p>
            <w:pPr>
              <w:ind w:left="200"/>
              <w:spacing w:after="0"/>
              <w:rPr>
                <w:sz w:val="20"/>
                <w:szCs w:val="20"/>
                <w:color w:val="auto"/>
              </w:rPr>
            </w:pPr>
            <w:r>
              <w:rPr>
                <w:rFonts w:ascii="Arial" w:cs="Arial" w:eastAsia="Arial" w:hAnsi="Arial"/>
                <w:sz w:val="13"/>
                <w:szCs w:val="13"/>
                <w:color w:val="0000FF"/>
                <w:w w:val="91"/>
              </w:rPr>
              <w:t>3.</w:t>
            </w:r>
          </w:p>
        </w:tc>
        <w:tc>
          <w:tcPr>
            <w:tcW w:w="7840" w:type="dxa"/>
            <w:vAlign w:val="bottom"/>
            <w:gridSpan w:val="22"/>
          </w:tcPr>
          <w:p>
            <w:pPr>
              <w:ind w:left="20"/>
              <w:spacing w:after="0"/>
              <w:rPr>
                <w:sz w:val="20"/>
                <w:szCs w:val="20"/>
                <w:color w:val="auto"/>
              </w:rPr>
            </w:pPr>
            <w:r>
              <w:rPr>
                <w:rFonts w:ascii="Arial" w:cs="Arial" w:eastAsia="Arial" w:hAnsi="Arial"/>
                <w:sz w:val="13"/>
                <w:szCs w:val="13"/>
                <w:color w:val="0000FF"/>
              </w:rPr>
              <w:t>Revenue from Contracts with Customers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 w:type="dxa"/>
            <w:vAlign w:val="bottom"/>
            <w:gridSpan w:val="2"/>
          </w:tcPr>
          <w:p>
            <w:pPr>
              <w:ind w:left="200"/>
              <w:spacing w:after="0"/>
              <w:rPr>
                <w:sz w:val="20"/>
                <w:szCs w:val="20"/>
                <w:color w:val="auto"/>
              </w:rPr>
            </w:pPr>
            <w:r>
              <w:rPr>
                <w:rFonts w:ascii="Arial" w:cs="Arial" w:eastAsia="Arial" w:hAnsi="Arial"/>
                <w:sz w:val="13"/>
                <w:szCs w:val="13"/>
                <w:color w:val="0000FF"/>
                <w:w w:val="91"/>
              </w:rPr>
              <w:t>4.</w:t>
            </w:r>
          </w:p>
        </w:tc>
        <w:tc>
          <w:tcPr>
            <w:tcW w:w="7840" w:type="dxa"/>
            <w:vAlign w:val="bottom"/>
            <w:gridSpan w:val="22"/>
          </w:tcPr>
          <w:p>
            <w:pPr>
              <w:ind w:left="20"/>
              <w:spacing w:after="0"/>
              <w:rPr>
                <w:sz w:val="20"/>
                <w:szCs w:val="20"/>
                <w:color w:val="auto"/>
              </w:rPr>
            </w:pPr>
            <w:r>
              <w:rPr>
                <w:rFonts w:ascii="Arial" w:cs="Arial" w:eastAsia="Arial" w:hAnsi="Arial"/>
                <w:sz w:val="13"/>
                <w:szCs w:val="13"/>
                <w:color w:val="0000FF"/>
              </w:rPr>
              <w:t>Segment Information</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 w:type="dxa"/>
            <w:vAlign w:val="bottom"/>
            <w:gridSpan w:val="2"/>
          </w:tcPr>
          <w:p>
            <w:pPr>
              <w:ind w:left="200"/>
              <w:spacing w:after="0"/>
              <w:rPr>
                <w:sz w:val="20"/>
                <w:szCs w:val="20"/>
                <w:color w:val="auto"/>
              </w:rPr>
            </w:pPr>
            <w:r>
              <w:rPr>
                <w:rFonts w:ascii="Arial" w:cs="Arial" w:eastAsia="Arial" w:hAnsi="Arial"/>
                <w:sz w:val="13"/>
                <w:szCs w:val="13"/>
                <w:color w:val="0000FF"/>
                <w:w w:val="91"/>
              </w:rPr>
              <w:t>5.</w:t>
            </w:r>
          </w:p>
        </w:tc>
        <w:tc>
          <w:tcPr>
            <w:tcW w:w="7840" w:type="dxa"/>
            <w:vAlign w:val="bottom"/>
            <w:gridSpan w:val="22"/>
          </w:tcPr>
          <w:p>
            <w:pPr>
              <w:ind w:left="20"/>
              <w:spacing w:after="0"/>
              <w:rPr>
                <w:sz w:val="20"/>
                <w:szCs w:val="20"/>
                <w:color w:val="auto"/>
              </w:rPr>
            </w:pPr>
            <w:r>
              <w:rPr>
                <w:rFonts w:ascii="Arial" w:cs="Arial" w:eastAsia="Arial" w:hAnsi="Arial"/>
                <w:sz w:val="13"/>
                <w:szCs w:val="13"/>
                <w:color w:val="0000FF"/>
              </w:rPr>
              <w:t>Accounts Receivable</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 w:type="dxa"/>
            <w:vAlign w:val="bottom"/>
            <w:gridSpan w:val="2"/>
          </w:tcPr>
          <w:p>
            <w:pPr>
              <w:ind w:left="200"/>
              <w:spacing w:after="0"/>
              <w:rPr>
                <w:sz w:val="20"/>
                <w:szCs w:val="20"/>
                <w:color w:val="auto"/>
              </w:rPr>
            </w:pPr>
            <w:r>
              <w:rPr>
                <w:rFonts w:ascii="Arial" w:cs="Arial" w:eastAsia="Arial" w:hAnsi="Arial"/>
                <w:sz w:val="13"/>
                <w:szCs w:val="13"/>
                <w:color w:val="0000FF"/>
                <w:w w:val="91"/>
              </w:rPr>
              <w:t>6.</w:t>
            </w:r>
          </w:p>
        </w:tc>
        <w:tc>
          <w:tcPr>
            <w:tcW w:w="7840" w:type="dxa"/>
            <w:vAlign w:val="bottom"/>
            <w:gridSpan w:val="22"/>
          </w:tcPr>
          <w:p>
            <w:pPr>
              <w:ind w:left="20"/>
              <w:spacing w:after="0"/>
              <w:rPr>
                <w:sz w:val="20"/>
                <w:szCs w:val="20"/>
                <w:color w:val="auto"/>
              </w:rPr>
            </w:pPr>
            <w:r>
              <w:rPr>
                <w:rFonts w:ascii="Arial" w:cs="Arial" w:eastAsia="Arial" w:hAnsi="Arial"/>
                <w:sz w:val="13"/>
                <w:szCs w:val="13"/>
                <w:color w:val="0000FF"/>
              </w:rPr>
              <w:t>Income Taxes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 w:type="dxa"/>
            <w:vAlign w:val="bottom"/>
            <w:gridSpan w:val="2"/>
          </w:tcPr>
          <w:p>
            <w:pPr>
              <w:ind w:left="200"/>
              <w:spacing w:after="0"/>
              <w:rPr>
                <w:sz w:val="20"/>
                <w:szCs w:val="20"/>
                <w:color w:val="auto"/>
              </w:rPr>
            </w:pPr>
            <w:r>
              <w:rPr>
                <w:rFonts w:ascii="Arial" w:cs="Arial" w:eastAsia="Arial" w:hAnsi="Arial"/>
                <w:sz w:val="13"/>
                <w:szCs w:val="13"/>
                <w:color w:val="0000FF"/>
                <w:w w:val="91"/>
              </w:rPr>
              <w:t>7.</w:t>
            </w:r>
          </w:p>
        </w:tc>
        <w:tc>
          <w:tcPr>
            <w:tcW w:w="7840" w:type="dxa"/>
            <w:vAlign w:val="bottom"/>
            <w:gridSpan w:val="22"/>
          </w:tcPr>
          <w:p>
            <w:pPr>
              <w:ind w:left="20"/>
              <w:spacing w:after="0"/>
              <w:rPr>
                <w:sz w:val="20"/>
                <w:szCs w:val="20"/>
                <w:color w:val="auto"/>
              </w:rPr>
            </w:pPr>
            <w:r>
              <w:rPr>
                <w:rFonts w:ascii="Arial" w:cs="Arial" w:eastAsia="Arial" w:hAnsi="Arial"/>
                <w:sz w:val="13"/>
                <w:szCs w:val="13"/>
                <w:color w:val="0000FF"/>
              </w:rPr>
              <w:t>Retirement Benefits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 w:type="dxa"/>
            <w:vAlign w:val="bottom"/>
            <w:gridSpan w:val="2"/>
          </w:tcPr>
          <w:p>
            <w:pPr>
              <w:ind w:left="200"/>
              <w:spacing w:after="0"/>
              <w:rPr>
                <w:sz w:val="20"/>
                <w:szCs w:val="20"/>
                <w:color w:val="auto"/>
              </w:rPr>
            </w:pPr>
            <w:r>
              <w:rPr>
                <w:rFonts w:ascii="Arial" w:cs="Arial" w:eastAsia="Arial" w:hAnsi="Arial"/>
                <w:sz w:val="13"/>
                <w:szCs w:val="13"/>
                <w:color w:val="0000FF"/>
                <w:w w:val="91"/>
              </w:rPr>
              <w:t>8.</w:t>
            </w:r>
          </w:p>
        </w:tc>
        <w:tc>
          <w:tcPr>
            <w:tcW w:w="7840" w:type="dxa"/>
            <w:vAlign w:val="bottom"/>
            <w:gridSpan w:val="22"/>
          </w:tcPr>
          <w:p>
            <w:pPr>
              <w:ind w:left="20"/>
              <w:spacing w:after="0"/>
              <w:rPr>
                <w:sz w:val="20"/>
                <w:szCs w:val="20"/>
                <w:color w:val="auto"/>
              </w:rPr>
            </w:pPr>
            <w:r>
              <w:rPr>
                <w:rFonts w:ascii="Arial" w:cs="Arial" w:eastAsia="Arial" w:hAnsi="Arial"/>
                <w:sz w:val="13"/>
                <w:szCs w:val="13"/>
                <w:color w:val="0000FF"/>
              </w:rPr>
              <w:t>Derivative Financial Instruments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 w:type="dxa"/>
            <w:vAlign w:val="bottom"/>
            <w:gridSpan w:val="2"/>
          </w:tcPr>
          <w:p>
            <w:pPr>
              <w:ind w:left="200"/>
              <w:spacing w:after="0"/>
              <w:rPr>
                <w:sz w:val="20"/>
                <w:szCs w:val="20"/>
                <w:color w:val="auto"/>
              </w:rPr>
            </w:pPr>
            <w:r>
              <w:rPr>
                <w:rFonts w:ascii="Arial" w:cs="Arial" w:eastAsia="Arial" w:hAnsi="Arial"/>
                <w:sz w:val="13"/>
                <w:szCs w:val="13"/>
                <w:color w:val="0000FF"/>
                <w:w w:val="91"/>
              </w:rPr>
              <w:t>9.</w:t>
            </w:r>
          </w:p>
        </w:tc>
        <w:tc>
          <w:tcPr>
            <w:tcW w:w="7840" w:type="dxa"/>
            <w:vAlign w:val="bottom"/>
            <w:gridSpan w:val="22"/>
          </w:tcPr>
          <w:p>
            <w:pPr>
              <w:ind w:left="20"/>
              <w:spacing w:after="0"/>
              <w:rPr>
                <w:sz w:val="20"/>
                <w:szCs w:val="20"/>
                <w:color w:val="auto"/>
              </w:rPr>
            </w:pPr>
            <w:r>
              <w:rPr>
                <w:rFonts w:ascii="Arial" w:cs="Arial" w:eastAsia="Arial" w:hAnsi="Arial"/>
                <w:sz w:val="13"/>
                <w:szCs w:val="13"/>
                <w:color w:val="0000FF"/>
              </w:rPr>
              <w:t>Debt and Credit Agreements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 w:type="dxa"/>
            <w:vAlign w:val="bottom"/>
          </w:tcPr>
          <w:p>
            <w:pPr>
              <w:spacing w:after="0"/>
              <w:rPr>
                <w:sz w:val="13"/>
                <w:szCs w:val="13"/>
                <w:color w:val="auto"/>
              </w:rPr>
            </w:pPr>
          </w:p>
        </w:tc>
        <w:tc>
          <w:tcPr>
            <w:tcW w:w="7960" w:type="dxa"/>
            <w:vAlign w:val="bottom"/>
            <w:gridSpan w:val="23"/>
          </w:tcPr>
          <w:p>
            <w:pPr>
              <w:spacing w:after="0"/>
              <w:rPr>
                <w:sz w:val="20"/>
                <w:szCs w:val="20"/>
                <w:color w:val="auto"/>
              </w:rPr>
            </w:pPr>
            <w:r>
              <w:rPr>
                <w:rFonts w:ascii="Arial" w:cs="Arial" w:eastAsia="Arial" w:hAnsi="Arial"/>
                <w:sz w:val="13"/>
                <w:szCs w:val="13"/>
                <w:color w:val="0000FF"/>
              </w:rPr>
              <w:t>10. Fair Value of Financial Assets and Liabilities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3"/>
                <w:szCs w:val="13"/>
                <w:color w:val="0000FF"/>
                <w:w w:val="96"/>
              </w:rPr>
              <w:t>11. Commitments and Contingencies</w:t>
            </w:r>
          </w:p>
        </w:tc>
        <w:tc>
          <w:tcPr>
            <w:tcW w:w="600" w:type="dxa"/>
            <w:vAlign w:val="bottom"/>
            <w:tcBorders>
              <w:top w:val="single" w:sz="8" w:color="0000FF"/>
            </w:tcBorders>
            <w:gridSpan w:val="5"/>
          </w:tcPr>
          <w:p>
            <w:pPr>
              <w:spacing w:after="0"/>
              <w:rPr>
                <w:sz w:val="13"/>
                <w:szCs w:val="13"/>
                <w:color w:val="auto"/>
              </w:rPr>
            </w:pPr>
          </w:p>
        </w:tc>
        <w:tc>
          <w:tcPr>
            <w:tcW w:w="5280" w:type="dxa"/>
            <w:vAlign w:val="bottom"/>
            <w:gridSpan w:val="6"/>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13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6"/>
              </w:rPr>
              <w:t>12. Shareholders' Equity</w:t>
            </w:r>
          </w:p>
        </w:tc>
        <w:tc>
          <w:tcPr>
            <w:tcW w:w="6580" w:type="dxa"/>
            <w:vAlign w:val="bottom"/>
            <w:gridSpan w:val="17"/>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3360" w:type="dxa"/>
            <w:vAlign w:val="bottom"/>
            <w:tcBorders>
              <w:bottom w:val="single" w:sz="8" w:color="0000FF"/>
            </w:tcBorders>
            <w:gridSpan w:val="20"/>
          </w:tcPr>
          <w:p>
            <w:pPr>
              <w:spacing w:after="0"/>
              <w:rPr>
                <w:sz w:val="20"/>
                <w:szCs w:val="20"/>
                <w:color w:val="auto"/>
              </w:rPr>
            </w:pPr>
            <w:r>
              <w:rPr>
                <w:rFonts w:ascii="Arial" w:cs="Arial" w:eastAsia="Arial" w:hAnsi="Arial"/>
                <w:sz w:val="13"/>
                <w:szCs w:val="13"/>
                <w:color w:val="0000FF"/>
                <w:w w:val="97"/>
              </w:rPr>
              <w:t>13. Changes in Accumulated Other Comprehensive Income</w:t>
            </w:r>
          </w:p>
        </w:tc>
        <w:tc>
          <w:tcPr>
            <w:tcW w:w="460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2200" w:type="dxa"/>
            <w:vAlign w:val="bottom"/>
            <w:tcBorders>
              <w:bottom w:val="single" w:sz="8" w:color="0000FF"/>
            </w:tcBorders>
            <w:gridSpan w:val="13"/>
          </w:tcPr>
          <w:p>
            <w:pPr>
              <w:spacing w:after="0"/>
              <w:rPr>
                <w:sz w:val="20"/>
                <w:szCs w:val="20"/>
                <w:color w:val="auto"/>
              </w:rPr>
            </w:pPr>
            <w:r>
              <w:rPr>
                <w:rFonts w:ascii="Arial" w:cs="Arial" w:eastAsia="Arial" w:hAnsi="Arial"/>
                <w:sz w:val="13"/>
                <w:szCs w:val="13"/>
                <w:color w:val="0000FF"/>
                <w:w w:val="96"/>
              </w:rPr>
              <w:t>14. Supplemental Financial Information</w:t>
            </w:r>
          </w:p>
        </w:tc>
        <w:tc>
          <w:tcPr>
            <w:tcW w:w="5760" w:type="dxa"/>
            <w:vAlign w:val="bottom"/>
            <w:gridSpan w:val="10"/>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174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6"/>
              </w:rPr>
              <w:t>15. Related Party Transactions</w:t>
            </w:r>
          </w:p>
        </w:tc>
        <w:tc>
          <w:tcPr>
            <w:tcW w:w="6220" w:type="dxa"/>
            <w:vAlign w:val="bottom"/>
            <w:gridSpan w:val="14"/>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419735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40"/>
          </w:cols>
          <w:pgMar w:left="1440" w:top="130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440" w:type="dxa"/>
            <w:vAlign w:val="bottom"/>
            <w:gridSpan w:val="5"/>
            <w:vMerge w:val="restart"/>
          </w:tcPr>
          <w:p>
            <w:pPr>
              <w:spacing w:after="0"/>
              <w:rPr>
                <w:sz w:val="20"/>
                <w:szCs w:val="20"/>
                <w:color w:val="auto"/>
              </w:rPr>
            </w:pPr>
            <w:r>
              <w:rPr>
                <w:rFonts w:ascii="Arial" w:cs="Arial" w:eastAsia="Arial" w:hAnsi="Arial"/>
                <w:sz w:val="13"/>
                <w:szCs w:val="13"/>
                <w:b w:val="1"/>
                <w:bCs w:val="1"/>
                <w:color w:val="0000FF"/>
              </w:rPr>
              <w:t>ITEM 2.</w:t>
            </w:r>
          </w:p>
        </w:tc>
        <w:tc>
          <w:tcPr>
            <w:tcW w:w="8320" w:type="dxa"/>
            <w:vAlign w:val="bottom"/>
            <w:gridSpan w:val="24"/>
            <w:vMerge w:val="restart"/>
          </w:tcPr>
          <w:p>
            <w:pPr>
              <w:spacing w:after="0"/>
              <w:rPr>
                <w:sz w:val="20"/>
                <w:szCs w:val="20"/>
                <w:color w:val="auto"/>
              </w:rPr>
            </w:pPr>
            <w:r>
              <w:rPr>
                <w:rFonts w:ascii="Arial" w:cs="Arial" w:eastAsia="Arial" w:hAnsi="Arial"/>
                <w:sz w:val="13"/>
                <w:szCs w:val="13"/>
                <w:b w:val="1"/>
                <w:bCs w:val="1"/>
                <w:color w:val="0000FF"/>
              </w:rPr>
              <w:t>MANAGEMENT’S DISCUSSION AND ANALYSIS OF FINANCIAL CONDITION AND RESULTS OF OPERATIONS</w:t>
            </w:r>
          </w:p>
        </w:tc>
        <w:tc>
          <w:tcPr>
            <w:tcW w:w="150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Page No.</w:t>
            </w:r>
          </w:p>
        </w:tc>
        <w:tc>
          <w:tcPr>
            <w:tcW w:w="0" w:type="dxa"/>
            <w:vAlign w:val="bottom"/>
          </w:tcPr>
          <w:p>
            <w:pPr>
              <w:spacing w:after="0"/>
              <w:rPr>
                <w:sz w:val="1"/>
                <w:szCs w:val="1"/>
                <w:color w:val="auto"/>
              </w:rPr>
            </w:pPr>
          </w:p>
        </w:tc>
      </w:tr>
      <w:tr>
        <w:trPr>
          <w:trHeight w:val="119"/>
        </w:trPr>
        <w:tc>
          <w:tcPr>
            <w:tcW w:w="1440" w:type="dxa"/>
            <w:vAlign w:val="bottom"/>
            <w:gridSpan w:val="5"/>
            <w:vMerge w:val="continue"/>
          </w:tcPr>
          <w:p>
            <w:pPr>
              <w:spacing w:after="0"/>
              <w:rPr>
                <w:sz w:val="10"/>
                <w:szCs w:val="10"/>
                <w:color w:val="auto"/>
              </w:rPr>
            </w:pPr>
          </w:p>
        </w:tc>
        <w:tc>
          <w:tcPr>
            <w:tcW w:w="8320" w:type="dxa"/>
            <w:vAlign w:val="bottom"/>
            <w:gridSpan w:val="24"/>
            <w:vMerge w:val="continue"/>
          </w:tcPr>
          <w:p>
            <w:pPr>
              <w:spacing w:after="0"/>
              <w:rPr>
                <w:sz w:val="10"/>
                <w:szCs w:val="10"/>
                <w:color w:val="auto"/>
              </w:rPr>
            </w:pPr>
          </w:p>
        </w:tc>
        <w:tc>
          <w:tcPr>
            <w:tcW w:w="1480" w:type="dxa"/>
            <w:vAlign w:val="bottom"/>
            <w:gridSpan w:val="2"/>
          </w:tcPr>
          <w:p>
            <w:pPr>
              <w:jc w:val="right"/>
              <w:spacing w:after="0" w:line="107" w:lineRule="exact"/>
              <w:rPr>
                <w:sz w:val="20"/>
                <w:szCs w:val="20"/>
                <w:color w:val="auto"/>
              </w:rPr>
            </w:pPr>
            <w:r>
              <w:rPr>
                <w:rFonts w:ascii="Arial" w:cs="Arial" w:eastAsia="Arial" w:hAnsi="Arial"/>
                <w:sz w:val="12"/>
                <w:szCs w:val="12"/>
                <w:color w:val="0000FF"/>
              </w:rPr>
              <w:t>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1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3"/>
                <w:szCs w:val="13"/>
                <w:color w:val="0000FF"/>
                <w:w w:val="97"/>
              </w:rPr>
              <w:t>Exelon Corporation</w:t>
            </w:r>
          </w:p>
        </w:tc>
        <w:tc>
          <w:tcPr>
            <w:tcW w:w="7060" w:type="dxa"/>
            <w:vAlign w:val="bottom"/>
            <w:tcBorders>
              <w:top w:val="single" w:sz="8" w:color="0000FF"/>
            </w:tcBorders>
            <w:gridSpan w:val="17"/>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gridSpan w:val="22"/>
          </w:tcPr>
          <w:p>
            <w:pPr>
              <w:spacing w:after="0"/>
              <w:rPr>
                <w:sz w:val="20"/>
                <w:szCs w:val="20"/>
                <w:color w:val="auto"/>
              </w:rPr>
            </w:pPr>
            <w:r>
              <w:rPr>
                <w:rFonts w:ascii="Arial" w:cs="Arial" w:eastAsia="Arial" w:hAnsi="Arial"/>
                <w:sz w:val="13"/>
                <w:szCs w:val="13"/>
                <w:color w:val="0000FF"/>
              </w:rPr>
              <w:t>Executive Overview</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740" w:type="dxa"/>
            <w:vAlign w:val="bottom"/>
            <w:gridSpan w:val="21"/>
          </w:tcPr>
          <w:p>
            <w:pPr>
              <w:spacing w:after="0"/>
              <w:rPr>
                <w:sz w:val="20"/>
                <w:szCs w:val="20"/>
                <w:color w:val="auto"/>
              </w:rPr>
            </w:pPr>
            <w:r>
              <w:rPr>
                <w:rFonts w:ascii="Arial" w:cs="Arial" w:eastAsia="Arial" w:hAnsi="Arial"/>
                <w:sz w:val="13"/>
                <w:szCs w:val="13"/>
                <w:color w:val="0000FF"/>
              </w:rPr>
              <w:t>Financial Results of Operations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tcBorders>
              <w:bottom w:val="single" w:sz="8" w:color="0000FF"/>
            </w:tcBorders>
            <w:gridSpan w:val="17"/>
          </w:tcPr>
          <w:p>
            <w:pPr>
              <w:spacing w:after="0"/>
              <w:rPr>
                <w:sz w:val="20"/>
                <w:szCs w:val="20"/>
                <w:color w:val="auto"/>
              </w:rPr>
            </w:pPr>
            <w:r>
              <w:rPr>
                <w:rFonts w:ascii="Arial" w:cs="Arial" w:eastAsia="Arial" w:hAnsi="Arial"/>
                <w:sz w:val="13"/>
                <w:szCs w:val="13"/>
                <w:color w:val="0000FF"/>
                <w:w w:val="94"/>
              </w:rPr>
              <w:t>Significant 2026 Transactions and Developments</w:t>
            </w:r>
          </w:p>
        </w:tc>
        <w:tc>
          <w:tcPr>
            <w:tcW w:w="5040" w:type="dxa"/>
            <w:vAlign w:val="bottom"/>
            <w:gridSpan w:val="4"/>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19"/>
          </w:tcPr>
          <w:p>
            <w:pPr>
              <w:spacing w:after="0"/>
              <w:rPr>
                <w:sz w:val="20"/>
                <w:szCs w:val="20"/>
                <w:color w:val="auto"/>
              </w:rPr>
            </w:pPr>
            <w:r>
              <w:rPr>
                <w:rFonts w:ascii="Arial" w:cs="Arial" w:eastAsia="Arial" w:hAnsi="Arial"/>
                <w:sz w:val="13"/>
                <w:szCs w:val="13"/>
                <w:color w:val="0000FF"/>
                <w:w w:val="97"/>
              </w:rPr>
              <w:t>Other Key Business Drivers and Management Strategies</w:t>
            </w:r>
          </w:p>
        </w:tc>
        <w:tc>
          <w:tcPr>
            <w:tcW w:w="4760" w:type="dxa"/>
            <w:vAlign w:val="bottom"/>
            <w:gridSpan w:val="3"/>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19"/>
          </w:tcPr>
          <w:p>
            <w:pPr>
              <w:spacing w:after="0"/>
              <w:rPr>
                <w:sz w:val="20"/>
                <w:szCs w:val="20"/>
                <w:color w:val="auto"/>
              </w:rPr>
            </w:pPr>
            <w:r>
              <w:rPr>
                <w:rFonts w:ascii="Arial" w:cs="Arial" w:eastAsia="Arial" w:hAnsi="Arial"/>
                <w:sz w:val="13"/>
                <w:szCs w:val="13"/>
                <w:color w:val="0000FF"/>
              </w:rPr>
              <w:t>Critical Accounting Policies and Estimates</w:t>
            </w:r>
          </w:p>
        </w:tc>
        <w:tc>
          <w:tcPr>
            <w:tcW w:w="4760" w:type="dxa"/>
            <w:vAlign w:val="bottom"/>
            <w:gridSpan w:val="3"/>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13"/>
          </w:tcPr>
          <w:p>
            <w:pPr>
              <w:spacing w:after="0"/>
              <w:rPr>
                <w:sz w:val="20"/>
                <w:szCs w:val="20"/>
                <w:color w:val="auto"/>
              </w:rPr>
            </w:pPr>
            <w:r>
              <w:rPr>
                <w:rFonts w:ascii="Arial" w:cs="Arial" w:eastAsia="Arial" w:hAnsi="Arial"/>
                <w:sz w:val="13"/>
                <w:szCs w:val="13"/>
                <w:color w:val="0000FF"/>
                <w:w w:val="95"/>
              </w:rPr>
              <w:t>Results of Operations By Registrant</w:t>
            </w:r>
          </w:p>
        </w:tc>
        <w:tc>
          <w:tcPr>
            <w:tcW w:w="340" w:type="dxa"/>
            <w:vAlign w:val="bottom"/>
            <w:gridSpan w:val="4"/>
          </w:tcPr>
          <w:p>
            <w:pPr>
              <w:spacing w:after="0"/>
              <w:rPr>
                <w:sz w:val="13"/>
                <w:szCs w:val="13"/>
                <w:color w:val="auto"/>
              </w:rPr>
            </w:pPr>
          </w:p>
        </w:tc>
        <w:tc>
          <w:tcPr>
            <w:tcW w:w="5600" w:type="dxa"/>
            <w:vAlign w:val="bottom"/>
            <w:gridSpan w:val="5"/>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740" w:type="dxa"/>
            <w:vAlign w:val="bottom"/>
            <w:gridSpan w:val="21"/>
          </w:tcPr>
          <w:p>
            <w:pPr>
              <w:spacing w:after="0"/>
              <w:rPr>
                <w:sz w:val="20"/>
                <w:szCs w:val="20"/>
                <w:color w:val="auto"/>
              </w:rPr>
            </w:pPr>
            <w:r>
              <w:rPr>
                <w:rFonts w:ascii="Arial" w:cs="Arial" w:eastAsia="Arial" w:hAnsi="Arial"/>
                <w:sz w:val="13"/>
                <w:szCs w:val="13"/>
                <w:color w:val="0000FF"/>
              </w:rPr>
              <w:t>Commonwealth Edison Company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8"/>
          </w:tcPr>
          <w:p>
            <w:pPr>
              <w:spacing w:after="0"/>
              <w:rPr>
                <w:sz w:val="20"/>
                <w:szCs w:val="20"/>
                <w:color w:val="auto"/>
              </w:rPr>
            </w:pPr>
            <w:r>
              <w:rPr>
                <w:rFonts w:ascii="Arial" w:cs="Arial" w:eastAsia="Arial" w:hAnsi="Arial"/>
                <w:sz w:val="13"/>
                <w:szCs w:val="13"/>
                <w:color w:val="0000FF"/>
                <w:w w:val="92"/>
              </w:rPr>
              <w:t>PECO Energy Company</w:t>
            </w:r>
          </w:p>
        </w:tc>
        <w:tc>
          <w:tcPr>
            <w:tcW w:w="480" w:type="dxa"/>
            <w:vAlign w:val="bottom"/>
            <w:gridSpan w:val="4"/>
          </w:tcPr>
          <w:p>
            <w:pPr>
              <w:spacing w:after="0"/>
              <w:rPr>
                <w:sz w:val="13"/>
                <w:szCs w:val="13"/>
                <w:color w:val="auto"/>
              </w:rPr>
            </w:pPr>
          </w:p>
        </w:tc>
        <w:tc>
          <w:tcPr>
            <w:tcW w:w="5940" w:type="dxa"/>
            <w:vAlign w:val="bottom"/>
            <w:gridSpan w:val="9"/>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15"/>
          </w:tcPr>
          <w:p>
            <w:pPr>
              <w:spacing w:after="0"/>
              <w:rPr>
                <w:sz w:val="20"/>
                <w:szCs w:val="20"/>
                <w:color w:val="auto"/>
              </w:rPr>
            </w:pPr>
            <w:r>
              <w:rPr>
                <w:rFonts w:ascii="Arial" w:cs="Arial" w:eastAsia="Arial" w:hAnsi="Arial"/>
                <w:sz w:val="13"/>
                <w:szCs w:val="13"/>
                <w:color w:val="0000FF"/>
                <w:w w:val="93"/>
              </w:rPr>
              <w:t>Baltimore Gas and Electric Company</w:t>
            </w:r>
          </w:p>
        </w:tc>
        <w:tc>
          <w:tcPr>
            <w:tcW w:w="5720" w:type="dxa"/>
            <w:vAlign w:val="bottom"/>
            <w:gridSpan w:val="6"/>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0000FF"/>
            </w:tcBorders>
            <w:gridSpan w:val="7"/>
          </w:tcPr>
          <w:p>
            <w:pPr>
              <w:spacing w:after="0"/>
              <w:rPr>
                <w:sz w:val="20"/>
                <w:szCs w:val="20"/>
                <w:color w:val="auto"/>
              </w:rPr>
            </w:pPr>
            <w:r>
              <w:rPr>
                <w:rFonts w:ascii="Arial" w:cs="Arial" w:eastAsia="Arial" w:hAnsi="Arial"/>
                <w:sz w:val="13"/>
                <w:szCs w:val="13"/>
                <w:color w:val="0000FF"/>
                <w:w w:val="89"/>
              </w:rPr>
              <w:t>Pepco Holdings LLC</w:t>
            </w:r>
          </w:p>
        </w:tc>
        <w:tc>
          <w:tcPr>
            <w:tcW w:w="920" w:type="dxa"/>
            <w:vAlign w:val="bottom"/>
            <w:tcBorders>
              <w:top w:val="single" w:sz="8" w:color="0000FF"/>
            </w:tcBorders>
            <w:gridSpan w:val="8"/>
          </w:tcPr>
          <w:p>
            <w:pPr>
              <w:spacing w:after="0"/>
              <w:rPr>
                <w:sz w:val="13"/>
                <w:szCs w:val="13"/>
                <w:color w:val="auto"/>
              </w:rPr>
            </w:pPr>
          </w:p>
        </w:tc>
        <w:tc>
          <w:tcPr>
            <w:tcW w:w="5720" w:type="dxa"/>
            <w:vAlign w:val="bottom"/>
            <w:gridSpan w:val="6"/>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0"/>
                <w:szCs w:val="10"/>
                <w:color w:val="0000FF"/>
                <w:w w:val="71"/>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740" w:type="dxa"/>
            <w:vAlign w:val="bottom"/>
            <w:gridSpan w:val="21"/>
          </w:tcPr>
          <w:p>
            <w:pPr>
              <w:spacing w:after="0"/>
              <w:rPr>
                <w:sz w:val="20"/>
                <w:szCs w:val="20"/>
                <w:color w:val="auto"/>
              </w:rPr>
            </w:pPr>
            <w:r>
              <w:rPr>
                <w:rFonts w:ascii="Arial" w:cs="Arial" w:eastAsia="Arial" w:hAnsi="Arial"/>
                <w:sz w:val="13"/>
                <w:szCs w:val="13"/>
                <w:color w:val="0000FF"/>
              </w:rPr>
              <w:t>Potomac Electric Power Company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740" w:type="dxa"/>
            <w:vAlign w:val="bottom"/>
            <w:gridSpan w:val="21"/>
          </w:tcPr>
          <w:p>
            <w:pPr>
              <w:spacing w:after="0"/>
              <w:rPr>
                <w:sz w:val="20"/>
                <w:szCs w:val="20"/>
                <w:color w:val="auto"/>
              </w:rPr>
            </w:pPr>
            <w:r>
              <w:rPr>
                <w:rFonts w:ascii="Arial" w:cs="Arial" w:eastAsia="Arial" w:hAnsi="Arial"/>
                <w:sz w:val="13"/>
                <w:szCs w:val="13"/>
                <w:color w:val="0000FF"/>
              </w:rPr>
              <w:t>Delmarva Power &amp; Light Company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11"/>
          </w:tcPr>
          <w:p>
            <w:pPr>
              <w:spacing w:after="0"/>
              <w:rPr>
                <w:sz w:val="20"/>
                <w:szCs w:val="20"/>
                <w:color w:val="auto"/>
              </w:rPr>
            </w:pPr>
            <w:r>
              <w:rPr>
                <w:rFonts w:ascii="Arial" w:cs="Arial" w:eastAsia="Arial" w:hAnsi="Arial"/>
                <w:sz w:val="13"/>
                <w:szCs w:val="13"/>
                <w:color w:val="0000FF"/>
                <w:w w:val="91"/>
              </w:rPr>
              <w:t>Atlantic City Electric Company</w:t>
            </w:r>
          </w:p>
        </w:tc>
        <w:tc>
          <w:tcPr>
            <w:tcW w:w="240" w:type="dxa"/>
            <w:vAlign w:val="bottom"/>
            <w:gridSpan w:val="3"/>
          </w:tcPr>
          <w:p>
            <w:pPr>
              <w:spacing w:after="0"/>
              <w:rPr>
                <w:sz w:val="13"/>
                <w:szCs w:val="13"/>
                <w:color w:val="auto"/>
              </w:rPr>
            </w:pPr>
          </w:p>
        </w:tc>
        <w:tc>
          <w:tcPr>
            <w:tcW w:w="5860" w:type="dxa"/>
            <w:vAlign w:val="bottom"/>
            <w:gridSpan w:val="7"/>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11"/>
          </w:tcPr>
          <w:p>
            <w:pPr>
              <w:spacing w:after="0"/>
              <w:rPr>
                <w:sz w:val="20"/>
                <w:szCs w:val="20"/>
                <w:color w:val="auto"/>
              </w:rPr>
            </w:pPr>
            <w:r>
              <w:rPr>
                <w:rFonts w:ascii="Arial" w:cs="Arial" w:eastAsia="Arial" w:hAnsi="Arial"/>
                <w:sz w:val="13"/>
                <w:szCs w:val="13"/>
                <w:color w:val="0000FF"/>
                <w:w w:val="95"/>
              </w:rPr>
              <w:t>Liquidity and Capital Resources</w:t>
            </w:r>
          </w:p>
        </w:tc>
        <w:tc>
          <w:tcPr>
            <w:tcW w:w="6380" w:type="dxa"/>
            <w:vAlign w:val="bottom"/>
            <w:gridSpan w:val="12"/>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440" w:type="dxa"/>
            <w:vAlign w:val="bottom"/>
            <w:gridSpan w:val="5"/>
          </w:tcPr>
          <w:p>
            <w:pPr>
              <w:spacing w:after="0"/>
              <w:rPr>
                <w:sz w:val="20"/>
                <w:szCs w:val="20"/>
                <w:color w:val="auto"/>
              </w:rPr>
            </w:pPr>
            <w:r>
              <w:rPr>
                <w:rFonts w:ascii="Arial" w:cs="Arial" w:eastAsia="Arial" w:hAnsi="Arial"/>
                <w:sz w:val="13"/>
                <w:szCs w:val="13"/>
                <w:b w:val="1"/>
                <w:bCs w:val="1"/>
                <w:color w:val="0000FF"/>
              </w:rPr>
              <w:t>ITEM 3.</w:t>
            </w:r>
          </w:p>
        </w:tc>
        <w:tc>
          <w:tcPr>
            <w:tcW w:w="8320" w:type="dxa"/>
            <w:vAlign w:val="bottom"/>
            <w:gridSpan w:val="24"/>
          </w:tcPr>
          <w:p>
            <w:pPr>
              <w:spacing w:after="0"/>
              <w:rPr>
                <w:sz w:val="20"/>
                <w:szCs w:val="20"/>
                <w:color w:val="auto"/>
              </w:rPr>
            </w:pPr>
            <w:r>
              <w:rPr>
                <w:rFonts w:ascii="Arial" w:cs="Arial" w:eastAsia="Arial" w:hAnsi="Arial"/>
                <w:sz w:val="13"/>
                <w:szCs w:val="13"/>
                <w:b w:val="1"/>
                <w:bCs w:val="1"/>
                <w:color w:val="0000FF"/>
              </w:rPr>
              <w:t>QUANTITATIVE AND QUALITATIVE DISCLOSURES ABOUT MARKET RISK</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380" w:type="dxa"/>
            <w:vAlign w:val="bottom"/>
            <w:gridSpan w:val="9"/>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440" w:type="dxa"/>
            <w:vAlign w:val="bottom"/>
            <w:gridSpan w:val="5"/>
          </w:tcPr>
          <w:p>
            <w:pPr>
              <w:spacing w:after="0"/>
              <w:rPr>
                <w:sz w:val="20"/>
                <w:szCs w:val="20"/>
                <w:color w:val="auto"/>
              </w:rPr>
            </w:pPr>
            <w:r>
              <w:rPr>
                <w:rFonts w:ascii="Arial" w:cs="Arial" w:eastAsia="Arial" w:hAnsi="Arial"/>
                <w:sz w:val="13"/>
                <w:szCs w:val="13"/>
                <w:b w:val="1"/>
                <w:bCs w:val="1"/>
                <w:color w:val="0000FF"/>
              </w:rPr>
              <w:t>ITEM 4.</w:t>
            </w:r>
          </w:p>
        </w:tc>
        <w:tc>
          <w:tcPr>
            <w:tcW w:w="8320" w:type="dxa"/>
            <w:vAlign w:val="bottom"/>
            <w:gridSpan w:val="24"/>
          </w:tcPr>
          <w:p>
            <w:pPr>
              <w:spacing w:after="0"/>
              <w:rPr>
                <w:sz w:val="20"/>
                <w:szCs w:val="20"/>
                <w:color w:val="auto"/>
              </w:rPr>
            </w:pPr>
            <w:r>
              <w:rPr>
                <w:rFonts w:ascii="Arial" w:cs="Arial" w:eastAsia="Arial" w:hAnsi="Arial"/>
                <w:sz w:val="13"/>
                <w:szCs w:val="13"/>
                <w:b w:val="1"/>
                <w:bCs w:val="1"/>
                <w:color w:val="0000FF"/>
              </w:rPr>
              <w:t>CONTROLS AND PROCEDURES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0" w:type="dxa"/>
            <w:vAlign w:val="bottom"/>
            <w:gridSpan w:val="2"/>
          </w:tcPr>
          <w:p>
            <w:pPr>
              <w:spacing w:after="0"/>
              <w:rPr>
                <w:sz w:val="20"/>
                <w:szCs w:val="20"/>
                <w:color w:val="auto"/>
              </w:rPr>
            </w:pPr>
            <w:r>
              <w:rPr>
                <w:rFonts w:ascii="Arial" w:cs="Arial" w:eastAsia="Arial" w:hAnsi="Arial"/>
                <w:sz w:val="13"/>
                <w:szCs w:val="13"/>
                <w:b w:val="1"/>
                <w:bCs w:val="1"/>
                <w:color w:val="0000FF"/>
                <w:w w:val="92"/>
              </w:rPr>
              <w:t>PART II.</w:t>
            </w:r>
          </w:p>
        </w:tc>
        <w:tc>
          <w:tcPr>
            <w:tcW w:w="960" w:type="dxa"/>
            <w:vAlign w:val="bottom"/>
            <w:gridSpan w:val="3"/>
          </w:tcPr>
          <w:p>
            <w:pPr>
              <w:spacing w:after="0"/>
              <w:rPr>
                <w:sz w:val="13"/>
                <w:szCs w:val="13"/>
                <w:color w:val="auto"/>
              </w:rPr>
            </w:pPr>
          </w:p>
        </w:tc>
        <w:tc>
          <w:tcPr>
            <w:tcW w:w="1380" w:type="dxa"/>
            <w:vAlign w:val="bottom"/>
            <w:gridSpan w:val="8"/>
          </w:tcPr>
          <w:p>
            <w:pPr>
              <w:spacing w:after="0"/>
              <w:rPr>
                <w:sz w:val="20"/>
                <w:szCs w:val="20"/>
                <w:color w:val="auto"/>
              </w:rPr>
            </w:pPr>
            <w:r>
              <w:rPr>
                <w:rFonts w:ascii="Arial" w:cs="Arial" w:eastAsia="Arial" w:hAnsi="Arial"/>
                <w:sz w:val="13"/>
                <w:szCs w:val="13"/>
                <w:b w:val="1"/>
                <w:bCs w:val="1"/>
                <w:color w:val="0000FF"/>
                <w:w w:val="95"/>
              </w:rPr>
              <w:t>OTHER INFORMATION</w:t>
            </w:r>
          </w:p>
        </w:tc>
        <w:tc>
          <w:tcPr>
            <w:tcW w:w="6940" w:type="dxa"/>
            <w:vAlign w:val="bottom"/>
            <w:gridSpan w:val="16"/>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0" w:type="dxa"/>
            <w:vAlign w:val="bottom"/>
            <w:gridSpan w:val="2"/>
          </w:tcPr>
          <w:p>
            <w:pPr>
              <w:spacing w:after="0"/>
              <w:rPr>
                <w:sz w:val="20"/>
                <w:szCs w:val="20"/>
                <w:color w:val="auto"/>
              </w:rPr>
            </w:pPr>
            <w:r>
              <w:rPr>
                <w:rFonts w:ascii="Arial" w:cs="Arial" w:eastAsia="Arial" w:hAnsi="Arial"/>
                <w:sz w:val="13"/>
                <w:szCs w:val="13"/>
                <w:b w:val="1"/>
                <w:bCs w:val="1"/>
                <w:color w:val="0000FF"/>
              </w:rPr>
              <w:t>ITEM 1.</w:t>
            </w:r>
          </w:p>
        </w:tc>
        <w:tc>
          <w:tcPr>
            <w:tcW w:w="960" w:type="dxa"/>
            <w:vAlign w:val="bottom"/>
            <w:gridSpan w:val="3"/>
          </w:tcPr>
          <w:p>
            <w:pPr>
              <w:spacing w:after="0"/>
              <w:rPr>
                <w:sz w:val="13"/>
                <w:szCs w:val="13"/>
                <w:color w:val="auto"/>
              </w:rPr>
            </w:pPr>
          </w:p>
        </w:tc>
        <w:tc>
          <w:tcPr>
            <w:tcW w:w="8320" w:type="dxa"/>
            <w:vAlign w:val="bottom"/>
            <w:gridSpan w:val="24"/>
          </w:tcPr>
          <w:p>
            <w:pPr>
              <w:spacing w:after="0"/>
              <w:rPr>
                <w:sz w:val="20"/>
                <w:szCs w:val="20"/>
                <w:color w:val="auto"/>
              </w:rPr>
            </w:pPr>
            <w:r>
              <w:rPr>
                <w:rFonts w:ascii="Arial" w:cs="Arial" w:eastAsia="Arial" w:hAnsi="Arial"/>
                <w:sz w:val="13"/>
                <w:szCs w:val="13"/>
                <w:b w:val="1"/>
                <w:bCs w:val="1"/>
                <w:color w:val="0000FF"/>
              </w:rPr>
              <w:t>LEGAL PROCEEDINGS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0" w:type="dxa"/>
            <w:vAlign w:val="bottom"/>
            <w:gridSpan w:val="3"/>
          </w:tcPr>
          <w:p>
            <w:pPr>
              <w:spacing w:after="0"/>
              <w:rPr>
                <w:sz w:val="20"/>
                <w:szCs w:val="20"/>
                <w:color w:val="auto"/>
              </w:rPr>
            </w:pPr>
            <w:r>
              <w:rPr>
                <w:rFonts w:ascii="Arial" w:cs="Arial" w:eastAsia="Arial" w:hAnsi="Arial"/>
                <w:sz w:val="13"/>
                <w:szCs w:val="13"/>
                <w:b w:val="1"/>
                <w:bCs w:val="1"/>
                <w:color w:val="0000FF"/>
                <w:w w:val="94"/>
              </w:rPr>
              <w:t>ITEM 1A.</w:t>
            </w:r>
          </w:p>
        </w:tc>
        <w:tc>
          <w:tcPr>
            <w:tcW w:w="900" w:type="dxa"/>
            <w:vAlign w:val="bottom"/>
            <w:gridSpan w:val="2"/>
          </w:tcPr>
          <w:p>
            <w:pPr>
              <w:spacing w:after="0"/>
              <w:rPr>
                <w:sz w:val="13"/>
                <w:szCs w:val="13"/>
                <w:color w:val="auto"/>
              </w:rPr>
            </w:pPr>
          </w:p>
        </w:tc>
        <w:tc>
          <w:tcPr>
            <w:tcW w:w="8320" w:type="dxa"/>
            <w:vAlign w:val="bottom"/>
            <w:gridSpan w:val="24"/>
          </w:tcPr>
          <w:p>
            <w:pPr>
              <w:spacing w:after="0"/>
              <w:rPr>
                <w:sz w:val="20"/>
                <w:szCs w:val="20"/>
                <w:color w:val="auto"/>
              </w:rPr>
            </w:pPr>
            <w:r>
              <w:rPr>
                <w:rFonts w:ascii="Arial" w:cs="Arial" w:eastAsia="Arial" w:hAnsi="Arial"/>
                <w:sz w:val="13"/>
                <w:szCs w:val="13"/>
                <w:b w:val="1"/>
                <w:bCs w:val="1"/>
                <w:color w:val="0000FF"/>
              </w:rPr>
              <w:t>RISK FACTORS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0" w:type="dxa"/>
            <w:vAlign w:val="bottom"/>
            <w:gridSpan w:val="3"/>
          </w:tcPr>
          <w:p>
            <w:pPr>
              <w:spacing w:after="0"/>
              <w:rPr>
                <w:sz w:val="20"/>
                <w:szCs w:val="20"/>
                <w:color w:val="auto"/>
              </w:rPr>
            </w:pPr>
            <w:r>
              <w:rPr>
                <w:rFonts w:ascii="Arial" w:cs="Arial" w:eastAsia="Arial" w:hAnsi="Arial"/>
                <w:sz w:val="13"/>
                <w:szCs w:val="13"/>
                <w:b w:val="1"/>
                <w:bCs w:val="1"/>
                <w:color w:val="0000FF"/>
              </w:rPr>
              <w:t>ITEM 5.</w:t>
            </w:r>
          </w:p>
        </w:tc>
        <w:tc>
          <w:tcPr>
            <w:tcW w:w="900" w:type="dxa"/>
            <w:vAlign w:val="bottom"/>
            <w:gridSpan w:val="2"/>
          </w:tcPr>
          <w:p>
            <w:pPr>
              <w:spacing w:after="0"/>
              <w:rPr>
                <w:sz w:val="13"/>
                <w:szCs w:val="13"/>
                <w:color w:val="auto"/>
              </w:rPr>
            </w:pPr>
          </w:p>
        </w:tc>
        <w:tc>
          <w:tcPr>
            <w:tcW w:w="8320" w:type="dxa"/>
            <w:vAlign w:val="bottom"/>
            <w:gridSpan w:val="24"/>
          </w:tcPr>
          <w:p>
            <w:pPr>
              <w:spacing w:after="0"/>
              <w:rPr>
                <w:sz w:val="20"/>
                <w:szCs w:val="20"/>
                <w:color w:val="auto"/>
              </w:rPr>
            </w:pPr>
            <w:r>
              <w:rPr>
                <w:rFonts w:ascii="Arial" w:cs="Arial" w:eastAsia="Arial" w:hAnsi="Arial"/>
                <w:sz w:val="13"/>
                <w:szCs w:val="13"/>
                <w:b w:val="1"/>
                <w:bCs w:val="1"/>
                <w:color w:val="0000FF"/>
              </w:rPr>
              <w:t>OTHER INFORMATION</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440" w:type="dxa"/>
            <w:vAlign w:val="bottom"/>
            <w:gridSpan w:val="5"/>
          </w:tcPr>
          <w:p>
            <w:pPr>
              <w:spacing w:after="0"/>
              <w:rPr>
                <w:sz w:val="20"/>
                <w:szCs w:val="20"/>
                <w:color w:val="auto"/>
              </w:rPr>
            </w:pPr>
            <w:r>
              <w:rPr>
                <w:rFonts w:ascii="Arial" w:cs="Arial" w:eastAsia="Arial" w:hAnsi="Arial"/>
                <w:sz w:val="13"/>
                <w:szCs w:val="13"/>
                <w:b w:val="1"/>
                <w:bCs w:val="1"/>
                <w:color w:val="0000FF"/>
              </w:rPr>
              <w:t>ITEM 6.</w:t>
            </w:r>
          </w:p>
        </w:tc>
        <w:tc>
          <w:tcPr>
            <w:tcW w:w="8320" w:type="dxa"/>
            <w:vAlign w:val="bottom"/>
            <w:gridSpan w:val="24"/>
          </w:tcPr>
          <w:p>
            <w:pPr>
              <w:spacing w:after="0"/>
              <w:rPr>
                <w:sz w:val="20"/>
                <w:szCs w:val="20"/>
                <w:color w:val="auto"/>
              </w:rPr>
            </w:pPr>
            <w:r>
              <w:rPr>
                <w:rFonts w:ascii="Arial" w:cs="Arial" w:eastAsia="Arial" w:hAnsi="Arial"/>
                <w:sz w:val="13"/>
                <w:szCs w:val="13"/>
                <w:b w:val="1"/>
                <w:bCs w:val="1"/>
                <w:color w:val="0000FF"/>
              </w:rPr>
              <w:t>EXHIBITS</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440" w:type="dxa"/>
            <w:vAlign w:val="bottom"/>
            <w:gridSpan w:val="5"/>
          </w:tcPr>
          <w:p>
            <w:pPr>
              <w:spacing w:after="0"/>
              <w:rPr>
                <w:sz w:val="20"/>
                <w:szCs w:val="20"/>
                <w:color w:val="auto"/>
              </w:rPr>
            </w:pPr>
            <w:r>
              <w:rPr>
                <w:rFonts w:ascii="Arial" w:cs="Arial" w:eastAsia="Arial" w:hAnsi="Arial"/>
                <w:sz w:val="13"/>
                <w:szCs w:val="13"/>
                <w:b w:val="1"/>
                <w:bCs w:val="1"/>
                <w:color w:val="0000FF"/>
              </w:rPr>
              <w:t>SIGNATURES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gridSpan w:val="5"/>
          </w:tcPr>
          <w:p>
            <w:pPr>
              <w:spacing w:after="0"/>
              <w:rPr>
                <w:sz w:val="20"/>
                <w:szCs w:val="20"/>
                <w:color w:val="auto"/>
              </w:rPr>
            </w:pPr>
            <w:r>
              <w:rPr>
                <w:rFonts w:ascii="Arial" w:cs="Arial" w:eastAsia="Arial" w:hAnsi="Arial"/>
                <w:sz w:val="13"/>
                <w:szCs w:val="13"/>
                <w:color w:val="0000FF"/>
                <w:w w:val="97"/>
              </w:rPr>
              <w:t>Exelon Corporation</w:t>
            </w:r>
          </w:p>
        </w:tc>
        <w:tc>
          <w:tcPr>
            <w:tcW w:w="7220" w:type="dxa"/>
            <w:vAlign w:val="bottom"/>
            <w:gridSpan w:val="19"/>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00" w:type="dxa"/>
            <w:vAlign w:val="bottom"/>
            <w:gridSpan w:val="11"/>
          </w:tcPr>
          <w:p>
            <w:pPr>
              <w:spacing w:after="0"/>
              <w:rPr>
                <w:sz w:val="20"/>
                <w:szCs w:val="20"/>
                <w:color w:val="auto"/>
              </w:rPr>
            </w:pPr>
            <w:r>
              <w:rPr>
                <w:rFonts w:ascii="Arial" w:cs="Arial" w:eastAsia="Arial" w:hAnsi="Arial"/>
                <w:sz w:val="13"/>
                <w:szCs w:val="13"/>
                <w:color w:val="0000FF"/>
                <w:w w:val="97"/>
              </w:rPr>
              <w:t>Commonwealth Edison Company</w:t>
            </w:r>
          </w:p>
        </w:tc>
        <w:tc>
          <w:tcPr>
            <w:tcW w:w="6420" w:type="dxa"/>
            <w:vAlign w:val="bottom"/>
            <w:gridSpan w:val="13"/>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00" w:type="dxa"/>
            <w:vAlign w:val="bottom"/>
            <w:gridSpan w:val="11"/>
          </w:tcPr>
          <w:p>
            <w:pPr>
              <w:spacing w:after="0"/>
              <w:rPr>
                <w:sz w:val="20"/>
                <w:szCs w:val="20"/>
                <w:color w:val="auto"/>
              </w:rPr>
            </w:pPr>
            <w:r>
              <w:rPr>
                <w:rFonts w:ascii="Arial" w:cs="Arial" w:eastAsia="Arial" w:hAnsi="Arial"/>
                <w:sz w:val="13"/>
                <w:szCs w:val="13"/>
                <w:color w:val="0000FF"/>
              </w:rPr>
              <w:t>PECO Energy Company</w:t>
            </w:r>
          </w:p>
        </w:tc>
        <w:tc>
          <w:tcPr>
            <w:tcW w:w="6420" w:type="dxa"/>
            <w:vAlign w:val="bottom"/>
            <w:gridSpan w:val="13"/>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320" w:type="dxa"/>
            <w:vAlign w:val="bottom"/>
            <w:gridSpan w:val="24"/>
          </w:tcPr>
          <w:p>
            <w:pPr>
              <w:spacing w:after="0"/>
              <w:rPr>
                <w:sz w:val="20"/>
                <w:szCs w:val="20"/>
                <w:color w:val="auto"/>
              </w:rPr>
            </w:pPr>
            <w:r>
              <w:rPr>
                <w:rFonts w:ascii="Arial" w:cs="Arial" w:eastAsia="Arial" w:hAnsi="Arial"/>
                <w:sz w:val="13"/>
                <w:szCs w:val="13"/>
                <w:color w:val="0000FF"/>
              </w:rPr>
              <w:t>Baltimore Gas and Electric Company</w:t>
            </w: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80" w:type="dxa"/>
            <w:vAlign w:val="bottom"/>
            <w:gridSpan w:val="13"/>
          </w:tcPr>
          <w:p>
            <w:pPr>
              <w:spacing w:after="0"/>
              <w:rPr>
                <w:sz w:val="20"/>
                <w:szCs w:val="20"/>
                <w:color w:val="auto"/>
              </w:rPr>
            </w:pPr>
            <w:r>
              <w:rPr>
                <w:rFonts w:ascii="Arial" w:cs="Arial" w:eastAsia="Arial" w:hAnsi="Arial"/>
                <w:sz w:val="13"/>
                <w:szCs w:val="13"/>
                <w:color w:val="0000FF"/>
              </w:rPr>
              <w:t>Pepco Holdings LLC</w:t>
            </w:r>
          </w:p>
        </w:tc>
        <w:tc>
          <w:tcPr>
            <w:tcW w:w="6240" w:type="dxa"/>
            <w:vAlign w:val="bottom"/>
            <w:gridSpan w:val="11"/>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380" w:type="dxa"/>
            <w:vAlign w:val="bottom"/>
            <w:gridSpan w:val="12"/>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40" w:type="dxa"/>
            <w:vAlign w:val="bottom"/>
            <w:gridSpan w:val="12"/>
          </w:tcPr>
          <w:p>
            <w:pPr>
              <w:spacing w:after="0"/>
              <w:rPr>
                <w:sz w:val="20"/>
                <w:szCs w:val="20"/>
                <w:color w:val="auto"/>
              </w:rPr>
            </w:pPr>
            <w:r>
              <w:rPr>
                <w:rFonts w:ascii="Arial" w:cs="Arial" w:eastAsia="Arial" w:hAnsi="Arial"/>
                <w:sz w:val="13"/>
                <w:szCs w:val="13"/>
                <w:color w:val="0000FF"/>
                <w:w w:val="96"/>
              </w:rPr>
              <w:t>Potomac Electric Power Company</w:t>
            </w:r>
          </w:p>
        </w:tc>
        <w:tc>
          <w:tcPr>
            <w:tcW w:w="6380" w:type="dxa"/>
            <w:vAlign w:val="bottom"/>
            <w:gridSpan w:val="12"/>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10"/>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6380" w:type="dxa"/>
            <w:vAlign w:val="bottom"/>
            <w:gridSpan w:val="12"/>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40" w:type="dxa"/>
            <w:vAlign w:val="bottom"/>
            <w:gridSpan w:val="12"/>
          </w:tcPr>
          <w:p>
            <w:pPr>
              <w:spacing w:after="0"/>
              <w:rPr>
                <w:sz w:val="20"/>
                <w:szCs w:val="20"/>
                <w:color w:val="auto"/>
              </w:rPr>
            </w:pPr>
            <w:r>
              <w:rPr>
                <w:rFonts w:ascii="Arial" w:cs="Arial" w:eastAsia="Arial" w:hAnsi="Arial"/>
                <w:sz w:val="13"/>
                <w:szCs w:val="13"/>
                <w:color w:val="0000FF"/>
                <w:w w:val="95"/>
              </w:rPr>
              <w:t>Delmarva Power &amp; Light Company</w:t>
            </w:r>
          </w:p>
        </w:tc>
        <w:tc>
          <w:tcPr>
            <w:tcW w:w="6380" w:type="dxa"/>
            <w:vAlign w:val="bottom"/>
            <w:gridSpan w:val="12"/>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40" w:type="dxa"/>
            <w:vAlign w:val="bottom"/>
            <w:gridSpan w:val="12"/>
          </w:tcPr>
          <w:p>
            <w:pPr>
              <w:spacing w:after="0"/>
              <w:rPr>
                <w:sz w:val="20"/>
                <w:szCs w:val="20"/>
                <w:color w:val="auto"/>
              </w:rPr>
            </w:pPr>
            <w:r>
              <w:rPr>
                <w:rFonts w:ascii="Arial" w:cs="Arial" w:eastAsia="Arial" w:hAnsi="Arial"/>
                <w:sz w:val="13"/>
                <w:szCs w:val="13"/>
                <w:color w:val="0000FF"/>
              </w:rPr>
              <w:t>Atlantic City Electric Company</w:t>
            </w:r>
          </w:p>
        </w:tc>
        <w:tc>
          <w:tcPr>
            <w:tcW w:w="6380" w:type="dxa"/>
            <w:vAlign w:val="bottom"/>
            <w:gridSpan w:val="12"/>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0000FF"/>
              </w:rPr>
              <w:t>145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419735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307"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Exelon Corporation and Related Entities</w:t>
            </w:r>
          </w:p>
        </w:tc>
        <w:tc>
          <w:tcPr>
            <w:tcW w:w="820" w:type="dxa"/>
            <w:vAlign w:val="bottom"/>
            <w:vMerge w:val="restart"/>
          </w:tcPr>
          <w:p>
            <w:pPr>
              <w:spacing w:after="0"/>
              <w:rPr>
                <w:sz w:val="16"/>
                <w:szCs w:val="16"/>
                <w:color w:val="auto"/>
              </w:rPr>
            </w:pPr>
          </w:p>
        </w:tc>
        <w:tc>
          <w:tcPr>
            <w:tcW w:w="8000" w:type="dxa"/>
            <w:vAlign w:val="bottom"/>
          </w:tcPr>
          <w:p>
            <w:pPr>
              <w:ind w:left="820"/>
              <w:spacing w:after="0"/>
              <w:rPr>
                <w:sz w:val="20"/>
                <w:szCs w:val="20"/>
                <w:color w:val="auto"/>
              </w:rPr>
            </w:pPr>
            <w:r>
              <w:rPr>
                <w:rFonts w:ascii="Arial" w:cs="Arial" w:eastAsia="Arial" w:hAnsi="Arial"/>
                <w:sz w:val="14"/>
                <w:szCs w:val="14"/>
                <w:b w:val="1"/>
                <w:bCs w:val="1"/>
                <w:color w:val="auto"/>
              </w:rPr>
              <w:t>GLOSSARY OF TERMS AND ABBREVIATIONS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2440" w:type="dxa"/>
            <w:vAlign w:val="bottom"/>
            <w:tcBorders>
              <w:bottom w:val="single" w:sz="8" w:color="auto"/>
            </w:tcBorders>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Exelon</w:t>
            </w:r>
          </w:p>
        </w:tc>
        <w:tc>
          <w:tcPr>
            <w:tcW w:w="800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Exelon Corporation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ComEd</w:t>
            </w:r>
          </w:p>
        </w:tc>
        <w:tc>
          <w:tcPr>
            <w:tcW w:w="8000" w:type="dxa"/>
            <w:vAlign w:val="bottom"/>
          </w:tcPr>
          <w:p>
            <w:pPr>
              <w:ind w:left="1660"/>
              <w:spacing w:after="0"/>
              <w:rPr>
                <w:sz w:val="20"/>
                <w:szCs w:val="20"/>
                <w:color w:val="auto"/>
              </w:rPr>
            </w:pPr>
            <w:r>
              <w:rPr>
                <w:rFonts w:ascii="Arial" w:cs="Arial" w:eastAsia="Arial" w:hAnsi="Arial"/>
                <w:sz w:val="13"/>
                <w:szCs w:val="13"/>
                <w:color w:val="auto"/>
              </w:rPr>
              <w:t>Commonwealth Edison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PECO</w:t>
            </w:r>
          </w:p>
        </w:tc>
        <w:tc>
          <w:tcPr>
            <w:tcW w:w="800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PECO Energy 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BGE</w:t>
            </w:r>
          </w:p>
        </w:tc>
        <w:tc>
          <w:tcPr>
            <w:tcW w:w="8000" w:type="dxa"/>
            <w:vAlign w:val="bottom"/>
          </w:tcPr>
          <w:p>
            <w:pPr>
              <w:ind w:left="1660"/>
              <w:spacing w:after="0"/>
              <w:rPr>
                <w:sz w:val="20"/>
                <w:szCs w:val="20"/>
                <w:color w:val="auto"/>
              </w:rPr>
            </w:pPr>
            <w:r>
              <w:rPr>
                <w:rFonts w:ascii="Arial" w:cs="Arial" w:eastAsia="Arial" w:hAnsi="Arial"/>
                <w:sz w:val="13"/>
                <w:szCs w:val="13"/>
                <w:color w:val="auto"/>
              </w:rPr>
              <w:t>Baltimore Gas and Electric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Pepco Holdings or PHI</w:t>
            </w:r>
          </w:p>
        </w:tc>
        <w:tc>
          <w:tcPr>
            <w:tcW w:w="800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Pepco Holdings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Pepco</w:t>
            </w:r>
          </w:p>
        </w:tc>
        <w:tc>
          <w:tcPr>
            <w:tcW w:w="8000" w:type="dxa"/>
            <w:vAlign w:val="bottom"/>
          </w:tcPr>
          <w:p>
            <w:pPr>
              <w:ind w:left="1660"/>
              <w:spacing w:after="0"/>
              <w:rPr>
                <w:sz w:val="20"/>
                <w:szCs w:val="20"/>
                <w:color w:val="auto"/>
              </w:rPr>
            </w:pPr>
            <w:r>
              <w:rPr>
                <w:rFonts w:ascii="Arial" w:cs="Arial" w:eastAsia="Arial" w:hAnsi="Arial"/>
                <w:sz w:val="13"/>
                <w:szCs w:val="13"/>
                <w:color w:val="auto"/>
              </w:rPr>
              <w:t>Potomac Electric Power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DPL</w:t>
            </w:r>
          </w:p>
        </w:tc>
        <w:tc>
          <w:tcPr>
            <w:tcW w:w="800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Delmarva Power &amp; Light 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ACE</w:t>
            </w:r>
          </w:p>
        </w:tc>
        <w:tc>
          <w:tcPr>
            <w:tcW w:w="8000" w:type="dxa"/>
            <w:vAlign w:val="bottom"/>
          </w:tcPr>
          <w:p>
            <w:pPr>
              <w:ind w:left="1660"/>
              <w:spacing w:after="0"/>
              <w:rPr>
                <w:sz w:val="20"/>
                <w:szCs w:val="20"/>
                <w:color w:val="auto"/>
              </w:rPr>
            </w:pPr>
            <w:r>
              <w:rPr>
                <w:rFonts w:ascii="Arial" w:cs="Arial" w:eastAsia="Arial" w:hAnsi="Arial"/>
                <w:sz w:val="13"/>
                <w:szCs w:val="13"/>
                <w:color w:val="auto"/>
              </w:rPr>
              <w:t>Atlantic City Electric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Registrants</w:t>
            </w:r>
          </w:p>
        </w:tc>
        <w:tc>
          <w:tcPr>
            <w:tcW w:w="800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Exelon, ComEd, PECO, BGE, PHI, Pepco, DPL, and ACE, collectively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Utility Registrants</w:t>
            </w:r>
          </w:p>
        </w:tc>
        <w:tc>
          <w:tcPr>
            <w:tcW w:w="8000" w:type="dxa"/>
            <w:vAlign w:val="bottom"/>
          </w:tcPr>
          <w:p>
            <w:pPr>
              <w:ind w:left="1660"/>
              <w:spacing w:after="0"/>
              <w:rPr>
                <w:sz w:val="20"/>
                <w:szCs w:val="20"/>
                <w:color w:val="auto"/>
              </w:rPr>
            </w:pPr>
            <w:r>
              <w:rPr>
                <w:rFonts w:ascii="Arial" w:cs="Arial" w:eastAsia="Arial" w:hAnsi="Arial"/>
                <w:sz w:val="13"/>
                <w:szCs w:val="13"/>
                <w:color w:val="auto"/>
              </w:rPr>
              <w:t>ComEd, PECO, BGE, Pepco, DPL, and ACE, collectively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BSC</w:t>
            </w:r>
          </w:p>
        </w:tc>
        <w:tc>
          <w:tcPr>
            <w:tcW w:w="800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Exelon Business Services Company,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Exelon Corporate</w:t>
            </w:r>
          </w:p>
        </w:tc>
        <w:tc>
          <w:tcPr>
            <w:tcW w:w="8000" w:type="dxa"/>
            <w:vAlign w:val="bottom"/>
          </w:tcPr>
          <w:p>
            <w:pPr>
              <w:ind w:left="1660"/>
              <w:spacing w:after="0"/>
              <w:rPr>
                <w:sz w:val="20"/>
                <w:szCs w:val="20"/>
                <w:color w:val="auto"/>
              </w:rPr>
            </w:pPr>
            <w:r>
              <w:rPr>
                <w:rFonts w:ascii="Arial" w:cs="Arial" w:eastAsia="Arial" w:hAnsi="Arial"/>
                <w:sz w:val="13"/>
                <w:szCs w:val="13"/>
                <w:color w:val="auto"/>
              </w:rPr>
              <w:t>Exelon in its corporate capacity as a holding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PCI</w:t>
            </w:r>
          </w:p>
        </w:tc>
        <w:tc>
          <w:tcPr>
            <w:tcW w:w="800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Potomac Capital Investment Corporation and its subsidiaries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PECO Trust III</w:t>
            </w:r>
          </w:p>
        </w:tc>
        <w:tc>
          <w:tcPr>
            <w:tcW w:w="8000" w:type="dxa"/>
            <w:vAlign w:val="bottom"/>
          </w:tcPr>
          <w:p>
            <w:pPr>
              <w:ind w:left="1660"/>
              <w:spacing w:after="0"/>
              <w:rPr>
                <w:sz w:val="20"/>
                <w:szCs w:val="20"/>
                <w:color w:val="auto"/>
              </w:rPr>
            </w:pPr>
            <w:r>
              <w:rPr>
                <w:rFonts w:ascii="Arial" w:cs="Arial" w:eastAsia="Arial" w:hAnsi="Arial"/>
                <w:sz w:val="13"/>
                <w:szCs w:val="13"/>
                <w:color w:val="auto"/>
              </w:rPr>
              <w:t>PECO Energy Capital Trust III</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PECO Trust IV</w:t>
            </w:r>
          </w:p>
        </w:tc>
        <w:tc>
          <w:tcPr>
            <w:tcW w:w="800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PECO Energy Capital Trust IV</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Pepco Energy Services or PES</w:t>
            </w:r>
          </w:p>
        </w:tc>
        <w:tc>
          <w:tcPr>
            <w:tcW w:w="8000" w:type="dxa"/>
            <w:vAlign w:val="bottom"/>
          </w:tcPr>
          <w:p>
            <w:pPr>
              <w:ind w:left="1660"/>
              <w:spacing w:after="0"/>
              <w:rPr>
                <w:sz w:val="20"/>
                <w:szCs w:val="20"/>
                <w:color w:val="auto"/>
              </w:rPr>
            </w:pPr>
            <w:r>
              <w:rPr>
                <w:rFonts w:ascii="Arial" w:cs="Arial" w:eastAsia="Arial" w:hAnsi="Arial"/>
                <w:sz w:val="13"/>
                <w:szCs w:val="13"/>
                <w:color w:val="auto"/>
              </w:rPr>
              <w:t>Pepco Energy Services, Inc. and its subsidiaries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PHI Corporate</w:t>
            </w:r>
          </w:p>
        </w:tc>
        <w:tc>
          <w:tcPr>
            <w:tcW w:w="800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PHI in its corporate capacity as a holding 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PHISCO</w:t>
            </w:r>
          </w:p>
        </w:tc>
        <w:tc>
          <w:tcPr>
            <w:tcW w:w="8000" w:type="dxa"/>
            <w:vAlign w:val="bottom"/>
          </w:tcPr>
          <w:p>
            <w:pPr>
              <w:ind w:left="1660"/>
              <w:spacing w:after="0"/>
              <w:rPr>
                <w:sz w:val="20"/>
                <w:szCs w:val="20"/>
                <w:color w:val="auto"/>
              </w:rPr>
            </w:pPr>
            <w:r>
              <w:rPr>
                <w:rFonts w:ascii="Arial" w:cs="Arial" w:eastAsia="Arial" w:hAnsi="Arial"/>
                <w:sz w:val="13"/>
                <w:szCs w:val="13"/>
                <w:color w:val="auto"/>
              </w:rPr>
              <w:t>PHI Service Company</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3260" w:type="dxa"/>
            <w:vAlign w:val="bottom"/>
            <w:gridSpan w:val="3"/>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Former Related Entities</w:t>
            </w:r>
          </w:p>
        </w:tc>
        <w:tc>
          <w:tcPr>
            <w:tcW w:w="8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Borders>
              <w:top w:val="single" w:sz="8" w:color="CCEEFF"/>
            </w:tcBorders>
          </w:tcPr>
          <w:p>
            <w:pPr>
              <w:spacing w:after="0"/>
              <w:rPr>
                <w:sz w:val="11"/>
                <w:szCs w:val="11"/>
                <w:color w:val="auto"/>
              </w:rPr>
            </w:pPr>
          </w:p>
        </w:tc>
        <w:tc>
          <w:tcPr>
            <w:tcW w:w="142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i w:val="1"/>
                <w:iCs w:val="1"/>
                <w:color w:val="auto"/>
              </w:rPr>
              <w:t>Constellation</w:t>
            </w:r>
          </w:p>
        </w:tc>
        <w:tc>
          <w:tcPr>
            <w:tcW w:w="1840" w:type="dxa"/>
            <w:vAlign w:val="bottom"/>
            <w:tcBorders>
              <w:top w:val="single" w:sz="8" w:color="CCEEFF"/>
            </w:tcBorders>
            <w:gridSpan w:val="2"/>
          </w:tcPr>
          <w:p>
            <w:pPr>
              <w:spacing w:after="0"/>
              <w:rPr>
                <w:sz w:val="11"/>
                <w:szCs w:val="11"/>
                <w:color w:val="auto"/>
              </w:rPr>
            </w:pPr>
          </w:p>
        </w:tc>
        <w:tc>
          <w:tcPr>
            <w:tcW w:w="8000" w:type="dxa"/>
            <w:vAlign w:val="bottom"/>
            <w:tcBorders>
              <w:top w:val="single" w:sz="8" w:color="CCEEFF"/>
            </w:tcBorders>
          </w:tcPr>
          <w:p>
            <w:pPr>
              <w:ind w:left="1660"/>
              <w:spacing w:after="0" w:line="128" w:lineRule="exact"/>
              <w:rPr>
                <w:sz w:val="20"/>
                <w:szCs w:val="20"/>
                <w:color w:val="auto"/>
              </w:rPr>
            </w:pPr>
            <w:r>
              <w:rPr>
                <w:rFonts w:ascii="Arial" w:cs="Arial" w:eastAsia="Arial" w:hAnsi="Arial"/>
                <w:sz w:val="13"/>
                <w:szCs w:val="13"/>
                <w:color w:val="auto"/>
              </w:rPr>
              <w:t>Constellation Energy Corporation and Constellation Energy Generation, LLC (formerly Exelon Generation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0" w:type="dxa"/>
            <w:vAlign w:val="bottom"/>
          </w:tcPr>
          <w:p>
            <w:pPr>
              <w:ind w:left="1660"/>
              <w:spacing w:after="0"/>
              <w:rPr>
                <w:sz w:val="20"/>
                <w:szCs w:val="20"/>
                <w:color w:val="auto"/>
              </w:rPr>
            </w:pPr>
            <w:r>
              <w:rPr>
                <w:rFonts w:ascii="Arial" w:cs="Arial" w:eastAsia="Arial" w:hAnsi="Arial"/>
                <w:sz w:val="13"/>
                <w:szCs w:val="13"/>
                <w:color w:val="auto"/>
              </w:rPr>
              <w:t>Company, LLC, a subsidiary of Exelon as of December 31, 2021 prior to separation on February 1, 2022)</w:t>
            </w:r>
          </w:p>
        </w:tc>
        <w:tc>
          <w:tcPr>
            <w:tcW w:w="0" w:type="dxa"/>
            <w:vAlign w:val="bottom"/>
          </w:tcPr>
          <w:p>
            <w:pPr>
              <w:spacing w:after="0"/>
              <w:rPr>
                <w:sz w:val="1"/>
                <w:szCs w:val="1"/>
                <w:color w:val="auto"/>
              </w:rPr>
            </w:pPr>
          </w:p>
        </w:tc>
      </w:tr>
      <w:tr>
        <w:trPr>
          <w:trHeight w:val="65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0" w:type="dxa"/>
            <w:vAlign w:val="bottom"/>
          </w:tcPr>
          <w:p>
            <w:pPr>
              <w:ind w:left="23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57"/>
        </w:trPr>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w w:val="96"/>
              </w:rPr>
              <w:t>Other Terms and Abbreviations</w:t>
            </w:r>
          </w:p>
        </w:tc>
        <w:tc>
          <w:tcPr>
            <w:tcW w:w="1080" w:type="dxa"/>
            <w:vAlign w:val="bottom"/>
            <w:vMerge w:val="restart"/>
          </w:tcPr>
          <w:p>
            <w:pPr>
              <w:spacing w:after="0"/>
              <w:rPr>
                <w:sz w:val="16"/>
                <w:szCs w:val="16"/>
                <w:color w:val="auto"/>
              </w:rPr>
            </w:pPr>
          </w:p>
        </w:tc>
        <w:tc>
          <w:tcPr>
            <w:tcW w:w="8280" w:type="dxa"/>
            <w:vAlign w:val="bottom"/>
          </w:tcPr>
          <w:p>
            <w:pPr>
              <w:ind w:left="1100"/>
              <w:spacing w:after="0"/>
              <w:rPr>
                <w:sz w:val="20"/>
                <w:szCs w:val="20"/>
                <w:color w:val="auto"/>
              </w:rPr>
            </w:pPr>
            <w:r>
              <w:rPr>
                <w:rFonts w:ascii="Arial" w:cs="Arial" w:eastAsia="Arial" w:hAnsi="Arial"/>
                <w:sz w:val="14"/>
                <w:szCs w:val="14"/>
                <w:b w:val="1"/>
                <w:bCs w:val="1"/>
                <w:color w:val="auto"/>
              </w:rPr>
              <w:t>GLOSSARY OF TERMS AND ABBREVIATIONS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1900" w:type="dxa"/>
            <w:vAlign w:val="bottom"/>
            <w:tcBorders>
              <w:bottom w:val="single" w:sz="8" w:color="auto"/>
            </w:tcBorders>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i w:val="1"/>
                <w:iCs w:val="1"/>
                <w:color w:val="auto"/>
              </w:rPr>
              <w:t>Note - of the 2025 Form 10-K</w:t>
            </w:r>
          </w:p>
        </w:tc>
        <w:tc>
          <w:tcPr>
            <w:tcW w:w="8280" w:type="dxa"/>
            <w:vAlign w:val="bottom"/>
            <w:shd w:val="clear" w:color="auto" w:fill="CCEEFF"/>
          </w:tcPr>
          <w:p>
            <w:pPr>
              <w:ind w:left="1940"/>
              <w:spacing w:after="0" w:line="134" w:lineRule="exact"/>
              <w:rPr>
                <w:sz w:val="20"/>
                <w:szCs w:val="20"/>
                <w:color w:val="auto"/>
              </w:rPr>
            </w:pPr>
            <w:r>
              <w:rPr>
                <w:rFonts w:ascii="Arial" w:cs="Arial" w:eastAsia="Arial" w:hAnsi="Arial"/>
                <w:sz w:val="13"/>
                <w:szCs w:val="13"/>
                <w:color w:val="auto"/>
                <w:w w:val="98"/>
              </w:rPr>
              <w:t>Reference to specific Combined Note to Consolidated Financial Statements within Exelon's 2025 Annual Report</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on Form 10-K</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ABO</w:t>
            </w:r>
          </w:p>
        </w:tc>
        <w:tc>
          <w:tcPr>
            <w:tcW w:w="8280" w:type="dxa"/>
            <w:vAlign w:val="bottom"/>
          </w:tcPr>
          <w:p>
            <w:pPr>
              <w:ind w:left="1940"/>
              <w:spacing w:after="0"/>
              <w:rPr>
                <w:sz w:val="20"/>
                <w:szCs w:val="20"/>
                <w:color w:val="auto"/>
              </w:rPr>
            </w:pPr>
            <w:r>
              <w:rPr>
                <w:rFonts w:ascii="Arial" w:cs="Arial" w:eastAsia="Arial" w:hAnsi="Arial"/>
                <w:sz w:val="13"/>
                <w:szCs w:val="13"/>
                <w:color w:val="auto"/>
              </w:rPr>
              <w:t>Accumulated Benefit Obligation</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i w:val="1"/>
                <w:iCs w:val="1"/>
                <w:color w:val="auto"/>
              </w:rPr>
              <w:t>AECs</w:t>
            </w:r>
          </w:p>
        </w:tc>
        <w:tc>
          <w:tcPr>
            <w:tcW w:w="8280" w:type="dxa"/>
            <w:vAlign w:val="bottom"/>
            <w:shd w:val="clear" w:color="auto" w:fill="CCEEFF"/>
          </w:tcPr>
          <w:p>
            <w:pPr>
              <w:ind w:left="1940"/>
              <w:spacing w:after="0" w:line="129" w:lineRule="exact"/>
              <w:rPr>
                <w:sz w:val="20"/>
                <w:szCs w:val="20"/>
                <w:color w:val="auto"/>
              </w:rPr>
            </w:pPr>
            <w:r>
              <w:rPr>
                <w:rFonts w:ascii="Arial" w:cs="Arial" w:eastAsia="Arial" w:hAnsi="Arial"/>
                <w:sz w:val="13"/>
                <w:szCs w:val="13"/>
                <w:color w:val="auto"/>
              </w:rPr>
              <w:t>Alternative Energy Credits that are issued for each megawatt hour of generation from a qualified alternative</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energy source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AFUDC</w:t>
            </w:r>
          </w:p>
        </w:tc>
        <w:tc>
          <w:tcPr>
            <w:tcW w:w="8280" w:type="dxa"/>
            <w:vAlign w:val="bottom"/>
          </w:tcPr>
          <w:p>
            <w:pPr>
              <w:ind w:left="1940"/>
              <w:spacing w:after="0"/>
              <w:rPr>
                <w:sz w:val="20"/>
                <w:szCs w:val="20"/>
                <w:color w:val="auto"/>
              </w:rPr>
            </w:pPr>
            <w:r>
              <w:rPr>
                <w:rFonts w:ascii="Arial" w:cs="Arial" w:eastAsia="Arial" w:hAnsi="Arial"/>
                <w:sz w:val="13"/>
                <w:szCs w:val="13"/>
                <w:color w:val="auto"/>
              </w:rPr>
              <w:t>Allowance for Funds Used During Construction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AMI</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Advanced Metering Infrastructure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AOCI</w:t>
            </w:r>
          </w:p>
        </w:tc>
        <w:tc>
          <w:tcPr>
            <w:tcW w:w="8280" w:type="dxa"/>
            <w:vAlign w:val="bottom"/>
          </w:tcPr>
          <w:p>
            <w:pPr>
              <w:ind w:left="1940"/>
              <w:spacing w:after="0"/>
              <w:rPr>
                <w:sz w:val="20"/>
                <w:szCs w:val="20"/>
                <w:color w:val="auto"/>
              </w:rPr>
            </w:pPr>
            <w:r>
              <w:rPr>
                <w:rFonts w:ascii="Arial" w:cs="Arial" w:eastAsia="Arial" w:hAnsi="Arial"/>
                <w:sz w:val="13"/>
                <w:szCs w:val="13"/>
                <w:color w:val="auto"/>
              </w:rPr>
              <w:t>Accumulated Other Comprehensive Income (Loss)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ARO</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Asset Retirement Obligation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ATM</w:t>
            </w:r>
          </w:p>
        </w:tc>
        <w:tc>
          <w:tcPr>
            <w:tcW w:w="8280" w:type="dxa"/>
            <w:vAlign w:val="bottom"/>
          </w:tcPr>
          <w:p>
            <w:pPr>
              <w:ind w:left="1940"/>
              <w:spacing w:after="0"/>
              <w:rPr>
                <w:sz w:val="20"/>
                <w:szCs w:val="20"/>
                <w:color w:val="auto"/>
              </w:rPr>
            </w:pPr>
            <w:r>
              <w:rPr>
                <w:rFonts w:ascii="Arial" w:cs="Arial" w:eastAsia="Arial" w:hAnsi="Arial"/>
                <w:sz w:val="13"/>
                <w:szCs w:val="13"/>
                <w:color w:val="auto"/>
              </w:rPr>
              <w:t>At the market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BGS</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Basic Generation Service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BSA</w:t>
            </w:r>
          </w:p>
        </w:tc>
        <w:tc>
          <w:tcPr>
            <w:tcW w:w="8280" w:type="dxa"/>
            <w:vAlign w:val="bottom"/>
          </w:tcPr>
          <w:p>
            <w:pPr>
              <w:ind w:left="1940"/>
              <w:spacing w:after="0"/>
              <w:rPr>
                <w:sz w:val="20"/>
                <w:szCs w:val="20"/>
                <w:color w:val="auto"/>
              </w:rPr>
            </w:pPr>
            <w:r>
              <w:rPr>
                <w:rFonts w:ascii="Arial" w:cs="Arial" w:eastAsia="Arial" w:hAnsi="Arial"/>
                <w:sz w:val="13"/>
                <w:szCs w:val="13"/>
                <w:color w:val="auto"/>
              </w:rPr>
              <w:t>Bill Stabilization Adjustment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CEJA</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Climate and Equitable Jobs Act; Illinois Public Act 102-0662 signed into law on September 15,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CERCLA</w:t>
            </w:r>
          </w:p>
        </w:tc>
        <w:tc>
          <w:tcPr>
            <w:tcW w:w="8280" w:type="dxa"/>
            <w:vAlign w:val="bottom"/>
          </w:tcPr>
          <w:p>
            <w:pPr>
              <w:ind w:left="1940"/>
              <w:spacing w:after="0"/>
              <w:rPr>
                <w:sz w:val="20"/>
                <w:szCs w:val="20"/>
                <w:color w:val="auto"/>
              </w:rPr>
            </w:pPr>
            <w:r>
              <w:rPr>
                <w:rFonts w:ascii="Arial" w:cs="Arial" w:eastAsia="Arial" w:hAnsi="Arial"/>
                <w:sz w:val="13"/>
                <w:szCs w:val="13"/>
                <w:color w:val="auto"/>
              </w:rPr>
              <w:t>Comprehensive Environmental Response, Compensation, and Liability Act of 1980, as amended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CIP</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Conservation Incentive Program</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Convertible Senior Notes</w:t>
            </w:r>
          </w:p>
        </w:tc>
        <w:tc>
          <w:tcPr>
            <w:tcW w:w="8280" w:type="dxa"/>
            <w:vAlign w:val="bottom"/>
          </w:tcPr>
          <w:p>
            <w:pPr>
              <w:ind w:left="1940"/>
              <w:spacing w:after="0"/>
              <w:rPr>
                <w:sz w:val="20"/>
                <w:szCs w:val="20"/>
                <w:color w:val="auto"/>
              </w:rPr>
            </w:pPr>
            <w:r>
              <w:rPr>
                <w:rFonts w:ascii="Arial" w:cs="Arial" w:eastAsia="Arial" w:hAnsi="Arial"/>
                <w:sz w:val="13"/>
                <w:szCs w:val="13"/>
                <w:color w:val="auto"/>
              </w:rPr>
              <w:t>Exelon's 3.25% Convertible Senior Notes due 2029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CMC</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Carbon Mitigation Credit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CRGA</w:t>
            </w:r>
          </w:p>
        </w:tc>
        <w:tc>
          <w:tcPr>
            <w:tcW w:w="8280" w:type="dxa"/>
            <w:vAlign w:val="bottom"/>
          </w:tcPr>
          <w:p>
            <w:pPr>
              <w:ind w:left="1940"/>
              <w:spacing w:after="0"/>
              <w:rPr>
                <w:sz w:val="20"/>
                <w:szCs w:val="20"/>
                <w:color w:val="auto"/>
              </w:rPr>
            </w:pPr>
            <w:r>
              <w:rPr>
                <w:rFonts w:ascii="Arial" w:cs="Arial" w:eastAsia="Arial" w:hAnsi="Arial"/>
                <w:sz w:val="13"/>
                <w:szCs w:val="13"/>
                <w:color w:val="auto"/>
              </w:rPr>
              <w:t>Clean and Reliable Grid Affordability Act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CODMs</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Chief Operating Decision Makers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DC PLUG</w:t>
            </w:r>
          </w:p>
        </w:tc>
        <w:tc>
          <w:tcPr>
            <w:tcW w:w="8280" w:type="dxa"/>
            <w:vAlign w:val="bottom"/>
          </w:tcPr>
          <w:p>
            <w:pPr>
              <w:ind w:left="1940"/>
              <w:spacing w:after="0"/>
              <w:rPr>
                <w:sz w:val="20"/>
                <w:szCs w:val="20"/>
                <w:color w:val="auto"/>
              </w:rPr>
            </w:pPr>
            <w:r>
              <w:rPr>
                <w:rFonts w:ascii="Arial" w:cs="Arial" w:eastAsia="Arial" w:hAnsi="Arial"/>
                <w:sz w:val="13"/>
                <w:szCs w:val="13"/>
                <w:color w:val="auto"/>
              </w:rPr>
              <w:t>District of Columbia Power Line Undergrounding Initiative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DCPSC</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Public Service Commission of the District of Columbia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DEPSC</w:t>
            </w:r>
          </w:p>
        </w:tc>
        <w:tc>
          <w:tcPr>
            <w:tcW w:w="8280" w:type="dxa"/>
            <w:vAlign w:val="bottom"/>
          </w:tcPr>
          <w:p>
            <w:pPr>
              <w:ind w:left="1940"/>
              <w:spacing w:after="0"/>
              <w:rPr>
                <w:sz w:val="20"/>
                <w:szCs w:val="20"/>
                <w:color w:val="auto"/>
              </w:rPr>
            </w:pPr>
            <w:r>
              <w:rPr>
                <w:rFonts w:ascii="Arial" w:cs="Arial" w:eastAsia="Arial" w:hAnsi="Arial"/>
                <w:sz w:val="13"/>
                <w:szCs w:val="13"/>
                <w:color w:val="auto"/>
              </w:rPr>
              <w:t>Delaware Public Service Commission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DOEE</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District of Columbia Department of Energy &amp; Environment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DPA</w:t>
            </w:r>
          </w:p>
        </w:tc>
        <w:tc>
          <w:tcPr>
            <w:tcW w:w="8280" w:type="dxa"/>
            <w:vAlign w:val="bottom"/>
          </w:tcPr>
          <w:p>
            <w:pPr>
              <w:ind w:left="1940"/>
              <w:spacing w:after="0"/>
              <w:rPr>
                <w:sz w:val="20"/>
                <w:szCs w:val="20"/>
                <w:color w:val="auto"/>
              </w:rPr>
            </w:pPr>
            <w:r>
              <w:rPr>
                <w:rFonts w:ascii="Arial" w:cs="Arial" w:eastAsia="Arial" w:hAnsi="Arial"/>
                <w:sz w:val="13"/>
                <w:szCs w:val="13"/>
                <w:color w:val="auto"/>
              </w:rPr>
              <w:t>Deferred Prosecution Agreement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DPP</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Deferred Purchase 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DSIC</w:t>
            </w:r>
          </w:p>
        </w:tc>
        <w:tc>
          <w:tcPr>
            <w:tcW w:w="8280" w:type="dxa"/>
            <w:vAlign w:val="bottom"/>
            <w:vMerge w:val="restart"/>
          </w:tcPr>
          <w:p>
            <w:pPr>
              <w:ind w:left="1940"/>
              <w:spacing w:after="0"/>
              <w:rPr>
                <w:sz w:val="20"/>
                <w:szCs w:val="20"/>
                <w:color w:val="auto"/>
              </w:rPr>
            </w:pPr>
            <w:r>
              <w:rPr>
                <w:rFonts w:ascii="Arial" w:cs="Arial" w:eastAsia="Arial" w:hAnsi="Arial"/>
                <w:sz w:val="13"/>
                <w:szCs w:val="13"/>
                <w:color w:val="auto"/>
              </w:rPr>
              <w:t>Distribution System Improvement Charge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EDIT</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Excess Deferred Income Taxes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EPA</w:t>
            </w:r>
          </w:p>
        </w:tc>
        <w:tc>
          <w:tcPr>
            <w:tcW w:w="8280" w:type="dxa"/>
            <w:vAlign w:val="bottom"/>
          </w:tcPr>
          <w:p>
            <w:pPr>
              <w:ind w:left="1940"/>
              <w:spacing w:after="0"/>
              <w:rPr>
                <w:sz w:val="20"/>
                <w:szCs w:val="20"/>
                <w:color w:val="auto"/>
              </w:rPr>
            </w:pPr>
            <w:r>
              <w:rPr>
                <w:rFonts w:ascii="Arial" w:cs="Arial" w:eastAsia="Arial" w:hAnsi="Arial"/>
                <w:sz w:val="13"/>
                <w:szCs w:val="13"/>
                <w:color w:val="auto"/>
              </w:rPr>
              <w:t>United States Environmental Protection Agency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ERCOT</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Electric Reliability Council of Texas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ERISA</w:t>
            </w:r>
          </w:p>
        </w:tc>
        <w:tc>
          <w:tcPr>
            <w:tcW w:w="8280" w:type="dxa"/>
            <w:vAlign w:val="bottom"/>
          </w:tcPr>
          <w:p>
            <w:pPr>
              <w:ind w:left="1940"/>
              <w:spacing w:after="0"/>
              <w:rPr>
                <w:sz w:val="20"/>
                <w:szCs w:val="20"/>
                <w:color w:val="auto"/>
              </w:rPr>
            </w:pPr>
            <w:r>
              <w:rPr>
                <w:rFonts w:ascii="Arial" w:cs="Arial" w:eastAsia="Arial" w:hAnsi="Arial"/>
                <w:sz w:val="13"/>
                <w:szCs w:val="13"/>
                <w:color w:val="auto"/>
              </w:rPr>
              <w:t>Employee Retirement Income Security Act of 1974, as amended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ETAC</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Energy Transition Assistance Charge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FERC</w:t>
            </w:r>
          </w:p>
        </w:tc>
        <w:tc>
          <w:tcPr>
            <w:tcW w:w="8280" w:type="dxa"/>
            <w:vAlign w:val="bottom"/>
          </w:tcPr>
          <w:p>
            <w:pPr>
              <w:ind w:left="1940"/>
              <w:spacing w:after="0"/>
              <w:rPr>
                <w:sz w:val="20"/>
                <w:szCs w:val="20"/>
                <w:color w:val="auto"/>
              </w:rPr>
            </w:pPr>
            <w:r>
              <w:rPr>
                <w:rFonts w:ascii="Arial" w:cs="Arial" w:eastAsia="Arial" w:hAnsi="Arial"/>
                <w:sz w:val="13"/>
                <w:szCs w:val="13"/>
                <w:color w:val="auto"/>
              </w:rPr>
              <w:t>Federal Energy Regulatory Commission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GAAP</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Generally Accepted Accounting Principles in the United States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GCR</w:t>
            </w:r>
          </w:p>
        </w:tc>
        <w:tc>
          <w:tcPr>
            <w:tcW w:w="8280" w:type="dxa"/>
            <w:vAlign w:val="bottom"/>
          </w:tcPr>
          <w:p>
            <w:pPr>
              <w:ind w:left="1940"/>
              <w:spacing w:after="0"/>
              <w:rPr>
                <w:sz w:val="20"/>
                <w:szCs w:val="20"/>
                <w:color w:val="auto"/>
              </w:rPr>
            </w:pPr>
            <w:r>
              <w:rPr>
                <w:rFonts w:ascii="Arial" w:cs="Arial" w:eastAsia="Arial" w:hAnsi="Arial"/>
                <w:sz w:val="13"/>
                <w:szCs w:val="13"/>
                <w:color w:val="auto"/>
              </w:rPr>
              <w:t>Gas Cost Rate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GSA</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Generation Supply Adjustment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GWhs</w:t>
            </w:r>
          </w:p>
        </w:tc>
        <w:tc>
          <w:tcPr>
            <w:tcW w:w="8280" w:type="dxa"/>
            <w:vAlign w:val="bottom"/>
          </w:tcPr>
          <w:p>
            <w:pPr>
              <w:ind w:left="1940"/>
              <w:spacing w:after="0"/>
              <w:rPr>
                <w:sz w:val="20"/>
                <w:szCs w:val="20"/>
                <w:color w:val="auto"/>
              </w:rPr>
            </w:pPr>
            <w:r>
              <w:rPr>
                <w:rFonts w:ascii="Arial" w:cs="Arial" w:eastAsia="Arial" w:hAnsi="Arial"/>
                <w:sz w:val="13"/>
                <w:szCs w:val="13"/>
                <w:color w:val="auto"/>
              </w:rPr>
              <w:t>Gigawatt hours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ICC</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Illinois Commerce Commission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IIJA</w:t>
            </w:r>
          </w:p>
        </w:tc>
        <w:tc>
          <w:tcPr>
            <w:tcW w:w="8280" w:type="dxa"/>
            <w:vAlign w:val="bottom"/>
          </w:tcPr>
          <w:p>
            <w:pPr>
              <w:ind w:left="1940"/>
              <w:spacing w:after="0"/>
              <w:rPr>
                <w:sz w:val="20"/>
                <w:szCs w:val="20"/>
                <w:color w:val="auto"/>
              </w:rPr>
            </w:pPr>
            <w:r>
              <w:rPr>
                <w:rFonts w:ascii="Arial" w:cs="Arial" w:eastAsia="Arial" w:hAnsi="Arial"/>
                <w:sz w:val="13"/>
                <w:szCs w:val="13"/>
                <w:color w:val="auto"/>
              </w:rPr>
              <w:t>Infrastructure Investment and Jobs Act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Illinois Settlement Legislation</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Legislation enacted in 2007 affecting electric utilities in Illinois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IPA</w:t>
            </w:r>
          </w:p>
        </w:tc>
        <w:tc>
          <w:tcPr>
            <w:tcW w:w="8280" w:type="dxa"/>
            <w:vAlign w:val="bottom"/>
          </w:tcPr>
          <w:p>
            <w:pPr>
              <w:ind w:left="1940"/>
              <w:spacing w:after="0"/>
              <w:rPr>
                <w:sz w:val="20"/>
                <w:szCs w:val="20"/>
                <w:color w:val="auto"/>
              </w:rPr>
            </w:pPr>
            <w:r>
              <w:rPr>
                <w:rFonts w:ascii="Arial" w:cs="Arial" w:eastAsia="Arial" w:hAnsi="Arial"/>
                <w:sz w:val="13"/>
                <w:szCs w:val="13"/>
                <w:color w:val="auto"/>
              </w:rPr>
              <w:t>Illinois Power Agency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IRA</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Inflation Reduction Act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IRC</w:t>
            </w:r>
          </w:p>
        </w:tc>
        <w:tc>
          <w:tcPr>
            <w:tcW w:w="8280" w:type="dxa"/>
            <w:vAlign w:val="bottom"/>
          </w:tcPr>
          <w:p>
            <w:pPr>
              <w:ind w:left="1940"/>
              <w:spacing w:after="0"/>
              <w:rPr>
                <w:sz w:val="20"/>
                <w:szCs w:val="20"/>
                <w:color w:val="auto"/>
              </w:rPr>
            </w:pPr>
            <w:r>
              <w:rPr>
                <w:rFonts w:ascii="Arial" w:cs="Arial" w:eastAsia="Arial" w:hAnsi="Arial"/>
                <w:sz w:val="13"/>
                <w:szCs w:val="13"/>
                <w:color w:val="auto"/>
              </w:rPr>
              <w:t>Internal Revenue Code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IRS</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Internal Revenue Service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MDPSC</w:t>
            </w:r>
          </w:p>
        </w:tc>
        <w:tc>
          <w:tcPr>
            <w:tcW w:w="8280" w:type="dxa"/>
            <w:vAlign w:val="bottom"/>
          </w:tcPr>
          <w:p>
            <w:pPr>
              <w:ind w:left="1940"/>
              <w:spacing w:after="0"/>
              <w:rPr>
                <w:sz w:val="20"/>
                <w:szCs w:val="20"/>
                <w:color w:val="auto"/>
              </w:rPr>
            </w:pPr>
            <w:r>
              <w:rPr>
                <w:rFonts w:ascii="Arial" w:cs="Arial" w:eastAsia="Arial" w:hAnsi="Arial"/>
                <w:sz w:val="13"/>
                <w:szCs w:val="13"/>
                <w:color w:val="auto"/>
              </w:rPr>
              <w:t>Maryland Public Service Commission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MGP</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Manufactured Gas Plant</w:t>
            </w: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80" w:type="dxa"/>
            <w:vAlign w:val="bottom"/>
          </w:tcPr>
          <w:p>
            <w:pPr>
              <w:ind w:left="26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657"/>
        </w:trPr>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w w:val="96"/>
              </w:rPr>
              <w:t>Other Terms and Abbreviations</w:t>
            </w:r>
          </w:p>
        </w:tc>
        <w:tc>
          <w:tcPr>
            <w:tcW w:w="1080" w:type="dxa"/>
            <w:vAlign w:val="bottom"/>
            <w:vMerge w:val="restart"/>
          </w:tcPr>
          <w:p>
            <w:pPr>
              <w:spacing w:after="0"/>
              <w:rPr>
                <w:sz w:val="16"/>
                <w:szCs w:val="16"/>
                <w:color w:val="auto"/>
              </w:rPr>
            </w:pPr>
          </w:p>
        </w:tc>
        <w:tc>
          <w:tcPr>
            <w:tcW w:w="8280" w:type="dxa"/>
            <w:vAlign w:val="bottom"/>
          </w:tcPr>
          <w:p>
            <w:pPr>
              <w:ind w:left="1100"/>
              <w:spacing w:after="0"/>
              <w:rPr>
                <w:sz w:val="20"/>
                <w:szCs w:val="20"/>
                <w:color w:val="auto"/>
              </w:rPr>
            </w:pPr>
            <w:r>
              <w:rPr>
                <w:rFonts w:ascii="Arial" w:cs="Arial" w:eastAsia="Arial" w:hAnsi="Arial"/>
                <w:sz w:val="14"/>
                <w:szCs w:val="14"/>
                <w:b w:val="1"/>
                <w:bCs w:val="1"/>
                <w:color w:val="auto"/>
              </w:rPr>
              <w:t>GLOSSARY OF TERMS AND ABBREVIATIONS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Borders>
              <w:bottom w:val="single" w:sz="8" w:color="auto"/>
            </w:tcBorders>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280" w:type="dxa"/>
            <w:vAlign w:val="bottom"/>
            <w:vMerge w:val="restart"/>
          </w:tcPr>
          <w:p>
            <w:pPr>
              <w:ind w:left="1940"/>
              <w:spacing w:after="0"/>
              <w:rPr>
                <w:sz w:val="20"/>
                <w:szCs w:val="20"/>
                <w:color w:val="auto"/>
              </w:rPr>
            </w:pPr>
            <w:r>
              <w:rPr>
                <w:rFonts w:ascii="Arial" w:cs="Arial" w:eastAsia="Arial" w:hAnsi="Arial"/>
                <w:sz w:val="13"/>
                <w:szCs w:val="13"/>
                <w:color w:val="auto"/>
              </w:rPr>
              <w:t>Million Cubic Feet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mmcf</w:t>
            </w:r>
          </w:p>
        </w:tc>
        <w:tc>
          <w:tcPr>
            <w:tcW w:w="8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MRP</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Multi-Year Rate Plan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MWh</w:t>
            </w:r>
          </w:p>
        </w:tc>
        <w:tc>
          <w:tcPr>
            <w:tcW w:w="8280" w:type="dxa"/>
            <w:vAlign w:val="bottom"/>
          </w:tcPr>
          <w:p>
            <w:pPr>
              <w:ind w:left="1940"/>
              <w:spacing w:after="0"/>
              <w:rPr>
                <w:sz w:val="20"/>
                <w:szCs w:val="20"/>
                <w:color w:val="auto"/>
              </w:rPr>
            </w:pPr>
            <w:r>
              <w:rPr>
                <w:rFonts w:ascii="Arial" w:cs="Arial" w:eastAsia="Arial" w:hAnsi="Arial"/>
                <w:sz w:val="13"/>
                <w:szCs w:val="13"/>
                <w:color w:val="auto"/>
              </w:rPr>
              <w:t>Megawatt hour</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N/A</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Not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NAV</w:t>
            </w:r>
          </w:p>
        </w:tc>
        <w:tc>
          <w:tcPr>
            <w:tcW w:w="8280" w:type="dxa"/>
            <w:vAlign w:val="bottom"/>
          </w:tcPr>
          <w:p>
            <w:pPr>
              <w:ind w:left="1940"/>
              <w:spacing w:after="0"/>
              <w:rPr>
                <w:sz w:val="20"/>
                <w:szCs w:val="20"/>
                <w:color w:val="auto"/>
              </w:rPr>
            </w:pPr>
            <w:r>
              <w:rPr>
                <w:rFonts w:ascii="Arial" w:cs="Arial" w:eastAsia="Arial" w:hAnsi="Arial"/>
                <w:sz w:val="13"/>
                <w:szCs w:val="13"/>
                <w:color w:val="auto"/>
              </w:rPr>
              <w:t>Net Asset Value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NDT</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Nuclear Decommissioning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NJBPU</w:t>
            </w:r>
          </w:p>
        </w:tc>
        <w:tc>
          <w:tcPr>
            <w:tcW w:w="8280" w:type="dxa"/>
            <w:vAlign w:val="bottom"/>
          </w:tcPr>
          <w:p>
            <w:pPr>
              <w:ind w:left="1940"/>
              <w:spacing w:after="0"/>
              <w:rPr>
                <w:sz w:val="20"/>
                <w:szCs w:val="20"/>
                <w:color w:val="auto"/>
              </w:rPr>
            </w:pPr>
            <w:r>
              <w:rPr>
                <w:rFonts w:ascii="Arial" w:cs="Arial" w:eastAsia="Arial" w:hAnsi="Arial"/>
                <w:sz w:val="13"/>
                <w:szCs w:val="13"/>
                <w:color w:val="auto"/>
              </w:rPr>
              <w:t>New Jersey Board of Public Utilities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i w:val="1"/>
                <w:iCs w:val="1"/>
                <w:color w:val="auto"/>
              </w:rPr>
              <w:t>Non-Regulatory Agreement Units</w:t>
            </w:r>
          </w:p>
        </w:tc>
        <w:tc>
          <w:tcPr>
            <w:tcW w:w="8280" w:type="dxa"/>
            <w:vAlign w:val="bottom"/>
            <w:shd w:val="clear" w:color="auto" w:fill="CCEEFF"/>
          </w:tcPr>
          <w:p>
            <w:pPr>
              <w:ind w:left="1940"/>
              <w:spacing w:after="0" w:line="129" w:lineRule="exact"/>
              <w:rPr>
                <w:sz w:val="20"/>
                <w:szCs w:val="20"/>
                <w:color w:val="auto"/>
              </w:rPr>
            </w:pPr>
            <w:r>
              <w:rPr>
                <w:rFonts w:ascii="Arial" w:cs="Arial" w:eastAsia="Arial" w:hAnsi="Arial"/>
                <w:sz w:val="13"/>
                <w:szCs w:val="13"/>
                <w:color w:val="auto"/>
              </w:rPr>
              <w:t>Nuclear generating units or portions thereof whose decommissioning-related activities are not subject to</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contractual elimination under regulatory accounting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NOLC</w:t>
            </w:r>
          </w:p>
        </w:tc>
        <w:tc>
          <w:tcPr>
            <w:tcW w:w="8280" w:type="dxa"/>
            <w:vAlign w:val="bottom"/>
          </w:tcPr>
          <w:p>
            <w:pPr>
              <w:ind w:left="1940"/>
              <w:spacing w:after="0"/>
              <w:rPr>
                <w:sz w:val="20"/>
                <w:szCs w:val="20"/>
                <w:color w:val="auto"/>
              </w:rPr>
            </w:pPr>
            <w:r>
              <w:rPr>
                <w:rFonts w:ascii="Arial" w:cs="Arial" w:eastAsia="Arial" w:hAnsi="Arial"/>
                <w:sz w:val="13"/>
                <w:szCs w:val="13"/>
                <w:color w:val="auto"/>
              </w:rPr>
              <w:t>Tax Net Operating Loss Carryforward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NPNS</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Normal Purchase Normal Sale scope exception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NPS</w:t>
            </w:r>
          </w:p>
        </w:tc>
        <w:tc>
          <w:tcPr>
            <w:tcW w:w="8280" w:type="dxa"/>
            <w:vAlign w:val="bottom"/>
          </w:tcPr>
          <w:p>
            <w:pPr>
              <w:ind w:left="1940"/>
              <w:spacing w:after="0"/>
              <w:rPr>
                <w:sz w:val="20"/>
                <w:szCs w:val="20"/>
                <w:color w:val="auto"/>
              </w:rPr>
            </w:pPr>
            <w:r>
              <w:rPr>
                <w:rFonts w:ascii="Arial" w:cs="Arial" w:eastAsia="Arial" w:hAnsi="Arial"/>
                <w:sz w:val="13"/>
                <w:szCs w:val="13"/>
                <w:color w:val="auto"/>
              </w:rPr>
              <w:t>National Park Service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NRD</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Natural Resources Damages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OCI</w:t>
            </w:r>
          </w:p>
        </w:tc>
        <w:tc>
          <w:tcPr>
            <w:tcW w:w="8280" w:type="dxa"/>
            <w:vAlign w:val="bottom"/>
          </w:tcPr>
          <w:p>
            <w:pPr>
              <w:ind w:left="1940"/>
              <w:spacing w:after="0"/>
              <w:rPr>
                <w:sz w:val="20"/>
                <w:szCs w:val="20"/>
                <w:color w:val="auto"/>
              </w:rPr>
            </w:pPr>
            <w:r>
              <w:rPr>
                <w:rFonts w:ascii="Arial" w:cs="Arial" w:eastAsia="Arial" w:hAnsi="Arial"/>
                <w:sz w:val="13"/>
                <w:szCs w:val="13"/>
                <w:color w:val="auto"/>
              </w:rPr>
              <w:t>Other Comprehensive Income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OPEB</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Other Postretirement Employee Benefits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PAPUC</w:t>
            </w:r>
          </w:p>
        </w:tc>
        <w:tc>
          <w:tcPr>
            <w:tcW w:w="8280" w:type="dxa"/>
            <w:vAlign w:val="bottom"/>
          </w:tcPr>
          <w:p>
            <w:pPr>
              <w:ind w:left="1940"/>
              <w:spacing w:after="0"/>
              <w:rPr>
                <w:sz w:val="20"/>
                <w:szCs w:val="20"/>
                <w:color w:val="auto"/>
              </w:rPr>
            </w:pPr>
            <w:r>
              <w:rPr>
                <w:rFonts w:ascii="Arial" w:cs="Arial" w:eastAsia="Arial" w:hAnsi="Arial"/>
                <w:sz w:val="13"/>
                <w:szCs w:val="13"/>
                <w:color w:val="auto"/>
              </w:rPr>
              <w:t>Pennsylvania Public Utility Commission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PGC</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Purchased Gas Cost Clause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PJM</w:t>
            </w:r>
          </w:p>
        </w:tc>
        <w:tc>
          <w:tcPr>
            <w:tcW w:w="8280" w:type="dxa"/>
            <w:vAlign w:val="bottom"/>
          </w:tcPr>
          <w:p>
            <w:pPr>
              <w:ind w:left="1940"/>
              <w:spacing w:after="0"/>
              <w:rPr>
                <w:sz w:val="20"/>
                <w:szCs w:val="20"/>
                <w:color w:val="auto"/>
              </w:rPr>
            </w:pPr>
            <w:r>
              <w:rPr>
                <w:rFonts w:ascii="Arial" w:cs="Arial" w:eastAsia="Arial" w:hAnsi="Arial"/>
                <w:sz w:val="13"/>
                <w:szCs w:val="13"/>
                <w:color w:val="auto"/>
              </w:rPr>
              <w:t>PJM Interconnection, LLC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PLR</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Private Letter Ruling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POLR</w:t>
            </w:r>
          </w:p>
        </w:tc>
        <w:tc>
          <w:tcPr>
            <w:tcW w:w="8280" w:type="dxa"/>
            <w:vAlign w:val="bottom"/>
          </w:tcPr>
          <w:p>
            <w:pPr>
              <w:ind w:left="1940"/>
              <w:spacing w:after="0"/>
              <w:rPr>
                <w:sz w:val="20"/>
                <w:szCs w:val="20"/>
                <w:color w:val="auto"/>
              </w:rPr>
            </w:pPr>
            <w:r>
              <w:rPr>
                <w:rFonts w:ascii="Arial" w:cs="Arial" w:eastAsia="Arial" w:hAnsi="Arial"/>
                <w:sz w:val="13"/>
                <w:szCs w:val="13"/>
                <w:color w:val="auto"/>
              </w:rPr>
              <w:t>Provider of Last Resort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PP&amp;E</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Property, Plant, and Equipment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PRPs</w:t>
            </w:r>
          </w:p>
        </w:tc>
        <w:tc>
          <w:tcPr>
            <w:tcW w:w="8280" w:type="dxa"/>
            <w:vAlign w:val="bottom"/>
          </w:tcPr>
          <w:p>
            <w:pPr>
              <w:ind w:left="1940"/>
              <w:spacing w:after="0"/>
              <w:rPr>
                <w:sz w:val="20"/>
                <w:szCs w:val="20"/>
                <w:color w:val="auto"/>
              </w:rPr>
            </w:pPr>
            <w:r>
              <w:rPr>
                <w:rFonts w:ascii="Arial" w:cs="Arial" w:eastAsia="Arial" w:hAnsi="Arial"/>
                <w:sz w:val="13"/>
                <w:szCs w:val="13"/>
                <w:color w:val="auto"/>
              </w:rPr>
              <w:t>Potentially Responsible Parties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i w:val="1"/>
                <w:iCs w:val="1"/>
                <w:color w:val="auto"/>
              </w:rPr>
              <w:t>REC</w:t>
            </w:r>
          </w:p>
        </w:tc>
        <w:tc>
          <w:tcPr>
            <w:tcW w:w="8280" w:type="dxa"/>
            <w:vAlign w:val="bottom"/>
            <w:shd w:val="clear" w:color="auto" w:fill="CCEEFF"/>
          </w:tcPr>
          <w:p>
            <w:pPr>
              <w:ind w:left="1940"/>
              <w:spacing w:after="0" w:line="129" w:lineRule="exact"/>
              <w:rPr>
                <w:sz w:val="20"/>
                <w:szCs w:val="20"/>
                <w:color w:val="auto"/>
              </w:rPr>
            </w:pPr>
            <w:r>
              <w:rPr>
                <w:rFonts w:ascii="Arial" w:cs="Arial" w:eastAsia="Arial" w:hAnsi="Arial"/>
                <w:sz w:val="13"/>
                <w:szCs w:val="13"/>
                <w:color w:val="auto"/>
              </w:rPr>
              <w:t>Renewable Energy Credit which is issued for each megawatt hour of generation from a qualified renewable</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energy source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80" w:type="dxa"/>
            <w:vAlign w:val="bottom"/>
            <w:gridSpan w:val="2"/>
          </w:tcPr>
          <w:p>
            <w:pPr>
              <w:spacing w:after="0" w:line="128" w:lineRule="exact"/>
              <w:rPr>
                <w:sz w:val="20"/>
                <w:szCs w:val="20"/>
                <w:color w:val="auto"/>
              </w:rPr>
            </w:pPr>
            <w:r>
              <w:rPr>
                <w:rFonts w:ascii="Arial" w:cs="Arial" w:eastAsia="Arial" w:hAnsi="Arial"/>
                <w:sz w:val="13"/>
                <w:szCs w:val="13"/>
                <w:i w:val="1"/>
                <w:iCs w:val="1"/>
                <w:color w:val="auto"/>
              </w:rPr>
              <w:t>Regulatory Agreement Units</w:t>
            </w:r>
          </w:p>
        </w:tc>
        <w:tc>
          <w:tcPr>
            <w:tcW w:w="8280" w:type="dxa"/>
            <w:vAlign w:val="bottom"/>
          </w:tcPr>
          <w:p>
            <w:pPr>
              <w:ind w:left="1940"/>
              <w:spacing w:after="0" w:line="128" w:lineRule="exact"/>
              <w:rPr>
                <w:sz w:val="20"/>
                <w:szCs w:val="20"/>
                <w:color w:val="auto"/>
              </w:rPr>
            </w:pPr>
            <w:r>
              <w:rPr>
                <w:rFonts w:ascii="Arial" w:cs="Arial" w:eastAsia="Arial" w:hAnsi="Arial"/>
                <w:sz w:val="13"/>
                <w:szCs w:val="13"/>
                <w:color w:val="auto"/>
                <w:w w:val="99"/>
              </w:rPr>
              <w:t>Nuclear generating units or portions thereof whose decommissioning-related activities are subject to regulatory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80" w:type="dxa"/>
            <w:vAlign w:val="bottom"/>
          </w:tcPr>
          <w:p>
            <w:pPr>
              <w:ind w:left="1940"/>
              <w:spacing w:after="0"/>
              <w:rPr>
                <w:sz w:val="20"/>
                <w:szCs w:val="20"/>
                <w:color w:val="auto"/>
              </w:rPr>
            </w:pPr>
            <w:r>
              <w:rPr>
                <w:rFonts w:ascii="Arial" w:cs="Arial" w:eastAsia="Arial" w:hAnsi="Arial"/>
                <w:sz w:val="13"/>
                <w:szCs w:val="13"/>
                <w:color w:val="auto"/>
              </w:rPr>
              <w:t>agreements with the ICC and PAPUC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RFP</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Request for Proposal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Rider</w:t>
            </w:r>
          </w:p>
        </w:tc>
        <w:tc>
          <w:tcPr>
            <w:tcW w:w="8280" w:type="dxa"/>
            <w:vAlign w:val="bottom"/>
          </w:tcPr>
          <w:p>
            <w:pPr>
              <w:ind w:left="1940"/>
              <w:spacing w:after="0"/>
              <w:rPr>
                <w:sz w:val="20"/>
                <w:szCs w:val="20"/>
                <w:color w:val="auto"/>
              </w:rPr>
            </w:pPr>
            <w:r>
              <w:rPr>
                <w:rFonts w:ascii="Arial" w:cs="Arial" w:eastAsia="Arial" w:hAnsi="Arial"/>
                <w:sz w:val="13"/>
                <w:szCs w:val="13"/>
                <w:color w:val="auto"/>
              </w:rPr>
              <w:t>Reconcilable Surcharge Recovery Mechanism</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ROE</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Return on Equity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ROU</w:t>
            </w:r>
          </w:p>
        </w:tc>
        <w:tc>
          <w:tcPr>
            <w:tcW w:w="8280" w:type="dxa"/>
            <w:vAlign w:val="bottom"/>
          </w:tcPr>
          <w:p>
            <w:pPr>
              <w:ind w:left="1940"/>
              <w:spacing w:after="0"/>
              <w:rPr>
                <w:sz w:val="20"/>
                <w:szCs w:val="20"/>
                <w:color w:val="auto"/>
              </w:rPr>
            </w:pPr>
            <w:r>
              <w:rPr>
                <w:rFonts w:ascii="Arial" w:cs="Arial" w:eastAsia="Arial" w:hAnsi="Arial"/>
                <w:sz w:val="13"/>
                <w:szCs w:val="13"/>
                <w:color w:val="auto"/>
              </w:rPr>
              <w:t>Right-of-use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RTO</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Regional Transmission Organization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RUBC</w:t>
            </w:r>
          </w:p>
        </w:tc>
        <w:tc>
          <w:tcPr>
            <w:tcW w:w="8280" w:type="dxa"/>
            <w:vAlign w:val="bottom"/>
          </w:tcPr>
          <w:p>
            <w:pPr>
              <w:ind w:left="1940"/>
              <w:spacing w:after="0"/>
              <w:rPr>
                <w:sz w:val="20"/>
                <w:szCs w:val="20"/>
                <w:color w:val="auto"/>
              </w:rPr>
            </w:pPr>
            <w:r>
              <w:rPr>
                <w:rFonts w:ascii="Arial" w:cs="Arial" w:eastAsia="Arial" w:hAnsi="Arial"/>
                <w:sz w:val="13"/>
                <w:szCs w:val="13"/>
                <w:color w:val="auto"/>
              </w:rPr>
              <w:t>Residential Universal Bill Credit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S&amp;P</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Standard &amp; Poor’s Ratings Services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SEC</w:t>
            </w:r>
          </w:p>
        </w:tc>
        <w:tc>
          <w:tcPr>
            <w:tcW w:w="8280" w:type="dxa"/>
            <w:vAlign w:val="bottom"/>
          </w:tcPr>
          <w:p>
            <w:pPr>
              <w:ind w:left="1940"/>
              <w:spacing w:after="0"/>
              <w:rPr>
                <w:sz w:val="20"/>
                <w:szCs w:val="20"/>
                <w:color w:val="auto"/>
              </w:rPr>
            </w:pPr>
            <w:r>
              <w:rPr>
                <w:rFonts w:ascii="Arial" w:cs="Arial" w:eastAsia="Arial" w:hAnsi="Arial"/>
                <w:sz w:val="13"/>
                <w:szCs w:val="13"/>
                <w:color w:val="auto"/>
              </w:rPr>
              <w:t>United States Securities and Exchange Commission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SOFR</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Secured Overnight Financing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SOS</w:t>
            </w:r>
          </w:p>
        </w:tc>
        <w:tc>
          <w:tcPr>
            <w:tcW w:w="8280" w:type="dxa"/>
            <w:vAlign w:val="bottom"/>
          </w:tcPr>
          <w:p>
            <w:pPr>
              <w:ind w:left="1940"/>
              <w:spacing w:after="0"/>
              <w:rPr>
                <w:sz w:val="20"/>
                <w:szCs w:val="20"/>
                <w:color w:val="auto"/>
              </w:rPr>
            </w:pPr>
            <w:r>
              <w:rPr>
                <w:rFonts w:ascii="Arial" w:cs="Arial" w:eastAsia="Arial" w:hAnsi="Arial"/>
                <w:sz w:val="13"/>
                <w:szCs w:val="13"/>
                <w:color w:val="auto"/>
              </w:rPr>
              <w:t>Standard Offer Service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TCJA</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Tax Cuts and Jobs Act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TSC</w:t>
            </w:r>
          </w:p>
        </w:tc>
        <w:tc>
          <w:tcPr>
            <w:tcW w:w="8280" w:type="dxa"/>
            <w:vAlign w:val="bottom"/>
          </w:tcPr>
          <w:p>
            <w:pPr>
              <w:ind w:left="1940"/>
              <w:spacing w:after="0"/>
              <w:rPr>
                <w:sz w:val="20"/>
                <w:szCs w:val="20"/>
                <w:color w:val="auto"/>
              </w:rPr>
            </w:pPr>
            <w:r>
              <w:rPr>
                <w:rFonts w:ascii="Arial" w:cs="Arial" w:eastAsia="Arial" w:hAnsi="Arial"/>
                <w:sz w:val="13"/>
                <w:szCs w:val="13"/>
                <w:color w:val="auto"/>
              </w:rPr>
              <w:t>Transmission Service Charge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Transition Bonds</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Transition Bonds issued by Atlantic City Electric Transition Funding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i w:val="1"/>
                <w:iCs w:val="1"/>
                <w:color w:val="auto"/>
              </w:rPr>
              <w:t>USAO</w:t>
            </w:r>
          </w:p>
        </w:tc>
        <w:tc>
          <w:tcPr>
            <w:tcW w:w="8280" w:type="dxa"/>
            <w:vAlign w:val="bottom"/>
          </w:tcPr>
          <w:p>
            <w:pPr>
              <w:ind w:left="1940"/>
              <w:spacing w:after="0"/>
              <w:rPr>
                <w:sz w:val="20"/>
                <w:szCs w:val="20"/>
                <w:color w:val="auto"/>
              </w:rPr>
            </w:pPr>
            <w:r>
              <w:rPr>
                <w:rFonts w:ascii="Arial" w:cs="Arial" w:eastAsia="Arial" w:hAnsi="Arial"/>
                <w:sz w:val="13"/>
                <w:szCs w:val="13"/>
                <w:color w:val="auto"/>
              </w:rPr>
              <w:t>United States Attorney's Office for the Northern District of Illinois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ZEC</w:t>
            </w:r>
          </w:p>
        </w:tc>
        <w:tc>
          <w:tcPr>
            <w:tcW w:w="828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Zero Emission Credit</w:t>
            </w: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80" w:type="dxa"/>
            <w:vAlign w:val="bottom"/>
          </w:tcPr>
          <w:p>
            <w:pPr>
              <w:ind w:left="260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57"/>
        </w:trPr>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FILING FORMAT</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This combined Form 10 -Q is being filed separately by Exelon Corporation, Commonwealth Edison Company, PECO Energy Company, Baltimore Gas and Electric Company, Pepco Holdings LLC, Potomac Electric Power Company, Delmarva Power &amp; Light Company, and Atlantic City Electric Company (Registrants). Information contained herein relating to any individual Registrant is filed by such Registrant on its own behalf. No Registrant makes any representation as to information relating to any other Registrant.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STATEMENTS REGARDING FORWARD-LOOKING INFORMATION</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This Report contains certain forward-looking statements within the meaning of federal securities laws 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w:t>
      </w:r>
    </w:p>
    <w:p>
      <w:pPr>
        <w:spacing w:after="0" w:line="100"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unfavorable legislative and/or regulatory actions;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uncertainty as to outcomes and timing of regulatory approval proceedings and/or negotiated settlements thereof;</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environmental liabilities and remediation costs;</w:t>
      </w:r>
    </w:p>
    <w:p>
      <w:pPr>
        <w:spacing w:after="0" w:line="126"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state and federal legislation requiring use of low-emission, renewable, and/or alternate fuel sources and/or mandating implementation of energy conservation programs requiring implementation of new technologies;</w:t>
      </w:r>
    </w:p>
    <w:p>
      <w:pPr>
        <w:spacing w:after="0" w:line="8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challenges to tax positions taken, tax law changes, and difficulty in quantifying potential tax effects of business decisions;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negative outcomes in legal proceedings;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physical security and cybersecurity risks;</w:t>
      </w:r>
    </w:p>
    <w:p>
      <w:pPr>
        <w:spacing w:after="0" w:line="126"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extreme weather events, natural disasters, operational accidents such as wildfires or natural gas explosions, war, acts and threats of terrorism, public health crises, epidemics, pandemics, or other significant events;</w:t>
      </w:r>
    </w:p>
    <w:p>
      <w:pPr>
        <w:spacing w:after="0" w:line="8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disruptions or cost increases in the supply chain, including shortages in labor, materials or parts, or significant increases in relevant tariffs;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lack of sufficient power generation resources to meet actual or forecasted demand or disruptions at generation facilities owned by third parties;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emerging technologies that could affect or transform the energy industry;</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instability in capital and credit markets;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downgrade of any Registrant’s credit ratings or other failure to satisfy the credit standards in the Registrants’ agreements or regulatory financial requirements;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significant economic downturns or increases in customer rates;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impacts of climate change and weather on energy usage and maintenance and capital costs; and</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impairment of long-lived assets, goodwill, and other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419735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in the 2025 Form 10-K filed by the Registrants, including in Part I, ITEM 1A. Risk Factors, and this Report including in Part II, ITEM 1A. Risk Factors.</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Investors are cautioned not to place undue reliance on these forward-looking statements, which apply only as of the date of this Report. None of the Registrants undertakes any obligation to publicly release any revision to its forward-looking statements to reflect events or circumstances after the date of this Report.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WHERE TO FIND MORE INFORMATION</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SEC maintains an Internet site at www.sec.gov that contains reports, proxy and information statements, and other information that the Registrants file electronically with the SEC. These documents are also available to the public from commercial document retrieval services and free of charge at the Registrants' website at www.exeloncorp.com. Information contained on the Registrants' website shall not be deemed incorporated into, or to be a part of, this Report.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419735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359"/>
        <w:spacing w:after="0"/>
        <w:rPr>
          <w:sz w:val="20"/>
          <w:szCs w:val="20"/>
          <w:color w:val="auto"/>
        </w:rPr>
      </w:pPr>
      <w:r>
        <w:rPr>
          <w:rFonts w:ascii="Arial" w:cs="Arial" w:eastAsia="Arial" w:hAnsi="Arial"/>
          <w:sz w:val="14"/>
          <w:szCs w:val="14"/>
          <w:b w:val="1"/>
          <w:bCs w:val="1"/>
          <w:color w:val="auto"/>
        </w:rPr>
        <w:t>PART I. FINANCIAL INFORMATION</w:t>
      </w:r>
    </w:p>
    <w:p>
      <w:pPr>
        <w:spacing w:after="0" w:line="136"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ITEM 1. FINANCIAL STATEMENTS</w:t>
      </w:r>
    </w:p>
    <w:p>
      <w:pPr>
        <w:spacing w:after="0" w:line="200" w:lineRule="exact"/>
        <w:rPr>
          <w:sz w:val="20"/>
          <w:szCs w:val="20"/>
          <w:color w:val="auto"/>
        </w:rPr>
      </w:pPr>
    </w:p>
    <w:p>
      <w:pPr>
        <w:spacing w:after="0" w:line="33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419735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6"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Exelon Corporation and Subsidiary Companies</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Consolidated Statements of Operations and Comprehensive Income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164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gridSpan w:val="4"/>
          </w:tcPr>
          <w:p>
            <w:pPr>
              <w:jc w:val="right"/>
              <w:ind w:right="437"/>
              <w:spacing w:after="0"/>
              <w:rPr>
                <w:sz w:val="20"/>
                <w:szCs w:val="20"/>
                <w:color w:val="auto"/>
              </w:rPr>
            </w:pPr>
            <w:r>
              <w:rPr>
                <w:rFonts w:ascii="Arial" w:cs="Arial" w:eastAsia="Arial" w:hAnsi="Arial"/>
                <w:sz w:val="10"/>
                <w:szCs w:val="10"/>
                <w:b w:val="1"/>
                <w:bCs w:val="1"/>
                <w:color w:val="auto"/>
              </w:rPr>
              <w:t>Three Months Ended</w:t>
            </w:r>
          </w:p>
        </w:tc>
      </w:tr>
      <w:tr>
        <w:trPr>
          <w:trHeight w:val="139"/>
        </w:trPr>
        <w:tc>
          <w:tcPr>
            <w:tcW w:w="16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0"/>
                <w:szCs w:val="10"/>
                <w:b w:val="1"/>
                <w:bCs w:val="1"/>
                <w:color w:val="auto"/>
              </w:rPr>
              <w:t>March 31,</w:t>
            </w:r>
          </w:p>
        </w:tc>
        <w:tc>
          <w:tcPr>
            <w:tcW w:w="660" w:type="dxa"/>
            <w:vAlign w:val="bottom"/>
            <w:tcBorders>
              <w:bottom w:val="single" w:sz="8" w:color="auto"/>
            </w:tcBorders>
          </w:tcPr>
          <w:p>
            <w:pPr>
              <w:spacing w:after="0"/>
              <w:rPr>
                <w:sz w:val="12"/>
                <w:szCs w:val="12"/>
                <w:color w:val="auto"/>
              </w:rPr>
            </w:pPr>
          </w:p>
        </w:tc>
      </w:tr>
      <w:tr>
        <w:trPr>
          <w:trHeight w:val="106"/>
        </w:trPr>
        <w:tc>
          <w:tcPr>
            <w:tcW w:w="882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(In millions, except per share data)</w:t>
            </w:r>
          </w:p>
        </w:tc>
        <w:tc>
          <w:tcPr>
            <w:tcW w:w="220" w:type="dxa"/>
            <w:vAlign w:val="bottom"/>
          </w:tcPr>
          <w:p>
            <w:pPr>
              <w:spacing w:after="0"/>
              <w:rPr>
                <w:sz w:val="9"/>
                <w:szCs w:val="9"/>
                <w:color w:val="auto"/>
              </w:rPr>
            </w:pPr>
          </w:p>
        </w:tc>
        <w:tc>
          <w:tcPr>
            <w:tcW w:w="700" w:type="dxa"/>
            <w:vAlign w:val="bottom"/>
          </w:tcPr>
          <w:p>
            <w:pPr>
              <w:jc w:val="right"/>
              <w:ind w:right="278"/>
              <w:spacing w:after="0" w:line="106" w:lineRule="exact"/>
              <w:rPr>
                <w:sz w:val="20"/>
                <w:szCs w:val="20"/>
                <w:color w:val="auto"/>
              </w:rPr>
            </w:pPr>
            <w:r>
              <w:rPr>
                <w:rFonts w:ascii="Arial" w:cs="Arial" w:eastAsia="Arial" w:hAnsi="Arial"/>
                <w:sz w:val="10"/>
                <w:szCs w:val="10"/>
                <w:b w:val="1"/>
                <w:bCs w:val="1"/>
                <w:color w:val="auto"/>
              </w:rPr>
              <w:t>2026</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ind w:right="297"/>
              <w:spacing w:after="0" w:line="106" w:lineRule="exact"/>
              <w:rPr>
                <w:sz w:val="20"/>
                <w:szCs w:val="20"/>
                <w:color w:val="auto"/>
              </w:rPr>
            </w:pPr>
            <w:r>
              <w:rPr>
                <w:rFonts w:ascii="Arial" w:cs="Arial" w:eastAsia="Arial" w:hAnsi="Arial"/>
                <w:sz w:val="10"/>
                <w:szCs w:val="10"/>
                <w:b w:val="1"/>
                <w:bCs w:val="1"/>
                <w:color w:val="auto"/>
              </w:rPr>
              <w:t>2025</w:t>
            </w:r>
          </w:p>
        </w:tc>
      </w:tr>
      <w:tr>
        <w:trPr>
          <w:trHeight w:val="20"/>
        </w:trPr>
        <w:tc>
          <w:tcPr>
            <w:tcW w:w="164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42"/>
        </w:trPr>
        <w:tc>
          <w:tcPr>
            <w:tcW w:w="882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Operating revenues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9"/>
        </w:trPr>
        <w:tc>
          <w:tcPr>
            <w:tcW w:w="8820" w:type="dxa"/>
            <w:vAlign w:val="bottom"/>
            <w:gridSpan w:val="2"/>
          </w:tcPr>
          <w:p>
            <w:pPr>
              <w:ind w:left="100"/>
              <w:spacing w:after="0"/>
              <w:rPr>
                <w:sz w:val="20"/>
                <w:szCs w:val="20"/>
                <w:color w:val="auto"/>
              </w:rPr>
            </w:pPr>
            <w:r>
              <w:rPr>
                <w:rFonts w:ascii="Arial" w:cs="Arial" w:eastAsia="Arial" w:hAnsi="Arial"/>
                <w:sz w:val="13"/>
                <w:szCs w:val="13"/>
                <w:color w:val="auto"/>
              </w:rPr>
              <w:t>Electric operating revenues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6,157</w:t>
            </w:r>
          </w:p>
        </w:tc>
        <w:tc>
          <w:tcPr>
            <w:tcW w:w="12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5,816</w:t>
            </w:r>
          </w:p>
        </w:tc>
      </w:tr>
      <w:tr>
        <w:trPr>
          <w:trHeight w:val="171"/>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Natural gas operating revenues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r>
      <w:tr>
        <w:trPr>
          <w:trHeight w:val="169"/>
        </w:trPr>
        <w:tc>
          <w:tcPr>
            <w:tcW w:w="88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Revenues from alternative revenue programs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r>
      <w:tr>
        <w:trPr>
          <w:trHeight w:val="162"/>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operating revenues</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7,242</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6,714</w:t>
            </w:r>
          </w:p>
        </w:tc>
      </w:tr>
      <w:tr>
        <w:trPr>
          <w:trHeight w:val="150"/>
        </w:trPr>
        <w:tc>
          <w:tcPr>
            <w:tcW w:w="8820" w:type="dxa"/>
            <w:vAlign w:val="bottom"/>
            <w:gridSpan w:val="2"/>
          </w:tcPr>
          <w:p>
            <w:pPr>
              <w:spacing w:after="0"/>
              <w:rPr>
                <w:sz w:val="20"/>
                <w:szCs w:val="20"/>
                <w:color w:val="auto"/>
              </w:rPr>
            </w:pPr>
            <w:r>
              <w:rPr>
                <w:rFonts w:ascii="Arial" w:cs="Arial" w:eastAsia="Arial" w:hAnsi="Arial"/>
                <w:sz w:val="13"/>
                <w:szCs w:val="13"/>
                <w:b w:val="1"/>
                <w:bCs w:val="1"/>
                <w:color w:val="auto"/>
              </w:rPr>
              <w:t>Operating expenses</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0"/>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Purchased power</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w:t>
            </w:r>
          </w:p>
        </w:tc>
      </w:tr>
      <w:tr>
        <w:trPr>
          <w:trHeight w:val="169"/>
        </w:trPr>
        <w:tc>
          <w:tcPr>
            <w:tcW w:w="8820" w:type="dxa"/>
            <w:vAlign w:val="bottom"/>
            <w:gridSpan w:val="2"/>
          </w:tcPr>
          <w:p>
            <w:pPr>
              <w:ind w:left="100"/>
              <w:spacing w:after="0"/>
              <w:rPr>
                <w:sz w:val="20"/>
                <w:szCs w:val="20"/>
                <w:color w:val="auto"/>
              </w:rPr>
            </w:pPr>
            <w:r>
              <w:rPr>
                <w:rFonts w:ascii="Arial" w:cs="Arial" w:eastAsia="Arial" w:hAnsi="Arial"/>
                <w:sz w:val="13"/>
                <w:szCs w:val="13"/>
                <w:color w:val="auto"/>
              </w:rPr>
              <w:t>Purchased fuel</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338</w:t>
            </w:r>
          </w:p>
        </w:tc>
      </w:tr>
      <w:tr>
        <w:trPr>
          <w:trHeight w:val="171"/>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 and maintenance</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w:t>
            </w:r>
          </w:p>
        </w:tc>
      </w:tr>
      <w:tr>
        <w:trPr>
          <w:trHeight w:val="169"/>
        </w:trPr>
        <w:tc>
          <w:tcPr>
            <w:tcW w:w="882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952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903</w:t>
            </w:r>
          </w:p>
        </w:tc>
      </w:tr>
      <w:tr>
        <w:trPr>
          <w:trHeight w:val="171"/>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Taxes other than income taxes</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r>
      <w:tr>
        <w:trPr>
          <w:trHeight w:val="159"/>
        </w:trPr>
        <w:tc>
          <w:tcPr>
            <w:tcW w:w="8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auto"/>
              </w:rPr>
              <w:t>Total operating expenses</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5,637</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5,177</w:t>
            </w:r>
          </w:p>
        </w:tc>
      </w:tr>
      <w:tr>
        <w:trPr>
          <w:trHeight w:val="162"/>
        </w:trPr>
        <w:tc>
          <w:tcPr>
            <w:tcW w:w="8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Loss on sale of assets</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88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Operating income</w:t>
            </w: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1,605</w:t>
            </w:r>
          </w:p>
        </w:tc>
        <w:tc>
          <w:tcPr>
            <w:tcW w:w="1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1,536</w:t>
            </w:r>
          </w:p>
        </w:tc>
      </w:tr>
      <w:tr>
        <w:trPr>
          <w:trHeight w:val="150"/>
        </w:trPr>
        <w:tc>
          <w:tcPr>
            <w:tcW w:w="8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income and (deductions)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9"/>
        </w:trPr>
        <w:tc>
          <w:tcPr>
            <w:tcW w:w="8820" w:type="dxa"/>
            <w:vAlign w:val="bottom"/>
            <w:gridSpan w:val="2"/>
          </w:tcPr>
          <w:p>
            <w:pPr>
              <w:ind w:left="100"/>
              <w:spacing w:after="0"/>
              <w:rPr>
                <w:sz w:val="20"/>
                <w:szCs w:val="20"/>
                <w:color w:val="auto"/>
              </w:rPr>
            </w:pPr>
            <w:r>
              <w:rPr>
                <w:rFonts w:ascii="Arial" w:cs="Arial" w:eastAsia="Arial" w:hAnsi="Arial"/>
                <w:sz w:val="13"/>
                <w:szCs w:val="13"/>
                <w:color w:val="auto"/>
              </w:rPr>
              <w:t>Interest expense, net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(504)</w:t>
            </w:r>
          </w:p>
        </w:tc>
      </w:tr>
      <w:tr>
        <w:trPr>
          <w:trHeight w:val="171"/>
        </w:trPr>
        <w:tc>
          <w:tcPr>
            <w:tcW w:w="88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 to affiliates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88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 net</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r>
      <w:tr>
        <w:trPr>
          <w:trHeight w:val="162"/>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other income and (deductions)</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r>
      <w:tr>
        <w:trPr>
          <w:trHeight w:val="160"/>
        </w:trPr>
        <w:tc>
          <w:tcPr>
            <w:tcW w:w="8820" w:type="dxa"/>
            <w:vAlign w:val="bottom"/>
            <w:gridSpan w:val="2"/>
          </w:tcPr>
          <w:p>
            <w:pPr>
              <w:spacing w:after="0"/>
              <w:rPr>
                <w:sz w:val="20"/>
                <w:szCs w:val="20"/>
                <w:color w:val="auto"/>
              </w:rPr>
            </w:pPr>
            <w:r>
              <w:rPr>
                <w:rFonts w:ascii="Arial" w:cs="Arial" w:eastAsia="Arial" w:hAnsi="Arial"/>
                <w:sz w:val="13"/>
                <w:szCs w:val="13"/>
                <w:b w:val="1"/>
                <w:bCs w:val="1"/>
                <w:color w:val="auto"/>
              </w:rPr>
              <w:t>Income before income taxes</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1,078</w:t>
            </w:r>
          </w:p>
        </w:tc>
      </w:tr>
      <w:tr>
        <w:trPr>
          <w:trHeight w:val="170"/>
        </w:trPr>
        <w:tc>
          <w:tcPr>
            <w:tcW w:w="8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taxes</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w:t>
            </w:r>
          </w:p>
        </w:tc>
      </w:tr>
      <w:tr>
        <w:trPr>
          <w:trHeight w:val="160"/>
        </w:trPr>
        <w:tc>
          <w:tcPr>
            <w:tcW w:w="8820" w:type="dxa"/>
            <w:vAlign w:val="bottom"/>
            <w:gridSpan w:val="2"/>
          </w:tcPr>
          <w:p>
            <w:pPr>
              <w:spacing w:after="0"/>
              <w:rPr>
                <w:sz w:val="20"/>
                <w:szCs w:val="20"/>
                <w:color w:val="auto"/>
              </w:rPr>
            </w:pPr>
            <w:r>
              <w:rPr>
                <w:rFonts w:ascii="Arial" w:cs="Arial" w:eastAsia="Arial" w:hAnsi="Arial"/>
                <w:sz w:val="13"/>
                <w:szCs w:val="13"/>
                <w:b w:val="1"/>
                <w:bCs w:val="1"/>
                <w:color w:val="auto"/>
              </w:rPr>
              <w:t>Net income attributable to common shareholders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w:t>
            </w:r>
          </w:p>
        </w:tc>
        <w:tc>
          <w:tcPr>
            <w:tcW w:w="12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w:t>
            </w: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1"/>
        </w:trPr>
        <w:tc>
          <w:tcPr>
            <w:tcW w:w="1640" w:type="dxa"/>
            <w:vAlign w:val="bottom"/>
            <w:shd w:val="clear" w:color="auto" w:fill="CCEEFF"/>
          </w:tcPr>
          <w:p>
            <w:pPr>
              <w:spacing w:after="0"/>
              <w:rPr>
                <w:sz w:val="11"/>
                <w:szCs w:val="11"/>
                <w:color w:val="auto"/>
              </w:rPr>
            </w:pPr>
          </w:p>
        </w:tc>
        <w:tc>
          <w:tcPr>
            <w:tcW w:w="7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70"/>
        </w:trPr>
        <w:tc>
          <w:tcPr>
            <w:tcW w:w="8820" w:type="dxa"/>
            <w:vAlign w:val="bottom"/>
            <w:gridSpan w:val="2"/>
          </w:tcPr>
          <w:p>
            <w:pPr>
              <w:spacing w:after="0"/>
              <w:rPr>
                <w:sz w:val="20"/>
                <w:szCs w:val="20"/>
                <w:color w:val="auto"/>
              </w:rPr>
            </w:pPr>
            <w:r>
              <w:rPr>
                <w:rFonts w:ascii="Arial" w:cs="Arial" w:eastAsia="Arial" w:hAnsi="Arial"/>
                <w:sz w:val="13"/>
                <w:szCs w:val="13"/>
                <w:b w:val="1"/>
                <w:bCs w:val="1"/>
                <w:color w:val="auto"/>
              </w:rPr>
              <w:t>Comprehensive income, net of income taxes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Net income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w:t>
            </w:r>
          </w:p>
        </w:tc>
      </w:tr>
      <w:tr>
        <w:trPr>
          <w:trHeight w:val="170"/>
        </w:trPr>
        <w:tc>
          <w:tcPr>
            <w:tcW w:w="8820" w:type="dxa"/>
            <w:vAlign w:val="bottom"/>
            <w:gridSpan w:val="2"/>
          </w:tcPr>
          <w:p>
            <w:pPr>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Pension and non-pension postretirement benefit plans: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9"/>
        </w:trPr>
        <w:tc>
          <w:tcPr>
            <w:tcW w:w="8820" w:type="dxa"/>
            <w:vAlign w:val="bottom"/>
            <w:gridSpan w:val="2"/>
          </w:tcPr>
          <w:p>
            <w:pPr>
              <w:ind w:left="340"/>
              <w:spacing w:after="0"/>
              <w:rPr>
                <w:sz w:val="20"/>
                <w:szCs w:val="20"/>
                <w:color w:val="auto"/>
              </w:rPr>
            </w:pPr>
            <w:r>
              <w:rPr>
                <w:rFonts w:ascii="Arial" w:cs="Arial" w:eastAsia="Arial" w:hAnsi="Arial"/>
                <w:sz w:val="13"/>
                <w:szCs w:val="13"/>
                <w:color w:val="auto"/>
              </w:rPr>
              <w:t>Actuarial losses reclassified to periodic benefit cost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Pension and non-pension postretirement benefit plans valuation adjustments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8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Unrealized (loss) on cash flow hedges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60"/>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Other comprehensive income</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2"/>
        </w:trPr>
        <w:tc>
          <w:tcPr>
            <w:tcW w:w="8820" w:type="dxa"/>
            <w:vAlign w:val="bottom"/>
            <w:gridSpan w:val="2"/>
          </w:tcPr>
          <w:p>
            <w:pPr>
              <w:spacing w:after="0"/>
              <w:rPr>
                <w:sz w:val="20"/>
                <w:szCs w:val="20"/>
                <w:color w:val="auto"/>
              </w:rPr>
            </w:pPr>
            <w:r>
              <w:rPr>
                <w:rFonts w:ascii="Arial" w:cs="Arial" w:eastAsia="Arial" w:hAnsi="Arial"/>
                <w:sz w:val="13"/>
                <w:szCs w:val="13"/>
                <w:b w:val="1"/>
                <w:bCs w:val="1"/>
                <w:color w:val="auto"/>
              </w:rPr>
              <w:t>Comprehensive income attributable to common shareholders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925</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w:t>
            </w: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1"/>
        </w:trPr>
        <w:tc>
          <w:tcPr>
            <w:tcW w:w="1640" w:type="dxa"/>
            <w:vAlign w:val="bottom"/>
            <w:shd w:val="clear" w:color="auto" w:fill="CCEEFF"/>
          </w:tcPr>
          <w:p>
            <w:pPr>
              <w:spacing w:after="0"/>
              <w:rPr>
                <w:sz w:val="11"/>
                <w:szCs w:val="11"/>
                <w:color w:val="auto"/>
              </w:rPr>
            </w:pPr>
          </w:p>
        </w:tc>
        <w:tc>
          <w:tcPr>
            <w:tcW w:w="7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70"/>
        </w:trPr>
        <w:tc>
          <w:tcPr>
            <w:tcW w:w="8820" w:type="dxa"/>
            <w:vAlign w:val="bottom"/>
            <w:gridSpan w:val="2"/>
          </w:tcPr>
          <w:p>
            <w:pPr>
              <w:spacing w:after="0"/>
              <w:rPr>
                <w:sz w:val="20"/>
                <w:szCs w:val="20"/>
                <w:color w:val="auto"/>
              </w:rPr>
            </w:pPr>
            <w:r>
              <w:rPr>
                <w:rFonts w:ascii="Arial" w:cs="Arial" w:eastAsia="Arial" w:hAnsi="Arial"/>
                <w:sz w:val="13"/>
                <w:szCs w:val="13"/>
                <w:b w:val="1"/>
                <w:bCs w:val="1"/>
                <w:color w:val="auto"/>
              </w:rPr>
              <w:t>Average shares of common stock outstanding: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w:t>
            </w:r>
          </w:p>
        </w:tc>
      </w:tr>
      <w:tr>
        <w:trPr>
          <w:trHeight w:val="170"/>
        </w:trPr>
        <w:tc>
          <w:tcPr>
            <w:tcW w:w="8820" w:type="dxa"/>
            <w:vAlign w:val="bottom"/>
            <w:tcBorders>
              <w:bottom w:val="single" w:sz="8" w:color="CCEEFF"/>
            </w:tcBorders>
            <w:gridSpan w:val="2"/>
          </w:tcPr>
          <w:p>
            <w:pPr>
              <w:ind w:left="180"/>
              <w:spacing w:after="0" w:line="170" w:lineRule="exact"/>
              <w:rPr>
                <w:sz w:val="20"/>
                <w:szCs w:val="20"/>
                <w:color w:val="auto"/>
              </w:rPr>
            </w:pPr>
            <w:r>
              <w:rPr>
                <w:rFonts w:ascii="Arial" w:cs="Arial" w:eastAsia="Arial" w:hAnsi="Arial"/>
                <w:sz w:val="13"/>
                <w:szCs w:val="13"/>
                <w:color w:val="auto"/>
              </w:rPr>
              <w:t>Assumed exercise and/or distributions of stock-based awards</w:t>
            </w:r>
            <w:r>
              <w:rPr>
                <w:rFonts w:ascii="Arial" w:cs="Arial" w:eastAsia="Arial" w:hAnsi="Arial"/>
                <w:sz w:val="16"/>
                <w:szCs w:val="16"/>
                <w:color w:val="auto"/>
                <w:vertAlign w:val="superscript"/>
              </w:rPr>
              <w:t>(a)</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w:t>
            </w:r>
          </w:p>
        </w:tc>
      </w:tr>
      <w:tr>
        <w:trPr>
          <w:trHeight w:val="170"/>
        </w:trPr>
        <w:tc>
          <w:tcPr>
            <w:tcW w:w="16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8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Earnings per average common share</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9"/>
        </w:trPr>
        <w:tc>
          <w:tcPr>
            <w:tcW w:w="8820" w:type="dxa"/>
            <w:vAlign w:val="bottom"/>
            <w:gridSpan w:val="2"/>
          </w:tcPr>
          <w:p>
            <w:pPr>
              <w:ind w:left="180"/>
              <w:spacing w:after="0"/>
              <w:rPr>
                <w:sz w:val="20"/>
                <w:szCs w:val="20"/>
                <w:color w:val="auto"/>
              </w:rPr>
            </w:pPr>
            <w:r>
              <w:rPr>
                <w:rFonts w:ascii="Arial" w:cs="Arial" w:eastAsia="Arial" w:hAnsi="Arial"/>
                <w:sz w:val="13"/>
                <w:szCs w:val="13"/>
                <w:color w:val="auto"/>
              </w:rPr>
              <w:t>Basic</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0.90</w:t>
            </w:r>
          </w:p>
        </w:tc>
        <w:tc>
          <w:tcPr>
            <w:tcW w:w="12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0.90</w:t>
            </w:r>
          </w:p>
        </w:tc>
      </w:tr>
      <w:tr>
        <w:trPr>
          <w:trHeight w:val="171"/>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0.90</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3" w:lineRule="exact"/>
        <w:rPr>
          <w:sz w:val="20"/>
          <w:szCs w:val="20"/>
          <w:color w:val="auto"/>
        </w:rPr>
      </w:pP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dilutive effects of stock-based compensation awards are calculated using the treasury stock method for all periods presented.</w:t>
      </w: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25" w:right="55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Exelon Corporation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106"/>
        </w:trPr>
        <w:tc>
          <w:tcPr>
            <w:tcW w:w="20" w:type="dxa"/>
            <w:vAlign w:val="bottom"/>
          </w:tcPr>
          <w:p>
            <w:pPr>
              <w:spacing w:after="0"/>
              <w:rPr>
                <w:sz w:val="9"/>
                <w:szCs w:val="9"/>
                <w:color w:val="auto"/>
              </w:rPr>
            </w:pPr>
          </w:p>
        </w:tc>
        <w:tc>
          <w:tcPr>
            <w:tcW w:w="8900" w:type="dxa"/>
            <w:vAlign w:val="bottom"/>
            <w:gridSpan w:val="2"/>
          </w:tcPr>
          <w:p>
            <w:pPr>
              <w:spacing w:after="0" w:line="86" w:lineRule="exact"/>
              <w:rPr>
                <w:sz w:val="20"/>
                <w:szCs w:val="20"/>
                <w:color w:val="auto"/>
              </w:rPr>
            </w:pPr>
            <w:r>
              <w:rPr>
                <w:rFonts w:ascii="Arial" w:cs="Arial" w:eastAsia="Arial" w:hAnsi="Arial"/>
                <w:sz w:val="9"/>
                <w:szCs w:val="9"/>
                <w:b w:val="1"/>
                <w:bCs w:val="1"/>
                <w:color w:val="auto"/>
              </w:rPr>
              <w:t>(In millions)</w:t>
            </w:r>
          </w:p>
        </w:tc>
        <w:tc>
          <w:tcPr>
            <w:tcW w:w="280" w:type="dxa"/>
            <w:vAlign w:val="bottom"/>
          </w:tcPr>
          <w:p>
            <w:pPr>
              <w:spacing w:after="0"/>
              <w:rPr>
                <w:sz w:val="9"/>
                <w:szCs w:val="9"/>
                <w:color w:val="auto"/>
              </w:rPr>
            </w:pPr>
          </w:p>
        </w:tc>
        <w:tc>
          <w:tcPr>
            <w:tcW w:w="860" w:type="dxa"/>
            <w:vAlign w:val="bottom"/>
          </w:tcPr>
          <w:p>
            <w:pPr>
              <w:jc w:val="right"/>
              <w:ind w:right="398"/>
              <w:spacing w:after="0" w:line="86" w:lineRule="exact"/>
              <w:rPr>
                <w:sz w:val="20"/>
                <w:szCs w:val="20"/>
                <w:color w:val="auto"/>
              </w:rPr>
            </w:pPr>
            <w:r>
              <w:rPr>
                <w:rFonts w:ascii="Arial" w:cs="Arial" w:eastAsia="Arial" w:hAnsi="Arial"/>
                <w:sz w:val="9"/>
                <w:szCs w:val="9"/>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86" w:lineRule="exact"/>
              <w:rPr>
                <w:sz w:val="20"/>
                <w:szCs w:val="20"/>
                <w:color w:val="auto"/>
              </w:rPr>
            </w:pPr>
            <w:r>
              <w:rPr>
                <w:rFonts w:ascii="Arial" w:cs="Arial" w:eastAsia="Arial" w:hAnsi="Arial"/>
                <w:sz w:val="9"/>
                <w:szCs w:val="9"/>
                <w:b w:val="1"/>
                <w:bCs w:val="1"/>
                <w:color w:val="auto"/>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919</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908</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Depreciation, amortization, and accretion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Loss on sales of assets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Deferred income taxes and amortization of investment tax credits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Net fair value changes related to derivatives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Other non-cash operating activities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Changes in assets and liabilities: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Accounts receivable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Inventories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(397)</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Collateral received,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Income taxes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Regulatory assets and liabilities,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Pension and non-pension postretirement benefit contributions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Other assets and liabilities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line="148" w:lineRule="exact"/>
              <w:rPr>
                <w:sz w:val="20"/>
                <w:szCs w:val="20"/>
                <w:color w:val="auto"/>
              </w:rPr>
            </w:pPr>
            <w:r>
              <w:rPr>
                <w:rFonts w:ascii="Arial" w:cs="Arial" w:eastAsia="Arial" w:hAnsi="Arial"/>
                <w:sz w:val="13"/>
                <w:szCs w:val="13"/>
                <w:color w:val="auto"/>
              </w:rPr>
              <w:t>Net cash flows provided by operating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Capital expenditures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(1,946)</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Other investing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line="148" w:lineRule="exact"/>
              <w:rPr>
                <w:sz w:val="20"/>
                <w:szCs w:val="20"/>
                <w:color w:val="auto"/>
              </w:rPr>
            </w:pPr>
            <w:r>
              <w:rPr>
                <w:rFonts w:ascii="Arial" w:cs="Arial" w:eastAsia="Arial" w:hAnsi="Arial"/>
                <w:sz w:val="13"/>
                <w:szCs w:val="13"/>
                <w:color w:val="auto"/>
              </w:rPr>
              <w:t>Net cash flows used in investing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(1,942)</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Changes in short-term borrowings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Proceeds from short-term borrowings with maturities greater than 90 days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Issuance of long-term debt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2,425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Issuance of common stock</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Dividends paid on common stock</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(403)</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Proceeds from employee stock plans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Other financing activities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1,385</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Increase in cash, restricted cash, and cash equivalents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643</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restricted cash, and cash equivalents at beginning of period</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restricted cash, and cash equivalents at end of period</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Decrease in capital expenditures not paid</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Exelon Corporation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500" w:type="dxa"/>
            <w:vAlign w:val="bottom"/>
          </w:tcPr>
          <w:p>
            <w:pPr>
              <w:spacing w:after="0"/>
              <w:rPr>
                <w:sz w:val="10"/>
                <w:szCs w:val="10"/>
                <w:color w:val="auto"/>
              </w:rPr>
            </w:pPr>
          </w:p>
        </w:tc>
        <w:tc>
          <w:tcPr>
            <w:tcW w:w="1620" w:type="dxa"/>
            <w:vAlign w:val="bottom"/>
            <w:gridSpan w:val="2"/>
          </w:tcPr>
          <w:p>
            <w:pPr>
              <w:ind w:left="160"/>
              <w:spacing w:after="0"/>
              <w:rPr>
                <w:sz w:val="20"/>
                <w:szCs w:val="20"/>
                <w:color w:val="auto"/>
              </w:rPr>
            </w:pPr>
            <w:r>
              <w:rPr>
                <w:rFonts w:ascii="Arial" w:cs="Arial" w:eastAsia="Arial" w:hAnsi="Arial"/>
                <w:sz w:val="10"/>
                <w:szCs w:val="10"/>
                <w:b w:val="1"/>
                <w:bCs w:val="1"/>
                <w:color w:val="auto"/>
              </w:rPr>
              <w:t>March 31, 2026</w:t>
            </w:r>
          </w:p>
        </w:tc>
        <w:tc>
          <w:tcPr>
            <w:tcW w:w="440" w:type="dxa"/>
            <w:vAlign w:val="bottom"/>
          </w:tcPr>
          <w:p>
            <w:pPr>
              <w:spacing w:after="0"/>
              <w:rPr>
                <w:sz w:val="10"/>
                <w:szCs w:val="10"/>
                <w:color w:val="auto"/>
              </w:rPr>
            </w:pPr>
          </w:p>
        </w:tc>
        <w:tc>
          <w:tcPr>
            <w:tcW w:w="156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2760"/>
              <w:spacing w:after="0" w:line="142" w:lineRule="exact"/>
              <w:rPr>
                <w:sz w:val="20"/>
                <w:szCs w:val="20"/>
                <w:color w:val="auto"/>
              </w:rPr>
            </w:pPr>
            <w:r>
              <w:rPr>
                <w:rFonts w:ascii="Arial" w:cs="Arial" w:eastAsia="Arial" w:hAnsi="Arial"/>
                <w:sz w:val="13"/>
                <w:szCs w:val="13"/>
                <w:b w:val="1"/>
                <w:bCs w:val="1"/>
                <w:color w:val="auto"/>
              </w:rPr>
              <w:t>ASSETS</w:t>
            </w:r>
          </w:p>
        </w:tc>
        <w:tc>
          <w:tcPr>
            <w:tcW w:w="5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Restricted cash and cash equivalents</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560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Accounts receivable</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Customer accounts receivable</w:t>
            </w:r>
          </w:p>
        </w:tc>
        <w:tc>
          <w:tcPr>
            <w:tcW w:w="500" w:type="dxa"/>
            <w:vAlign w:val="bottom"/>
          </w:tcPr>
          <w:p>
            <w:pPr>
              <w:ind w:left="20"/>
              <w:spacing w:after="0"/>
              <w:rPr>
                <w:sz w:val="20"/>
                <w:szCs w:val="20"/>
                <w:color w:val="auto"/>
              </w:rPr>
            </w:pPr>
            <w:r>
              <w:rPr>
                <w:rFonts w:ascii="Arial" w:cs="Arial" w:eastAsia="Arial" w:hAnsi="Arial"/>
                <w:sz w:val="13"/>
                <w:szCs w:val="13"/>
                <w:color w:val="auto"/>
              </w:rPr>
              <w:t>3,636</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auto"/>
              </w:rPr>
              <w:t>3,732</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Customer allowance for credit losses</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(522)</w:t>
            </w:r>
          </w:p>
        </w:tc>
        <w:tc>
          <w:tcPr>
            <w:tcW w:w="15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(435)</w:t>
            </w:r>
          </w:p>
        </w:tc>
        <w:tc>
          <w:tcPr>
            <w:tcW w:w="15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Customer accounts receivable, net</w:t>
            </w:r>
          </w:p>
        </w:tc>
        <w:tc>
          <w:tcPr>
            <w:tcW w:w="5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3,114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3,297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accounts receivable</w:t>
            </w: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1,680</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1,879</w:t>
            </w: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Other allowance for credit losses</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(102)</w:t>
            </w: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(94)</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Other accounts receivable, net</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Inventories, net</w:t>
            </w: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Fossil fuel</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Materials and supplies</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Regulatory assets</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Prepaid renewable energy credits</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5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260"/>
              <w:spacing w:after="0" w:line="148" w:lineRule="exact"/>
              <w:rPr>
                <w:sz w:val="20"/>
                <w:szCs w:val="20"/>
                <w:color w:val="auto"/>
              </w:rPr>
            </w:pPr>
            <w:r>
              <w:rPr>
                <w:rFonts w:ascii="Arial" w:cs="Arial" w:eastAsia="Arial" w:hAnsi="Arial"/>
                <w:sz w:val="13"/>
                <w:szCs w:val="13"/>
                <w:color w:val="auto"/>
              </w:rPr>
              <w:t>Total current assets</w:t>
            </w: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9,546</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71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Property, plant, and equipment (net of accumulated depreciation and amortization of $20,694 and $20,080 as of</w:t>
            </w:r>
          </w:p>
        </w:tc>
        <w:tc>
          <w:tcPr>
            <w:tcW w:w="500" w:type="dxa"/>
            <w:vAlign w:val="bottom"/>
            <w:shd w:val="clear" w:color="auto" w:fill="CCEEFF"/>
          </w:tcPr>
          <w:p>
            <w:pPr>
              <w:spacing w:after="0"/>
              <w:rPr>
                <w:sz w:val="9"/>
                <w:szCs w:val="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85,564</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84,318</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2026 and December 31, 2025, respectively)</w:t>
            </w:r>
          </w:p>
        </w:tc>
        <w:tc>
          <w:tcPr>
            <w:tcW w:w="50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Regulatory assets</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Goodwill</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6,630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6,630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Receivable related to Regulatory Agreement Units</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Investments</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5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260"/>
              <w:spacing w:after="0" w:line="148" w:lineRule="exact"/>
              <w:rPr>
                <w:sz w:val="20"/>
                <w:szCs w:val="20"/>
                <w:color w:val="auto"/>
              </w:rPr>
            </w:pPr>
            <w:r>
              <w:rPr>
                <w:rFonts w:ascii="Arial" w:cs="Arial" w:eastAsia="Arial" w:hAnsi="Arial"/>
                <w:sz w:val="13"/>
                <w:szCs w:val="13"/>
                <w:color w:val="auto"/>
              </w:rPr>
              <w:t>Total deferred debits and other assets</w:t>
            </w: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22,979</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22,706</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117,545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116,570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Exelon Corporation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0"/>
                <w:szCs w:val="10"/>
                <w:color w:val="auto"/>
              </w:rPr>
            </w:pPr>
          </w:p>
        </w:tc>
        <w:tc>
          <w:tcPr>
            <w:tcW w:w="1740" w:type="dxa"/>
            <w:vAlign w:val="bottom"/>
            <w:gridSpan w:val="2"/>
          </w:tcPr>
          <w:p>
            <w:pPr>
              <w:ind w:left="280"/>
              <w:spacing w:after="0"/>
              <w:rPr>
                <w:sz w:val="20"/>
                <w:szCs w:val="20"/>
                <w:color w:val="auto"/>
              </w:rPr>
            </w:pPr>
            <w:r>
              <w:rPr>
                <w:rFonts w:ascii="Arial" w:cs="Arial" w:eastAsia="Arial" w:hAnsi="Arial"/>
                <w:sz w:val="10"/>
                <w:szCs w:val="10"/>
                <w:b w:val="1"/>
                <w:bCs w:val="1"/>
                <w:color w:val="auto"/>
              </w:rPr>
              <w:t>March 31, 2026</w:t>
            </w:r>
          </w:p>
        </w:tc>
        <w:tc>
          <w:tcPr>
            <w:tcW w:w="320" w:type="dxa"/>
            <w:vAlign w:val="bottom"/>
          </w:tcPr>
          <w:p>
            <w:pPr>
              <w:spacing w:after="0"/>
              <w:rPr>
                <w:sz w:val="10"/>
                <w:szCs w:val="10"/>
                <w:color w:val="auto"/>
              </w:rPr>
            </w:pPr>
          </w:p>
        </w:tc>
        <w:tc>
          <w:tcPr>
            <w:tcW w:w="168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1660"/>
              <w:spacing w:after="0" w:line="142" w:lineRule="exact"/>
              <w:rPr>
                <w:sz w:val="20"/>
                <w:szCs w:val="20"/>
                <w:color w:val="auto"/>
              </w:rPr>
            </w:pPr>
            <w:r>
              <w:rPr>
                <w:rFonts w:ascii="Arial" w:cs="Arial" w:eastAsia="Arial" w:hAnsi="Arial"/>
                <w:sz w:val="13"/>
                <w:szCs w:val="13"/>
                <w:b w:val="1"/>
                <w:bCs w:val="1"/>
                <w:color w:val="auto"/>
              </w:rPr>
              <w:t>LIABILITIES AND SHAREHOLDERS’ EQUITY</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Short-term borrowings</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Long-term debt due within one year</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2,326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1,665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Accrued expenses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1,203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1,582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Payables to affiliates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Customer deposits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Mark-to-market derivative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Unamortized energy contract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Renewable energy credit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473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current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9,588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10,331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Long-term debt</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47,859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47,413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Long-term debt to financing trusts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Deferred income taxes and unamortized investment tax credits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14,201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13,715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Pension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1,426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1,749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Non-pension postretirement benefit obligations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Asset retirement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Mark-to-market derivative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Unamortized energy contract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2,169</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deferred credits and other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30,393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29,638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88,230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87,772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Commitments and contingencies</w:t>
            </w: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Shareholders’ equity</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140" w:type="dxa"/>
            <w:vAlign w:val="bottom"/>
            <w:gridSpan w:val="2"/>
          </w:tcPr>
          <w:p>
            <w:pPr>
              <w:spacing w:after="0" w:line="128" w:lineRule="exact"/>
              <w:rPr>
                <w:sz w:val="20"/>
                <w:szCs w:val="20"/>
                <w:color w:val="auto"/>
              </w:rPr>
            </w:pPr>
            <w:r>
              <w:rPr>
                <w:rFonts w:ascii="Arial" w:cs="Arial" w:eastAsia="Arial" w:hAnsi="Arial"/>
                <w:sz w:val="13"/>
                <w:szCs w:val="13"/>
                <w:color w:val="auto"/>
              </w:rPr>
              <w:t>Common stock (No par value, 2,000 shares authorized, 1,023 shares outstanding as of March 31, 2026 and December 31,</w:t>
            </w:r>
          </w:p>
        </w:tc>
        <w:tc>
          <w:tcPr>
            <w:tcW w:w="38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Arial" w:cs="Arial" w:eastAsia="Arial" w:hAnsi="Arial"/>
                <w:sz w:val="13"/>
                <w:szCs w:val="13"/>
                <w:color w:val="auto"/>
              </w:rPr>
              <w:t>22,129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22,106</w:t>
            </w:r>
          </w:p>
        </w:tc>
        <w:tc>
          <w:tcPr>
            <w:tcW w:w="0" w:type="dxa"/>
            <w:vAlign w:val="bottom"/>
          </w:tcPr>
          <w:p>
            <w:pPr>
              <w:spacing w:after="0"/>
              <w:rPr>
                <w:sz w:val="1"/>
                <w:szCs w:val="1"/>
                <w:color w:val="auto"/>
              </w:rPr>
            </w:pPr>
          </w:p>
        </w:tc>
      </w:tr>
      <w:tr>
        <w:trPr>
          <w:trHeight w:val="168"/>
        </w:trPr>
        <w:tc>
          <w:tcPr>
            <w:tcW w:w="580" w:type="dxa"/>
            <w:vAlign w:val="bottom"/>
            <w:gridSpan w:val="2"/>
          </w:tcPr>
          <w:p>
            <w:pPr>
              <w:ind w:left="20"/>
              <w:spacing w:after="0"/>
              <w:rPr>
                <w:sz w:val="20"/>
                <w:szCs w:val="20"/>
                <w:color w:val="auto"/>
              </w:rPr>
            </w:pPr>
            <w:r>
              <w:rPr>
                <w:rFonts w:ascii="Arial" w:cs="Arial" w:eastAsia="Arial" w:hAnsi="Arial"/>
                <w:sz w:val="13"/>
                <w:szCs w:val="13"/>
                <w:color w:val="auto"/>
              </w:rPr>
              <w:t>2025)</w:t>
            </w:r>
          </w:p>
        </w:tc>
        <w:tc>
          <w:tcPr>
            <w:tcW w:w="6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Treasury stock, at cost (2 shares as of March 31, 2026 and December 31, 2025)</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Retained earnings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8,065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7,577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Accumulated other comprehensive loss, net</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shareholders’ equity</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29,315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28,798</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117,545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116,570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Exelon Corporation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ind w:left="340"/>
              <w:spacing w:after="0"/>
              <w:rPr>
                <w:sz w:val="20"/>
                <w:szCs w:val="20"/>
                <w:color w:val="auto"/>
              </w:rPr>
            </w:pPr>
            <w:r>
              <w:rPr>
                <w:rFonts w:ascii="Arial" w:cs="Arial" w:eastAsia="Arial" w:hAnsi="Arial"/>
                <w:sz w:val="10"/>
                <w:szCs w:val="10"/>
                <w:b w:val="1"/>
                <w:bCs w:val="1"/>
                <w:color w:val="auto"/>
              </w:rPr>
              <w:t>Three Months Ended March 31, 2026</w:t>
            </w: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98"/>
              </w:rPr>
              <w:t>Accumulated</w:t>
            </w: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2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 shares</w:t>
            </w:r>
          </w:p>
        </w:tc>
        <w:tc>
          <w:tcPr>
            <w:tcW w:w="1120" w:type="dxa"/>
            <w:vAlign w:val="bottom"/>
            <w:gridSpan w:val="2"/>
            <w:vMerge w:val="restart"/>
          </w:tcPr>
          <w:p>
            <w:pPr>
              <w:ind w:left="340"/>
              <w:spacing w:after="0"/>
              <w:rPr>
                <w:sz w:val="20"/>
                <w:szCs w:val="20"/>
                <w:color w:val="auto"/>
              </w:rPr>
            </w:pPr>
            <w:r>
              <w:rPr>
                <w:rFonts w:ascii="Arial" w:cs="Arial" w:eastAsia="Arial" w:hAnsi="Arial"/>
                <w:sz w:val="10"/>
                <w:szCs w:val="10"/>
                <w:b w:val="1"/>
                <w:bCs w:val="1"/>
                <w:color w:val="auto"/>
              </w:rPr>
              <w:t>Issued</w:t>
            </w:r>
          </w:p>
        </w:tc>
        <w:tc>
          <w:tcPr>
            <w:tcW w:w="160" w:type="dxa"/>
            <w:vAlign w:val="bottom"/>
          </w:tcPr>
          <w:p>
            <w:pPr>
              <w:spacing w:after="0"/>
              <w:rPr>
                <w:sz w:val="8"/>
                <w:szCs w:val="8"/>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rPr>
              <w:t>Common</w:t>
            </w:r>
          </w:p>
        </w:tc>
        <w:tc>
          <w:tcPr>
            <w:tcW w:w="16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9"/>
              </w:rPr>
              <w:t>Treasury</w:t>
            </w:r>
          </w:p>
        </w:tc>
        <w:tc>
          <w:tcPr>
            <w:tcW w:w="160" w:type="dxa"/>
            <w:vAlign w:val="bottom"/>
          </w:tcPr>
          <w:p>
            <w:pPr>
              <w:spacing w:after="0"/>
              <w:rPr>
                <w:sz w:val="8"/>
                <w:szCs w:val="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Retained</w:t>
            </w:r>
          </w:p>
        </w:tc>
        <w:tc>
          <w:tcPr>
            <w:tcW w:w="280" w:type="dxa"/>
            <w:vAlign w:val="bottom"/>
          </w:tcPr>
          <w:p>
            <w:pPr>
              <w:spacing w:after="0"/>
              <w:rPr>
                <w:sz w:val="8"/>
                <w:szCs w:val="8"/>
                <w:color w:val="auto"/>
              </w:rPr>
            </w:pPr>
          </w:p>
        </w:tc>
        <w:tc>
          <w:tcPr>
            <w:tcW w:w="1280" w:type="dxa"/>
            <w:vAlign w:val="bottom"/>
            <w:gridSpan w:val="2"/>
          </w:tcPr>
          <w:p>
            <w:pPr>
              <w:jc w:val="center"/>
              <w:ind w:right="380"/>
              <w:spacing w:after="0" w:line="96" w:lineRule="exact"/>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8"/>
                <w:szCs w:val="8"/>
                <w:color w:val="auto"/>
              </w:rPr>
            </w:pPr>
          </w:p>
        </w:tc>
        <w:tc>
          <w:tcPr>
            <w:tcW w:w="1160" w:type="dxa"/>
            <w:vAlign w:val="bottom"/>
            <w:vMerge w:val="restart"/>
          </w:tcPr>
          <w:p>
            <w:pPr>
              <w:jc w:val="center"/>
              <w:ind w:right="106"/>
              <w:spacing w:after="0"/>
              <w:rPr>
                <w:sz w:val="20"/>
                <w:szCs w:val="20"/>
                <w:color w:val="auto"/>
              </w:rPr>
            </w:pPr>
            <w:r>
              <w:rPr>
                <w:rFonts w:ascii="Arial" w:cs="Arial" w:eastAsia="Arial" w:hAnsi="Arial"/>
                <w:sz w:val="10"/>
                <w:szCs w:val="10"/>
                <w:b w:val="1"/>
                <w:bCs w:val="1"/>
                <w:color w:val="auto"/>
                <w:w w:val="98"/>
              </w:rPr>
              <w:t>Total Shareholders'</w:t>
            </w:r>
          </w:p>
        </w:tc>
        <w:tc>
          <w:tcPr>
            <w:tcW w:w="0" w:type="dxa"/>
            <w:vAlign w:val="bottom"/>
          </w:tcPr>
          <w:p>
            <w:pPr>
              <w:spacing w:after="0"/>
              <w:rPr>
                <w:sz w:val="1"/>
                <w:szCs w:val="1"/>
                <w:color w:val="auto"/>
              </w:rPr>
            </w:pPr>
          </w:p>
        </w:tc>
      </w:tr>
      <w:tr>
        <w:trPr>
          <w:trHeight w:val="97"/>
        </w:trPr>
        <w:tc>
          <w:tcPr>
            <w:tcW w:w="4260" w:type="dxa"/>
            <w:vAlign w:val="bottom"/>
            <w:gridSpan w:val="3"/>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gridSpan w:val="2"/>
          </w:tcPr>
          <w:p>
            <w:pPr>
              <w:jc w:val="center"/>
              <w:ind w:right="380"/>
              <w:spacing w:after="0" w:line="96" w:lineRule="exact"/>
              <w:rPr>
                <w:sz w:val="20"/>
                <w:szCs w:val="20"/>
                <w:color w:val="auto"/>
              </w:rPr>
            </w:pPr>
            <w:r>
              <w:rPr>
                <w:rFonts w:ascii="Arial" w:cs="Arial" w:eastAsia="Arial" w:hAnsi="Arial"/>
                <w:sz w:val="10"/>
                <w:szCs w:val="10"/>
                <w:b w:val="1"/>
                <w:bCs w:val="1"/>
                <w:color w:val="auto"/>
                <w:w w:val="98"/>
              </w:rPr>
              <w:t>Comprehensive</w:t>
            </w:r>
          </w:p>
        </w:tc>
        <w:tc>
          <w:tcPr>
            <w:tcW w:w="1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900" w:type="dxa"/>
            <w:vAlign w:val="bottom"/>
            <w:tcBorders>
              <w:top w:val="single" w:sz="8" w:color="auto"/>
            </w:tcBorders>
            <w:gridSpan w:val="2"/>
          </w:tcPr>
          <w:p>
            <w:pPr>
              <w:spacing w:after="0" w:line="65" w:lineRule="exact"/>
              <w:rPr>
                <w:sz w:val="20"/>
                <w:szCs w:val="20"/>
                <w:color w:val="auto"/>
              </w:rPr>
            </w:pPr>
            <w:r>
              <w:rPr>
                <w:rFonts w:ascii="Arial" w:cs="Arial" w:eastAsia="Arial" w:hAnsi="Arial"/>
                <w:sz w:val="7"/>
                <w:szCs w:val="7"/>
                <w:b w:val="1"/>
                <w:bCs w:val="1"/>
                <w:color w:val="auto"/>
              </w:rPr>
              <w:t>in thousands)</w:t>
            </w:r>
          </w:p>
        </w:tc>
        <w:tc>
          <w:tcPr>
            <w:tcW w:w="3360" w:type="dxa"/>
            <w:vAlign w:val="bottom"/>
          </w:tcPr>
          <w:p>
            <w:pPr>
              <w:spacing w:after="0"/>
              <w:rPr>
                <w:sz w:val="7"/>
                <w:szCs w:val="7"/>
                <w:color w:val="auto"/>
              </w:rPr>
            </w:pPr>
          </w:p>
        </w:tc>
        <w:tc>
          <w:tcPr>
            <w:tcW w:w="1120" w:type="dxa"/>
            <w:vAlign w:val="bottom"/>
            <w:gridSpan w:val="2"/>
          </w:tcPr>
          <w:p>
            <w:pPr>
              <w:ind w:left="340"/>
              <w:spacing w:after="0" w:line="65" w:lineRule="exact"/>
              <w:rPr>
                <w:sz w:val="20"/>
                <w:szCs w:val="20"/>
                <w:color w:val="auto"/>
              </w:rPr>
            </w:pPr>
            <w:r>
              <w:rPr>
                <w:rFonts w:ascii="Arial" w:cs="Arial" w:eastAsia="Arial" w:hAnsi="Arial"/>
                <w:sz w:val="7"/>
                <w:szCs w:val="7"/>
                <w:b w:val="1"/>
                <w:bCs w:val="1"/>
                <w:color w:val="auto"/>
              </w:rPr>
              <w:t>Shares</w:t>
            </w:r>
          </w:p>
        </w:tc>
        <w:tc>
          <w:tcPr>
            <w:tcW w:w="160" w:type="dxa"/>
            <w:vAlign w:val="bottom"/>
          </w:tcPr>
          <w:p>
            <w:pPr>
              <w:spacing w:after="0"/>
              <w:rPr>
                <w:sz w:val="7"/>
                <w:szCs w:val="7"/>
                <w:color w:val="auto"/>
              </w:rPr>
            </w:pPr>
          </w:p>
        </w:tc>
        <w:tc>
          <w:tcPr>
            <w:tcW w:w="860" w:type="dxa"/>
            <w:vAlign w:val="bottom"/>
            <w:gridSpan w:val="2"/>
          </w:tcPr>
          <w:p>
            <w:pPr>
              <w:jc w:val="center"/>
              <w:ind w:right="260"/>
              <w:spacing w:after="0" w:line="65" w:lineRule="exact"/>
              <w:rPr>
                <w:sz w:val="20"/>
                <w:szCs w:val="20"/>
                <w:color w:val="auto"/>
              </w:rPr>
            </w:pPr>
            <w:r>
              <w:rPr>
                <w:rFonts w:ascii="Arial" w:cs="Arial" w:eastAsia="Arial" w:hAnsi="Arial"/>
                <w:sz w:val="7"/>
                <w:szCs w:val="7"/>
                <w:b w:val="1"/>
                <w:bCs w:val="1"/>
                <w:color w:val="auto"/>
              </w:rPr>
              <w:t>Stock</w:t>
            </w:r>
          </w:p>
        </w:tc>
        <w:tc>
          <w:tcPr>
            <w:tcW w:w="160" w:type="dxa"/>
            <w:vAlign w:val="bottom"/>
          </w:tcPr>
          <w:p>
            <w:pPr>
              <w:spacing w:after="0"/>
              <w:rPr>
                <w:sz w:val="7"/>
                <w:szCs w:val="7"/>
                <w:color w:val="auto"/>
              </w:rPr>
            </w:pPr>
          </w:p>
        </w:tc>
        <w:tc>
          <w:tcPr>
            <w:tcW w:w="840" w:type="dxa"/>
            <w:vAlign w:val="bottom"/>
            <w:gridSpan w:val="2"/>
          </w:tcPr>
          <w:p>
            <w:pPr>
              <w:jc w:val="center"/>
              <w:ind w:right="280"/>
              <w:spacing w:after="0" w:line="65" w:lineRule="exact"/>
              <w:rPr>
                <w:sz w:val="20"/>
                <w:szCs w:val="20"/>
                <w:color w:val="auto"/>
              </w:rPr>
            </w:pPr>
            <w:r>
              <w:rPr>
                <w:rFonts w:ascii="Arial" w:cs="Arial" w:eastAsia="Arial" w:hAnsi="Arial"/>
                <w:sz w:val="7"/>
                <w:szCs w:val="7"/>
                <w:b w:val="1"/>
                <w:bCs w:val="1"/>
                <w:color w:val="auto"/>
              </w:rPr>
              <w:t>Stock</w:t>
            </w:r>
          </w:p>
        </w:tc>
        <w:tc>
          <w:tcPr>
            <w:tcW w:w="160" w:type="dxa"/>
            <w:vAlign w:val="bottom"/>
          </w:tcPr>
          <w:p>
            <w:pPr>
              <w:spacing w:after="0"/>
              <w:rPr>
                <w:sz w:val="7"/>
                <w:szCs w:val="7"/>
                <w:color w:val="auto"/>
              </w:rPr>
            </w:pPr>
          </w:p>
        </w:tc>
        <w:tc>
          <w:tcPr>
            <w:tcW w:w="840" w:type="dxa"/>
            <w:vAlign w:val="bottom"/>
            <w:gridSpan w:val="2"/>
          </w:tcPr>
          <w:p>
            <w:pPr>
              <w:ind w:left="80"/>
              <w:spacing w:after="0" w:line="65" w:lineRule="exact"/>
              <w:rPr>
                <w:sz w:val="20"/>
                <w:szCs w:val="20"/>
                <w:color w:val="auto"/>
              </w:rPr>
            </w:pPr>
            <w:r>
              <w:rPr>
                <w:rFonts w:ascii="Arial" w:cs="Arial" w:eastAsia="Arial" w:hAnsi="Arial"/>
                <w:sz w:val="7"/>
                <w:szCs w:val="7"/>
                <w:b w:val="1"/>
                <w:bCs w:val="1"/>
                <w:color w:val="auto"/>
              </w:rPr>
              <w:t>Earnings</w:t>
            </w:r>
          </w:p>
        </w:tc>
        <w:tc>
          <w:tcPr>
            <w:tcW w:w="280" w:type="dxa"/>
            <w:vAlign w:val="bottom"/>
          </w:tcPr>
          <w:p>
            <w:pPr>
              <w:spacing w:after="0"/>
              <w:rPr>
                <w:sz w:val="7"/>
                <w:szCs w:val="7"/>
                <w:color w:val="auto"/>
              </w:rPr>
            </w:pPr>
          </w:p>
        </w:tc>
        <w:tc>
          <w:tcPr>
            <w:tcW w:w="1280" w:type="dxa"/>
            <w:vAlign w:val="bottom"/>
            <w:gridSpan w:val="2"/>
          </w:tcPr>
          <w:p>
            <w:pPr>
              <w:jc w:val="center"/>
              <w:ind w:right="380"/>
              <w:spacing w:after="0" w:line="65" w:lineRule="exact"/>
              <w:rPr>
                <w:sz w:val="20"/>
                <w:szCs w:val="20"/>
                <w:color w:val="auto"/>
              </w:rPr>
            </w:pPr>
            <w:r>
              <w:rPr>
                <w:rFonts w:ascii="Arial" w:cs="Arial" w:eastAsia="Arial" w:hAnsi="Arial"/>
                <w:sz w:val="7"/>
                <w:szCs w:val="7"/>
                <w:b w:val="1"/>
                <w:bCs w:val="1"/>
                <w:color w:val="auto"/>
              </w:rPr>
              <w:t>Loss, net</w:t>
            </w:r>
          </w:p>
        </w:tc>
        <w:tc>
          <w:tcPr>
            <w:tcW w:w="140" w:type="dxa"/>
            <w:vAlign w:val="bottom"/>
          </w:tcPr>
          <w:p>
            <w:pPr>
              <w:spacing w:after="0"/>
              <w:rPr>
                <w:sz w:val="7"/>
                <w:szCs w:val="7"/>
                <w:color w:val="auto"/>
              </w:rPr>
            </w:pPr>
          </w:p>
        </w:tc>
        <w:tc>
          <w:tcPr>
            <w:tcW w:w="1160" w:type="dxa"/>
            <w:vAlign w:val="bottom"/>
          </w:tcPr>
          <w:p>
            <w:pPr>
              <w:jc w:val="center"/>
              <w:ind w:right="86"/>
              <w:spacing w:after="0" w:line="65" w:lineRule="exact"/>
              <w:rPr>
                <w:sz w:val="20"/>
                <w:szCs w:val="20"/>
                <w:color w:val="auto"/>
              </w:rPr>
            </w:pPr>
            <w:r>
              <w:rPr>
                <w:rFonts w:ascii="Arial" w:cs="Arial" w:eastAsia="Arial" w:hAnsi="Arial"/>
                <w:sz w:val="7"/>
                <w:szCs w:val="7"/>
                <w:b w:val="1"/>
                <w:bCs w:val="1"/>
                <w:color w:val="auto"/>
              </w:rPr>
              <w:t>Equity</w:t>
            </w:r>
          </w:p>
        </w:tc>
        <w:tc>
          <w:tcPr>
            <w:tcW w:w="0" w:type="dxa"/>
            <w:vAlign w:val="bottom"/>
          </w:tcPr>
          <w:p>
            <w:pPr>
              <w:spacing w:after="0"/>
              <w:rPr>
                <w:sz w:val="1"/>
                <w:szCs w:val="1"/>
                <w:color w:val="auto"/>
              </w:rPr>
            </w:pPr>
          </w:p>
        </w:tc>
      </w:tr>
      <w:tr>
        <w:trPr>
          <w:trHeight w:val="22"/>
        </w:trPr>
        <w:tc>
          <w:tcPr>
            <w:tcW w:w="66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426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2025</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1,024,401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22,106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(123)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7,577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28,798</w:t>
            </w:r>
          </w:p>
        </w:tc>
        <w:tc>
          <w:tcPr>
            <w:tcW w:w="0" w:type="dxa"/>
            <w:vAlign w:val="bottom"/>
          </w:tcPr>
          <w:p>
            <w:pPr>
              <w:spacing w:after="0"/>
              <w:rPr>
                <w:sz w:val="1"/>
                <w:szCs w:val="1"/>
                <w:color w:val="auto"/>
              </w:rPr>
            </w:pPr>
          </w:p>
        </w:tc>
      </w:tr>
      <w:tr>
        <w:trPr>
          <w:trHeight w:val="156"/>
        </w:trPr>
        <w:tc>
          <w:tcPr>
            <w:tcW w:w="4260" w:type="dxa"/>
            <w:vAlign w:val="bottom"/>
            <w:gridSpan w:val="3"/>
          </w:tcPr>
          <w:p>
            <w:pPr>
              <w:spacing w:after="0"/>
              <w:rPr>
                <w:sz w:val="20"/>
                <w:szCs w:val="20"/>
                <w:color w:val="auto"/>
              </w:rPr>
            </w:pPr>
            <w:r>
              <w:rPr>
                <w:rFonts w:ascii="Arial" w:cs="Arial" w:eastAsia="Arial" w:hAnsi="Arial"/>
                <w:sz w:val="11"/>
                <w:szCs w:val="11"/>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919</w:t>
            </w:r>
          </w:p>
        </w:tc>
        <w:tc>
          <w:tcPr>
            <w:tcW w:w="0" w:type="dxa"/>
            <w:vAlign w:val="bottom"/>
          </w:tcPr>
          <w:p>
            <w:pPr>
              <w:spacing w:after="0"/>
              <w:rPr>
                <w:sz w:val="1"/>
                <w:szCs w:val="1"/>
                <w:color w:val="auto"/>
              </w:rPr>
            </w:pPr>
          </w:p>
        </w:tc>
      </w:tr>
      <w:tr>
        <w:trPr>
          <w:trHeight w:val="162"/>
        </w:trPr>
        <w:tc>
          <w:tcPr>
            <w:tcW w:w="42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Long-term incentive plan activity</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6"/>
        </w:trPr>
        <w:tc>
          <w:tcPr>
            <w:tcW w:w="4260" w:type="dxa"/>
            <w:vAlign w:val="bottom"/>
            <w:gridSpan w:val="3"/>
          </w:tcPr>
          <w:p>
            <w:pPr>
              <w:spacing w:after="0"/>
              <w:rPr>
                <w:sz w:val="20"/>
                <w:szCs w:val="20"/>
                <w:color w:val="auto"/>
              </w:rPr>
            </w:pPr>
            <w:r>
              <w:rPr>
                <w:rFonts w:ascii="Arial" w:cs="Arial" w:eastAsia="Arial" w:hAnsi="Arial"/>
                <w:sz w:val="11"/>
                <w:szCs w:val="11"/>
                <w:color w:val="auto"/>
              </w:rPr>
              <w:t>Employee stock purchase plan activity</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0"/>
        </w:trPr>
        <w:tc>
          <w:tcPr>
            <w:tcW w:w="4260" w:type="dxa"/>
            <w:vAlign w:val="bottom"/>
            <w:gridSpan w:val="3"/>
            <w:shd w:val="clear" w:color="auto" w:fill="CCEEFF"/>
          </w:tcPr>
          <w:p>
            <w:pPr>
              <w:spacing w:after="0" w:line="120" w:lineRule="exact"/>
              <w:rPr>
                <w:sz w:val="20"/>
                <w:szCs w:val="20"/>
                <w:color w:val="auto"/>
              </w:rPr>
            </w:pPr>
            <w:r>
              <w:rPr>
                <w:rFonts w:ascii="Arial" w:cs="Arial" w:eastAsia="Arial" w:hAnsi="Arial"/>
                <w:sz w:val="11"/>
                <w:szCs w:val="11"/>
                <w:color w:val="auto"/>
              </w:rPr>
              <w:t>Common stock dividends</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0" w:type="dxa"/>
            <w:vAlign w:val="bottom"/>
          </w:tcPr>
          <w:p>
            <w:pPr>
              <w:spacing w:after="0"/>
              <w:rPr>
                <w:sz w:val="1"/>
                <w:szCs w:val="1"/>
                <w:color w:val="auto"/>
              </w:rPr>
            </w:pPr>
          </w:p>
        </w:tc>
      </w:tr>
      <w:tr>
        <w:trPr>
          <w:trHeight w:val="149"/>
        </w:trPr>
        <w:tc>
          <w:tcPr>
            <w:tcW w:w="42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($0.42/common share)</w:t>
            </w:r>
          </w:p>
        </w:tc>
        <w:tc>
          <w:tcPr>
            <w:tcW w:w="11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60" w:type="dxa"/>
            <w:vAlign w:val="bottom"/>
            <w:gridSpan w:val="3"/>
          </w:tcPr>
          <w:p>
            <w:pPr>
              <w:spacing w:after="0"/>
              <w:rPr>
                <w:sz w:val="20"/>
                <w:szCs w:val="20"/>
                <w:color w:val="auto"/>
              </w:rPr>
            </w:pPr>
            <w:r>
              <w:rPr>
                <w:rFonts w:ascii="Arial" w:cs="Arial" w:eastAsia="Arial" w:hAnsi="Arial"/>
                <w:sz w:val="11"/>
                <w:szCs w:val="11"/>
                <w:color w:val="auto"/>
              </w:rPr>
              <w:t>Other comprehensive income, net of income taxes</w:t>
            </w: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3"/>
        </w:trPr>
        <w:tc>
          <w:tcPr>
            <w:tcW w:w="42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at March 31, 2026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1,025,041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22,129</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1"/>
                <w:szCs w:val="11"/>
                <w:color w:val="auto"/>
              </w:rPr>
              <w:t>(123)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8,065</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29,315</w:t>
            </w:r>
          </w:p>
        </w:tc>
        <w:tc>
          <w:tcPr>
            <w:tcW w:w="0" w:type="dxa"/>
            <w:vAlign w:val="bottom"/>
          </w:tcPr>
          <w:p>
            <w:pPr>
              <w:spacing w:after="0"/>
              <w:rPr>
                <w:sz w:val="1"/>
                <w:szCs w:val="1"/>
                <w:color w:val="auto"/>
              </w:rPr>
            </w:pPr>
          </w:p>
        </w:tc>
      </w:tr>
      <w:tr>
        <w:trPr>
          <w:trHeight w:val="411"/>
        </w:trPr>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ind w:left="340"/>
              <w:spacing w:after="0"/>
              <w:rPr>
                <w:sz w:val="20"/>
                <w:szCs w:val="20"/>
                <w:color w:val="auto"/>
              </w:rPr>
            </w:pPr>
            <w:r>
              <w:rPr>
                <w:rFonts w:ascii="Arial" w:cs="Arial" w:eastAsia="Arial" w:hAnsi="Arial"/>
                <w:sz w:val="10"/>
                <w:szCs w:val="10"/>
                <w:b w:val="1"/>
                <w:bCs w:val="1"/>
                <w:color w:val="auto"/>
              </w:rPr>
              <w:t>Three Months Ended March 31, 2025</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gridSpan w:val="2"/>
          </w:tcPr>
          <w:p>
            <w:pPr>
              <w:jc w:val="center"/>
              <w:ind w:right="380"/>
              <w:spacing w:after="0" w:line="96" w:lineRule="exact"/>
              <w:rPr>
                <w:sz w:val="20"/>
                <w:szCs w:val="20"/>
                <w:color w:val="auto"/>
              </w:rPr>
            </w:pPr>
            <w:r>
              <w:rPr>
                <w:rFonts w:ascii="Arial" w:cs="Arial" w:eastAsia="Arial" w:hAnsi="Arial"/>
                <w:sz w:val="10"/>
                <w:szCs w:val="10"/>
                <w:b w:val="1"/>
                <w:bCs w:val="1"/>
                <w:color w:val="auto"/>
                <w:w w:val="98"/>
              </w:rPr>
              <w:t>Accumulated</w:t>
            </w: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millions, shares</w:t>
            </w:r>
          </w:p>
        </w:tc>
        <w:tc>
          <w:tcPr>
            <w:tcW w:w="1120" w:type="dxa"/>
            <w:vAlign w:val="bottom"/>
            <w:gridSpan w:val="2"/>
            <w:vMerge w:val="restart"/>
          </w:tcPr>
          <w:p>
            <w:pPr>
              <w:ind w:left="340"/>
              <w:spacing w:after="0"/>
              <w:rPr>
                <w:sz w:val="20"/>
                <w:szCs w:val="20"/>
                <w:color w:val="auto"/>
              </w:rPr>
            </w:pPr>
            <w:r>
              <w:rPr>
                <w:rFonts w:ascii="Arial" w:cs="Arial" w:eastAsia="Arial" w:hAnsi="Arial"/>
                <w:sz w:val="10"/>
                <w:szCs w:val="10"/>
                <w:b w:val="1"/>
                <w:bCs w:val="1"/>
                <w:color w:val="auto"/>
              </w:rPr>
              <w:t>Issued</w:t>
            </w:r>
          </w:p>
        </w:tc>
        <w:tc>
          <w:tcPr>
            <w:tcW w:w="160" w:type="dxa"/>
            <w:vAlign w:val="bottom"/>
          </w:tcPr>
          <w:p>
            <w:pPr>
              <w:spacing w:after="0"/>
              <w:rPr>
                <w:sz w:val="8"/>
                <w:szCs w:val="8"/>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rPr>
              <w:t>Common</w:t>
            </w:r>
          </w:p>
        </w:tc>
        <w:tc>
          <w:tcPr>
            <w:tcW w:w="16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9"/>
              </w:rPr>
              <w:t>Treasury</w:t>
            </w:r>
          </w:p>
        </w:tc>
        <w:tc>
          <w:tcPr>
            <w:tcW w:w="160" w:type="dxa"/>
            <w:vAlign w:val="bottom"/>
          </w:tcPr>
          <w:p>
            <w:pPr>
              <w:spacing w:after="0"/>
              <w:rPr>
                <w:sz w:val="8"/>
                <w:szCs w:val="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Retained</w:t>
            </w:r>
          </w:p>
        </w:tc>
        <w:tc>
          <w:tcPr>
            <w:tcW w:w="280" w:type="dxa"/>
            <w:vAlign w:val="bottom"/>
          </w:tcPr>
          <w:p>
            <w:pPr>
              <w:spacing w:after="0"/>
              <w:rPr>
                <w:sz w:val="8"/>
                <w:szCs w:val="8"/>
                <w:color w:val="auto"/>
              </w:rPr>
            </w:pPr>
          </w:p>
        </w:tc>
        <w:tc>
          <w:tcPr>
            <w:tcW w:w="1280" w:type="dxa"/>
            <w:vAlign w:val="bottom"/>
            <w:gridSpan w:val="2"/>
          </w:tcPr>
          <w:p>
            <w:pPr>
              <w:jc w:val="center"/>
              <w:ind w:right="380"/>
              <w:spacing w:after="0" w:line="100" w:lineRule="exact"/>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8"/>
                <w:szCs w:val="8"/>
                <w:color w:val="auto"/>
              </w:rPr>
            </w:pPr>
          </w:p>
        </w:tc>
        <w:tc>
          <w:tcPr>
            <w:tcW w:w="1160" w:type="dxa"/>
            <w:vAlign w:val="bottom"/>
            <w:vMerge w:val="restart"/>
          </w:tcPr>
          <w:p>
            <w:pPr>
              <w:jc w:val="center"/>
              <w:ind w:right="106"/>
              <w:spacing w:after="0"/>
              <w:rPr>
                <w:sz w:val="20"/>
                <w:szCs w:val="20"/>
                <w:color w:val="auto"/>
              </w:rPr>
            </w:pPr>
            <w:r>
              <w:rPr>
                <w:rFonts w:ascii="Arial" w:cs="Arial" w:eastAsia="Arial" w:hAnsi="Arial"/>
                <w:sz w:val="10"/>
                <w:szCs w:val="10"/>
                <w:b w:val="1"/>
                <w:bCs w:val="1"/>
                <w:color w:val="auto"/>
                <w:w w:val="98"/>
              </w:rPr>
              <w:t>Total Shareholders'</w:t>
            </w:r>
          </w:p>
        </w:tc>
        <w:tc>
          <w:tcPr>
            <w:tcW w:w="0" w:type="dxa"/>
            <w:vAlign w:val="bottom"/>
          </w:tcPr>
          <w:p>
            <w:pPr>
              <w:spacing w:after="0"/>
              <w:rPr>
                <w:sz w:val="1"/>
                <w:szCs w:val="1"/>
                <w:color w:val="auto"/>
              </w:rPr>
            </w:pPr>
          </w:p>
        </w:tc>
      </w:tr>
      <w:tr>
        <w:trPr>
          <w:trHeight w:val="95"/>
        </w:trPr>
        <w:tc>
          <w:tcPr>
            <w:tcW w:w="4260" w:type="dxa"/>
            <w:vAlign w:val="bottom"/>
            <w:gridSpan w:val="3"/>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gridSpan w:val="2"/>
          </w:tcPr>
          <w:p>
            <w:pPr>
              <w:jc w:val="center"/>
              <w:ind w:right="380"/>
              <w:spacing w:after="0" w:line="76" w:lineRule="exact"/>
              <w:rPr>
                <w:sz w:val="20"/>
                <w:szCs w:val="20"/>
                <w:color w:val="auto"/>
              </w:rPr>
            </w:pPr>
            <w:r>
              <w:rPr>
                <w:rFonts w:ascii="Arial" w:cs="Arial" w:eastAsia="Arial" w:hAnsi="Arial"/>
                <w:sz w:val="7"/>
                <w:szCs w:val="7"/>
                <w:b w:val="1"/>
                <w:bCs w:val="1"/>
                <w:color w:val="auto"/>
              </w:rPr>
              <w:t>Comprehensive</w:t>
            </w:r>
          </w:p>
        </w:tc>
        <w:tc>
          <w:tcPr>
            <w:tcW w:w="1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00" w:type="dxa"/>
            <w:vAlign w:val="bottom"/>
            <w:tcBorders>
              <w:top w:val="single" w:sz="8" w:color="auto"/>
            </w:tcBorders>
            <w:gridSpan w:val="2"/>
          </w:tcPr>
          <w:p>
            <w:pPr>
              <w:spacing w:after="0" w:line="86" w:lineRule="exact"/>
              <w:rPr>
                <w:sz w:val="20"/>
                <w:szCs w:val="20"/>
                <w:color w:val="auto"/>
              </w:rPr>
            </w:pPr>
            <w:r>
              <w:rPr>
                <w:rFonts w:ascii="Arial" w:cs="Arial" w:eastAsia="Arial" w:hAnsi="Arial"/>
                <w:sz w:val="9"/>
                <w:szCs w:val="9"/>
                <w:b w:val="1"/>
                <w:bCs w:val="1"/>
                <w:color w:val="auto"/>
              </w:rPr>
              <w:t>in thousands)</w:t>
            </w:r>
          </w:p>
        </w:tc>
        <w:tc>
          <w:tcPr>
            <w:tcW w:w="3360" w:type="dxa"/>
            <w:vAlign w:val="bottom"/>
          </w:tcPr>
          <w:p>
            <w:pPr>
              <w:spacing w:after="0"/>
              <w:rPr>
                <w:sz w:val="7"/>
                <w:szCs w:val="7"/>
                <w:color w:val="auto"/>
              </w:rPr>
            </w:pPr>
          </w:p>
        </w:tc>
        <w:tc>
          <w:tcPr>
            <w:tcW w:w="1120" w:type="dxa"/>
            <w:vAlign w:val="bottom"/>
            <w:gridSpan w:val="2"/>
          </w:tcPr>
          <w:p>
            <w:pPr>
              <w:ind w:left="340"/>
              <w:spacing w:after="0" w:line="86" w:lineRule="exact"/>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7"/>
                <w:szCs w:val="7"/>
                <w:color w:val="auto"/>
              </w:rPr>
            </w:pPr>
          </w:p>
        </w:tc>
        <w:tc>
          <w:tcPr>
            <w:tcW w:w="860" w:type="dxa"/>
            <w:vAlign w:val="bottom"/>
            <w:gridSpan w:val="2"/>
          </w:tcPr>
          <w:p>
            <w:pPr>
              <w:jc w:val="center"/>
              <w:ind w:right="260"/>
              <w:spacing w:after="0" w:line="86" w:lineRule="exact"/>
              <w:rPr>
                <w:sz w:val="20"/>
                <w:szCs w:val="20"/>
                <w:color w:val="auto"/>
              </w:rPr>
            </w:pPr>
            <w:r>
              <w:rPr>
                <w:rFonts w:ascii="Arial" w:cs="Arial" w:eastAsia="Arial" w:hAnsi="Arial"/>
                <w:sz w:val="9"/>
                <w:szCs w:val="9"/>
                <w:b w:val="1"/>
                <w:bCs w:val="1"/>
                <w:color w:val="auto"/>
              </w:rPr>
              <w:t>Stock</w:t>
            </w:r>
          </w:p>
        </w:tc>
        <w:tc>
          <w:tcPr>
            <w:tcW w:w="160" w:type="dxa"/>
            <w:vAlign w:val="bottom"/>
          </w:tcPr>
          <w:p>
            <w:pPr>
              <w:spacing w:after="0"/>
              <w:rPr>
                <w:sz w:val="7"/>
                <w:szCs w:val="7"/>
                <w:color w:val="auto"/>
              </w:rPr>
            </w:pPr>
          </w:p>
        </w:tc>
        <w:tc>
          <w:tcPr>
            <w:tcW w:w="840" w:type="dxa"/>
            <w:vAlign w:val="bottom"/>
            <w:gridSpan w:val="2"/>
          </w:tcPr>
          <w:p>
            <w:pPr>
              <w:jc w:val="center"/>
              <w:ind w:right="280"/>
              <w:spacing w:after="0" w:line="86" w:lineRule="exact"/>
              <w:rPr>
                <w:sz w:val="20"/>
                <w:szCs w:val="20"/>
                <w:color w:val="auto"/>
              </w:rPr>
            </w:pPr>
            <w:r>
              <w:rPr>
                <w:rFonts w:ascii="Arial" w:cs="Arial" w:eastAsia="Arial" w:hAnsi="Arial"/>
                <w:sz w:val="9"/>
                <w:szCs w:val="9"/>
                <w:b w:val="1"/>
                <w:bCs w:val="1"/>
                <w:color w:val="auto"/>
              </w:rPr>
              <w:t>Stock</w:t>
            </w:r>
          </w:p>
        </w:tc>
        <w:tc>
          <w:tcPr>
            <w:tcW w:w="160" w:type="dxa"/>
            <w:vAlign w:val="bottom"/>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Earnings</w:t>
            </w:r>
          </w:p>
        </w:tc>
        <w:tc>
          <w:tcPr>
            <w:tcW w:w="280" w:type="dxa"/>
            <w:vAlign w:val="bottom"/>
          </w:tcPr>
          <w:p>
            <w:pPr>
              <w:spacing w:after="0"/>
              <w:rPr>
                <w:sz w:val="7"/>
                <w:szCs w:val="7"/>
                <w:color w:val="auto"/>
              </w:rPr>
            </w:pPr>
          </w:p>
        </w:tc>
        <w:tc>
          <w:tcPr>
            <w:tcW w:w="1280" w:type="dxa"/>
            <w:vAlign w:val="bottom"/>
            <w:gridSpan w:val="2"/>
          </w:tcPr>
          <w:p>
            <w:pPr>
              <w:jc w:val="center"/>
              <w:ind w:right="380"/>
              <w:spacing w:after="0" w:line="86" w:lineRule="exact"/>
              <w:rPr>
                <w:sz w:val="20"/>
                <w:szCs w:val="20"/>
                <w:color w:val="auto"/>
              </w:rPr>
            </w:pPr>
            <w:r>
              <w:rPr>
                <w:rFonts w:ascii="Arial" w:cs="Arial" w:eastAsia="Arial" w:hAnsi="Arial"/>
                <w:sz w:val="9"/>
                <w:szCs w:val="9"/>
                <w:b w:val="1"/>
                <w:bCs w:val="1"/>
                <w:color w:val="auto"/>
              </w:rPr>
              <w:t>Loss, net</w:t>
            </w:r>
          </w:p>
        </w:tc>
        <w:tc>
          <w:tcPr>
            <w:tcW w:w="140" w:type="dxa"/>
            <w:vAlign w:val="bottom"/>
          </w:tcPr>
          <w:p>
            <w:pPr>
              <w:spacing w:after="0"/>
              <w:rPr>
                <w:sz w:val="7"/>
                <w:szCs w:val="7"/>
                <w:color w:val="auto"/>
              </w:rPr>
            </w:pPr>
          </w:p>
        </w:tc>
        <w:tc>
          <w:tcPr>
            <w:tcW w:w="1160" w:type="dxa"/>
            <w:vAlign w:val="bottom"/>
          </w:tcPr>
          <w:p>
            <w:pPr>
              <w:jc w:val="center"/>
              <w:ind w:right="86"/>
              <w:spacing w:after="0" w:line="86"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0"/>
        </w:trPr>
        <w:tc>
          <w:tcPr>
            <w:tcW w:w="66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6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2024</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1,007,046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21,338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(123)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6,426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26,921</w:t>
            </w:r>
          </w:p>
        </w:tc>
        <w:tc>
          <w:tcPr>
            <w:tcW w:w="0" w:type="dxa"/>
            <w:vAlign w:val="bottom"/>
          </w:tcPr>
          <w:p>
            <w:pPr>
              <w:spacing w:after="0"/>
              <w:rPr>
                <w:sz w:val="1"/>
                <w:szCs w:val="1"/>
                <w:color w:val="auto"/>
              </w:rPr>
            </w:pPr>
          </w:p>
        </w:tc>
      </w:tr>
      <w:tr>
        <w:trPr>
          <w:trHeight w:val="156"/>
        </w:trPr>
        <w:tc>
          <w:tcPr>
            <w:tcW w:w="4260" w:type="dxa"/>
            <w:vAlign w:val="bottom"/>
            <w:gridSpan w:val="3"/>
          </w:tcPr>
          <w:p>
            <w:pPr>
              <w:spacing w:after="0"/>
              <w:rPr>
                <w:sz w:val="20"/>
                <w:szCs w:val="20"/>
                <w:color w:val="auto"/>
              </w:rPr>
            </w:pPr>
            <w:r>
              <w:rPr>
                <w:rFonts w:ascii="Arial" w:cs="Arial" w:eastAsia="Arial" w:hAnsi="Arial"/>
                <w:sz w:val="11"/>
                <w:szCs w:val="11"/>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908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908</w:t>
            </w:r>
          </w:p>
        </w:tc>
        <w:tc>
          <w:tcPr>
            <w:tcW w:w="0" w:type="dxa"/>
            <w:vAlign w:val="bottom"/>
          </w:tcPr>
          <w:p>
            <w:pPr>
              <w:spacing w:after="0"/>
              <w:rPr>
                <w:sz w:val="1"/>
                <w:szCs w:val="1"/>
                <w:color w:val="auto"/>
              </w:rPr>
            </w:pPr>
          </w:p>
        </w:tc>
      </w:tr>
      <w:tr>
        <w:trPr>
          <w:trHeight w:val="162"/>
        </w:trPr>
        <w:tc>
          <w:tcPr>
            <w:tcW w:w="42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Long-term incentive plan activity</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6"/>
        </w:trPr>
        <w:tc>
          <w:tcPr>
            <w:tcW w:w="4260" w:type="dxa"/>
            <w:vAlign w:val="bottom"/>
            <w:gridSpan w:val="3"/>
          </w:tcPr>
          <w:p>
            <w:pPr>
              <w:spacing w:after="0"/>
              <w:rPr>
                <w:sz w:val="20"/>
                <w:szCs w:val="20"/>
                <w:color w:val="auto"/>
              </w:rPr>
            </w:pPr>
            <w:r>
              <w:rPr>
                <w:rFonts w:ascii="Arial" w:cs="Arial" w:eastAsia="Arial" w:hAnsi="Arial"/>
                <w:sz w:val="11"/>
                <w:szCs w:val="11"/>
                <w:color w:val="auto"/>
              </w:rPr>
              <w:t>Employee stock purchase plan activity</w:t>
            </w:r>
          </w:p>
        </w:tc>
        <w:tc>
          <w:tcPr>
            <w:tcW w:w="102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42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Issuance of Common Stock</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173</w:t>
            </w:r>
          </w:p>
        </w:tc>
        <w:tc>
          <w:tcPr>
            <w:tcW w:w="0" w:type="dxa"/>
            <w:vAlign w:val="bottom"/>
          </w:tcPr>
          <w:p>
            <w:pPr>
              <w:spacing w:after="0"/>
              <w:rPr>
                <w:sz w:val="1"/>
                <w:szCs w:val="1"/>
                <w:color w:val="auto"/>
              </w:rPr>
            </w:pPr>
          </w:p>
        </w:tc>
      </w:tr>
      <w:tr>
        <w:trPr>
          <w:trHeight w:val="121"/>
        </w:trPr>
        <w:tc>
          <w:tcPr>
            <w:tcW w:w="4260" w:type="dxa"/>
            <w:vAlign w:val="bottom"/>
            <w:gridSpan w:val="3"/>
          </w:tcPr>
          <w:p>
            <w:pPr>
              <w:spacing w:after="0" w:line="121" w:lineRule="exact"/>
              <w:rPr>
                <w:sz w:val="20"/>
                <w:szCs w:val="20"/>
                <w:color w:val="auto"/>
              </w:rPr>
            </w:pPr>
            <w:r>
              <w:rPr>
                <w:rFonts w:ascii="Arial" w:cs="Arial" w:eastAsia="Arial" w:hAnsi="Arial"/>
                <w:sz w:val="11"/>
                <w:szCs w:val="11"/>
                <w:color w:val="auto"/>
              </w:rPr>
              <w:t>Common stock dividends</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(403)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color w:val="auto"/>
              </w:rPr>
              <w:t>(403)</w:t>
            </w:r>
          </w:p>
        </w:tc>
        <w:tc>
          <w:tcPr>
            <w:tcW w:w="0" w:type="dxa"/>
            <w:vAlign w:val="bottom"/>
          </w:tcPr>
          <w:p>
            <w:pPr>
              <w:spacing w:after="0"/>
              <w:rPr>
                <w:sz w:val="1"/>
                <w:szCs w:val="1"/>
                <w:color w:val="auto"/>
              </w:rPr>
            </w:pPr>
          </w:p>
        </w:tc>
      </w:tr>
      <w:tr>
        <w:trPr>
          <w:trHeight w:val="144"/>
        </w:trPr>
        <w:tc>
          <w:tcPr>
            <w:tcW w:w="4260" w:type="dxa"/>
            <w:vAlign w:val="bottom"/>
            <w:gridSpan w:val="3"/>
          </w:tcPr>
          <w:p>
            <w:pPr>
              <w:spacing w:after="0"/>
              <w:rPr>
                <w:sz w:val="20"/>
                <w:szCs w:val="20"/>
                <w:color w:val="auto"/>
              </w:rPr>
            </w:pPr>
            <w:r>
              <w:rPr>
                <w:rFonts w:ascii="Arial" w:cs="Arial" w:eastAsia="Arial" w:hAnsi="Arial"/>
                <w:sz w:val="11"/>
                <w:szCs w:val="11"/>
                <w:color w:val="auto"/>
              </w:rPr>
              <w:t>($0.40/common share)</w:t>
            </w: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comprehensive income, net of income taxes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rPr>
                <w:sz w:val="20"/>
                <w:szCs w:val="20"/>
                <w:color w:val="auto"/>
              </w:rPr>
            </w:pPr>
            <w:r>
              <w:rPr>
                <w:rFonts w:ascii="Arial" w:cs="Arial" w:eastAsia="Arial" w:hAnsi="Arial"/>
                <w:sz w:val="11"/>
                <w:szCs w:val="11"/>
                <w:b w:val="1"/>
                <w:bCs w:val="1"/>
                <w:color w:val="auto"/>
              </w:rPr>
              <w:t>Balance at March 31, 2025</w:t>
            </w: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1,011,368</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21,517</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6,931</w:t>
            </w:r>
          </w:p>
        </w:tc>
        <w:tc>
          <w:tcPr>
            <w:tcW w:w="100" w:type="dxa"/>
            <w:vAlign w:val="bottom"/>
          </w:tcPr>
          <w:p>
            <w:pPr>
              <w:spacing w:after="0"/>
              <w:rPr>
                <w:sz w:val="12"/>
                <w:szCs w:val="12"/>
                <w:color w:val="auto"/>
              </w:rPr>
            </w:pPr>
          </w:p>
        </w:tc>
        <w:tc>
          <w:tcPr>
            <w:tcW w:w="280" w:type="dxa"/>
            <w:vAlign w:val="bottom"/>
            <w:tcBorders>
              <w:top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(718)</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27,607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180" w:type="dxa"/>
            <w:vAlign w:val="bottom"/>
            <w:gridSpan w:val="2"/>
          </w:tcPr>
          <w:p>
            <w:pPr>
              <w:jc w:val="right"/>
              <w:ind w:right="1196"/>
              <w:spacing w:after="0"/>
              <w:rPr>
                <w:sz w:val="20"/>
                <w:szCs w:val="20"/>
                <w:color w:val="auto"/>
              </w:rPr>
            </w:pPr>
            <w:r>
              <w:rPr>
                <w:rFonts w:ascii="Arial" w:cs="Arial" w:eastAsia="Arial" w:hAnsi="Arial"/>
                <w:sz w:val="14"/>
                <w:szCs w:val="14"/>
                <w:b w:val="1"/>
                <w:bCs w:val="1"/>
                <w:color w:val="auto"/>
              </w:rPr>
              <w:t>Commonwealth Edison Company and Subsidiary Companies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180" w:type="dxa"/>
            <w:vAlign w:val="bottom"/>
            <w:gridSpan w:val="2"/>
          </w:tcPr>
          <w:p>
            <w:pPr>
              <w:jc w:val="right"/>
              <w:ind w:right="1196"/>
              <w:spacing w:after="0"/>
              <w:rPr>
                <w:sz w:val="20"/>
                <w:szCs w:val="20"/>
                <w:color w:val="auto"/>
              </w:rPr>
            </w:pPr>
            <w:r>
              <w:rPr>
                <w:rFonts w:ascii="Arial" w:cs="Arial" w:eastAsia="Arial" w:hAnsi="Arial"/>
                <w:sz w:val="14"/>
                <w:szCs w:val="14"/>
                <w:b w:val="1"/>
                <w:bCs w:val="1"/>
                <w:color w:val="auto"/>
              </w:rPr>
              <w:t>Consolidated Statements of Operations and Comprehensive Income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180" w:type="dxa"/>
            <w:vAlign w:val="bottom"/>
            <w:gridSpan w:val="2"/>
          </w:tcPr>
          <w:p>
            <w:pPr>
              <w:jc w:val="right"/>
              <w:ind w:right="3096"/>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(In millions)</w:t>
            </w:r>
          </w:p>
        </w:tc>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right"/>
              <w:ind w:right="398"/>
              <w:spacing w:after="0" w:line="106"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106" w:lineRule="exact"/>
              <w:rPr>
                <w:sz w:val="20"/>
                <w:szCs w:val="20"/>
                <w:color w:val="auto"/>
              </w:rPr>
            </w:pPr>
            <w:r>
              <w:rPr>
                <w:rFonts w:ascii="Arial" w:cs="Arial" w:eastAsia="Arial" w:hAnsi="Arial"/>
                <w:sz w:val="10"/>
                <w:szCs w:val="10"/>
                <w:b w:val="1"/>
                <w:bCs w:val="1"/>
                <w:color w:val="auto"/>
                <w:w w:val="98"/>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Operating revenues</w:t>
            </w:r>
          </w:p>
        </w:tc>
        <w:tc>
          <w:tcPr>
            <w:tcW w:w="5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gridSpan w:val="2"/>
          </w:tcPr>
          <w:p>
            <w:pPr>
              <w:ind w:left="100"/>
              <w:spacing w:after="0"/>
              <w:rPr>
                <w:sz w:val="20"/>
                <w:szCs w:val="20"/>
                <w:color w:val="auto"/>
              </w:rPr>
            </w:pPr>
            <w:r>
              <w:rPr>
                <w:rFonts w:ascii="Arial" w:cs="Arial" w:eastAsia="Arial" w:hAnsi="Arial"/>
                <w:sz w:val="13"/>
                <w:szCs w:val="13"/>
                <w:color w:val="auto"/>
              </w:rPr>
              <w:t>Electric operating revenues</w:t>
            </w:r>
          </w:p>
        </w:tc>
        <w:tc>
          <w:tcPr>
            <w:tcW w:w="618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1,894</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2,142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Revenues from alternative revenue programs</w:t>
            </w:r>
          </w:p>
        </w:tc>
        <w:tc>
          <w:tcPr>
            <w:tcW w:w="5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Operating revenues from affiliates</w:t>
            </w:r>
          </w:p>
        </w:tc>
        <w:tc>
          <w:tcPr>
            <w:tcW w:w="59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operating revenues</w:t>
            </w:r>
          </w:p>
        </w:tc>
        <w:tc>
          <w:tcPr>
            <w:tcW w:w="59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0" w:type="dxa"/>
            <w:vAlign w:val="bottom"/>
            <w:gridSpan w:val="2"/>
          </w:tcPr>
          <w:p>
            <w:pPr>
              <w:spacing w:after="0"/>
              <w:rPr>
                <w:sz w:val="20"/>
                <w:szCs w:val="20"/>
                <w:color w:val="auto"/>
              </w:rPr>
            </w:pPr>
            <w:r>
              <w:rPr>
                <w:rFonts w:ascii="Arial" w:cs="Arial" w:eastAsia="Arial" w:hAnsi="Arial"/>
                <w:sz w:val="13"/>
                <w:szCs w:val="13"/>
                <w:b w:val="1"/>
                <w:bCs w:val="1"/>
                <w:color w:val="auto"/>
              </w:rPr>
              <w:t>Operating expenses</w:t>
            </w:r>
          </w:p>
        </w:tc>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Purchased power</w:t>
            </w:r>
          </w:p>
        </w:tc>
        <w:tc>
          <w:tcPr>
            <w:tcW w:w="5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gridSpan w:val="2"/>
          </w:tcPr>
          <w:p>
            <w:pPr>
              <w:ind w:left="100"/>
              <w:spacing w:after="0"/>
              <w:rPr>
                <w:sz w:val="20"/>
                <w:szCs w:val="20"/>
                <w:color w:val="auto"/>
              </w:rPr>
            </w:pPr>
            <w:r>
              <w:rPr>
                <w:rFonts w:ascii="Arial" w:cs="Arial" w:eastAsia="Arial" w:hAnsi="Arial"/>
                <w:sz w:val="13"/>
                <w:szCs w:val="13"/>
                <w:color w:val="auto"/>
              </w:rPr>
              <w:t>Operating and maintenance</w:t>
            </w:r>
          </w:p>
        </w:tc>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 and maintenance from affiliates</w:t>
            </w:r>
          </w:p>
        </w:tc>
        <w:tc>
          <w:tcPr>
            <w:tcW w:w="5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Taxes other than income taxes</w:t>
            </w:r>
          </w:p>
        </w:tc>
        <w:tc>
          <w:tcPr>
            <w:tcW w:w="59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gridSpan w:val="2"/>
          </w:tcPr>
          <w:p>
            <w:pPr>
              <w:ind w:left="260"/>
              <w:spacing w:after="0" w:line="148" w:lineRule="exact"/>
              <w:rPr>
                <w:sz w:val="20"/>
                <w:szCs w:val="20"/>
                <w:color w:val="auto"/>
              </w:rPr>
            </w:pPr>
            <w:r>
              <w:rPr>
                <w:rFonts w:ascii="Arial" w:cs="Arial" w:eastAsia="Arial" w:hAnsi="Arial"/>
                <w:sz w:val="13"/>
                <w:szCs w:val="13"/>
                <w:color w:val="auto"/>
              </w:rPr>
              <w:t>Total operating expenses</w:t>
            </w:r>
          </w:p>
        </w:tc>
        <w:tc>
          <w:tcPr>
            <w:tcW w:w="59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59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00" w:type="dxa"/>
            <w:vAlign w:val="bottom"/>
            <w:gridSpan w:val="2"/>
          </w:tcPr>
          <w:p>
            <w:pPr>
              <w:spacing w:after="0"/>
              <w:rPr>
                <w:sz w:val="20"/>
                <w:szCs w:val="20"/>
                <w:color w:val="auto"/>
              </w:rPr>
            </w:pPr>
            <w:r>
              <w:rPr>
                <w:rFonts w:ascii="Arial" w:cs="Arial" w:eastAsia="Arial" w:hAnsi="Arial"/>
                <w:sz w:val="13"/>
                <w:szCs w:val="13"/>
                <w:b w:val="1"/>
                <w:bCs w:val="1"/>
                <w:color w:val="auto"/>
              </w:rPr>
              <w:t>Other income and (deductions)</w:t>
            </w:r>
          </w:p>
        </w:tc>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 net</w:t>
            </w:r>
          </w:p>
        </w:tc>
        <w:tc>
          <w:tcPr>
            <w:tcW w:w="5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gridSpan w:val="2"/>
          </w:tcPr>
          <w:p>
            <w:pPr>
              <w:ind w:left="100"/>
              <w:spacing w:after="0"/>
              <w:rPr>
                <w:sz w:val="20"/>
                <w:szCs w:val="20"/>
                <w:color w:val="auto"/>
              </w:rPr>
            </w:pPr>
            <w:r>
              <w:rPr>
                <w:rFonts w:ascii="Arial" w:cs="Arial" w:eastAsia="Arial" w:hAnsi="Arial"/>
                <w:sz w:val="13"/>
                <w:szCs w:val="13"/>
                <w:color w:val="auto"/>
              </w:rPr>
              <w:t>Interest expense to affiliates, net</w:t>
            </w:r>
          </w:p>
        </w:tc>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59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gridSpan w:val="2"/>
          </w:tcPr>
          <w:p>
            <w:pPr>
              <w:ind w:left="260"/>
              <w:spacing w:after="0" w:line="148" w:lineRule="exact"/>
              <w:rPr>
                <w:sz w:val="20"/>
                <w:szCs w:val="20"/>
                <w:color w:val="auto"/>
              </w:rPr>
            </w:pPr>
            <w:r>
              <w:rPr>
                <w:rFonts w:ascii="Arial" w:cs="Arial" w:eastAsia="Arial" w:hAnsi="Arial"/>
                <w:sz w:val="13"/>
                <w:szCs w:val="13"/>
                <w:color w:val="auto"/>
              </w:rPr>
              <w:t>Total other income and (deductions)</w:t>
            </w:r>
          </w:p>
        </w:tc>
        <w:tc>
          <w:tcPr>
            <w:tcW w:w="59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before income taxes</w:t>
            </w:r>
          </w:p>
        </w:tc>
        <w:tc>
          <w:tcPr>
            <w:tcW w:w="5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Income taxes</w:t>
            </w:r>
          </w:p>
        </w:tc>
        <w:tc>
          <w:tcPr>
            <w:tcW w:w="59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59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Comprehensive income</w:t>
            </w:r>
          </w:p>
        </w:tc>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000" w:type="dxa"/>
            <w:vAlign w:val="bottom"/>
            <w:gridSpan w:val="2"/>
            <w:vMerge w:val="continue"/>
          </w:tcPr>
          <w:p>
            <w:pPr>
              <w:spacing w:after="0"/>
              <w:rPr>
                <w:sz w:val="11"/>
                <w:szCs w:val="11"/>
                <w:color w:val="auto"/>
              </w:rPr>
            </w:pPr>
          </w:p>
        </w:tc>
        <w:tc>
          <w:tcPr>
            <w:tcW w:w="6180" w:type="dxa"/>
            <w:vAlign w:val="bottom"/>
            <w:gridSpan w:val="2"/>
          </w:tcPr>
          <w:p>
            <w:pPr>
              <w:jc w:val="right"/>
              <w:ind w:right="116"/>
              <w:spacing w:after="0" w:line="13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3" w:lineRule="exact"/>
              <w:rPr>
                <w:sz w:val="20"/>
                <w:szCs w:val="20"/>
                <w:color w:val="auto"/>
              </w:rPr>
            </w:pPr>
            <w:r>
              <w:rPr>
                <w:rFonts w:ascii="Arial" w:cs="Arial" w:eastAsia="Arial" w:hAnsi="Arial"/>
                <w:sz w:val="13"/>
                <w:szCs w:val="13"/>
                <w:color w:val="auto"/>
              </w:rPr>
              <w:t>310</w:t>
            </w:r>
          </w:p>
        </w:tc>
        <w:tc>
          <w:tcPr>
            <w:tcW w:w="100" w:type="dxa"/>
            <w:vAlign w:val="bottom"/>
          </w:tcPr>
          <w:p>
            <w:pPr>
              <w:spacing w:after="0"/>
              <w:rPr>
                <w:sz w:val="11"/>
                <w:szCs w:val="11"/>
                <w:color w:val="auto"/>
              </w:rPr>
            </w:pPr>
          </w:p>
        </w:tc>
        <w:tc>
          <w:tcPr>
            <w:tcW w:w="440" w:type="dxa"/>
            <w:vAlign w:val="bottom"/>
          </w:tcPr>
          <w:p>
            <w:pPr>
              <w:jc w:val="right"/>
              <w:ind w:right="296"/>
              <w:spacing w:after="0" w:line="133"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3" w:lineRule="exact"/>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Commonwealth Edison Company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106"/>
        </w:trPr>
        <w:tc>
          <w:tcPr>
            <w:tcW w:w="20" w:type="dxa"/>
            <w:vAlign w:val="bottom"/>
          </w:tcPr>
          <w:p>
            <w:pPr>
              <w:spacing w:after="0"/>
              <w:rPr>
                <w:sz w:val="9"/>
                <w:szCs w:val="9"/>
                <w:color w:val="auto"/>
              </w:rPr>
            </w:pPr>
          </w:p>
        </w:tc>
        <w:tc>
          <w:tcPr>
            <w:tcW w:w="89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9"/>
                <w:szCs w:val="9"/>
                <w:color w:val="auto"/>
              </w:rPr>
            </w:pPr>
          </w:p>
        </w:tc>
        <w:tc>
          <w:tcPr>
            <w:tcW w:w="860" w:type="dxa"/>
            <w:vAlign w:val="bottom"/>
          </w:tcPr>
          <w:p>
            <w:pPr>
              <w:jc w:val="right"/>
              <w:ind w:right="398"/>
              <w:spacing w:after="0" w:line="106"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106" w:lineRule="exact"/>
              <w:rPr>
                <w:sz w:val="20"/>
                <w:szCs w:val="20"/>
                <w:color w:val="auto"/>
              </w:rPr>
            </w:pPr>
            <w:r>
              <w:rPr>
                <w:rFonts w:ascii="Arial" w:cs="Arial" w:eastAsia="Arial" w:hAnsi="Arial"/>
                <w:sz w:val="10"/>
                <w:szCs w:val="10"/>
                <w:b w:val="1"/>
                <w:bCs w:val="1"/>
                <w:color w:val="auto"/>
                <w:w w:val="98"/>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380</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Deferred income taxes and amortization of investment tax credits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Other non-cash operating activities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Changes in assets and liabilities: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Accounts receivable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Receivables from and payables to affiliates,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Inventories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Collateral received,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Regulatory assets and liabilities,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Pension and non-pension postretirement benefit contributions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420"/>
              <w:spacing w:after="0"/>
              <w:rPr>
                <w:sz w:val="20"/>
                <w:szCs w:val="20"/>
                <w:color w:val="auto"/>
              </w:rPr>
            </w:pPr>
            <w:r>
              <w:rPr>
                <w:rFonts w:ascii="Arial" w:cs="Arial" w:eastAsia="Arial" w:hAnsi="Arial"/>
                <w:sz w:val="13"/>
                <w:szCs w:val="13"/>
                <w:color w:val="auto"/>
              </w:rPr>
              <w:t>Other assets and liabilities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operating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Capital expenditures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Other investing activities</w:t>
            </w:r>
          </w:p>
        </w:tc>
        <w:tc>
          <w:tcPr>
            <w:tcW w:w="2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Net cash flows used in investing activities</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Changes in short-term borrowings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Dividends paid on common stock</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Contributions from parent</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Net cash flows provided by financing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Decrease in cash, restricted cash, and cash equivalents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70"/>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Cash, restricted cash, and cash equivalents at beginning of period</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Cash, restricted cash, and cash equivalents at end of period</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Decrease in capital expenditures not paid</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Commonwealth Edison Company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80" w:type="dxa"/>
            <w:vAlign w:val="bottom"/>
          </w:tcPr>
          <w:p>
            <w:pPr>
              <w:spacing w:after="0"/>
              <w:rPr>
                <w:sz w:val="10"/>
                <w:szCs w:val="10"/>
                <w:color w:val="auto"/>
              </w:rPr>
            </w:pPr>
          </w:p>
        </w:tc>
        <w:tc>
          <w:tcPr>
            <w:tcW w:w="1640" w:type="dxa"/>
            <w:vAlign w:val="bottom"/>
            <w:gridSpan w:val="2"/>
          </w:tcPr>
          <w:p>
            <w:pPr>
              <w:ind w:left="180"/>
              <w:spacing w:after="0"/>
              <w:rPr>
                <w:sz w:val="20"/>
                <w:szCs w:val="20"/>
                <w:color w:val="auto"/>
              </w:rPr>
            </w:pPr>
            <w:r>
              <w:rPr>
                <w:rFonts w:ascii="Arial" w:cs="Arial" w:eastAsia="Arial" w:hAnsi="Arial"/>
                <w:sz w:val="10"/>
                <w:szCs w:val="10"/>
                <w:b w:val="1"/>
                <w:bCs w:val="1"/>
                <w:color w:val="auto"/>
              </w:rPr>
              <w:t>March 31, 2026</w:t>
            </w:r>
          </w:p>
        </w:tc>
        <w:tc>
          <w:tcPr>
            <w:tcW w:w="440" w:type="dxa"/>
            <w:vAlign w:val="bottom"/>
          </w:tcPr>
          <w:p>
            <w:pPr>
              <w:spacing w:after="0"/>
              <w:rPr>
                <w:sz w:val="10"/>
                <w:szCs w:val="10"/>
                <w:color w:val="auto"/>
              </w:rPr>
            </w:pPr>
          </w:p>
        </w:tc>
        <w:tc>
          <w:tcPr>
            <w:tcW w:w="156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2760"/>
              <w:spacing w:after="0" w:line="142" w:lineRule="exact"/>
              <w:rPr>
                <w:sz w:val="20"/>
                <w:szCs w:val="20"/>
                <w:color w:val="auto"/>
              </w:rPr>
            </w:pPr>
            <w:r>
              <w:rPr>
                <w:rFonts w:ascii="Arial" w:cs="Arial" w:eastAsia="Arial" w:hAnsi="Arial"/>
                <w:sz w:val="13"/>
                <w:szCs w:val="13"/>
                <w:b w:val="1"/>
                <w:bCs w:val="1"/>
                <w:color w:val="auto"/>
              </w:rPr>
              <w:t>ASSETS</w:t>
            </w:r>
          </w:p>
        </w:tc>
        <w:tc>
          <w:tcPr>
            <w:tcW w:w="4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20"/>
              <w:spacing w:after="0"/>
              <w:rPr>
                <w:sz w:val="20"/>
                <w:szCs w:val="20"/>
                <w:color w:val="auto"/>
              </w:rPr>
            </w:pPr>
            <w:r>
              <w:rPr>
                <w:rFonts w:ascii="Arial" w:cs="Arial" w:eastAsia="Arial" w:hAnsi="Arial"/>
                <w:sz w:val="13"/>
                <w:szCs w:val="13"/>
                <w:color w:val="auto"/>
              </w:rPr>
              <w:t>Restricted cash and cash equivalents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Accounts receivable</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80"/>
              <w:spacing w:after="0"/>
              <w:rPr>
                <w:sz w:val="20"/>
                <w:szCs w:val="20"/>
                <w:color w:val="auto"/>
              </w:rPr>
            </w:pPr>
            <w:r>
              <w:rPr>
                <w:rFonts w:ascii="Arial" w:cs="Arial" w:eastAsia="Arial" w:hAnsi="Arial"/>
                <w:sz w:val="13"/>
                <w:szCs w:val="13"/>
                <w:color w:val="auto"/>
              </w:rPr>
              <w:t>Customer accounts receivable</w:t>
            </w:r>
          </w:p>
        </w:tc>
        <w:tc>
          <w:tcPr>
            <w:tcW w:w="480" w:type="dxa"/>
            <w:vAlign w:val="bottom"/>
          </w:tcPr>
          <w:p>
            <w:pPr>
              <w:ind w:left="20"/>
              <w:spacing w:after="0"/>
              <w:rPr>
                <w:sz w:val="20"/>
                <w:szCs w:val="20"/>
                <w:color w:val="auto"/>
              </w:rPr>
            </w:pPr>
            <w:r>
              <w:rPr>
                <w:rFonts w:ascii="Arial" w:cs="Arial" w:eastAsia="Arial" w:hAnsi="Arial"/>
                <w:sz w:val="13"/>
                <w:szCs w:val="13"/>
                <w:color w:val="auto"/>
              </w:rPr>
              <w:t>865</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auto"/>
              </w:rPr>
              <w:t>1,058</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Customer allowance for credit losses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(130)</w:t>
            </w:r>
          </w:p>
        </w:tc>
        <w:tc>
          <w:tcPr>
            <w:tcW w:w="1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(115)</w:t>
            </w:r>
          </w:p>
        </w:tc>
        <w:tc>
          <w:tcPr>
            <w:tcW w:w="15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Customer accounts receivable, net</w:t>
            </w:r>
          </w:p>
        </w:tc>
        <w:tc>
          <w:tcPr>
            <w:tcW w:w="4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735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943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Other accounts receivable</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780</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1,155</w:t>
            </w: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Other allowance for credit losses</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(27)</w:t>
            </w:r>
          </w:p>
        </w:tc>
        <w:tc>
          <w:tcPr>
            <w:tcW w:w="1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(23)</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Other accounts receivable, net</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Receivables from affiliates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Inventories, net</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Regulatory assets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280"/>
              <w:spacing w:after="0" w:line="148" w:lineRule="exact"/>
              <w:rPr>
                <w:sz w:val="20"/>
                <w:szCs w:val="20"/>
                <w:color w:val="auto"/>
              </w:rPr>
            </w:pPr>
            <w:r>
              <w:rPr>
                <w:rFonts w:ascii="Arial" w:cs="Arial" w:eastAsia="Arial" w:hAnsi="Arial"/>
                <w:sz w:val="13"/>
                <w:szCs w:val="13"/>
                <w:color w:val="auto"/>
              </w:rPr>
              <w:t>Total current assets</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3,773</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71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Property, plant, and equipment (net of accumulated depreciation and amortization of $8,514 and $8,219 as of</w:t>
            </w:r>
          </w:p>
        </w:tc>
        <w:tc>
          <w:tcPr>
            <w:tcW w:w="480" w:type="dxa"/>
            <w:vAlign w:val="bottom"/>
            <w:shd w:val="clear" w:color="auto" w:fill="CCEEFF"/>
          </w:tcPr>
          <w:p>
            <w:pPr>
              <w:spacing w:after="0"/>
              <w:rPr>
                <w:sz w:val="9"/>
                <w:szCs w:val="9"/>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32,738</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32,255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2026 and December 31, 2025, respectively)</w:t>
            </w:r>
          </w:p>
        </w:tc>
        <w:tc>
          <w:tcPr>
            <w:tcW w:w="48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Regulatory assets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20"/>
              <w:spacing w:after="0"/>
              <w:rPr>
                <w:sz w:val="20"/>
                <w:szCs w:val="20"/>
                <w:color w:val="auto"/>
              </w:rPr>
            </w:pPr>
            <w:r>
              <w:rPr>
                <w:rFonts w:ascii="Arial" w:cs="Arial" w:eastAsia="Arial" w:hAnsi="Arial"/>
                <w:sz w:val="13"/>
                <w:szCs w:val="13"/>
                <w:color w:val="auto"/>
              </w:rPr>
              <w:t>Goodwill</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2,625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2,625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Receivable related to Regulatory Agreement Units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20"/>
              <w:spacing w:after="0"/>
              <w:rPr>
                <w:sz w:val="20"/>
                <w:szCs w:val="20"/>
                <w:color w:val="auto"/>
              </w:rPr>
            </w:pPr>
            <w:r>
              <w:rPr>
                <w:rFonts w:ascii="Arial" w:cs="Arial" w:eastAsia="Arial" w:hAnsi="Arial"/>
                <w:sz w:val="13"/>
                <w:szCs w:val="13"/>
                <w:color w:val="auto"/>
              </w:rPr>
              <w:t>Investments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Prepaid pension asset</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Total deferred debits and other assets</w:t>
            </w:r>
          </w:p>
        </w:tc>
        <w:tc>
          <w:tcPr>
            <w:tcW w:w="4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12,513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12,257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48,478</w:t>
            </w:r>
          </w:p>
        </w:tc>
        <w:tc>
          <w:tcPr>
            <w:tcW w:w="100" w:type="dxa"/>
            <w:vAlign w:val="bottom"/>
          </w:tcPr>
          <w:p>
            <w:pPr>
              <w:spacing w:after="0"/>
              <w:rPr>
                <w:sz w:val="13"/>
                <w:szCs w:val="13"/>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Commonwealth Edison Company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0"/>
                <w:szCs w:val="10"/>
                <w:color w:val="auto"/>
              </w:rPr>
            </w:pPr>
          </w:p>
        </w:tc>
        <w:tc>
          <w:tcPr>
            <w:tcW w:w="1740" w:type="dxa"/>
            <w:vAlign w:val="bottom"/>
            <w:gridSpan w:val="2"/>
          </w:tcPr>
          <w:p>
            <w:pPr>
              <w:ind w:left="280"/>
              <w:spacing w:after="0"/>
              <w:rPr>
                <w:sz w:val="20"/>
                <w:szCs w:val="20"/>
                <w:color w:val="auto"/>
              </w:rPr>
            </w:pPr>
            <w:r>
              <w:rPr>
                <w:rFonts w:ascii="Arial" w:cs="Arial" w:eastAsia="Arial" w:hAnsi="Arial"/>
                <w:sz w:val="10"/>
                <w:szCs w:val="10"/>
                <w:b w:val="1"/>
                <w:bCs w:val="1"/>
                <w:color w:val="auto"/>
              </w:rPr>
              <w:t>March 31, 2026</w:t>
            </w:r>
          </w:p>
        </w:tc>
        <w:tc>
          <w:tcPr>
            <w:tcW w:w="320" w:type="dxa"/>
            <w:vAlign w:val="bottom"/>
          </w:tcPr>
          <w:p>
            <w:pPr>
              <w:spacing w:after="0"/>
              <w:rPr>
                <w:sz w:val="10"/>
                <w:szCs w:val="10"/>
                <w:color w:val="auto"/>
              </w:rPr>
            </w:pPr>
          </w:p>
        </w:tc>
        <w:tc>
          <w:tcPr>
            <w:tcW w:w="168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1660"/>
              <w:spacing w:after="0" w:line="142" w:lineRule="exact"/>
              <w:rPr>
                <w:sz w:val="20"/>
                <w:szCs w:val="20"/>
                <w:color w:val="auto"/>
              </w:rPr>
            </w:pPr>
            <w:r>
              <w:rPr>
                <w:rFonts w:ascii="Arial" w:cs="Arial" w:eastAsia="Arial" w:hAnsi="Arial"/>
                <w:sz w:val="13"/>
                <w:szCs w:val="13"/>
                <w:b w:val="1"/>
                <w:bCs w:val="1"/>
                <w:color w:val="auto"/>
              </w:rPr>
              <w:t>LIABILITIES AND SHAREHOLDERS’ EQUITY</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Short-term borrowings</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20"/>
              <w:spacing w:after="0"/>
              <w:rPr>
                <w:sz w:val="20"/>
                <w:szCs w:val="20"/>
                <w:color w:val="auto"/>
              </w:rPr>
            </w:pPr>
            <w:r>
              <w:rPr>
                <w:rFonts w:ascii="Arial" w:cs="Arial" w:eastAsia="Arial" w:hAnsi="Arial"/>
                <w:sz w:val="13"/>
                <w:szCs w:val="13"/>
                <w:color w:val="auto"/>
              </w:rPr>
              <w:t>Long-term debt due within one year</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500</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Accrued expenses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369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474</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Payables to affiliates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20"/>
              <w:spacing w:after="0"/>
              <w:rPr>
                <w:sz w:val="20"/>
                <w:szCs w:val="20"/>
                <w:color w:val="auto"/>
              </w:rPr>
            </w:pPr>
            <w:r>
              <w:rPr>
                <w:rFonts w:ascii="Arial" w:cs="Arial" w:eastAsia="Arial" w:hAnsi="Arial"/>
                <w:sz w:val="13"/>
                <w:szCs w:val="13"/>
                <w:color w:val="auto"/>
              </w:rPr>
              <w:t>Customer deposits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192</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20"/>
              <w:spacing w:after="0"/>
              <w:rPr>
                <w:sz w:val="20"/>
                <w:szCs w:val="20"/>
                <w:color w:val="auto"/>
              </w:rPr>
            </w:pPr>
            <w:r>
              <w:rPr>
                <w:rFonts w:ascii="Arial" w:cs="Arial" w:eastAsia="Arial" w:hAnsi="Arial"/>
                <w:sz w:val="13"/>
                <w:szCs w:val="13"/>
                <w:color w:val="auto"/>
              </w:rPr>
              <w:t>Mark-to-market derivative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60"/>
              <w:spacing w:after="0" w:line="148" w:lineRule="exact"/>
              <w:rPr>
                <w:sz w:val="20"/>
                <w:szCs w:val="20"/>
                <w:color w:val="auto"/>
              </w:rPr>
            </w:pPr>
            <w:r>
              <w:rPr>
                <w:rFonts w:ascii="Arial" w:cs="Arial" w:eastAsia="Arial" w:hAnsi="Arial"/>
                <w:sz w:val="13"/>
                <w:szCs w:val="13"/>
                <w:color w:val="auto"/>
              </w:rPr>
              <w:t>Total current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3,439</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Long-term debt</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12,253</w:t>
            </w: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Long-term debt to financing trust</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206</w:t>
            </w: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20"/>
              <w:spacing w:after="0"/>
              <w:rPr>
                <w:sz w:val="20"/>
                <w:szCs w:val="20"/>
                <w:color w:val="auto"/>
              </w:rPr>
            </w:pPr>
            <w:r>
              <w:rPr>
                <w:rFonts w:ascii="Arial" w:cs="Arial" w:eastAsia="Arial" w:hAnsi="Arial"/>
                <w:sz w:val="13"/>
                <w:szCs w:val="13"/>
                <w:color w:val="auto"/>
              </w:rPr>
              <w:t>Deferred income taxes and unamortized investment tax credits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5,918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5,828</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9,163</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Asset retirement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193</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Non-pension postretirement benefit obligations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20"/>
              <w:spacing w:after="0"/>
              <w:rPr>
                <w:sz w:val="20"/>
                <w:szCs w:val="20"/>
                <w:color w:val="auto"/>
              </w:rPr>
            </w:pPr>
            <w:r>
              <w:rPr>
                <w:rFonts w:ascii="Arial" w:cs="Arial" w:eastAsia="Arial" w:hAnsi="Arial"/>
                <w:sz w:val="13"/>
                <w:szCs w:val="13"/>
                <w:color w:val="auto"/>
              </w:rPr>
              <w:t>Mark-to-market derivative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1,341</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60"/>
              <w:spacing w:after="0" w:line="148" w:lineRule="exact"/>
              <w:rPr>
                <w:sz w:val="20"/>
                <w:szCs w:val="20"/>
                <w:color w:val="auto"/>
              </w:rPr>
            </w:pPr>
            <w:r>
              <w:rPr>
                <w:rFonts w:ascii="Arial" w:cs="Arial" w:eastAsia="Arial" w:hAnsi="Arial"/>
                <w:sz w:val="13"/>
                <w:szCs w:val="13"/>
                <w:color w:val="auto"/>
              </w:rPr>
              <w:t>Total deferred credits and other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17,016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16,782</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Total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32,525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32,680</w:t>
            </w:r>
          </w:p>
        </w:tc>
      </w:tr>
      <w:tr>
        <w:trPr>
          <w:trHeight w:val="150"/>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Commitments and contingencies</w:t>
            </w: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Shareholders’ equity</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20"/>
              <w:spacing w:after="0"/>
              <w:rPr>
                <w:sz w:val="20"/>
                <w:szCs w:val="20"/>
                <w:color w:val="auto"/>
              </w:rPr>
            </w:pPr>
            <w:r>
              <w:rPr>
                <w:rFonts w:ascii="Arial" w:cs="Arial" w:eastAsia="Arial" w:hAnsi="Arial"/>
                <w:sz w:val="13"/>
                <w:szCs w:val="13"/>
                <w:color w:val="auto"/>
              </w:rPr>
              <w:t>Common stock</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1,588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1,588</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paid-in capital</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11,019</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Retained earnings</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2,998</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Total shareholders’ equity</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15,953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15,605</w:t>
            </w:r>
          </w:p>
        </w:tc>
      </w:tr>
      <w:tr>
        <w:trPr>
          <w:trHeight w:val="159"/>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48,478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48,285</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Commonwealth Edison Company and Subsidiary Companies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Consolidated Statements of Changes in Shareholders' Equity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0"/>
                <w:szCs w:val="10"/>
                <w:b w:val="1"/>
                <w:bCs w:val="1"/>
                <w:color w:val="auto"/>
              </w:rPr>
              <w:t>Three Months Ended March 31, 2026</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40" w:type="dxa"/>
            <w:vAlign w:val="bottom"/>
            <w:vMerge w:val="restart"/>
          </w:tcPr>
          <w:p>
            <w:pPr>
              <w:jc w:val="center"/>
              <w:ind w:left="383"/>
              <w:spacing w:after="0"/>
              <w:rPr>
                <w:sz w:val="20"/>
                <w:szCs w:val="20"/>
                <w:color w:val="auto"/>
              </w:rPr>
            </w:pPr>
            <w:r>
              <w:rPr>
                <w:rFonts w:ascii="Arial" w:cs="Arial" w:eastAsia="Arial" w:hAnsi="Arial"/>
                <w:sz w:val="10"/>
                <w:szCs w:val="10"/>
                <w:b w:val="1"/>
                <w:bCs w:val="1"/>
                <w:color w:val="auto"/>
              </w:rPr>
              <w:t>Common</w:t>
            </w: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jc w:val="center"/>
              <w:ind w:left="466"/>
              <w:spacing w:after="0" w:line="95" w:lineRule="exact"/>
              <w:rPr>
                <w:sz w:val="20"/>
                <w:szCs w:val="20"/>
                <w:color w:val="auto"/>
              </w:rPr>
            </w:pPr>
            <w:r>
              <w:rPr>
                <w:rFonts w:ascii="Arial" w:cs="Arial" w:eastAsia="Arial" w:hAnsi="Arial"/>
                <w:sz w:val="10"/>
                <w:szCs w:val="10"/>
                <w:b w:val="1"/>
                <w:bCs w:val="1"/>
                <w:color w:val="auto"/>
                <w:w w:val="97"/>
              </w:rPr>
              <w:t>Other</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0"/>
                <w:szCs w:val="10"/>
                <w:b w:val="1"/>
                <w:bCs w:val="1"/>
                <w:color w:val="auto"/>
              </w:rPr>
              <w:t>Retained</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jc w:val="center"/>
              <w:ind w:right="202"/>
              <w:spacing w:after="0" w:line="9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5"/>
        </w:trPr>
        <w:tc>
          <w:tcPr>
            <w:tcW w:w="472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0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jc w:val="center"/>
              <w:ind w:left="466"/>
              <w:spacing w:after="0" w:line="96" w:lineRule="exact"/>
              <w:rPr>
                <w:sz w:val="20"/>
                <w:szCs w:val="20"/>
                <w:color w:val="auto"/>
              </w:rPr>
            </w:pPr>
            <w:r>
              <w:rPr>
                <w:rFonts w:ascii="Arial" w:cs="Arial" w:eastAsia="Arial" w:hAnsi="Arial"/>
                <w:sz w:val="10"/>
                <w:szCs w:val="10"/>
                <w:b w:val="1"/>
                <w:bCs w:val="1"/>
                <w:color w:val="auto"/>
              </w:rPr>
              <w:t>Paid-In</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jc w:val="center"/>
              <w:ind w:right="202"/>
              <w:spacing w:after="0" w:line="96" w:lineRule="exact"/>
              <w:rPr>
                <w:sz w:val="20"/>
                <w:szCs w:val="20"/>
                <w:color w:val="auto"/>
              </w:rPr>
            </w:pPr>
            <w:r>
              <w:rPr>
                <w:rFonts w:ascii="Arial" w:cs="Arial" w:eastAsia="Arial" w:hAnsi="Arial"/>
                <w:sz w:val="10"/>
                <w:szCs w:val="10"/>
                <w:b w:val="1"/>
                <w:bCs w:val="1"/>
                <w:color w:val="auto"/>
                <w:w w:val="98"/>
              </w:rPr>
              <w:t>Shareholders’</w:t>
            </w:r>
          </w:p>
        </w:tc>
        <w:tc>
          <w:tcPr>
            <w:tcW w:w="0" w:type="dxa"/>
            <w:vAlign w:val="bottom"/>
          </w:tcPr>
          <w:p>
            <w:pPr>
              <w:spacing w:after="0"/>
              <w:rPr>
                <w:sz w:val="1"/>
                <w:szCs w:val="1"/>
                <w:color w:val="auto"/>
              </w:rPr>
            </w:pPr>
          </w:p>
        </w:tc>
      </w:tr>
      <w:tr>
        <w:trPr>
          <w:trHeight w:val="117"/>
        </w:trPr>
        <w:tc>
          <w:tcPr>
            <w:tcW w:w="4720" w:type="dxa"/>
            <w:vAlign w:val="bottom"/>
            <w:gridSpan w:val="3"/>
            <w:vMerge w:val="continue"/>
          </w:tcPr>
          <w:p>
            <w:pPr>
              <w:spacing w:after="0"/>
              <w:rPr>
                <w:sz w:val="10"/>
                <w:szCs w:val="10"/>
                <w:color w:val="auto"/>
              </w:rPr>
            </w:pPr>
          </w:p>
        </w:tc>
        <w:tc>
          <w:tcPr>
            <w:tcW w:w="1040" w:type="dxa"/>
            <w:vAlign w:val="bottom"/>
          </w:tcPr>
          <w:p>
            <w:pPr>
              <w:jc w:val="center"/>
              <w:ind w:left="383"/>
              <w:spacing w:after="0"/>
              <w:rPr>
                <w:sz w:val="20"/>
                <w:szCs w:val="20"/>
                <w:color w:val="auto"/>
              </w:rPr>
            </w:pPr>
            <w:r>
              <w:rPr>
                <w:rFonts w:ascii="Arial" w:cs="Arial" w:eastAsia="Arial" w:hAnsi="Arial"/>
                <w:sz w:val="10"/>
                <w:szCs w:val="10"/>
                <w:b w:val="1"/>
                <w:bCs w:val="1"/>
                <w:color w:val="auto"/>
              </w:rPr>
              <w:t>Stock</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left="466"/>
              <w:spacing w:after="0"/>
              <w:rPr>
                <w:sz w:val="20"/>
                <w:szCs w:val="20"/>
                <w:color w:val="auto"/>
              </w:rPr>
            </w:pPr>
            <w:r>
              <w:rPr>
                <w:rFonts w:ascii="Arial" w:cs="Arial" w:eastAsia="Arial" w:hAnsi="Arial"/>
                <w:sz w:val="10"/>
                <w:szCs w:val="10"/>
                <w:b w:val="1"/>
                <w:bCs w:val="1"/>
                <w:color w:val="auto"/>
              </w:rPr>
              <w:t>Capital</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23"/>
              <w:spacing w:after="0"/>
              <w:rPr>
                <w:sz w:val="20"/>
                <w:szCs w:val="20"/>
                <w:color w:val="auto"/>
              </w:rPr>
            </w:pPr>
            <w:r>
              <w:rPr>
                <w:rFonts w:ascii="Arial" w:cs="Arial" w:eastAsia="Arial" w:hAnsi="Arial"/>
                <w:sz w:val="10"/>
                <w:szCs w:val="10"/>
                <w:b w:val="1"/>
                <w:bCs w:val="1"/>
                <w:color w:val="auto"/>
              </w:rPr>
              <w:t>Earnings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20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2025</w:t>
            </w: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11,019</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903"/>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15,605</w:t>
            </w:r>
          </w:p>
        </w:tc>
        <w:tc>
          <w:tcPr>
            <w:tcW w:w="0" w:type="dxa"/>
            <w:vAlign w:val="bottom"/>
          </w:tcPr>
          <w:p>
            <w:pPr>
              <w:spacing w:after="0"/>
              <w:rPr>
                <w:sz w:val="1"/>
                <w:szCs w:val="1"/>
                <w:color w:val="auto"/>
              </w:rPr>
            </w:pPr>
          </w:p>
        </w:tc>
      </w:tr>
      <w:tr>
        <w:trPr>
          <w:trHeight w:val="169"/>
        </w:trPr>
        <w:tc>
          <w:tcPr>
            <w:tcW w:w="4720" w:type="dxa"/>
            <w:vAlign w:val="bottom"/>
            <w:gridSpan w:val="3"/>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71"/>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Common stock dividends</w:t>
            </w:r>
          </w:p>
        </w:tc>
        <w:tc>
          <w:tcPr>
            <w:tcW w:w="10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69"/>
        </w:trPr>
        <w:tc>
          <w:tcPr>
            <w:tcW w:w="4720" w:type="dxa"/>
            <w:vAlign w:val="bottom"/>
            <w:gridSpan w:val="3"/>
          </w:tcPr>
          <w:p>
            <w:pPr>
              <w:ind w:left="20"/>
              <w:spacing w:after="0"/>
              <w:rPr>
                <w:sz w:val="20"/>
                <w:szCs w:val="20"/>
                <w:color w:val="auto"/>
              </w:rPr>
            </w:pPr>
            <w:r>
              <w:rPr>
                <w:rFonts w:ascii="Arial" w:cs="Arial" w:eastAsia="Arial" w:hAnsi="Arial"/>
                <w:sz w:val="13"/>
                <w:szCs w:val="13"/>
                <w:color w:val="auto"/>
              </w:rPr>
              <w:t>Contributions from parent</w:t>
            </w:r>
          </w:p>
        </w:tc>
        <w:tc>
          <w:tcPr>
            <w:tcW w:w="104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62"/>
        </w:trPr>
        <w:tc>
          <w:tcPr>
            <w:tcW w:w="4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2026</w:t>
            </w:r>
          </w:p>
        </w:tc>
        <w:tc>
          <w:tcPr>
            <w:tcW w:w="1040" w:type="dxa"/>
            <w:vAlign w:val="bottom"/>
            <w:tcBorders>
              <w:top w:val="single" w:sz="8" w:color="auto"/>
            </w:tcBorders>
            <w:shd w:val="clear" w:color="auto" w:fill="CCEEFF"/>
          </w:tcPr>
          <w:p>
            <w:pPr>
              <w:jc w:val="right"/>
              <w:ind w:right="903"/>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1,588</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11,275</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03"/>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15,953</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0"/>
                <w:szCs w:val="10"/>
                <w:b w:val="1"/>
                <w:bCs w:val="1"/>
                <w:color w:val="auto"/>
              </w:rPr>
              <w:t>Three Months Ended March 31, 2025</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40" w:type="dxa"/>
            <w:vAlign w:val="bottom"/>
            <w:vMerge w:val="restart"/>
          </w:tcPr>
          <w:p>
            <w:pPr>
              <w:jc w:val="center"/>
              <w:ind w:left="383"/>
              <w:spacing w:after="0"/>
              <w:rPr>
                <w:sz w:val="20"/>
                <w:szCs w:val="20"/>
                <w:color w:val="auto"/>
              </w:rPr>
            </w:pPr>
            <w:r>
              <w:rPr>
                <w:rFonts w:ascii="Arial" w:cs="Arial" w:eastAsia="Arial" w:hAnsi="Arial"/>
                <w:sz w:val="10"/>
                <w:szCs w:val="10"/>
                <w:b w:val="1"/>
                <w:bCs w:val="1"/>
                <w:color w:val="auto"/>
              </w:rPr>
              <w:t>Common</w:t>
            </w: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jc w:val="center"/>
              <w:ind w:left="466"/>
              <w:spacing w:after="0" w:line="95" w:lineRule="exact"/>
              <w:rPr>
                <w:sz w:val="20"/>
                <w:szCs w:val="20"/>
                <w:color w:val="auto"/>
              </w:rPr>
            </w:pPr>
            <w:r>
              <w:rPr>
                <w:rFonts w:ascii="Arial" w:cs="Arial" w:eastAsia="Arial" w:hAnsi="Arial"/>
                <w:sz w:val="10"/>
                <w:szCs w:val="10"/>
                <w:b w:val="1"/>
                <w:bCs w:val="1"/>
                <w:color w:val="auto"/>
                <w:w w:val="97"/>
              </w:rPr>
              <w:t>Other</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0"/>
                <w:szCs w:val="10"/>
                <w:b w:val="1"/>
                <w:bCs w:val="1"/>
                <w:color w:val="auto"/>
              </w:rPr>
              <w:t>Retained</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jc w:val="center"/>
              <w:ind w:right="202"/>
              <w:spacing w:after="0" w:line="9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5"/>
        </w:trPr>
        <w:tc>
          <w:tcPr>
            <w:tcW w:w="472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0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jc w:val="center"/>
              <w:ind w:left="466"/>
              <w:spacing w:after="0" w:line="96" w:lineRule="exact"/>
              <w:rPr>
                <w:sz w:val="20"/>
                <w:szCs w:val="20"/>
                <w:color w:val="auto"/>
              </w:rPr>
            </w:pPr>
            <w:r>
              <w:rPr>
                <w:rFonts w:ascii="Arial" w:cs="Arial" w:eastAsia="Arial" w:hAnsi="Arial"/>
                <w:sz w:val="10"/>
                <w:szCs w:val="10"/>
                <w:b w:val="1"/>
                <w:bCs w:val="1"/>
                <w:color w:val="auto"/>
              </w:rPr>
              <w:t>Paid-In</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jc w:val="center"/>
              <w:ind w:right="202"/>
              <w:spacing w:after="0" w:line="96" w:lineRule="exact"/>
              <w:rPr>
                <w:sz w:val="20"/>
                <w:szCs w:val="20"/>
                <w:color w:val="auto"/>
              </w:rPr>
            </w:pPr>
            <w:r>
              <w:rPr>
                <w:rFonts w:ascii="Arial" w:cs="Arial" w:eastAsia="Arial" w:hAnsi="Arial"/>
                <w:sz w:val="10"/>
                <w:szCs w:val="10"/>
                <w:b w:val="1"/>
                <w:bCs w:val="1"/>
                <w:color w:val="auto"/>
                <w:w w:val="98"/>
              </w:rPr>
              <w:t>Shareholders’</w:t>
            </w:r>
          </w:p>
        </w:tc>
        <w:tc>
          <w:tcPr>
            <w:tcW w:w="0" w:type="dxa"/>
            <w:vAlign w:val="bottom"/>
          </w:tcPr>
          <w:p>
            <w:pPr>
              <w:spacing w:after="0"/>
              <w:rPr>
                <w:sz w:val="1"/>
                <w:szCs w:val="1"/>
                <w:color w:val="auto"/>
              </w:rPr>
            </w:pPr>
          </w:p>
        </w:tc>
      </w:tr>
      <w:tr>
        <w:trPr>
          <w:trHeight w:val="117"/>
        </w:trPr>
        <w:tc>
          <w:tcPr>
            <w:tcW w:w="4720" w:type="dxa"/>
            <w:vAlign w:val="bottom"/>
            <w:gridSpan w:val="3"/>
            <w:vMerge w:val="continue"/>
          </w:tcPr>
          <w:p>
            <w:pPr>
              <w:spacing w:after="0"/>
              <w:rPr>
                <w:sz w:val="10"/>
                <w:szCs w:val="10"/>
                <w:color w:val="auto"/>
              </w:rPr>
            </w:pPr>
          </w:p>
        </w:tc>
        <w:tc>
          <w:tcPr>
            <w:tcW w:w="1040" w:type="dxa"/>
            <w:vAlign w:val="bottom"/>
          </w:tcPr>
          <w:p>
            <w:pPr>
              <w:jc w:val="center"/>
              <w:ind w:left="383"/>
              <w:spacing w:after="0"/>
              <w:rPr>
                <w:sz w:val="20"/>
                <w:szCs w:val="20"/>
                <w:color w:val="auto"/>
              </w:rPr>
            </w:pPr>
            <w:r>
              <w:rPr>
                <w:rFonts w:ascii="Arial" w:cs="Arial" w:eastAsia="Arial" w:hAnsi="Arial"/>
                <w:sz w:val="10"/>
                <w:szCs w:val="10"/>
                <w:b w:val="1"/>
                <w:bCs w:val="1"/>
                <w:color w:val="auto"/>
              </w:rPr>
              <w:t>Stock</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left="466"/>
              <w:spacing w:after="0"/>
              <w:rPr>
                <w:sz w:val="20"/>
                <w:szCs w:val="20"/>
                <w:color w:val="auto"/>
              </w:rPr>
            </w:pPr>
            <w:r>
              <w:rPr>
                <w:rFonts w:ascii="Arial" w:cs="Arial" w:eastAsia="Arial" w:hAnsi="Arial"/>
                <w:sz w:val="10"/>
                <w:szCs w:val="10"/>
                <w:b w:val="1"/>
                <w:bCs w:val="1"/>
                <w:color w:val="auto"/>
              </w:rPr>
              <w:t>Capital</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23"/>
              <w:spacing w:after="0"/>
              <w:rPr>
                <w:sz w:val="20"/>
                <w:szCs w:val="20"/>
                <w:color w:val="auto"/>
              </w:rPr>
            </w:pPr>
            <w:r>
              <w:rPr>
                <w:rFonts w:ascii="Arial" w:cs="Arial" w:eastAsia="Arial" w:hAnsi="Arial"/>
                <w:sz w:val="10"/>
                <w:szCs w:val="10"/>
                <w:b w:val="1"/>
                <w:bCs w:val="1"/>
                <w:color w:val="auto"/>
              </w:rPr>
              <w:t>Earnings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20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10,628</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903"/>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14,880</w:t>
            </w:r>
          </w:p>
        </w:tc>
        <w:tc>
          <w:tcPr>
            <w:tcW w:w="0" w:type="dxa"/>
            <w:vAlign w:val="bottom"/>
          </w:tcPr>
          <w:p>
            <w:pPr>
              <w:spacing w:after="0"/>
              <w:rPr>
                <w:sz w:val="1"/>
                <w:szCs w:val="1"/>
                <w:color w:val="auto"/>
              </w:rPr>
            </w:pPr>
          </w:p>
        </w:tc>
      </w:tr>
      <w:tr>
        <w:trPr>
          <w:trHeight w:val="169"/>
        </w:trPr>
        <w:tc>
          <w:tcPr>
            <w:tcW w:w="4720" w:type="dxa"/>
            <w:vAlign w:val="bottom"/>
            <w:gridSpan w:val="3"/>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71"/>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Common stock dividends</w:t>
            </w:r>
          </w:p>
        </w:tc>
        <w:tc>
          <w:tcPr>
            <w:tcW w:w="10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69"/>
        </w:trPr>
        <w:tc>
          <w:tcPr>
            <w:tcW w:w="4720" w:type="dxa"/>
            <w:vAlign w:val="bottom"/>
            <w:gridSpan w:val="3"/>
          </w:tcPr>
          <w:p>
            <w:pPr>
              <w:ind w:left="20"/>
              <w:spacing w:after="0"/>
              <w:rPr>
                <w:sz w:val="20"/>
                <w:szCs w:val="20"/>
                <w:color w:val="auto"/>
              </w:rPr>
            </w:pPr>
            <w:r>
              <w:rPr>
                <w:rFonts w:ascii="Arial" w:cs="Arial" w:eastAsia="Arial" w:hAnsi="Arial"/>
                <w:sz w:val="13"/>
                <w:szCs w:val="13"/>
                <w:color w:val="auto"/>
              </w:rPr>
              <w:t>Contributions from parent</w:t>
            </w:r>
          </w:p>
        </w:tc>
        <w:tc>
          <w:tcPr>
            <w:tcW w:w="104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40" w:type="dxa"/>
            <w:vAlign w:val="bottom"/>
          </w:tcPr>
          <w:p>
            <w:pPr>
              <w:jc w:val="right"/>
              <w:ind w:right="2"/>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62"/>
        </w:trPr>
        <w:tc>
          <w:tcPr>
            <w:tcW w:w="4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2025</w:t>
            </w:r>
          </w:p>
        </w:tc>
        <w:tc>
          <w:tcPr>
            <w:tcW w:w="1040" w:type="dxa"/>
            <w:vAlign w:val="bottom"/>
            <w:tcBorders>
              <w:top w:val="single" w:sz="8" w:color="auto"/>
            </w:tcBorders>
            <w:shd w:val="clear" w:color="auto" w:fill="CCEEFF"/>
          </w:tcPr>
          <w:p>
            <w:pPr>
              <w:jc w:val="right"/>
              <w:ind w:right="903"/>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1,588</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10,715</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03"/>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15,066</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PECO Energy Company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9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9"/>
                <w:szCs w:val="9"/>
                <w:color w:val="auto"/>
              </w:rPr>
            </w:pPr>
          </w:p>
        </w:tc>
        <w:tc>
          <w:tcPr>
            <w:tcW w:w="860" w:type="dxa"/>
            <w:vAlign w:val="bottom"/>
          </w:tcPr>
          <w:p>
            <w:pPr>
              <w:jc w:val="right"/>
              <w:ind w:right="398"/>
              <w:spacing w:after="0" w:line="106"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106" w:lineRule="exact"/>
              <w:rPr>
                <w:sz w:val="20"/>
                <w:szCs w:val="20"/>
                <w:color w:val="auto"/>
              </w:rPr>
            </w:pPr>
            <w:r>
              <w:rPr>
                <w:rFonts w:ascii="Arial" w:cs="Arial" w:eastAsia="Arial" w:hAnsi="Arial"/>
                <w:sz w:val="10"/>
                <w:szCs w:val="10"/>
                <w:b w:val="1"/>
                <w:bCs w:val="1"/>
                <w:color w:val="auto"/>
                <w:w w:val="98"/>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Operating revenues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Electric operating revenues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1,073</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Natural gas operating revenues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Revenues from alternative revenue programs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 revenues from affiliates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operating revenues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1,333</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Purchased power</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Purchased fuel</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Operating and maintenance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 and maintenance from affiliates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Taxes other than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1,139</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Other income and (deductions)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Interest expense to affiliates,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other income and (deductions)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before 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Income taxes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Comprehensive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8900" w:type="dxa"/>
            <w:vAlign w:val="bottom"/>
            <w:gridSpan w:val="2"/>
            <w:vMerge w:val="continue"/>
          </w:tcPr>
          <w:p>
            <w:pPr>
              <w:spacing w:after="0"/>
              <w:rPr>
                <w:sz w:val="11"/>
                <w:szCs w:val="11"/>
                <w:color w:val="auto"/>
              </w:rPr>
            </w:pPr>
          </w:p>
        </w:tc>
        <w:tc>
          <w:tcPr>
            <w:tcW w:w="280" w:type="dxa"/>
            <w:vAlign w:val="bottom"/>
            <w:tcBorders>
              <w:bottom w:val="single" w:sz="8" w:color="auto"/>
            </w:tcBorders>
          </w:tcPr>
          <w:p>
            <w:pPr>
              <w:jc w:val="right"/>
              <w:ind w:right="116"/>
              <w:spacing w:after="0" w:line="133"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278</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96"/>
              <w:spacing w:after="0" w:line="133"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PECO Energy Company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106"/>
        </w:trPr>
        <w:tc>
          <w:tcPr>
            <w:tcW w:w="20" w:type="dxa"/>
            <w:vAlign w:val="bottom"/>
          </w:tcPr>
          <w:p>
            <w:pPr>
              <w:spacing w:after="0"/>
              <w:rPr>
                <w:sz w:val="9"/>
                <w:szCs w:val="9"/>
                <w:color w:val="auto"/>
              </w:rPr>
            </w:pPr>
          </w:p>
        </w:tc>
        <w:tc>
          <w:tcPr>
            <w:tcW w:w="89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9"/>
                <w:szCs w:val="9"/>
                <w:color w:val="auto"/>
              </w:rPr>
            </w:pPr>
          </w:p>
        </w:tc>
        <w:tc>
          <w:tcPr>
            <w:tcW w:w="860" w:type="dxa"/>
            <w:vAlign w:val="bottom"/>
          </w:tcPr>
          <w:p>
            <w:pPr>
              <w:jc w:val="right"/>
              <w:ind w:right="398"/>
              <w:spacing w:after="0" w:line="106"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106" w:lineRule="exact"/>
              <w:rPr>
                <w:sz w:val="20"/>
                <w:szCs w:val="20"/>
                <w:color w:val="auto"/>
              </w:rPr>
            </w:pPr>
            <w:r>
              <w:rPr>
                <w:rFonts w:ascii="Arial" w:cs="Arial" w:eastAsia="Arial" w:hAnsi="Arial"/>
                <w:sz w:val="10"/>
                <w:szCs w:val="10"/>
                <w:b w:val="1"/>
                <w:bCs w:val="1"/>
                <w:color w:val="auto"/>
                <w:w w:val="98"/>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266</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Deferred income taxes and amortization of investment tax credits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Other non-cash operating activities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Changes in assets and liabilities: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Accounts receivable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(148)</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Receivables from and payables to affiliates,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Inventories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Collateral (paid) received, net</w:t>
            </w:r>
          </w:p>
        </w:tc>
        <w:tc>
          <w:tcPr>
            <w:tcW w:w="2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Regulatory assets and liabilities,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Pension and non-pension postretirement benefit contributions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420"/>
              <w:spacing w:after="0"/>
              <w:rPr>
                <w:sz w:val="20"/>
                <w:szCs w:val="20"/>
                <w:color w:val="auto"/>
              </w:rPr>
            </w:pPr>
            <w:r>
              <w:rPr>
                <w:rFonts w:ascii="Arial" w:cs="Arial" w:eastAsia="Arial" w:hAnsi="Arial"/>
                <w:sz w:val="13"/>
                <w:szCs w:val="13"/>
                <w:color w:val="auto"/>
              </w:rPr>
              <w:t>Other assets and liabilities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operating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Capital expenditures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Changes in Exelon intercompany money pool</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investing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line="148" w:lineRule="exact"/>
              <w:rPr>
                <w:sz w:val="20"/>
                <w:szCs w:val="20"/>
                <w:color w:val="auto"/>
              </w:rPr>
            </w:pPr>
            <w:r>
              <w:rPr>
                <w:rFonts w:ascii="Arial" w:cs="Arial" w:eastAsia="Arial" w:hAnsi="Arial"/>
                <w:sz w:val="13"/>
                <w:szCs w:val="13"/>
                <w:color w:val="auto"/>
              </w:rPr>
              <w:t>Net cash flows used in investing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Changes in short-term borrowings</w:t>
            </w:r>
          </w:p>
        </w:tc>
        <w:tc>
          <w:tcPr>
            <w:tcW w:w="2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Dividends paid on common stock</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Contributions from parent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Increase in cash, restricted cash, and cash equivalents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restricted cash, and cash equivalents at beginning of period</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restricted cash, and cash equivalents at end of period</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Decrease in capital expenditures not paid</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PECO Energy Company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80" w:type="dxa"/>
            <w:vAlign w:val="bottom"/>
          </w:tcPr>
          <w:p>
            <w:pPr>
              <w:spacing w:after="0"/>
              <w:rPr>
                <w:sz w:val="10"/>
                <w:szCs w:val="10"/>
                <w:color w:val="auto"/>
              </w:rPr>
            </w:pPr>
          </w:p>
        </w:tc>
        <w:tc>
          <w:tcPr>
            <w:tcW w:w="1640" w:type="dxa"/>
            <w:vAlign w:val="bottom"/>
            <w:gridSpan w:val="2"/>
          </w:tcPr>
          <w:p>
            <w:pPr>
              <w:ind w:left="180"/>
              <w:spacing w:after="0"/>
              <w:rPr>
                <w:sz w:val="20"/>
                <w:szCs w:val="20"/>
                <w:color w:val="auto"/>
              </w:rPr>
            </w:pPr>
            <w:r>
              <w:rPr>
                <w:rFonts w:ascii="Arial" w:cs="Arial" w:eastAsia="Arial" w:hAnsi="Arial"/>
                <w:sz w:val="10"/>
                <w:szCs w:val="10"/>
                <w:b w:val="1"/>
                <w:bCs w:val="1"/>
                <w:color w:val="auto"/>
              </w:rPr>
              <w:t>March 31, 2026</w:t>
            </w:r>
          </w:p>
        </w:tc>
        <w:tc>
          <w:tcPr>
            <w:tcW w:w="440" w:type="dxa"/>
            <w:vAlign w:val="bottom"/>
          </w:tcPr>
          <w:p>
            <w:pPr>
              <w:spacing w:after="0"/>
              <w:rPr>
                <w:sz w:val="10"/>
                <w:szCs w:val="10"/>
                <w:color w:val="auto"/>
              </w:rPr>
            </w:pPr>
          </w:p>
        </w:tc>
        <w:tc>
          <w:tcPr>
            <w:tcW w:w="156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2760"/>
              <w:spacing w:after="0" w:line="142" w:lineRule="exact"/>
              <w:rPr>
                <w:sz w:val="20"/>
                <w:szCs w:val="20"/>
                <w:color w:val="auto"/>
              </w:rPr>
            </w:pPr>
            <w:r>
              <w:rPr>
                <w:rFonts w:ascii="Arial" w:cs="Arial" w:eastAsia="Arial" w:hAnsi="Arial"/>
                <w:sz w:val="13"/>
                <w:szCs w:val="13"/>
                <w:b w:val="1"/>
                <w:bCs w:val="1"/>
                <w:color w:val="auto"/>
              </w:rPr>
              <w:t>ASSETS</w:t>
            </w:r>
          </w:p>
        </w:tc>
        <w:tc>
          <w:tcPr>
            <w:tcW w:w="4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Accounts receivable</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Customer accounts receivable</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861</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811</w:t>
            </w: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Customer allowance for credit losses</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(160)</w:t>
            </w:r>
          </w:p>
        </w:tc>
        <w:tc>
          <w:tcPr>
            <w:tcW w:w="1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(137)</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Customer accounts receivable, net</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Other accounts receivable</w:t>
            </w:r>
          </w:p>
        </w:tc>
        <w:tc>
          <w:tcPr>
            <w:tcW w:w="480" w:type="dxa"/>
            <w:vAlign w:val="bottom"/>
          </w:tcPr>
          <w:p>
            <w:pPr>
              <w:ind w:left="20"/>
              <w:spacing w:after="0"/>
              <w:rPr>
                <w:sz w:val="20"/>
                <w:szCs w:val="20"/>
                <w:color w:val="auto"/>
              </w:rPr>
            </w:pPr>
            <w:r>
              <w:rPr>
                <w:rFonts w:ascii="Arial" w:cs="Arial" w:eastAsia="Arial" w:hAnsi="Arial"/>
                <w:sz w:val="13"/>
                <w:szCs w:val="13"/>
                <w:color w:val="auto"/>
              </w:rPr>
              <w:t>178</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auto"/>
              </w:rPr>
              <w:t>144</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allowance for credit losses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(22)</w:t>
            </w:r>
          </w:p>
        </w:tc>
        <w:tc>
          <w:tcPr>
            <w:tcW w:w="1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(18)</w:t>
            </w:r>
          </w:p>
        </w:tc>
        <w:tc>
          <w:tcPr>
            <w:tcW w:w="15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Other accounts receivable, net</w:t>
            </w:r>
          </w:p>
        </w:tc>
        <w:tc>
          <w:tcPr>
            <w:tcW w:w="4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Receivables from affiliates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Fossil fuel</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Materials and supplies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Prepaid utility taxes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Prepaid renewable energy credits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Regulatory assets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260"/>
              <w:spacing w:after="0" w:line="148" w:lineRule="exact"/>
              <w:rPr>
                <w:sz w:val="20"/>
                <w:szCs w:val="20"/>
                <w:color w:val="auto"/>
              </w:rPr>
            </w:pPr>
            <w:r>
              <w:rPr>
                <w:rFonts w:ascii="Arial" w:cs="Arial" w:eastAsia="Arial" w:hAnsi="Arial"/>
                <w:sz w:val="13"/>
                <w:szCs w:val="13"/>
                <w:color w:val="auto"/>
              </w:rPr>
              <w:t>Total current assets</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1,203</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71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Property, plant, and equipment (net of accumulated depreciation and amortization of $4,211 and $4,131 as of</w:t>
            </w:r>
          </w:p>
        </w:tc>
        <w:tc>
          <w:tcPr>
            <w:tcW w:w="480" w:type="dxa"/>
            <w:vAlign w:val="bottom"/>
            <w:shd w:val="clear" w:color="auto" w:fill="CCEEFF"/>
          </w:tcPr>
          <w:p>
            <w:pPr>
              <w:spacing w:after="0"/>
              <w:rPr>
                <w:sz w:val="9"/>
                <w:szCs w:val="9"/>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16,245</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15,922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2026 and December 31, 2025, respectively)</w:t>
            </w:r>
          </w:p>
        </w:tc>
        <w:tc>
          <w:tcPr>
            <w:tcW w:w="48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Regulatory assets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Receivable related to Regulatory Agreement Units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Investments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Prepaid pension asset</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260"/>
              <w:spacing w:after="0" w:line="148" w:lineRule="exact"/>
              <w:rPr>
                <w:sz w:val="20"/>
                <w:szCs w:val="20"/>
                <w:color w:val="auto"/>
              </w:rPr>
            </w:pPr>
            <w:r>
              <w:rPr>
                <w:rFonts w:ascii="Arial" w:cs="Arial" w:eastAsia="Arial" w:hAnsi="Arial"/>
                <w:sz w:val="13"/>
                <w:szCs w:val="13"/>
                <w:color w:val="auto"/>
              </w:rPr>
              <w:t>Total deferred debits and other assets</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2,471</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2,237</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20,193</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PECO Energy Company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0"/>
                <w:szCs w:val="10"/>
                <w:color w:val="auto"/>
              </w:rPr>
            </w:pPr>
          </w:p>
        </w:tc>
        <w:tc>
          <w:tcPr>
            <w:tcW w:w="1740" w:type="dxa"/>
            <w:vAlign w:val="bottom"/>
            <w:gridSpan w:val="2"/>
          </w:tcPr>
          <w:p>
            <w:pPr>
              <w:ind w:left="280"/>
              <w:spacing w:after="0"/>
              <w:rPr>
                <w:sz w:val="20"/>
                <w:szCs w:val="20"/>
                <w:color w:val="auto"/>
              </w:rPr>
            </w:pPr>
            <w:r>
              <w:rPr>
                <w:rFonts w:ascii="Arial" w:cs="Arial" w:eastAsia="Arial" w:hAnsi="Arial"/>
                <w:sz w:val="10"/>
                <w:szCs w:val="10"/>
                <w:b w:val="1"/>
                <w:bCs w:val="1"/>
                <w:color w:val="auto"/>
              </w:rPr>
              <w:t>March 31, 2026</w:t>
            </w:r>
          </w:p>
        </w:tc>
        <w:tc>
          <w:tcPr>
            <w:tcW w:w="320" w:type="dxa"/>
            <w:vAlign w:val="bottom"/>
          </w:tcPr>
          <w:p>
            <w:pPr>
              <w:spacing w:after="0"/>
              <w:rPr>
                <w:sz w:val="10"/>
                <w:szCs w:val="10"/>
                <w:color w:val="auto"/>
              </w:rPr>
            </w:pPr>
          </w:p>
        </w:tc>
        <w:tc>
          <w:tcPr>
            <w:tcW w:w="168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580" w:type="dxa"/>
            <w:vAlign w:val="bottom"/>
            <w:shd w:val="clear" w:color="auto" w:fill="CCEEFF"/>
          </w:tcPr>
          <w:p>
            <w:pPr>
              <w:ind w:left="1660"/>
              <w:spacing w:after="0"/>
              <w:rPr>
                <w:sz w:val="20"/>
                <w:szCs w:val="20"/>
                <w:color w:val="auto"/>
              </w:rPr>
            </w:pPr>
            <w:r>
              <w:rPr>
                <w:rFonts w:ascii="Arial" w:cs="Arial" w:eastAsia="Arial" w:hAnsi="Arial"/>
                <w:sz w:val="13"/>
                <w:szCs w:val="13"/>
                <w:b w:val="1"/>
                <w:bCs w:val="1"/>
                <w:color w:val="auto"/>
              </w:rPr>
              <w:t>LIABILITIES AND SHAREHOLDER'S EQUITY</w:t>
            </w: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Accrued expenses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483</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Payables to affiliates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Customer deposits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Renewable energy credit obligations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140</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current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1,658</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Long-term debt</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6,396</w:t>
            </w: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Long-term debt to financing trusts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184</w:t>
            </w: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Deferred income taxes and unamortized investment tax credits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2,944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2,594</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Asset retirement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Non-pension postretirement benefit obligations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deferred credits and other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3,464</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11,825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11,702</w:t>
            </w:r>
          </w:p>
        </w:tc>
      </w:tr>
      <w:tr>
        <w:trPr>
          <w:trHeight w:val="151"/>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Commitments and contingencies</w:t>
            </w: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Shareholder’s equity</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Common stock</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5,222</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Retained earnings</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2,438</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shareholder’s equity</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8,368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7,660</w:t>
            </w:r>
          </w:p>
        </w:tc>
      </w:tr>
      <w:tr>
        <w:trPr>
          <w:trHeight w:val="159"/>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20,193</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19,362</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PECO Energy Company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jc w:val="center"/>
              <w:ind w:right="116"/>
              <w:spacing w:after="0"/>
              <w:rPr>
                <w:sz w:val="20"/>
                <w:szCs w:val="20"/>
                <w:color w:val="auto"/>
              </w:rPr>
            </w:pPr>
            <w:r>
              <w:rPr>
                <w:rFonts w:ascii="Arial" w:cs="Arial" w:eastAsia="Arial" w:hAnsi="Arial"/>
                <w:sz w:val="10"/>
                <w:szCs w:val="10"/>
                <w:b w:val="1"/>
                <w:bCs w:val="1"/>
                <w:color w:val="auto"/>
                <w:w w:val="99"/>
              </w:rPr>
              <w:t>Three Months Ended March 31, 2026</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60" w:type="dxa"/>
            <w:vAlign w:val="bottom"/>
          </w:tcPr>
          <w:p>
            <w:pPr>
              <w:spacing w:after="0"/>
              <w:rPr>
                <w:sz w:val="7"/>
                <w:szCs w:val="7"/>
                <w:color w:val="auto"/>
              </w:rPr>
            </w:pPr>
          </w:p>
        </w:tc>
        <w:tc>
          <w:tcPr>
            <w:tcW w:w="980" w:type="dxa"/>
            <w:vAlign w:val="bottom"/>
            <w:vMerge w:val="restart"/>
          </w:tcPr>
          <w:p>
            <w:pPr>
              <w:jc w:val="center"/>
              <w:ind w:left="363"/>
              <w:spacing w:after="0"/>
              <w:rPr>
                <w:sz w:val="20"/>
                <w:szCs w:val="20"/>
                <w:color w:val="auto"/>
              </w:rPr>
            </w:pPr>
            <w:r>
              <w:rPr>
                <w:rFonts w:ascii="Arial" w:cs="Arial" w:eastAsia="Arial" w:hAnsi="Arial"/>
                <w:sz w:val="10"/>
                <w:szCs w:val="10"/>
                <w:b w:val="1"/>
                <w:bCs w:val="1"/>
                <w:color w:val="auto"/>
              </w:rPr>
              <w:t>Common</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4"/>
              </w:rPr>
              <w:t>Retained</w:t>
            </w:r>
          </w:p>
        </w:tc>
        <w:tc>
          <w:tcPr>
            <w:tcW w:w="220" w:type="dxa"/>
            <w:vAlign w:val="bottom"/>
          </w:tcPr>
          <w:p>
            <w:pPr>
              <w:spacing w:after="0"/>
              <w:rPr>
                <w:sz w:val="7"/>
                <w:szCs w:val="7"/>
                <w:color w:val="auto"/>
              </w:rPr>
            </w:pPr>
          </w:p>
        </w:tc>
        <w:tc>
          <w:tcPr>
            <w:tcW w:w="1180" w:type="dxa"/>
            <w:vAlign w:val="bottom"/>
          </w:tcPr>
          <w:p>
            <w:pPr>
              <w:jc w:val="center"/>
              <w:ind w:right="162"/>
              <w:spacing w:after="0" w:line="90"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9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jc w:val="center"/>
              <w:ind w:right="182"/>
              <w:spacing w:after="0" w:line="96" w:lineRule="exact"/>
              <w:rPr>
                <w:sz w:val="20"/>
                <w:szCs w:val="20"/>
                <w:color w:val="auto"/>
              </w:rPr>
            </w:pPr>
            <w:r>
              <w:rPr>
                <w:rFonts w:ascii="Arial" w:cs="Arial" w:eastAsia="Arial" w:hAnsi="Arial"/>
                <w:sz w:val="10"/>
                <w:szCs w:val="10"/>
                <w:b w:val="1"/>
                <w:bCs w:val="1"/>
                <w:color w:val="auto"/>
                <w:w w:val="99"/>
              </w:rPr>
              <w:t>Shareholder's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20" w:type="dxa"/>
            <w:vAlign w:val="bottom"/>
            <w:gridSpan w:val="2"/>
            <w:vMerge w:val="continue"/>
          </w:tcPr>
          <w:p>
            <w:pPr>
              <w:spacing w:after="0"/>
              <w:rPr>
                <w:sz w:val="10"/>
                <w:szCs w:val="10"/>
                <w:color w:val="auto"/>
              </w:rPr>
            </w:pPr>
          </w:p>
        </w:tc>
        <w:tc>
          <w:tcPr>
            <w:tcW w:w="980" w:type="dxa"/>
            <w:vAlign w:val="bottom"/>
          </w:tcPr>
          <w:p>
            <w:pPr>
              <w:jc w:val="center"/>
              <w:ind w:left="363"/>
              <w:spacing w:after="0"/>
              <w:rPr>
                <w:sz w:val="20"/>
                <w:szCs w:val="20"/>
                <w:color w:val="auto"/>
              </w:rPr>
            </w:pPr>
            <w:r>
              <w:rPr>
                <w:rFonts w:ascii="Arial" w:cs="Arial" w:eastAsia="Arial" w:hAnsi="Arial"/>
                <w:sz w:val="10"/>
                <w:szCs w:val="10"/>
                <w:b w:val="1"/>
                <w:bCs w:val="1"/>
                <w:color w:val="auto"/>
              </w:rPr>
              <w:t>Stock</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Earnings</w:t>
            </w:r>
          </w:p>
        </w:tc>
        <w:tc>
          <w:tcPr>
            <w:tcW w:w="220" w:type="dxa"/>
            <w:vAlign w:val="bottom"/>
          </w:tcPr>
          <w:p>
            <w:pPr>
              <w:spacing w:after="0"/>
              <w:rPr>
                <w:sz w:val="10"/>
                <w:szCs w:val="10"/>
                <w:color w:val="auto"/>
              </w:rPr>
            </w:pPr>
          </w:p>
        </w:tc>
        <w:tc>
          <w:tcPr>
            <w:tcW w:w="1180" w:type="dxa"/>
            <w:vAlign w:val="bottom"/>
          </w:tcPr>
          <w:p>
            <w:pPr>
              <w:jc w:val="center"/>
              <w:ind w:right="18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2025</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5,222</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7,660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dividends</w:t>
            </w: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parent</w:t>
            </w: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2026</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5,789</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8,368</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center"/>
              <w:ind w:right="116"/>
              <w:spacing w:after="0"/>
              <w:rPr>
                <w:sz w:val="20"/>
                <w:szCs w:val="20"/>
                <w:color w:val="auto"/>
              </w:rPr>
            </w:pPr>
            <w:r>
              <w:rPr>
                <w:rFonts w:ascii="Arial" w:cs="Arial" w:eastAsia="Arial" w:hAnsi="Arial"/>
                <w:sz w:val="10"/>
                <w:szCs w:val="10"/>
                <w:b w:val="1"/>
                <w:bCs w:val="1"/>
                <w:color w:val="auto"/>
                <w:w w:val="99"/>
              </w:rPr>
              <w:t>Three Months Ended March 31, 2025</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60" w:type="dxa"/>
            <w:vAlign w:val="bottom"/>
          </w:tcPr>
          <w:p>
            <w:pPr>
              <w:spacing w:after="0"/>
              <w:rPr>
                <w:sz w:val="7"/>
                <w:szCs w:val="7"/>
                <w:color w:val="auto"/>
              </w:rPr>
            </w:pPr>
          </w:p>
        </w:tc>
        <w:tc>
          <w:tcPr>
            <w:tcW w:w="980" w:type="dxa"/>
            <w:vAlign w:val="bottom"/>
            <w:vMerge w:val="restart"/>
          </w:tcPr>
          <w:p>
            <w:pPr>
              <w:jc w:val="center"/>
              <w:ind w:left="363"/>
              <w:spacing w:after="0"/>
              <w:rPr>
                <w:sz w:val="20"/>
                <w:szCs w:val="20"/>
                <w:color w:val="auto"/>
              </w:rPr>
            </w:pPr>
            <w:r>
              <w:rPr>
                <w:rFonts w:ascii="Arial" w:cs="Arial" w:eastAsia="Arial" w:hAnsi="Arial"/>
                <w:sz w:val="10"/>
                <w:szCs w:val="10"/>
                <w:b w:val="1"/>
                <w:bCs w:val="1"/>
                <w:color w:val="auto"/>
              </w:rPr>
              <w:t>Common</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4"/>
              </w:rPr>
              <w:t>Retained</w:t>
            </w:r>
          </w:p>
        </w:tc>
        <w:tc>
          <w:tcPr>
            <w:tcW w:w="220" w:type="dxa"/>
            <w:vAlign w:val="bottom"/>
          </w:tcPr>
          <w:p>
            <w:pPr>
              <w:spacing w:after="0"/>
              <w:rPr>
                <w:sz w:val="7"/>
                <w:szCs w:val="7"/>
                <w:color w:val="auto"/>
              </w:rPr>
            </w:pPr>
          </w:p>
        </w:tc>
        <w:tc>
          <w:tcPr>
            <w:tcW w:w="1180" w:type="dxa"/>
            <w:vAlign w:val="bottom"/>
          </w:tcPr>
          <w:p>
            <w:pPr>
              <w:jc w:val="center"/>
              <w:ind w:right="162"/>
              <w:spacing w:after="0" w:line="90"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9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jc w:val="center"/>
              <w:ind w:right="182"/>
              <w:spacing w:after="0" w:line="96" w:lineRule="exact"/>
              <w:rPr>
                <w:sz w:val="20"/>
                <w:szCs w:val="20"/>
                <w:color w:val="auto"/>
              </w:rPr>
            </w:pPr>
            <w:r>
              <w:rPr>
                <w:rFonts w:ascii="Arial" w:cs="Arial" w:eastAsia="Arial" w:hAnsi="Arial"/>
                <w:sz w:val="10"/>
                <w:szCs w:val="10"/>
                <w:b w:val="1"/>
                <w:bCs w:val="1"/>
                <w:color w:val="auto"/>
                <w:w w:val="99"/>
              </w:rPr>
              <w:t>Shareholder's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20" w:type="dxa"/>
            <w:vAlign w:val="bottom"/>
            <w:gridSpan w:val="2"/>
            <w:vMerge w:val="continue"/>
          </w:tcPr>
          <w:p>
            <w:pPr>
              <w:spacing w:after="0"/>
              <w:rPr>
                <w:sz w:val="10"/>
                <w:szCs w:val="10"/>
                <w:color w:val="auto"/>
              </w:rPr>
            </w:pPr>
          </w:p>
        </w:tc>
        <w:tc>
          <w:tcPr>
            <w:tcW w:w="980" w:type="dxa"/>
            <w:vAlign w:val="bottom"/>
          </w:tcPr>
          <w:p>
            <w:pPr>
              <w:jc w:val="center"/>
              <w:ind w:left="363"/>
              <w:spacing w:after="0"/>
              <w:rPr>
                <w:sz w:val="20"/>
                <w:szCs w:val="20"/>
                <w:color w:val="auto"/>
              </w:rPr>
            </w:pPr>
            <w:r>
              <w:rPr>
                <w:rFonts w:ascii="Arial" w:cs="Arial" w:eastAsia="Arial" w:hAnsi="Arial"/>
                <w:sz w:val="10"/>
                <w:szCs w:val="10"/>
                <w:b w:val="1"/>
                <w:bCs w:val="1"/>
                <w:color w:val="auto"/>
              </w:rPr>
              <w:t>Stock</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Earnings</w:t>
            </w:r>
          </w:p>
        </w:tc>
        <w:tc>
          <w:tcPr>
            <w:tcW w:w="220" w:type="dxa"/>
            <w:vAlign w:val="bottom"/>
          </w:tcPr>
          <w:p>
            <w:pPr>
              <w:spacing w:after="0"/>
              <w:rPr>
                <w:sz w:val="10"/>
                <w:szCs w:val="10"/>
                <w:color w:val="auto"/>
              </w:rPr>
            </w:pPr>
          </w:p>
        </w:tc>
        <w:tc>
          <w:tcPr>
            <w:tcW w:w="1180" w:type="dxa"/>
            <w:vAlign w:val="bottom"/>
          </w:tcPr>
          <w:p>
            <w:pPr>
              <w:jc w:val="center"/>
              <w:ind w:right="18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4,645</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6,815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dividends</w:t>
            </w: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parent</w:t>
            </w: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2025</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5,208</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7,507</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Baltimore Gas and Electric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106"/>
        </w:trPr>
        <w:tc>
          <w:tcPr>
            <w:tcW w:w="20" w:type="dxa"/>
            <w:vAlign w:val="bottom"/>
          </w:tcPr>
          <w:p>
            <w:pPr>
              <w:spacing w:after="0"/>
              <w:rPr>
                <w:sz w:val="9"/>
                <w:szCs w:val="9"/>
                <w:color w:val="auto"/>
              </w:rPr>
            </w:pPr>
          </w:p>
        </w:tc>
        <w:tc>
          <w:tcPr>
            <w:tcW w:w="89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9"/>
                <w:szCs w:val="9"/>
                <w:color w:val="auto"/>
              </w:rPr>
            </w:pPr>
          </w:p>
        </w:tc>
        <w:tc>
          <w:tcPr>
            <w:tcW w:w="860" w:type="dxa"/>
            <w:vAlign w:val="bottom"/>
          </w:tcPr>
          <w:p>
            <w:pPr>
              <w:jc w:val="right"/>
              <w:ind w:right="398"/>
              <w:spacing w:after="0" w:line="106"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106" w:lineRule="exact"/>
              <w:rPr>
                <w:sz w:val="20"/>
                <w:szCs w:val="20"/>
                <w:color w:val="auto"/>
              </w:rPr>
            </w:pPr>
            <w:r>
              <w:rPr>
                <w:rFonts w:ascii="Arial" w:cs="Arial" w:eastAsia="Arial" w:hAnsi="Arial"/>
                <w:sz w:val="10"/>
                <w:szCs w:val="10"/>
                <w:b w:val="1"/>
                <w:bCs w:val="1"/>
                <w:color w:val="auto"/>
                <w:w w:val="98"/>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Operating revenues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Electric operating revenues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1,257</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1,021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Natural gas operating revenues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Revenues from alternative revenue programs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Operating revenues from affiliates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operating revenues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1,828</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1,554</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Purchased power</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450</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Purchased fuel</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Operating and maintenance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Operating and maintenance from affiliates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Taxes other than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Other income and (deductions)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Interest expense,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Other, net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other income and (deductions)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Income before income taxes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Comprehensive income</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Baltimore Gas and Electric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106"/>
        </w:trPr>
        <w:tc>
          <w:tcPr>
            <w:tcW w:w="20" w:type="dxa"/>
            <w:vAlign w:val="bottom"/>
          </w:tcPr>
          <w:p>
            <w:pPr>
              <w:spacing w:after="0"/>
              <w:rPr>
                <w:sz w:val="9"/>
                <w:szCs w:val="9"/>
                <w:color w:val="auto"/>
              </w:rPr>
            </w:pPr>
          </w:p>
        </w:tc>
        <w:tc>
          <w:tcPr>
            <w:tcW w:w="89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9"/>
                <w:szCs w:val="9"/>
                <w:color w:val="auto"/>
              </w:rPr>
            </w:pPr>
          </w:p>
        </w:tc>
        <w:tc>
          <w:tcPr>
            <w:tcW w:w="860" w:type="dxa"/>
            <w:vAlign w:val="bottom"/>
          </w:tcPr>
          <w:p>
            <w:pPr>
              <w:jc w:val="right"/>
              <w:ind w:right="398"/>
              <w:spacing w:after="0" w:line="106"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106" w:lineRule="exact"/>
              <w:rPr>
                <w:sz w:val="20"/>
                <w:szCs w:val="20"/>
                <w:color w:val="auto"/>
              </w:rPr>
            </w:pPr>
            <w:r>
              <w:rPr>
                <w:rFonts w:ascii="Arial" w:cs="Arial" w:eastAsia="Arial" w:hAnsi="Arial"/>
                <w:sz w:val="10"/>
                <w:szCs w:val="10"/>
                <w:b w:val="1"/>
                <w:bCs w:val="1"/>
                <w:color w:val="auto"/>
                <w:w w:val="98"/>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260</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Deferred income taxes and amortization of investment tax credits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Other non-cash operating activities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Changes in assets and liabilities: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Accounts receivable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(153)</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Receivables from and payables to affiliates,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Inventories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Collateral received,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Regulatory assets and liabilities,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Pension and non-pension postretirement benefit contributions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420"/>
              <w:spacing w:after="0"/>
              <w:rPr>
                <w:sz w:val="20"/>
                <w:szCs w:val="20"/>
                <w:color w:val="auto"/>
              </w:rPr>
            </w:pPr>
            <w:r>
              <w:rPr>
                <w:rFonts w:ascii="Arial" w:cs="Arial" w:eastAsia="Arial" w:hAnsi="Arial"/>
                <w:sz w:val="13"/>
                <w:szCs w:val="13"/>
                <w:color w:val="auto"/>
              </w:rPr>
              <w:t>Other assets and liabilities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operating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Capital expenditures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Other investing activities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used in investing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Changes in short-term borrowings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Dividends paid on common stock</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used in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Decrease in cash, restricted cash, and cash equivalents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restricted cash, and cash equivalents at beginning of period</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restricted cash, and cash equivalents at end of period</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Decrease in capital expenditures not paid</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Baltimore Gas and Electric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500" w:type="dxa"/>
            <w:vAlign w:val="bottom"/>
          </w:tcPr>
          <w:p>
            <w:pPr>
              <w:spacing w:after="0"/>
              <w:rPr>
                <w:sz w:val="10"/>
                <w:szCs w:val="10"/>
                <w:color w:val="auto"/>
              </w:rPr>
            </w:pPr>
          </w:p>
        </w:tc>
        <w:tc>
          <w:tcPr>
            <w:tcW w:w="1620" w:type="dxa"/>
            <w:vAlign w:val="bottom"/>
            <w:gridSpan w:val="2"/>
          </w:tcPr>
          <w:p>
            <w:pPr>
              <w:ind w:left="160"/>
              <w:spacing w:after="0"/>
              <w:rPr>
                <w:sz w:val="20"/>
                <w:szCs w:val="20"/>
                <w:color w:val="auto"/>
              </w:rPr>
            </w:pPr>
            <w:r>
              <w:rPr>
                <w:rFonts w:ascii="Arial" w:cs="Arial" w:eastAsia="Arial" w:hAnsi="Arial"/>
                <w:sz w:val="10"/>
                <w:szCs w:val="10"/>
                <w:b w:val="1"/>
                <w:bCs w:val="1"/>
                <w:color w:val="auto"/>
              </w:rPr>
              <w:t>March 31, 2026</w:t>
            </w:r>
          </w:p>
        </w:tc>
        <w:tc>
          <w:tcPr>
            <w:tcW w:w="400" w:type="dxa"/>
            <w:vAlign w:val="bottom"/>
          </w:tcPr>
          <w:p>
            <w:pPr>
              <w:spacing w:after="0"/>
              <w:rPr>
                <w:sz w:val="10"/>
                <w:szCs w:val="10"/>
                <w:color w:val="auto"/>
              </w:rPr>
            </w:pPr>
          </w:p>
        </w:tc>
        <w:tc>
          <w:tcPr>
            <w:tcW w:w="160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2760"/>
              <w:spacing w:after="0" w:line="142" w:lineRule="exact"/>
              <w:rPr>
                <w:sz w:val="20"/>
                <w:szCs w:val="20"/>
                <w:color w:val="auto"/>
              </w:rPr>
            </w:pPr>
            <w:r>
              <w:rPr>
                <w:rFonts w:ascii="Arial" w:cs="Arial" w:eastAsia="Arial" w:hAnsi="Arial"/>
                <w:sz w:val="13"/>
                <w:szCs w:val="13"/>
                <w:b w:val="1"/>
                <w:bCs w:val="1"/>
                <w:color w:val="auto"/>
              </w:rPr>
              <w:t>ASSETS</w:t>
            </w:r>
          </w:p>
        </w:tc>
        <w:tc>
          <w:tcPr>
            <w:tcW w:w="5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Restricted cash and cash equivalents</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Accounts receivable</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Customer accounts receivable</w:t>
            </w:r>
          </w:p>
        </w:tc>
        <w:tc>
          <w:tcPr>
            <w:tcW w:w="500" w:type="dxa"/>
            <w:vAlign w:val="bottom"/>
          </w:tcPr>
          <w:p>
            <w:pPr>
              <w:ind w:left="20"/>
              <w:spacing w:after="0"/>
              <w:rPr>
                <w:sz w:val="20"/>
                <w:szCs w:val="20"/>
                <w:color w:val="auto"/>
              </w:rPr>
            </w:pPr>
            <w:r>
              <w:rPr>
                <w:rFonts w:ascii="Arial" w:cs="Arial" w:eastAsia="Arial" w:hAnsi="Arial"/>
                <w:sz w:val="13"/>
                <w:szCs w:val="13"/>
                <w:color w:val="auto"/>
              </w:rPr>
              <w:t>1,012</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887</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Customer allowance for credit losses</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(101)</w:t>
            </w:r>
          </w:p>
        </w:tc>
        <w:tc>
          <w:tcPr>
            <w:tcW w:w="15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(68)</w:t>
            </w:r>
          </w:p>
        </w:tc>
        <w:tc>
          <w:tcPr>
            <w:tcW w:w="16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Customer accounts receivable, net</w:t>
            </w:r>
          </w:p>
        </w:tc>
        <w:tc>
          <w:tcPr>
            <w:tcW w:w="5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911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accounts receivable</w:t>
            </w: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116</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100</w:t>
            </w: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Other allowance for credit losses</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(4)</w:t>
            </w: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(4)</w:t>
            </w: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Other accounts receivable, net</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Receivables from affiliates</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Inventories, net</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Fossil fuel</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Materials and supplies</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Prepaid utility taxes</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Regulatory assets</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Prepaid renewable energy credits</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5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260"/>
              <w:spacing w:after="0" w:line="148" w:lineRule="exact"/>
              <w:rPr>
                <w:sz w:val="20"/>
                <w:szCs w:val="20"/>
                <w:color w:val="auto"/>
              </w:rPr>
            </w:pPr>
            <w:r>
              <w:rPr>
                <w:rFonts w:ascii="Arial" w:cs="Arial" w:eastAsia="Arial" w:hAnsi="Arial"/>
                <w:sz w:val="13"/>
                <w:szCs w:val="13"/>
                <w:color w:val="auto"/>
              </w:rPr>
              <w:t>Total current assets</w:t>
            </w: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1,519</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1,750</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71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Property, plant, and equipment (net of accumulated depreciation and amortization of $5,351 and $5,234 as of</w:t>
            </w:r>
          </w:p>
        </w:tc>
        <w:tc>
          <w:tcPr>
            <w:tcW w:w="500" w:type="dxa"/>
            <w:vAlign w:val="bottom"/>
            <w:shd w:val="clear" w:color="auto" w:fill="CCEEFF"/>
          </w:tcPr>
          <w:p>
            <w:pPr>
              <w:spacing w:after="0"/>
              <w:rPr>
                <w:sz w:val="9"/>
                <w:szCs w:val="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14,593</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14,385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2026 and December 31, 2025, respectively)</w:t>
            </w:r>
          </w:p>
        </w:tc>
        <w:tc>
          <w:tcPr>
            <w:tcW w:w="50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Regulatory assets</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Investments</w:t>
            </w: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Prepaid pension asset</w:t>
            </w: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Other</w:t>
            </w: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deferred debits and other assets</w:t>
            </w:r>
          </w:p>
        </w:tc>
        <w:tc>
          <w:tcPr>
            <w:tcW w:w="5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17,171</w:t>
            </w:r>
          </w:p>
        </w:tc>
        <w:tc>
          <w:tcPr>
            <w:tcW w:w="100" w:type="dxa"/>
            <w:vAlign w:val="bottom"/>
          </w:tcPr>
          <w:p>
            <w:pPr>
              <w:spacing w:after="0"/>
              <w:rPr>
                <w:sz w:val="13"/>
                <w:szCs w:val="13"/>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Baltimore Gas and Electric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0"/>
                <w:szCs w:val="10"/>
                <w:color w:val="auto"/>
              </w:rPr>
            </w:pPr>
          </w:p>
        </w:tc>
        <w:tc>
          <w:tcPr>
            <w:tcW w:w="1740" w:type="dxa"/>
            <w:vAlign w:val="bottom"/>
            <w:gridSpan w:val="2"/>
          </w:tcPr>
          <w:p>
            <w:pPr>
              <w:ind w:left="280"/>
              <w:spacing w:after="0"/>
              <w:rPr>
                <w:sz w:val="20"/>
                <w:szCs w:val="20"/>
                <w:color w:val="auto"/>
              </w:rPr>
            </w:pPr>
            <w:r>
              <w:rPr>
                <w:rFonts w:ascii="Arial" w:cs="Arial" w:eastAsia="Arial" w:hAnsi="Arial"/>
                <w:sz w:val="10"/>
                <w:szCs w:val="10"/>
                <w:b w:val="1"/>
                <w:bCs w:val="1"/>
                <w:color w:val="auto"/>
              </w:rPr>
              <w:t>March 31, 2026</w:t>
            </w:r>
          </w:p>
        </w:tc>
        <w:tc>
          <w:tcPr>
            <w:tcW w:w="320" w:type="dxa"/>
            <w:vAlign w:val="bottom"/>
          </w:tcPr>
          <w:p>
            <w:pPr>
              <w:spacing w:after="0"/>
              <w:rPr>
                <w:sz w:val="10"/>
                <w:szCs w:val="10"/>
                <w:color w:val="auto"/>
              </w:rPr>
            </w:pPr>
          </w:p>
        </w:tc>
        <w:tc>
          <w:tcPr>
            <w:tcW w:w="168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1660"/>
              <w:spacing w:after="0" w:line="142" w:lineRule="exact"/>
              <w:rPr>
                <w:sz w:val="20"/>
                <w:szCs w:val="20"/>
                <w:color w:val="auto"/>
              </w:rPr>
            </w:pPr>
            <w:r>
              <w:rPr>
                <w:rFonts w:ascii="Arial" w:cs="Arial" w:eastAsia="Arial" w:hAnsi="Arial"/>
                <w:sz w:val="13"/>
                <w:szCs w:val="13"/>
                <w:b w:val="1"/>
                <w:bCs w:val="1"/>
                <w:color w:val="auto"/>
              </w:rPr>
              <w:t>LIABILITIES AND SHAREHOLDER'S EQUITY</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Long-term debt due within one year</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Accounts payable</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470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640</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Accrued expenses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Payables to affiliates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Customer deposits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Regulatory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Renewable energy credit obligations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current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1,770</w:t>
            </w:r>
          </w:p>
        </w:tc>
      </w:tr>
      <w:tr>
        <w:trPr>
          <w:trHeight w:val="159"/>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Long-term debt</w:t>
            </w:r>
          </w:p>
        </w:tc>
        <w:tc>
          <w:tcPr>
            <w:tcW w:w="3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5,692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5,691</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Deferred income taxes and unamortized investment tax credits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2,464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2,242</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Asset retirement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Non-pension postretirement benefit obligations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deferred credits and other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3,121</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10,385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10,582</w:t>
            </w:r>
          </w:p>
        </w:tc>
      </w:tr>
      <w:tr>
        <w:trPr>
          <w:trHeight w:val="151"/>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Commitments and contingencies</w:t>
            </w: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Shareholder's equity</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Common stock</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4,014</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Retained earnings</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2,588</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shareholder's equity</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6,786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6,602</w:t>
            </w:r>
          </w:p>
        </w:tc>
      </w:tr>
      <w:tr>
        <w:trPr>
          <w:trHeight w:val="159"/>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17,171</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17,184</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0"/>
          <w:szCs w:val="10"/>
          <w:b w:val="1"/>
          <w:bCs w:val="1"/>
          <w:u w:val="single" w:color="auto"/>
          <w:color w:val="auto"/>
        </w:rPr>
        <w:t>(In millions)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Balance at December 31, 2025</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Common stock dividends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March 31, 2026</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0"/>
          <w:szCs w:val="10"/>
          <w:b w:val="1"/>
          <w:bCs w:val="1"/>
          <w:u w:val="single" w:color="auto"/>
          <w:color w:val="auto"/>
        </w:rPr>
        <w:t>(In millions)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Balance at December 31, 2024</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Common stock dividends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660"/>
        <w:spacing w:after="0"/>
        <w:rPr>
          <w:sz w:val="20"/>
          <w:szCs w:val="20"/>
          <w:color w:val="auto"/>
        </w:rPr>
      </w:pPr>
      <w:r>
        <w:rPr>
          <w:rFonts w:ascii="Arial" w:cs="Arial" w:eastAsia="Arial" w:hAnsi="Arial"/>
          <w:sz w:val="14"/>
          <w:szCs w:val="14"/>
          <w:b w:val="1"/>
          <w:bCs w:val="1"/>
          <w:color w:val="auto"/>
        </w:rPr>
        <w:t>Baltimore Gas and Electric Company</w:t>
      </w:r>
    </w:p>
    <w:p>
      <w:pPr>
        <w:spacing w:after="0" w:line="23" w:lineRule="exact"/>
        <w:rPr>
          <w:sz w:val="20"/>
          <w:szCs w:val="20"/>
          <w:color w:val="auto"/>
        </w:rPr>
      </w:pPr>
    </w:p>
    <w:p>
      <w:pPr>
        <w:jc w:val="center"/>
        <w:ind w:right="3660"/>
        <w:spacing w:after="0"/>
        <w:rPr>
          <w:sz w:val="20"/>
          <w:szCs w:val="20"/>
          <w:color w:val="auto"/>
        </w:rPr>
      </w:pPr>
      <w:r>
        <w:rPr>
          <w:rFonts w:ascii="Arial" w:cs="Arial" w:eastAsia="Arial" w:hAnsi="Arial"/>
          <w:sz w:val="14"/>
          <w:szCs w:val="14"/>
          <w:b w:val="1"/>
          <w:bCs w:val="1"/>
          <w:color w:val="auto"/>
        </w:rPr>
        <w:t>Statements of Changes in Shareholder's Equity</w:t>
      </w:r>
    </w:p>
    <w:p>
      <w:pPr>
        <w:spacing w:after="0" w:line="9" w:lineRule="exact"/>
        <w:rPr>
          <w:sz w:val="20"/>
          <w:szCs w:val="20"/>
          <w:color w:val="auto"/>
        </w:rPr>
      </w:pPr>
    </w:p>
    <w:p>
      <w:pPr>
        <w:jc w:val="center"/>
        <w:ind w:right="3660"/>
        <w:spacing w:after="0"/>
        <w:rPr>
          <w:sz w:val="20"/>
          <w:szCs w:val="20"/>
          <w:color w:val="auto"/>
        </w:rPr>
      </w:pPr>
      <w:r>
        <w:rPr>
          <w:rFonts w:ascii="Arial" w:cs="Arial" w:eastAsia="Arial" w:hAnsi="Arial"/>
          <w:sz w:val="14"/>
          <w:szCs w:val="14"/>
          <w:b w:val="1"/>
          <w:bCs w:val="1"/>
          <w:color w:val="auto"/>
        </w:rPr>
        <w:t>(Unaudited)</w:t>
      </w:r>
    </w:p>
    <w:p>
      <w:pPr>
        <w:spacing w:after="0" w:line="101" w:lineRule="exact"/>
        <w:rPr>
          <w:sz w:val="20"/>
          <w:szCs w:val="20"/>
          <w:color w:val="auto"/>
        </w:rPr>
      </w:pPr>
    </w:p>
    <w:p>
      <w:pPr>
        <w:ind w:left="4480"/>
        <w:spacing w:after="0"/>
        <w:rPr>
          <w:sz w:val="20"/>
          <w:szCs w:val="20"/>
          <w:color w:val="auto"/>
        </w:rPr>
      </w:pPr>
      <w:r>
        <w:rPr>
          <w:rFonts w:ascii="Arial" w:cs="Arial" w:eastAsia="Arial" w:hAnsi="Arial"/>
          <w:sz w:val="10"/>
          <w:szCs w:val="10"/>
          <w:b w:val="1"/>
          <w:bCs w:val="1"/>
          <w:color w:val="auto"/>
        </w:rPr>
        <w:t>Three Months Ended March 31, 2026</w:t>
      </w:r>
    </w:p>
    <w:p>
      <w:pPr>
        <w:spacing w:after="0" w:line="21" w:lineRule="exact"/>
        <w:rPr>
          <w:sz w:val="20"/>
          <w:szCs w:val="20"/>
          <w:color w:val="auto"/>
        </w:rPr>
      </w:pPr>
    </w:p>
    <w:tbl>
      <w:tblPr>
        <w:tblLayout w:type="fixed"/>
        <w:tblInd w:w="3040" w:type="dxa"/>
        <w:tblCellMar>
          <w:top w:w="0" w:type="dxa"/>
          <w:left w:w="0" w:type="dxa"/>
          <w:bottom w:w="0" w:type="dxa"/>
          <w:right w:w="0" w:type="dxa"/>
        </w:tblCellMar>
      </w:tblPr>
      <w:tr>
        <w:trPr>
          <w:trHeight w:val="93"/>
        </w:trPr>
        <w:tc>
          <w:tcPr>
            <w:tcW w:w="2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vMerge w:val="restart"/>
          </w:tcPr>
          <w:p>
            <w:pPr>
              <w:jc w:val="center"/>
              <w:ind w:right="221"/>
              <w:spacing w:after="0"/>
              <w:rPr>
                <w:sz w:val="20"/>
                <w:szCs w:val="20"/>
                <w:color w:val="auto"/>
              </w:rPr>
            </w:pPr>
            <w:r>
              <w:rPr>
                <w:rFonts w:ascii="Arial" w:cs="Arial" w:eastAsia="Arial" w:hAnsi="Arial"/>
                <w:sz w:val="10"/>
                <w:szCs w:val="10"/>
                <w:b w:val="1"/>
                <w:bCs w:val="1"/>
                <w:color w:val="auto"/>
              </w:rPr>
              <w:t>Common</w:t>
            </w: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0"/>
                <w:szCs w:val="10"/>
                <w:b w:val="1"/>
                <w:bCs w:val="1"/>
                <w:color w:val="auto"/>
              </w:rPr>
              <w:t>Retained</w:t>
            </w:r>
          </w:p>
        </w:tc>
        <w:tc>
          <w:tcPr>
            <w:tcW w:w="36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center"/>
              <w:ind w:right="282"/>
              <w:spacing w:after="0" w:line="93"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jc w:val="center"/>
              <w:ind w:right="282"/>
              <w:spacing w:after="0" w:line="96" w:lineRule="exact"/>
              <w:rPr>
                <w:sz w:val="20"/>
                <w:szCs w:val="20"/>
                <w:color w:val="auto"/>
              </w:rPr>
            </w:pPr>
            <w:r>
              <w:rPr>
                <w:rFonts w:ascii="Arial" w:cs="Arial" w:eastAsia="Arial" w:hAnsi="Arial"/>
                <w:sz w:val="10"/>
                <w:szCs w:val="10"/>
                <w:b w:val="1"/>
                <w:bCs w:val="1"/>
                <w:color w:val="auto"/>
                <w:w w:val="99"/>
              </w:rPr>
              <w:t>Shareholder's</w:t>
            </w:r>
          </w:p>
        </w:tc>
        <w:tc>
          <w:tcPr>
            <w:tcW w:w="0" w:type="dxa"/>
            <w:vAlign w:val="bottom"/>
          </w:tcPr>
          <w:p>
            <w:pPr>
              <w:spacing w:after="0"/>
              <w:rPr>
                <w:sz w:val="1"/>
                <w:szCs w:val="1"/>
                <w:color w:val="auto"/>
              </w:rPr>
            </w:pPr>
          </w:p>
        </w:tc>
      </w:tr>
      <w:tr>
        <w:trPr>
          <w:trHeight w:val="142"/>
        </w:trPr>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21"/>
              <w:spacing w:after="0"/>
              <w:rPr>
                <w:sz w:val="20"/>
                <w:szCs w:val="20"/>
                <w:color w:val="auto"/>
              </w:rPr>
            </w:pPr>
            <w:r>
              <w:rPr>
                <w:rFonts w:ascii="Arial" w:cs="Arial" w:eastAsia="Arial" w:hAnsi="Arial"/>
                <w:sz w:val="10"/>
                <w:szCs w:val="10"/>
                <w:b w:val="1"/>
                <w:bCs w:val="1"/>
                <w:color w:val="auto"/>
              </w:rPr>
              <w:t>Stock</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8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64"/>
        </w:trPr>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4,014</w:t>
            </w: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2,588</w:t>
            </w:r>
          </w:p>
        </w:tc>
        <w:tc>
          <w:tcPr>
            <w:tcW w:w="10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
              <w:spacing w:after="0"/>
              <w:rPr>
                <w:sz w:val="20"/>
                <w:szCs w:val="20"/>
                <w:color w:val="auto"/>
              </w:rPr>
            </w:pPr>
            <w:r>
              <w:rPr>
                <w:rFonts w:ascii="Arial" w:cs="Arial" w:eastAsia="Arial" w:hAnsi="Arial"/>
                <w:sz w:val="13"/>
                <w:szCs w:val="13"/>
                <w:color w:val="auto"/>
              </w:rPr>
              <w:t>6,602</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2"/>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71"/>
        </w:trPr>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9"/>
        </w:trPr>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4,014</w:t>
            </w: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2,772</w:t>
            </w:r>
          </w:p>
        </w:tc>
        <w:tc>
          <w:tcPr>
            <w:tcW w:w="100" w:type="dxa"/>
            <w:vAlign w:val="bottom"/>
          </w:tcPr>
          <w:p>
            <w:pPr>
              <w:spacing w:after="0"/>
              <w:rPr>
                <w:sz w:val="13"/>
                <w:szCs w:val="13"/>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
              <w:spacing w:after="0"/>
              <w:rPr>
                <w:sz w:val="20"/>
                <w:szCs w:val="20"/>
                <w:color w:val="auto"/>
              </w:rPr>
            </w:pPr>
            <w:r>
              <w:rPr>
                <w:rFonts w:ascii="Arial" w:cs="Arial" w:eastAsia="Arial" w:hAnsi="Arial"/>
                <w:sz w:val="13"/>
                <w:szCs w:val="13"/>
                <w:color w:val="auto"/>
              </w:rPr>
              <w:t>6,786</w:t>
            </w:r>
          </w:p>
        </w:tc>
        <w:tc>
          <w:tcPr>
            <w:tcW w:w="0" w:type="dxa"/>
            <w:vAlign w:val="bottom"/>
          </w:tcPr>
          <w:p>
            <w:pPr>
              <w:spacing w:after="0"/>
              <w:rPr>
                <w:sz w:val="1"/>
                <w:szCs w:val="1"/>
                <w:color w:val="auto"/>
              </w:rPr>
            </w:pPr>
          </w:p>
        </w:tc>
      </w:tr>
      <w:tr>
        <w:trPr>
          <w:trHeight w:val="349"/>
        </w:trPr>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0"/>
                <w:szCs w:val="10"/>
                <w:b w:val="1"/>
                <w:bCs w:val="1"/>
                <w:color w:val="auto"/>
              </w:rPr>
              <w:t>Three Months Ended March 31, 2025</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80" w:type="dxa"/>
            <w:vAlign w:val="bottom"/>
          </w:tcPr>
          <w:p>
            <w:pPr>
              <w:spacing w:after="0"/>
              <w:rPr>
                <w:sz w:val="7"/>
                <w:szCs w:val="7"/>
                <w:color w:val="auto"/>
              </w:rPr>
            </w:pPr>
          </w:p>
        </w:tc>
        <w:tc>
          <w:tcPr>
            <w:tcW w:w="1080" w:type="dxa"/>
            <w:vAlign w:val="bottom"/>
            <w:vMerge w:val="restart"/>
          </w:tcPr>
          <w:p>
            <w:pPr>
              <w:jc w:val="center"/>
              <w:ind w:right="221"/>
              <w:spacing w:after="0"/>
              <w:rPr>
                <w:sz w:val="20"/>
                <w:szCs w:val="20"/>
                <w:color w:val="auto"/>
              </w:rPr>
            </w:pPr>
            <w:r>
              <w:rPr>
                <w:rFonts w:ascii="Arial" w:cs="Arial" w:eastAsia="Arial" w:hAnsi="Arial"/>
                <w:sz w:val="10"/>
                <w:szCs w:val="10"/>
                <w:b w:val="1"/>
                <w:bCs w:val="1"/>
                <w:color w:val="auto"/>
              </w:rPr>
              <w:t>Common</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Retained</w:t>
            </w:r>
          </w:p>
        </w:tc>
        <w:tc>
          <w:tcPr>
            <w:tcW w:w="360" w:type="dxa"/>
            <w:vAlign w:val="bottom"/>
          </w:tcPr>
          <w:p>
            <w:pPr>
              <w:spacing w:after="0"/>
              <w:rPr>
                <w:sz w:val="7"/>
                <w:szCs w:val="7"/>
                <w:color w:val="auto"/>
              </w:rPr>
            </w:pPr>
          </w:p>
        </w:tc>
        <w:tc>
          <w:tcPr>
            <w:tcW w:w="1280" w:type="dxa"/>
            <w:vAlign w:val="bottom"/>
          </w:tcPr>
          <w:p>
            <w:pPr>
              <w:jc w:val="center"/>
              <w:ind w:right="282"/>
              <w:spacing w:after="0" w:line="90"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jc w:val="center"/>
              <w:ind w:right="282"/>
              <w:spacing w:after="0" w:line="96" w:lineRule="exact"/>
              <w:rPr>
                <w:sz w:val="20"/>
                <w:szCs w:val="20"/>
                <w:color w:val="auto"/>
              </w:rPr>
            </w:pPr>
            <w:r>
              <w:rPr>
                <w:rFonts w:ascii="Arial" w:cs="Arial" w:eastAsia="Arial" w:hAnsi="Arial"/>
                <w:sz w:val="10"/>
                <w:szCs w:val="10"/>
                <w:b w:val="1"/>
                <w:bCs w:val="1"/>
                <w:color w:val="auto"/>
                <w:w w:val="99"/>
              </w:rPr>
              <w:t>Shareholder's</w:t>
            </w:r>
          </w:p>
        </w:tc>
        <w:tc>
          <w:tcPr>
            <w:tcW w:w="0" w:type="dxa"/>
            <w:vAlign w:val="bottom"/>
          </w:tcPr>
          <w:p>
            <w:pPr>
              <w:spacing w:after="0"/>
              <w:rPr>
                <w:sz w:val="1"/>
                <w:szCs w:val="1"/>
                <w:color w:val="auto"/>
              </w:rPr>
            </w:pPr>
          </w:p>
        </w:tc>
      </w:tr>
      <w:tr>
        <w:trPr>
          <w:trHeight w:val="142"/>
        </w:trPr>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21"/>
              <w:spacing w:after="0"/>
              <w:rPr>
                <w:sz w:val="20"/>
                <w:szCs w:val="20"/>
                <w:color w:val="auto"/>
              </w:rPr>
            </w:pPr>
            <w:r>
              <w:rPr>
                <w:rFonts w:ascii="Arial" w:cs="Arial" w:eastAsia="Arial" w:hAnsi="Arial"/>
                <w:sz w:val="10"/>
                <w:szCs w:val="10"/>
                <w:b w:val="1"/>
                <w:bCs w:val="1"/>
                <w:color w:val="auto"/>
              </w:rPr>
              <w:t>Stock</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8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64"/>
        </w:trPr>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3,483</w:t>
            </w: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2,403</w:t>
            </w:r>
          </w:p>
        </w:tc>
        <w:tc>
          <w:tcPr>
            <w:tcW w:w="10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
              <w:spacing w:after="0"/>
              <w:rPr>
                <w:sz w:val="20"/>
                <w:szCs w:val="20"/>
                <w:color w:val="auto"/>
              </w:rPr>
            </w:pPr>
            <w:r>
              <w:rPr>
                <w:rFonts w:ascii="Arial" w:cs="Arial" w:eastAsia="Arial" w:hAnsi="Arial"/>
                <w:sz w:val="13"/>
                <w:szCs w:val="13"/>
                <w:color w:val="auto"/>
              </w:rPr>
              <w:t>5,886</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2"/>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71"/>
        </w:trPr>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9"/>
        </w:trPr>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3,483</w:t>
            </w: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
              <w:spacing w:after="0"/>
              <w:rPr>
                <w:sz w:val="20"/>
                <w:szCs w:val="20"/>
                <w:color w:val="auto"/>
              </w:rPr>
            </w:pPr>
            <w:r>
              <w:rPr>
                <w:rFonts w:ascii="Arial" w:cs="Arial" w:eastAsia="Arial" w:hAnsi="Arial"/>
                <w:sz w:val="13"/>
                <w:szCs w:val="13"/>
                <w:color w:val="auto"/>
              </w:rPr>
              <w:t>2,565</w:t>
            </w:r>
          </w:p>
        </w:tc>
        <w:tc>
          <w:tcPr>
            <w:tcW w:w="100" w:type="dxa"/>
            <w:vAlign w:val="bottom"/>
          </w:tcPr>
          <w:p>
            <w:pPr>
              <w:spacing w:after="0"/>
              <w:rPr>
                <w:sz w:val="13"/>
                <w:szCs w:val="13"/>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
              <w:spacing w:after="0"/>
              <w:rPr>
                <w:sz w:val="20"/>
                <w:szCs w:val="20"/>
                <w:color w:val="auto"/>
              </w:rPr>
            </w:pPr>
            <w:r>
              <w:rPr>
                <w:rFonts w:ascii="Arial" w:cs="Arial" w:eastAsia="Arial" w:hAnsi="Arial"/>
                <w:sz w:val="13"/>
                <w:szCs w:val="13"/>
                <w:color w:val="auto"/>
              </w:rPr>
              <w:t>6,048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-1331595</wp:posOffset>
            </wp:positionV>
            <wp:extent cx="7161530"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-1109345</wp:posOffset>
            </wp:positionV>
            <wp:extent cx="7161530" cy="107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-442595</wp:posOffset>
            </wp:positionV>
            <wp:extent cx="7161530" cy="114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-220345</wp:posOffset>
            </wp:positionV>
            <wp:extent cx="7161530" cy="107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65" w:lineRule="exact"/>
        <w:rPr>
          <w:sz w:val="20"/>
          <w:szCs w:val="20"/>
          <w:color w:val="auto"/>
        </w:rPr>
      </w:pPr>
    </w:p>
    <w:p>
      <w:pPr>
        <w:jc w:val="center"/>
        <w:ind w:right="3660"/>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ind w:right="366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410845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940" w:space="720"/>
            <w:col w:w="762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Pepco Holdings LLC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8900" w:type="dxa"/>
            <w:vAlign w:val="bottom"/>
            <w:gridSpan w:val="2"/>
          </w:tcPr>
          <w:p>
            <w:pPr>
              <w:spacing w:after="0" w:line="76" w:lineRule="exact"/>
              <w:rPr>
                <w:sz w:val="20"/>
                <w:szCs w:val="20"/>
                <w:color w:val="auto"/>
              </w:rPr>
            </w:pPr>
            <w:r>
              <w:rPr>
                <w:rFonts w:ascii="Arial" w:cs="Arial" w:eastAsia="Arial" w:hAnsi="Arial"/>
                <w:sz w:val="7"/>
                <w:szCs w:val="7"/>
                <w:b w:val="1"/>
                <w:bCs w:val="1"/>
                <w:color w:val="auto"/>
              </w:rPr>
              <w:t>(In millions)</w:t>
            </w:r>
          </w:p>
        </w:tc>
        <w:tc>
          <w:tcPr>
            <w:tcW w:w="280" w:type="dxa"/>
            <w:vAlign w:val="bottom"/>
          </w:tcPr>
          <w:p>
            <w:pPr>
              <w:spacing w:after="0"/>
              <w:rPr>
                <w:sz w:val="8"/>
                <w:szCs w:val="8"/>
                <w:color w:val="auto"/>
              </w:rPr>
            </w:pPr>
          </w:p>
        </w:tc>
        <w:tc>
          <w:tcPr>
            <w:tcW w:w="860" w:type="dxa"/>
            <w:vAlign w:val="bottom"/>
          </w:tcPr>
          <w:p>
            <w:pPr>
              <w:jc w:val="right"/>
              <w:ind w:right="399"/>
              <w:spacing w:after="0" w:line="76" w:lineRule="exact"/>
              <w:rPr>
                <w:sz w:val="20"/>
                <w:szCs w:val="20"/>
                <w:color w:val="auto"/>
              </w:rPr>
            </w:pPr>
            <w:r>
              <w:rPr>
                <w:rFonts w:ascii="Arial" w:cs="Arial" w:eastAsia="Arial" w:hAnsi="Arial"/>
                <w:sz w:val="7"/>
                <w:szCs w:val="7"/>
                <w:b w:val="1"/>
                <w:bCs w:val="1"/>
                <w:color w:val="auto"/>
              </w:rPr>
              <w:t>2026</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jc w:val="right"/>
              <w:ind w:right="377"/>
              <w:spacing w:after="0" w:line="76" w:lineRule="exact"/>
              <w:rPr>
                <w:sz w:val="20"/>
                <w:szCs w:val="20"/>
                <w:color w:val="auto"/>
              </w:rPr>
            </w:pPr>
            <w:r>
              <w:rPr>
                <w:rFonts w:ascii="Arial" w:cs="Arial" w:eastAsia="Arial" w:hAnsi="Arial"/>
                <w:sz w:val="7"/>
                <w:szCs w:val="7"/>
                <w:b w:val="1"/>
                <w:bCs w:val="1"/>
                <w:color w:val="auto"/>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revenues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Electric operating revenues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1,934</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1,691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Natural gas operating revenues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Revenues from alternative revenue programs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Operating revenues from affiliates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operating revenues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1,778</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Purchased power</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Purchased fuel</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Operating and maintenance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296</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Operating and maintenance from affiliates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Taxes other than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1,445</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Loss on sale of assets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Operating income</w:t>
            </w: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332</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income and (deductions)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Interest expense,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Interest expense to affiliates,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Other, net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other income and (deductions)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Income before income taxes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39"/>
        </w:trPr>
        <w:tc>
          <w:tcPr>
            <w:tcW w:w="20" w:type="dxa"/>
            <w:vAlign w:val="bottom"/>
          </w:tcPr>
          <w:p>
            <w:pPr>
              <w:spacing w:after="0"/>
              <w:rPr>
                <w:sz w:val="12"/>
                <w:szCs w:val="12"/>
                <w:color w:val="auto"/>
              </w:rPr>
            </w:pPr>
          </w:p>
        </w:tc>
        <w:tc>
          <w:tcPr>
            <w:tcW w:w="8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Net income</w:t>
            </w:r>
          </w:p>
        </w:tc>
        <w:tc>
          <w:tcPr>
            <w:tcW w:w="280" w:type="dxa"/>
            <w:vAlign w:val="bottom"/>
            <w:tcBorders>
              <w:bottom w:val="single" w:sz="8" w:color="auto"/>
            </w:tcBorders>
          </w:tcPr>
          <w:p>
            <w:pPr>
              <w:jc w:val="right"/>
              <w:ind w:right="116"/>
              <w:spacing w:after="0" w:line="139"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169</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296"/>
              <w:spacing w:after="0" w:line="139"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Comprehensive income</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Pepco Holdings LLC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106"/>
        </w:trPr>
        <w:tc>
          <w:tcPr>
            <w:tcW w:w="20" w:type="dxa"/>
            <w:vAlign w:val="bottom"/>
          </w:tcPr>
          <w:p>
            <w:pPr>
              <w:spacing w:after="0"/>
              <w:rPr>
                <w:sz w:val="9"/>
                <w:szCs w:val="9"/>
                <w:color w:val="auto"/>
              </w:rPr>
            </w:pPr>
          </w:p>
        </w:tc>
        <w:tc>
          <w:tcPr>
            <w:tcW w:w="89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9"/>
                <w:szCs w:val="9"/>
                <w:color w:val="auto"/>
              </w:rPr>
            </w:pPr>
          </w:p>
        </w:tc>
        <w:tc>
          <w:tcPr>
            <w:tcW w:w="860" w:type="dxa"/>
            <w:vAlign w:val="bottom"/>
          </w:tcPr>
          <w:p>
            <w:pPr>
              <w:jc w:val="right"/>
              <w:ind w:right="398"/>
              <w:spacing w:after="0" w:line="106"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106" w:lineRule="exact"/>
              <w:rPr>
                <w:sz w:val="20"/>
                <w:szCs w:val="20"/>
                <w:color w:val="auto"/>
              </w:rPr>
            </w:pPr>
            <w:r>
              <w:rPr>
                <w:rFonts w:ascii="Arial" w:cs="Arial" w:eastAsia="Arial" w:hAnsi="Arial"/>
                <w:sz w:val="10"/>
                <w:szCs w:val="10"/>
                <w:b w:val="1"/>
                <w:bCs w:val="1"/>
                <w:color w:val="auto"/>
                <w:w w:val="98"/>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60"/>
              <w:spacing w:after="0"/>
              <w:rPr>
                <w:sz w:val="20"/>
                <w:szCs w:val="20"/>
                <w:color w:val="auto"/>
              </w:rPr>
            </w:pPr>
            <w:r>
              <w:rPr>
                <w:rFonts w:ascii="Arial" w:cs="Arial" w:eastAsia="Arial" w:hAnsi="Arial"/>
                <w:sz w:val="13"/>
                <w:szCs w:val="13"/>
                <w:color w:val="auto"/>
              </w:rPr>
              <w:t>Depreciation, amortization, and accretion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Loss on sales of assets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160"/>
              <w:spacing w:after="0"/>
              <w:rPr>
                <w:sz w:val="20"/>
                <w:szCs w:val="20"/>
                <w:color w:val="auto"/>
              </w:rPr>
            </w:pPr>
            <w:r>
              <w:rPr>
                <w:rFonts w:ascii="Arial" w:cs="Arial" w:eastAsia="Arial" w:hAnsi="Arial"/>
                <w:sz w:val="13"/>
                <w:szCs w:val="13"/>
                <w:color w:val="auto"/>
              </w:rPr>
              <w:t>Deferred income taxes and amortization of investment tax credits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Other non-cash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160"/>
              <w:spacing w:after="0"/>
              <w:rPr>
                <w:sz w:val="20"/>
                <w:szCs w:val="20"/>
                <w:color w:val="auto"/>
              </w:rPr>
            </w:pPr>
            <w:r>
              <w:rPr>
                <w:rFonts w:ascii="Arial" w:cs="Arial" w:eastAsia="Arial" w:hAnsi="Arial"/>
                <w:sz w:val="13"/>
                <w:szCs w:val="13"/>
                <w:color w:val="auto"/>
              </w:rPr>
              <w:t>Changes in assets and liabilities: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Accounts receivable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Receivables from and payables to affiliates,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Inventories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Collateral (paid) received,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Income taxes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Regulatory assets and liabilities,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Pension and non-pension postretirement benefit contributions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assets and liabilities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line="148" w:lineRule="exact"/>
              <w:rPr>
                <w:sz w:val="20"/>
                <w:szCs w:val="20"/>
                <w:color w:val="auto"/>
              </w:rPr>
            </w:pPr>
            <w:r>
              <w:rPr>
                <w:rFonts w:ascii="Arial" w:cs="Arial" w:eastAsia="Arial" w:hAnsi="Arial"/>
                <w:sz w:val="13"/>
                <w:szCs w:val="13"/>
                <w:color w:val="auto"/>
              </w:rPr>
              <w:t>Net cash flows provided by operating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Capital expenditures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(558)</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used in investing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Changes in short-term borrowings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Issuance of long-term debt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Changes in Exelon intercompany money pool</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Distributions to member</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Contributions from member</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Other financing activities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r>
      <w:tr>
        <w:trPr>
          <w:trHeight w:val="16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(Decrease) increase in cash, restricted cash, and cash equivalents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restricted cash, and cash equivalents at beginning of period</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w:t>
            </w:r>
          </w:p>
        </w:tc>
      </w:tr>
      <w:tr>
        <w:trPr>
          <w:trHeight w:val="16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restricted cash, and cash equivalents at end of period</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Decrease in capital expenditures not paid</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Pepco Holdings LLC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80" w:type="dxa"/>
            <w:vAlign w:val="bottom"/>
          </w:tcPr>
          <w:p>
            <w:pPr>
              <w:spacing w:after="0"/>
              <w:rPr>
                <w:sz w:val="10"/>
                <w:szCs w:val="10"/>
                <w:color w:val="auto"/>
              </w:rPr>
            </w:pPr>
          </w:p>
        </w:tc>
        <w:tc>
          <w:tcPr>
            <w:tcW w:w="1640" w:type="dxa"/>
            <w:vAlign w:val="bottom"/>
            <w:gridSpan w:val="2"/>
          </w:tcPr>
          <w:p>
            <w:pPr>
              <w:ind w:left="180"/>
              <w:spacing w:after="0"/>
              <w:rPr>
                <w:sz w:val="20"/>
                <w:szCs w:val="20"/>
                <w:color w:val="auto"/>
              </w:rPr>
            </w:pPr>
            <w:r>
              <w:rPr>
                <w:rFonts w:ascii="Arial" w:cs="Arial" w:eastAsia="Arial" w:hAnsi="Arial"/>
                <w:sz w:val="10"/>
                <w:szCs w:val="10"/>
                <w:b w:val="1"/>
                <w:bCs w:val="1"/>
                <w:color w:val="auto"/>
              </w:rPr>
              <w:t>March 31, 2026</w:t>
            </w:r>
          </w:p>
        </w:tc>
        <w:tc>
          <w:tcPr>
            <w:tcW w:w="420" w:type="dxa"/>
            <w:vAlign w:val="bottom"/>
          </w:tcPr>
          <w:p>
            <w:pPr>
              <w:spacing w:after="0"/>
              <w:rPr>
                <w:sz w:val="10"/>
                <w:szCs w:val="10"/>
                <w:color w:val="auto"/>
              </w:rPr>
            </w:pPr>
          </w:p>
        </w:tc>
        <w:tc>
          <w:tcPr>
            <w:tcW w:w="158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2760"/>
              <w:spacing w:after="0" w:line="142" w:lineRule="exact"/>
              <w:rPr>
                <w:sz w:val="20"/>
                <w:szCs w:val="20"/>
                <w:color w:val="auto"/>
              </w:rPr>
            </w:pPr>
            <w:r>
              <w:rPr>
                <w:rFonts w:ascii="Arial" w:cs="Arial" w:eastAsia="Arial" w:hAnsi="Arial"/>
                <w:sz w:val="13"/>
                <w:szCs w:val="13"/>
                <w:b w:val="1"/>
                <w:bCs w:val="1"/>
                <w:color w:val="auto"/>
              </w:rPr>
              <w:t>ASSETS</w:t>
            </w:r>
          </w:p>
        </w:tc>
        <w:tc>
          <w:tcPr>
            <w:tcW w:w="4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Restricted cash and cash equivalents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Accounts receivable</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Customer accounts receivable</w:t>
            </w:r>
          </w:p>
        </w:tc>
        <w:tc>
          <w:tcPr>
            <w:tcW w:w="480" w:type="dxa"/>
            <w:vAlign w:val="bottom"/>
          </w:tcPr>
          <w:p>
            <w:pPr>
              <w:ind w:left="20"/>
              <w:spacing w:after="0"/>
              <w:rPr>
                <w:sz w:val="20"/>
                <w:szCs w:val="20"/>
                <w:color w:val="auto"/>
              </w:rPr>
            </w:pPr>
            <w:r>
              <w:rPr>
                <w:rFonts w:ascii="Arial" w:cs="Arial" w:eastAsia="Arial" w:hAnsi="Arial"/>
                <w:sz w:val="13"/>
                <w:szCs w:val="13"/>
                <w:color w:val="auto"/>
              </w:rPr>
              <w:t>897</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auto"/>
              </w:rPr>
              <w:t>975</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Customer allowance for credit losses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(131)</w:t>
            </w:r>
          </w:p>
        </w:tc>
        <w:tc>
          <w:tcPr>
            <w:tcW w:w="1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(115)</w:t>
            </w:r>
          </w:p>
        </w:tc>
        <w:tc>
          <w:tcPr>
            <w:tcW w:w="15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ind w:left="340"/>
              <w:spacing w:after="0"/>
              <w:rPr>
                <w:sz w:val="20"/>
                <w:szCs w:val="20"/>
                <w:color w:val="auto"/>
              </w:rPr>
            </w:pPr>
            <w:r>
              <w:rPr>
                <w:rFonts w:ascii="Arial" w:cs="Arial" w:eastAsia="Arial" w:hAnsi="Arial"/>
                <w:sz w:val="13"/>
                <w:szCs w:val="13"/>
                <w:color w:val="auto"/>
              </w:rPr>
              <w:t>Customer accounts receivable, net</w:t>
            </w:r>
          </w:p>
        </w:tc>
        <w:tc>
          <w:tcPr>
            <w:tcW w:w="4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766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860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accounts receivable</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319</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292</w:t>
            </w: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Other allowance for credit losses</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(49)</w:t>
            </w:r>
          </w:p>
        </w:tc>
        <w:tc>
          <w:tcPr>
            <w:tcW w:w="1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(49)</w:t>
            </w: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Other accounts receivable, net</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Receivables from affiliates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Inventories, net</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Fossil fuel</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Materials and supplies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Prepaid utility taxes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Regulatory assets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Prepaid renewable energy credits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current assets</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2,288</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71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Property, plant, and equipment (net of accumulated depreciation and amortization of $4,529 and $4,350 as of</w:t>
            </w:r>
          </w:p>
        </w:tc>
        <w:tc>
          <w:tcPr>
            <w:tcW w:w="480" w:type="dxa"/>
            <w:vAlign w:val="bottom"/>
            <w:shd w:val="clear" w:color="auto" w:fill="CCEEFF"/>
          </w:tcPr>
          <w:p>
            <w:pPr>
              <w:spacing w:after="0"/>
              <w:rPr>
                <w:sz w:val="9"/>
                <w:szCs w:val="9"/>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21,605</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21,377</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2026 and December 31, 2025, respectively)</w:t>
            </w:r>
          </w:p>
        </w:tc>
        <w:tc>
          <w:tcPr>
            <w:tcW w:w="48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Regulatory assets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Goodwill</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4,005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4,005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Investments</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Prepaid pension asset</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deferred debits and other assets</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6,050</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29,657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Pepco Holdings LLC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0"/>
                <w:szCs w:val="10"/>
                <w:color w:val="auto"/>
              </w:rPr>
            </w:pPr>
          </w:p>
        </w:tc>
        <w:tc>
          <w:tcPr>
            <w:tcW w:w="1740" w:type="dxa"/>
            <w:vAlign w:val="bottom"/>
            <w:gridSpan w:val="2"/>
          </w:tcPr>
          <w:p>
            <w:pPr>
              <w:ind w:left="280"/>
              <w:spacing w:after="0"/>
              <w:rPr>
                <w:sz w:val="20"/>
                <w:szCs w:val="20"/>
                <w:color w:val="auto"/>
              </w:rPr>
            </w:pPr>
            <w:r>
              <w:rPr>
                <w:rFonts w:ascii="Arial" w:cs="Arial" w:eastAsia="Arial" w:hAnsi="Arial"/>
                <w:sz w:val="10"/>
                <w:szCs w:val="10"/>
                <w:b w:val="1"/>
                <w:bCs w:val="1"/>
                <w:color w:val="auto"/>
              </w:rPr>
              <w:t>March 31, 2026</w:t>
            </w:r>
          </w:p>
        </w:tc>
        <w:tc>
          <w:tcPr>
            <w:tcW w:w="320" w:type="dxa"/>
            <w:vAlign w:val="bottom"/>
          </w:tcPr>
          <w:p>
            <w:pPr>
              <w:spacing w:after="0"/>
              <w:rPr>
                <w:sz w:val="10"/>
                <w:szCs w:val="10"/>
                <w:color w:val="auto"/>
              </w:rPr>
            </w:pPr>
          </w:p>
        </w:tc>
        <w:tc>
          <w:tcPr>
            <w:tcW w:w="168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1880"/>
              <w:spacing w:after="0" w:line="142" w:lineRule="exact"/>
              <w:rPr>
                <w:sz w:val="20"/>
                <w:szCs w:val="20"/>
                <w:color w:val="auto"/>
              </w:rPr>
            </w:pPr>
            <w:r>
              <w:rPr>
                <w:rFonts w:ascii="Arial" w:cs="Arial" w:eastAsia="Arial" w:hAnsi="Arial"/>
                <w:sz w:val="13"/>
                <w:szCs w:val="13"/>
                <w:b w:val="1"/>
                <w:bCs w:val="1"/>
                <w:color w:val="auto"/>
              </w:rPr>
              <w:t>LIABILITIES AND MEMBER'S EQUITY</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Short-term borrowings</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Long-term debt due within one year</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Accrued expenses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359</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Payables to affiliates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Borrowings from Exelon intercompany money pool</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Customer deposits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Unamortized energy contract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Renewable energy credit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223</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current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2,577</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Long-term debt</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9,526</w:t>
            </w: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Deferred income taxes and unamortized investment tax credits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3,391</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722</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Asset retirement obligations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Non-pension postretirement benefit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Unamortized energy contract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deferred credits and other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4,633</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16,373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16,736</w:t>
            </w:r>
          </w:p>
        </w:tc>
      </w:tr>
      <w:tr>
        <w:trPr>
          <w:trHeight w:val="151"/>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Commitments and contingencies</w:t>
            </w: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Member's equity</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Membership interest</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13,405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13,130</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Undistributed losses</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r>
      <w:tr>
        <w:trPr>
          <w:trHeight w:val="160"/>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member's equity</w:t>
            </w:r>
          </w:p>
        </w:tc>
        <w:tc>
          <w:tcPr>
            <w:tcW w:w="3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13,284</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12,979</w:t>
            </w:r>
          </w:p>
        </w:tc>
      </w:tr>
      <w:tr>
        <w:trPr>
          <w:trHeight w:val="162"/>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member's equity</w:t>
            </w: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29,657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29,715</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Pepco Holdings LLC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56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8"/>
              </w:rPr>
              <w:t>Three Months Ended March 31, 2026</w:t>
            </w: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03"/>
        </w:trPr>
        <w:tc>
          <w:tcPr>
            <w:tcW w:w="652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8"/>
                <w:szCs w:val="8"/>
                <w:color w:val="auto"/>
              </w:rPr>
            </w:pPr>
          </w:p>
        </w:tc>
        <w:tc>
          <w:tcPr>
            <w:tcW w:w="1320" w:type="dxa"/>
            <w:vAlign w:val="bottom"/>
          </w:tcPr>
          <w:p>
            <w:pPr>
              <w:jc w:val="right"/>
              <w:ind w:right="199"/>
              <w:spacing w:after="0" w:line="104" w:lineRule="exact"/>
              <w:rPr>
                <w:sz w:val="20"/>
                <w:szCs w:val="20"/>
                <w:color w:val="auto"/>
              </w:rPr>
            </w:pPr>
            <w:r>
              <w:rPr>
                <w:rFonts w:ascii="Arial" w:cs="Arial" w:eastAsia="Arial" w:hAnsi="Arial"/>
                <w:sz w:val="10"/>
                <w:szCs w:val="10"/>
                <w:b w:val="1"/>
                <w:bCs w:val="1"/>
                <w:color w:val="auto"/>
              </w:rPr>
              <w:t>Membership Interest</w:t>
            </w:r>
          </w:p>
        </w:tc>
        <w:tc>
          <w:tcPr>
            <w:tcW w:w="120" w:type="dxa"/>
            <w:vAlign w:val="bottom"/>
          </w:tcPr>
          <w:p>
            <w:pPr>
              <w:spacing w:after="0"/>
              <w:rPr>
                <w:sz w:val="8"/>
                <w:szCs w:val="8"/>
                <w:color w:val="auto"/>
              </w:rPr>
            </w:pPr>
          </w:p>
        </w:tc>
        <w:tc>
          <w:tcPr>
            <w:tcW w:w="1600" w:type="dxa"/>
            <w:vAlign w:val="bottom"/>
            <w:gridSpan w:val="3"/>
          </w:tcPr>
          <w:p>
            <w:pPr>
              <w:jc w:val="center"/>
              <w:ind w:right="100"/>
              <w:spacing w:after="0" w:line="104" w:lineRule="exact"/>
              <w:rPr>
                <w:sz w:val="20"/>
                <w:szCs w:val="20"/>
                <w:color w:val="auto"/>
              </w:rPr>
            </w:pPr>
            <w:r>
              <w:rPr>
                <w:rFonts w:ascii="Arial" w:cs="Arial" w:eastAsia="Arial" w:hAnsi="Arial"/>
                <w:sz w:val="10"/>
                <w:szCs w:val="10"/>
                <w:b w:val="1"/>
                <w:bCs w:val="1"/>
                <w:color w:val="auto"/>
                <w:w w:val="98"/>
              </w:rPr>
              <w:t>Undistributed (Losses)/Gains</w:t>
            </w:r>
          </w:p>
        </w:tc>
        <w:tc>
          <w:tcPr>
            <w:tcW w:w="160" w:type="dxa"/>
            <w:vAlign w:val="bottom"/>
          </w:tcPr>
          <w:p>
            <w:pPr>
              <w:spacing w:after="0"/>
              <w:rPr>
                <w:sz w:val="8"/>
                <w:szCs w:val="8"/>
                <w:color w:val="auto"/>
              </w:rPr>
            </w:pPr>
          </w:p>
        </w:tc>
        <w:tc>
          <w:tcPr>
            <w:tcW w:w="1360" w:type="dxa"/>
            <w:vAlign w:val="bottom"/>
          </w:tcPr>
          <w:p>
            <w:pPr>
              <w:jc w:val="right"/>
              <w:ind w:right="179"/>
              <w:spacing w:after="0" w:line="104" w:lineRule="exact"/>
              <w:rPr>
                <w:sz w:val="20"/>
                <w:szCs w:val="20"/>
                <w:color w:val="auto"/>
              </w:rPr>
            </w:pPr>
            <w:r>
              <w:rPr>
                <w:rFonts w:ascii="Arial" w:cs="Arial" w:eastAsia="Arial" w:hAnsi="Arial"/>
                <w:sz w:val="10"/>
                <w:szCs w:val="10"/>
                <w:b w:val="1"/>
                <w:bCs w:val="1"/>
                <w:color w:val="auto"/>
              </w:rPr>
              <w:t>Total Member's Equity</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2025</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13,130</w:t>
            </w:r>
          </w:p>
        </w:tc>
        <w:tc>
          <w:tcPr>
            <w:tcW w:w="740" w:type="dxa"/>
            <w:vAlign w:val="bottom"/>
            <w:gridSpan w:val="2"/>
            <w:shd w:val="clear" w:color="auto" w:fill="CCEEFF"/>
          </w:tcPr>
          <w:p>
            <w:pPr>
              <w:jc w:val="right"/>
              <w:ind w:right="491"/>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12,979</w:t>
            </w:r>
          </w:p>
        </w:tc>
      </w:tr>
      <w:tr>
        <w:trPr>
          <w:trHeight w:val="169"/>
        </w:trPr>
        <w:tc>
          <w:tcPr>
            <w:tcW w:w="65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71"/>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Distributions to member</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r>
      <w:tr>
        <w:trPr>
          <w:trHeight w:val="169"/>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member</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r>
      <w:tr>
        <w:trPr>
          <w:trHeight w:val="16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2026</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13,405</w:t>
            </w:r>
          </w:p>
        </w:tc>
        <w:tc>
          <w:tcPr>
            <w:tcW w:w="740" w:type="dxa"/>
            <w:vAlign w:val="bottom"/>
            <w:gridSpan w:val="2"/>
            <w:shd w:val="clear" w:color="auto" w:fill="CCEEFF"/>
          </w:tcPr>
          <w:p>
            <w:pPr>
              <w:jc w:val="right"/>
              <w:ind w:right="491"/>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13,284</w:t>
            </w:r>
          </w:p>
        </w:tc>
      </w:tr>
      <w:tr>
        <w:trPr>
          <w:trHeight w:val="407"/>
        </w:trPr>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8"/>
              </w:rPr>
              <w:t>Three Months Ended March 31, 2025</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03"/>
        </w:trPr>
        <w:tc>
          <w:tcPr>
            <w:tcW w:w="652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8"/>
                <w:szCs w:val="8"/>
                <w:color w:val="auto"/>
              </w:rPr>
            </w:pPr>
          </w:p>
        </w:tc>
        <w:tc>
          <w:tcPr>
            <w:tcW w:w="1320" w:type="dxa"/>
            <w:vAlign w:val="bottom"/>
          </w:tcPr>
          <w:p>
            <w:pPr>
              <w:jc w:val="right"/>
              <w:ind w:right="199"/>
              <w:spacing w:after="0" w:line="104" w:lineRule="exact"/>
              <w:rPr>
                <w:sz w:val="20"/>
                <w:szCs w:val="20"/>
                <w:color w:val="auto"/>
              </w:rPr>
            </w:pPr>
            <w:r>
              <w:rPr>
                <w:rFonts w:ascii="Arial" w:cs="Arial" w:eastAsia="Arial" w:hAnsi="Arial"/>
                <w:sz w:val="10"/>
                <w:szCs w:val="10"/>
                <w:b w:val="1"/>
                <w:bCs w:val="1"/>
                <w:color w:val="auto"/>
              </w:rPr>
              <w:t>Membership Interest</w:t>
            </w:r>
          </w:p>
        </w:tc>
        <w:tc>
          <w:tcPr>
            <w:tcW w:w="120" w:type="dxa"/>
            <w:vAlign w:val="bottom"/>
          </w:tcPr>
          <w:p>
            <w:pPr>
              <w:spacing w:after="0"/>
              <w:rPr>
                <w:sz w:val="8"/>
                <w:szCs w:val="8"/>
                <w:color w:val="auto"/>
              </w:rPr>
            </w:pPr>
          </w:p>
        </w:tc>
        <w:tc>
          <w:tcPr>
            <w:tcW w:w="1600" w:type="dxa"/>
            <w:vAlign w:val="bottom"/>
            <w:gridSpan w:val="3"/>
          </w:tcPr>
          <w:p>
            <w:pPr>
              <w:jc w:val="center"/>
              <w:ind w:right="100"/>
              <w:spacing w:after="0" w:line="104" w:lineRule="exact"/>
              <w:rPr>
                <w:sz w:val="20"/>
                <w:szCs w:val="20"/>
                <w:color w:val="auto"/>
              </w:rPr>
            </w:pPr>
            <w:r>
              <w:rPr>
                <w:rFonts w:ascii="Arial" w:cs="Arial" w:eastAsia="Arial" w:hAnsi="Arial"/>
                <w:sz w:val="10"/>
                <w:szCs w:val="10"/>
                <w:b w:val="1"/>
                <w:bCs w:val="1"/>
                <w:color w:val="auto"/>
                <w:w w:val="98"/>
              </w:rPr>
              <w:t>Undistributed (Losses)/Gains</w:t>
            </w:r>
          </w:p>
        </w:tc>
        <w:tc>
          <w:tcPr>
            <w:tcW w:w="160" w:type="dxa"/>
            <w:vAlign w:val="bottom"/>
          </w:tcPr>
          <w:p>
            <w:pPr>
              <w:spacing w:after="0"/>
              <w:rPr>
                <w:sz w:val="8"/>
                <w:szCs w:val="8"/>
                <w:color w:val="auto"/>
              </w:rPr>
            </w:pPr>
          </w:p>
        </w:tc>
        <w:tc>
          <w:tcPr>
            <w:tcW w:w="1360" w:type="dxa"/>
            <w:vAlign w:val="bottom"/>
          </w:tcPr>
          <w:p>
            <w:pPr>
              <w:jc w:val="right"/>
              <w:ind w:right="179"/>
              <w:spacing w:after="0" w:line="104" w:lineRule="exact"/>
              <w:rPr>
                <w:sz w:val="20"/>
                <w:szCs w:val="20"/>
                <w:color w:val="auto"/>
              </w:rPr>
            </w:pPr>
            <w:r>
              <w:rPr>
                <w:rFonts w:ascii="Arial" w:cs="Arial" w:eastAsia="Arial" w:hAnsi="Arial"/>
                <w:sz w:val="10"/>
                <w:szCs w:val="10"/>
                <w:b w:val="1"/>
                <w:bCs w:val="1"/>
                <w:color w:val="auto"/>
              </w:rPr>
              <w:t>Total Member's Equity</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12,562</w:t>
            </w:r>
          </w:p>
        </w:tc>
        <w:tc>
          <w:tcPr>
            <w:tcW w:w="740" w:type="dxa"/>
            <w:vAlign w:val="bottom"/>
            <w:gridSpan w:val="2"/>
            <w:shd w:val="clear" w:color="auto" w:fill="CCEEFF"/>
          </w:tcPr>
          <w:p>
            <w:pPr>
              <w:jc w:val="right"/>
              <w:ind w:right="491"/>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12,322</w:t>
            </w:r>
          </w:p>
        </w:tc>
      </w:tr>
      <w:tr>
        <w:trPr>
          <w:trHeight w:val="169"/>
        </w:trPr>
        <w:tc>
          <w:tcPr>
            <w:tcW w:w="65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194</w:t>
            </w:r>
          </w:p>
        </w:tc>
      </w:tr>
      <w:tr>
        <w:trPr>
          <w:trHeight w:val="171"/>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Distributions to member</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r>
      <w:tr>
        <w:trPr>
          <w:trHeight w:val="169"/>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member</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w:t>
            </w:r>
          </w:p>
        </w:tc>
      </w:tr>
      <w:tr>
        <w:trPr>
          <w:trHeight w:val="16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2025</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12,914</w:t>
            </w:r>
          </w:p>
        </w:tc>
        <w:tc>
          <w:tcPr>
            <w:tcW w:w="740" w:type="dxa"/>
            <w:vAlign w:val="bottom"/>
            <w:gridSpan w:val="2"/>
            <w:shd w:val="clear" w:color="auto" w:fill="CCEEFF"/>
          </w:tcPr>
          <w:p>
            <w:pPr>
              <w:jc w:val="right"/>
              <w:ind w:right="491"/>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12,736</w:t>
            </w: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Potomac Electric Power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900" w:type="dxa"/>
            <w:vAlign w:val="bottom"/>
            <w:gridSpan w:val="3"/>
          </w:tcPr>
          <w:p>
            <w:pPr>
              <w:spacing w:after="0" w:line="106" w:lineRule="exact"/>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9"/>
                <w:szCs w:val="9"/>
                <w:color w:val="auto"/>
              </w:rPr>
            </w:pPr>
          </w:p>
        </w:tc>
        <w:tc>
          <w:tcPr>
            <w:tcW w:w="860" w:type="dxa"/>
            <w:vAlign w:val="bottom"/>
          </w:tcPr>
          <w:p>
            <w:pPr>
              <w:jc w:val="right"/>
              <w:ind w:right="398"/>
              <w:spacing w:after="0" w:line="106"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106" w:lineRule="exact"/>
              <w:rPr>
                <w:sz w:val="20"/>
                <w:szCs w:val="20"/>
                <w:color w:val="auto"/>
              </w:rPr>
            </w:pPr>
            <w:r>
              <w:rPr>
                <w:rFonts w:ascii="Arial" w:cs="Arial" w:eastAsia="Arial" w:hAnsi="Arial"/>
                <w:sz w:val="10"/>
                <w:szCs w:val="10"/>
                <w:b w:val="1"/>
                <w:bCs w:val="1"/>
                <w:color w:val="auto"/>
                <w:w w:val="98"/>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90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Operating revenues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3"/>
          </w:tcPr>
          <w:p>
            <w:pPr>
              <w:ind w:left="100"/>
              <w:spacing w:after="0"/>
              <w:rPr>
                <w:sz w:val="20"/>
                <w:szCs w:val="20"/>
                <w:color w:val="auto"/>
              </w:rPr>
            </w:pPr>
            <w:r>
              <w:rPr>
                <w:rFonts w:ascii="Arial" w:cs="Arial" w:eastAsia="Arial" w:hAnsi="Arial"/>
                <w:sz w:val="13"/>
                <w:szCs w:val="13"/>
                <w:color w:val="auto"/>
              </w:rPr>
              <w:t>Electric operating revenues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Revenues from alternative revenue programs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Operating revenues from affiliates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rPr>
              <w:t>Total operating revenues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900" w:type="dxa"/>
            <w:vAlign w:val="bottom"/>
            <w:gridSpan w:val="3"/>
          </w:tcPr>
          <w:p>
            <w:pPr>
              <w:spacing w:after="0"/>
              <w:rPr>
                <w:sz w:val="20"/>
                <w:szCs w:val="20"/>
                <w:color w:val="auto"/>
              </w:rPr>
            </w:pPr>
            <w:r>
              <w:rPr>
                <w:rFonts w:ascii="Arial" w:cs="Arial" w:eastAsia="Arial" w:hAnsi="Arial"/>
                <w:sz w:val="13"/>
                <w:szCs w:val="13"/>
                <w:b w:val="1"/>
                <w:bCs w:val="1"/>
                <w:color w:val="auto"/>
              </w:rPr>
              <w:t>Operating expenses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Purchased power</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3"/>
          </w:tcPr>
          <w:p>
            <w:pPr>
              <w:ind w:left="100"/>
              <w:spacing w:after="0"/>
              <w:rPr>
                <w:sz w:val="20"/>
                <w:szCs w:val="20"/>
                <w:color w:val="auto"/>
              </w:rPr>
            </w:pPr>
            <w:r>
              <w:rPr>
                <w:rFonts w:ascii="Arial" w:cs="Arial" w:eastAsia="Arial" w:hAnsi="Arial"/>
                <w:sz w:val="13"/>
                <w:szCs w:val="13"/>
                <w:color w:val="auto"/>
              </w:rPr>
              <w:t>Operating and maintenance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Operating and maintenance from affiliates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3"/>
          </w:tcPr>
          <w:p>
            <w:pPr>
              <w:ind w:left="10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Taxes other than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3"/>
          </w:tcPr>
          <w:p>
            <w:pPr>
              <w:ind w:left="340"/>
              <w:spacing w:after="0" w:line="148" w:lineRule="exact"/>
              <w:rPr>
                <w:sz w:val="20"/>
                <w:szCs w:val="20"/>
                <w:color w:val="auto"/>
              </w:rPr>
            </w:pPr>
            <w:r>
              <w:rPr>
                <w:rFonts w:ascii="Arial" w:cs="Arial" w:eastAsia="Arial" w:hAnsi="Arial"/>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861</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Loss on sale of assets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8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Other income and (deductions)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00" w:type="dxa"/>
            <w:vAlign w:val="bottom"/>
            <w:gridSpan w:val="3"/>
          </w:tcPr>
          <w:p>
            <w:pPr>
              <w:ind w:left="100"/>
              <w:spacing w:after="0"/>
              <w:rPr>
                <w:sz w:val="20"/>
                <w:szCs w:val="20"/>
                <w:color w:val="auto"/>
              </w:rPr>
            </w:pPr>
            <w:r>
              <w:rPr>
                <w:rFonts w:ascii="Arial" w:cs="Arial" w:eastAsia="Arial" w:hAnsi="Arial"/>
                <w:sz w:val="13"/>
                <w:szCs w:val="13"/>
                <w:color w:val="auto"/>
              </w:rPr>
              <w:t>Interest expense,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3"/>
          </w:tcPr>
          <w:p>
            <w:pPr>
              <w:ind w:left="340"/>
              <w:spacing w:after="0" w:line="148" w:lineRule="exact"/>
              <w:rPr>
                <w:sz w:val="20"/>
                <w:szCs w:val="20"/>
                <w:color w:val="auto"/>
              </w:rPr>
            </w:pPr>
            <w:r>
              <w:rPr>
                <w:rFonts w:ascii="Arial" w:cs="Arial" w:eastAsia="Arial" w:hAnsi="Arial"/>
                <w:sz w:val="13"/>
                <w:szCs w:val="13"/>
                <w:color w:val="auto"/>
              </w:rPr>
              <w:t>Total other income and (deductions)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Income before 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b w:val="1"/>
                <w:bCs w:val="1"/>
                <w:color w:val="auto"/>
              </w:rPr>
              <w:t>Income taxes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3"/>
                <w:szCs w:val="13"/>
                <w:color w:val="auto"/>
              </w:rPr>
            </w:pPr>
          </w:p>
        </w:tc>
        <w:tc>
          <w:tcPr>
            <w:tcW w:w="8900" w:type="dxa"/>
            <w:vAlign w:val="bottom"/>
            <w:tcBorders>
              <w:bottom w:val="single" w:sz="8" w:color="CCEEFF"/>
            </w:tcBorders>
            <w:gridSpan w:val="3"/>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Net income</w:t>
            </w:r>
          </w:p>
        </w:tc>
        <w:tc>
          <w:tcPr>
            <w:tcW w:w="280" w:type="dxa"/>
            <w:vAlign w:val="bottom"/>
            <w:tcBorders>
              <w:bottom w:val="single" w:sz="8" w:color="auto"/>
            </w:tcBorders>
            <w:shd w:val="clear" w:color="auto" w:fill="CCEEFF"/>
          </w:tcPr>
          <w:p>
            <w:pPr>
              <w:jc w:val="right"/>
              <w:ind w:right="116"/>
              <w:spacing w:after="0" w:line="139"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68</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96"/>
              <w:spacing w:after="0" w:line="139"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9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b w:val="1"/>
                <w:bCs w:val="1"/>
                <w:color w:val="auto"/>
              </w:rPr>
              <w:t>Comprehensive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8900" w:type="dxa"/>
            <w:vAlign w:val="bottom"/>
            <w:gridSpan w:val="3"/>
            <w:vMerge w:val="continue"/>
          </w:tcPr>
          <w:p>
            <w:pPr>
              <w:spacing w:after="0"/>
              <w:rPr>
                <w:sz w:val="11"/>
                <w:szCs w:val="11"/>
                <w:color w:val="auto"/>
              </w:rPr>
            </w:pPr>
          </w:p>
        </w:tc>
        <w:tc>
          <w:tcPr>
            <w:tcW w:w="280" w:type="dxa"/>
            <w:vAlign w:val="bottom"/>
            <w:tcBorders>
              <w:bottom w:val="single" w:sz="8" w:color="auto"/>
            </w:tcBorders>
          </w:tcPr>
          <w:p>
            <w:pPr>
              <w:jc w:val="right"/>
              <w:ind w:right="116"/>
              <w:spacing w:after="0" w:line="131"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68</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96"/>
              <w:spacing w:after="0" w:line="131"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Potomac Electric Power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106"/>
        </w:trPr>
        <w:tc>
          <w:tcPr>
            <w:tcW w:w="20" w:type="dxa"/>
            <w:vAlign w:val="bottom"/>
          </w:tcPr>
          <w:p>
            <w:pPr>
              <w:spacing w:after="0"/>
              <w:rPr>
                <w:sz w:val="9"/>
                <w:szCs w:val="9"/>
                <w:color w:val="auto"/>
              </w:rPr>
            </w:pPr>
          </w:p>
        </w:tc>
        <w:tc>
          <w:tcPr>
            <w:tcW w:w="890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9"/>
                <w:szCs w:val="9"/>
                <w:color w:val="auto"/>
              </w:rPr>
            </w:pPr>
          </w:p>
        </w:tc>
        <w:tc>
          <w:tcPr>
            <w:tcW w:w="860" w:type="dxa"/>
            <w:vAlign w:val="bottom"/>
          </w:tcPr>
          <w:p>
            <w:pPr>
              <w:jc w:val="right"/>
              <w:ind w:right="398"/>
              <w:spacing w:after="0" w:line="106"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377"/>
              <w:spacing w:after="0" w:line="106" w:lineRule="exact"/>
              <w:rPr>
                <w:sz w:val="20"/>
                <w:szCs w:val="20"/>
                <w:color w:val="auto"/>
              </w:rPr>
            </w:pPr>
            <w:r>
              <w:rPr>
                <w:rFonts w:ascii="Arial" w:cs="Arial" w:eastAsia="Arial" w:hAnsi="Arial"/>
                <w:sz w:val="10"/>
                <w:szCs w:val="10"/>
                <w:b w:val="1"/>
                <w:bCs w:val="1"/>
                <w:color w:val="auto"/>
                <w:w w:val="98"/>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Depreciation, amortization, and accretion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Loss on sales of assets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Deferred income taxes and amortization of investment tax credits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non-cash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Changes in assets and liabilities: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Accounts receivable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Receivables from and payables to affiliates,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Inventories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Collateral (paid) received,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Income taxes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Regulatory assets and liabilities,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Pension and non-pension postretirement benefit contributions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Other assets and liabilities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Net cash flows provided by operating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Capital expenditures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used in investing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Changes in short-term borrowings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Issuance of long-term debt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Dividends paid on common stock</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Contributions from parent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157</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Other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Net cash flows provided by financing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(Decrease) increase in cash, restricted cash, and cash equivalents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70"/>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Cash, restricted cash, and cash equivalents at beginning of period</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Cash, restricted cash, and cash equivalents at end of period</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Decrease in capital expenditures not paid</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Potomac Electric Power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60" w:type="dxa"/>
            <w:vAlign w:val="bottom"/>
          </w:tcPr>
          <w:p>
            <w:pPr>
              <w:spacing w:after="0"/>
              <w:rPr>
                <w:sz w:val="10"/>
                <w:szCs w:val="10"/>
                <w:color w:val="auto"/>
              </w:rPr>
            </w:pPr>
          </w:p>
        </w:tc>
        <w:tc>
          <w:tcPr>
            <w:tcW w:w="1660" w:type="dxa"/>
            <w:vAlign w:val="bottom"/>
            <w:gridSpan w:val="2"/>
          </w:tcPr>
          <w:p>
            <w:pPr>
              <w:ind w:left="200"/>
              <w:spacing w:after="0"/>
              <w:rPr>
                <w:sz w:val="20"/>
                <w:szCs w:val="20"/>
                <w:color w:val="auto"/>
              </w:rPr>
            </w:pPr>
            <w:r>
              <w:rPr>
                <w:rFonts w:ascii="Arial" w:cs="Arial" w:eastAsia="Arial" w:hAnsi="Arial"/>
                <w:sz w:val="10"/>
                <w:szCs w:val="10"/>
                <w:b w:val="1"/>
                <w:bCs w:val="1"/>
                <w:color w:val="auto"/>
              </w:rPr>
              <w:t>March 31, 2026</w:t>
            </w:r>
          </w:p>
        </w:tc>
        <w:tc>
          <w:tcPr>
            <w:tcW w:w="400" w:type="dxa"/>
            <w:vAlign w:val="bottom"/>
          </w:tcPr>
          <w:p>
            <w:pPr>
              <w:spacing w:after="0"/>
              <w:rPr>
                <w:sz w:val="10"/>
                <w:szCs w:val="10"/>
                <w:color w:val="auto"/>
              </w:rPr>
            </w:pPr>
          </w:p>
        </w:tc>
        <w:tc>
          <w:tcPr>
            <w:tcW w:w="160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2760"/>
              <w:spacing w:after="0" w:line="142" w:lineRule="exact"/>
              <w:rPr>
                <w:sz w:val="20"/>
                <w:szCs w:val="20"/>
                <w:color w:val="auto"/>
              </w:rPr>
            </w:pPr>
            <w:r>
              <w:rPr>
                <w:rFonts w:ascii="Arial" w:cs="Arial" w:eastAsia="Arial" w:hAnsi="Arial"/>
                <w:sz w:val="13"/>
                <w:szCs w:val="13"/>
                <w:b w:val="1"/>
                <w:bCs w:val="1"/>
                <w:color w:val="auto"/>
              </w:rPr>
              <w:t>ASSETS</w:t>
            </w:r>
          </w:p>
        </w:tc>
        <w:tc>
          <w:tcPr>
            <w:tcW w:w="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Restricted cash and cash equivalents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Accounts receivable</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Customer accounts receivable</w:t>
            </w:r>
          </w:p>
        </w:tc>
        <w:tc>
          <w:tcPr>
            <w:tcW w:w="460" w:type="dxa"/>
            <w:vAlign w:val="bottom"/>
          </w:tcPr>
          <w:p>
            <w:pPr>
              <w:ind w:left="20"/>
              <w:spacing w:after="0"/>
              <w:rPr>
                <w:sz w:val="20"/>
                <w:szCs w:val="20"/>
                <w:color w:val="auto"/>
              </w:rPr>
            </w:pPr>
            <w:r>
              <w:rPr>
                <w:rFonts w:ascii="Arial" w:cs="Arial" w:eastAsia="Arial" w:hAnsi="Arial"/>
                <w:sz w:val="13"/>
                <w:szCs w:val="13"/>
                <w:color w:val="auto"/>
              </w:rPr>
              <w:t>454</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484</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Customer allowance for credit losses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(76)</w:t>
            </w:r>
          </w:p>
        </w:tc>
        <w:tc>
          <w:tcPr>
            <w:tcW w:w="15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(69)</w:t>
            </w:r>
          </w:p>
        </w:tc>
        <w:tc>
          <w:tcPr>
            <w:tcW w:w="16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Customer accounts receivable, net</w:t>
            </w:r>
          </w:p>
        </w:tc>
        <w:tc>
          <w:tcPr>
            <w:tcW w:w="4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accounts receivable</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173</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154</w:t>
            </w: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Other allowance for credit losses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(26)</w:t>
            </w: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(26)</w:t>
            </w: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Other accounts receivable, net</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Receivables from affiliates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Inventories, net</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Regulatory assets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Prepaid renewable energy credits</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current assets</w:t>
            </w:r>
          </w:p>
        </w:tc>
        <w:tc>
          <w:tcPr>
            <w:tcW w:w="4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140" w:type="dxa"/>
            <w:vAlign w:val="bottom"/>
            <w:gridSpan w:val="2"/>
          </w:tcPr>
          <w:p>
            <w:pPr>
              <w:spacing w:after="0" w:line="107" w:lineRule="exact"/>
              <w:rPr>
                <w:sz w:val="20"/>
                <w:szCs w:val="20"/>
                <w:color w:val="auto"/>
              </w:rPr>
            </w:pPr>
            <w:r>
              <w:rPr>
                <w:rFonts w:ascii="Arial" w:cs="Arial" w:eastAsia="Arial" w:hAnsi="Arial"/>
                <w:sz w:val="12"/>
                <w:szCs w:val="12"/>
                <w:b w:val="1"/>
                <w:bCs w:val="1"/>
                <w:color w:val="auto"/>
              </w:rPr>
              <w:t>Property, plant, and equipment (net of accumulated depreciation and amortization of $4,861 and $4,784 as of</w:t>
            </w:r>
          </w:p>
        </w:tc>
        <w:tc>
          <w:tcPr>
            <w:tcW w:w="460" w:type="dxa"/>
            <w:vAlign w:val="bottom"/>
          </w:tcPr>
          <w:p>
            <w:pPr>
              <w:spacing w:after="0"/>
              <w:rPr>
                <w:sz w:val="9"/>
                <w:szCs w:val="9"/>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color w:val="auto"/>
              </w:rPr>
              <w:t>10,850</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vMerge w:val="restart"/>
          </w:tcPr>
          <w:p>
            <w:pPr>
              <w:jc w:val="right"/>
              <w:spacing w:after="0"/>
              <w:rPr>
                <w:sz w:val="20"/>
                <w:szCs w:val="20"/>
                <w:color w:val="auto"/>
              </w:rPr>
            </w:pPr>
            <w:r>
              <w:rPr>
                <w:rFonts w:ascii="Arial" w:cs="Arial" w:eastAsia="Arial" w:hAnsi="Arial"/>
                <w:sz w:val="13"/>
                <w:szCs w:val="13"/>
                <w:color w:val="auto"/>
              </w:rPr>
              <w:t>10,747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March 31, 2026 and December 31, 2025, respectively)</w:t>
            </w:r>
          </w:p>
        </w:tc>
        <w:tc>
          <w:tcPr>
            <w:tcW w:w="4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Regulatory assets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Investments</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Prepaid pension asset</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260"/>
              <w:spacing w:after="0" w:line="148" w:lineRule="exact"/>
              <w:rPr>
                <w:sz w:val="20"/>
                <w:szCs w:val="20"/>
                <w:color w:val="auto"/>
              </w:rPr>
            </w:pPr>
            <w:r>
              <w:rPr>
                <w:rFonts w:ascii="Arial" w:cs="Arial" w:eastAsia="Arial" w:hAnsi="Arial"/>
                <w:sz w:val="13"/>
                <w:szCs w:val="13"/>
                <w:color w:val="auto"/>
              </w:rPr>
              <w:t>Total deferred debits and other assets</w:t>
            </w:r>
          </w:p>
        </w:tc>
        <w:tc>
          <w:tcPr>
            <w:tcW w:w="4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12,632</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Potomac Electric Power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0"/>
                <w:szCs w:val="10"/>
                <w:color w:val="auto"/>
              </w:rPr>
            </w:pPr>
          </w:p>
        </w:tc>
        <w:tc>
          <w:tcPr>
            <w:tcW w:w="1740" w:type="dxa"/>
            <w:vAlign w:val="bottom"/>
            <w:gridSpan w:val="2"/>
          </w:tcPr>
          <w:p>
            <w:pPr>
              <w:ind w:left="280"/>
              <w:spacing w:after="0"/>
              <w:rPr>
                <w:sz w:val="20"/>
                <w:szCs w:val="20"/>
                <w:color w:val="auto"/>
              </w:rPr>
            </w:pPr>
            <w:r>
              <w:rPr>
                <w:rFonts w:ascii="Arial" w:cs="Arial" w:eastAsia="Arial" w:hAnsi="Arial"/>
                <w:sz w:val="10"/>
                <w:szCs w:val="10"/>
                <w:b w:val="1"/>
                <w:bCs w:val="1"/>
                <w:color w:val="auto"/>
              </w:rPr>
              <w:t>March 31, 2026</w:t>
            </w:r>
          </w:p>
        </w:tc>
        <w:tc>
          <w:tcPr>
            <w:tcW w:w="320" w:type="dxa"/>
            <w:vAlign w:val="bottom"/>
          </w:tcPr>
          <w:p>
            <w:pPr>
              <w:spacing w:after="0"/>
              <w:rPr>
                <w:sz w:val="10"/>
                <w:szCs w:val="10"/>
                <w:color w:val="auto"/>
              </w:rPr>
            </w:pPr>
          </w:p>
        </w:tc>
        <w:tc>
          <w:tcPr>
            <w:tcW w:w="168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580" w:type="dxa"/>
            <w:vAlign w:val="bottom"/>
            <w:shd w:val="clear" w:color="auto" w:fill="CCEEFF"/>
          </w:tcPr>
          <w:p>
            <w:pPr>
              <w:ind w:left="1660"/>
              <w:spacing w:after="0" w:line="142" w:lineRule="exact"/>
              <w:rPr>
                <w:sz w:val="20"/>
                <w:szCs w:val="20"/>
                <w:color w:val="auto"/>
              </w:rPr>
            </w:pPr>
            <w:r>
              <w:rPr>
                <w:rFonts w:ascii="Arial" w:cs="Arial" w:eastAsia="Arial" w:hAnsi="Arial"/>
                <w:sz w:val="13"/>
                <w:szCs w:val="13"/>
                <w:b w:val="1"/>
                <w:bCs w:val="1"/>
                <w:color w:val="auto"/>
              </w:rPr>
              <w:t>LIABILITIES AND SHAREHOLDER'S EQUITY</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Short-term borrowings</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Long-term debt due within one year</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Accrued expenses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173</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Payables to affiliates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Customer deposits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Renewable energy credit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174</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current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Long-term debt</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4,626</w:t>
            </w: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Deferred income taxes and unamortized investment tax credits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268</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Asset retirement obligations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deferred credits and other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2,131</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7,787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8,026</w:t>
            </w:r>
          </w:p>
        </w:tc>
      </w:tr>
      <w:tr>
        <w:trPr>
          <w:trHeight w:val="151"/>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Commitments and contingencies</w:t>
            </w: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Shareholder's equity</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Common stock</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3,528</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Retained earnings</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w:t>
            </w:r>
          </w:p>
        </w:tc>
      </w:tr>
      <w:tr>
        <w:trPr>
          <w:trHeight w:val="160"/>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shareholder's equity</w:t>
            </w:r>
          </w:p>
        </w:tc>
        <w:tc>
          <w:tcPr>
            <w:tcW w:w="3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4,845</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4,702</w:t>
            </w:r>
          </w:p>
        </w:tc>
      </w:tr>
      <w:tr>
        <w:trPr>
          <w:trHeight w:val="162"/>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12,632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12,728</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Potomac Electric Power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56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8"/>
              </w:rPr>
              <w:t>Three Months Ended March 31, 2026</w:t>
            </w: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r>
      <w:tr>
        <w:trPr>
          <w:trHeight w:val="103"/>
        </w:trPr>
        <w:tc>
          <w:tcPr>
            <w:tcW w:w="652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(In millions)</w:t>
            </w:r>
          </w:p>
        </w:tc>
        <w:tc>
          <w:tcPr>
            <w:tcW w:w="240" w:type="dxa"/>
            <w:vAlign w:val="bottom"/>
          </w:tcPr>
          <w:p>
            <w:pPr>
              <w:spacing w:after="0"/>
              <w:rPr>
                <w:sz w:val="8"/>
                <w:szCs w:val="8"/>
                <w:color w:val="auto"/>
              </w:rPr>
            </w:pPr>
          </w:p>
        </w:tc>
        <w:tc>
          <w:tcPr>
            <w:tcW w:w="1260" w:type="dxa"/>
            <w:vAlign w:val="bottom"/>
          </w:tcPr>
          <w:p>
            <w:pPr>
              <w:jc w:val="right"/>
              <w:ind w:right="319"/>
              <w:spacing w:after="0" w:line="104" w:lineRule="exact"/>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7"/>
              </w:rPr>
              <w:t>Retained Earnings</w:t>
            </w:r>
          </w:p>
        </w:tc>
        <w:tc>
          <w:tcPr>
            <w:tcW w:w="120" w:type="dxa"/>
            <w:vAlign w:val="bottom"/>
          </w:tcPr>
          <w:p>
            <w:pPr>
              <w:spacing w:after="0"/>
              <w:rPr>
                <w:sz w:val="8"/>
                <w:szCs w:val="8"/>
                <w:color w:val="auto"/>
              </w:rPr>
            </w:pPr>
          </w:p>
        </w:tc>
        <w:tc>
          <w:tcPr>
            <w:tcW w:w="1400" w:type="dxa"/>
            <w:vAlign w:val="bottom"/>
          </w:tcPr>
          <w:p>
            <w:pPr>
              <w:jc w:val="right"/>
              <w:ind w:right="79"/>
              <w:spacing w:after="0" w:line="104" w:lineRule="exact"/>
              <w:rPr>
                <w:sz w:val="20"/>
                <w:szCs w:val="20"/>
                <w:color w:val="auto"/>
              </w:rPr>
            </w:pPr>
            <w:r>
              <w:rPr>
                <w:rFonts w:ascii="Arial" w:cs="Arial" w:eastAsia="Arial" w:hAnsi="Arial"/>
                <w:sz w:val="10"/>
                <w:szCs w:val="10"/>
                <w:b w:val="1"/>
                <w:bCs w:val="1"/>
                <w:color w:val="auto"/>
                <w:w w:val="98"/>
              </w:rPr>
              <w:t>Total Shareholder's Equity</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5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2025</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4,702</w:t>
            </w:r>
          </w:p>
        </w:tc>
      </w:tr>
      <w:tr>
        <w:trPr>
          <w:trHeight w:val="169"/>
        </w:trPr>
        <w:tc>
          <w:tcPr>
            <w:tcW w:w="65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71"/>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dividends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169"/>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parent</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r>
      <w:tr>
        <w:trPr>
          <w:trHeight w:val="16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2026</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4,845</w:t>
            </w:r>
          </w:p>
        </w:tc>
      </w:tr>
      <w:tr>
        <w:trPr>
          <w:trHeight w:val="407"/>
        </w:trPr>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8"/>
              </w:rPr>
              <w:t>Three Months Ended March 31, 2025</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03"/>
        </w:trPr>
        <w:tc>
          <w:tcPr>
            <w:tcW w:w="652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(In millions)</w:t>
            </w:r>
          </w:p>
        </w:tc>
        <w:tc>
          <w:tcPr>
            <w:tcW w:w="240" w:type="dxa"/>
            <w:vAlign w:val="bottom"/>
          </w:tcPr>
          <w:p>
            <w:pPr>
              <w:spacing w:after="0"/>
              <w:rPr>
                <w:sz w:val="8"/>
                <w:szCs w:val="8"/>
                <w:color w:val="auto"/>
              </w:rPr>
            </w:pPr>
          </w:p>
        </w:tc>
        <w:tc>
          <w:tcPr>
            <w:tcW w:w="1260" w:type="dxa"/>
            <w:vAlign w:val="bottom"/>
          </w:tcPr>
          <w:p>
            <w:pPr>
              <w:jc w:val="right"/>
              <w:ind w:right="319"/>
              <w:spacing w:after="0" w:line="104" w:lineRule="exact"/>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7"/>
              </w:rPr>
              <w:t>Retained Earnings</w:t>
            </w:r>
          </w:p>
        </w:tc>
        <w:tc>
          <w:tcPr>
            <w:tcW w:w="120" w:type="dxa"/>
            <w:vAlign w:val="bottom"/>
          </w:tcPr>
          <w:p>
            <w:pPr>
              <w:spacing w:after="0"/>
              <w:rPr>
                <w:sz w:val="8"/>
                <w:szCs w:val="8"/>
                <w:color w:val="auto"/>
              </w:rPr>
            </w:pPr>
          </w:p>
        </w:tc>
        <w:tc>
          <w:tcPr>
            <w:tcW w:w="1400" w:type="dxa"/>
            <w:vAlign w:val="bottom"/>
          </w:tcPr>
          <w:p>
            <w:pPr>
              <w:jc w:val="right"/>
              <w:ind w:right="79"/>
              <w:spacing w:after="0" w:line="104" w:lineRule="exact"/>
              <w:rPr>
                <w:sz w:val="20"/>
                <w:szCs w:val="20"/>
                <w:color w:val="auto"/>
              </w:rPr>
            </w:pPr>
            <w:r>
              <w:rPr>
                <w:rFonts w:ascii="Arial" w:cs="Arial" w:eastAsia="Arial" w:hAnsi="Arial"/>
                <w:sz w:val="10"/>
                <w:szCs w:val="10"/>
                <w:b w:val="1"/>
                <w:bCs w:val="1"/>
                <w:color w:val="auto"/>
                <w:w w:val="98"/>
              </w:rPr>
              <w:t>Total Shareholder's Equity</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5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4,435</w:t>
            </w:r>
          </w:p>
        </w:tc>
      </w:tr>
      <w:tr>
        <w:trPr>
          <w:trHeight w:val="169"/>
        </w:trPr>
        <w:tc>
          <w:tcPr>
            <w:tcW w:w="65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71"/>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dividends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69"/>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parent</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r>
      <w:tr>
        <w:trPr>
          <w:trHeight w:val="16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2025</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4,623</w:t>
            </w: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Delmarva Power &amp; Light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8900" w:type="dxa"/>
            <w:vAlign w:val="bottom"/>
            <w:gridSpan w:val="2"/>
          </w:tcPr>
          <w:p>
            <w:pPr>
              <w:spacing w:after="0" w:line="76" w:lineRule="exact"/>
              <w:rPr>
                <w:sz w:val="20"/>
                <w:szCs w:val="20"/>
                <w:color w:val="auto"/>
              </w:rPr>
            </w:pPr>
            <w:r>
              <w:rPr>
                <w:rFonts w:ascii="Arial" w:cs="Arial" w:eastAsia="Arial" w:hAnsi="Arial"/>
                <w:sz w:val="7"/>
                <w:szCs w:val="7"/>
                <w:b w:val="1"/>
                <w:bCs w:val="1"/>
                <w:color w:val="auto"/>
              </w:rPr>
              <w:t>(In millions)</w:t>
            </w:r>
          </w:p>
        </w:tc>
        <w:tc>
          <w:tcPr>
            <w:tcW w:w="280" w:type="dxa"/>
            <w:vAlign w:val="bottom"/>
          </w:tcPr>
          <w:p>
            <w:pPr>
              <w:spacing w:after="0"/>
              <w:rPr>
                <w:sz w:val="8"/>
                <w:szCs w:val="8"/>
                <w:color w:val="auto"/>
              </w:rPr>
            </w:pPr>
          </w:p>
        </w:tc>
        <w:tc>
          <w:tcPr>
            <w:tcW w:w="860" w:type="dxa"/>
            <w:vAlign w:val="bottom"/>
          </w:tcPr>
          <w:p>
            <w:pPr>
              <w:jc w:val="right"/>
              <w:ind w:right="399"/>
              <w:spacing w:after="0" w:line="76" w:lineRule="exact"/>
              <w:rPr>
                <w:sz w:val="20"/>
                <w:szCs w:val="20"/>
                <w:color w:val="auto"/>
              </w:rPr>
            </w:pPr>
            <w:r>
              <w:rPr>
                <w:rFonts w:ascii="Arial" w:cs="Arial" w:eastAsia="Arial" w:hAnsi="Arial"/>
                <w:sz w:val="7"/>
                <w:szCs w:val="7"/>
                <w:b w:val="1"/>
                <w:bCs w:val="1"/>
                <w:color w:val="auto"/>
              </w:rPr>
              <w:t>2026</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jc w:val="right"/>
              <w:ind w:right="378"/>
              <w:spacing w:after="0" w:line="76" w:lineRule="exact"/>
              <w:rPr>
                <w:sz w:val="20"/>
                <w:szCs w:val="20"/>
                <w:color w:val="auto"/>
              </w:rPr>
            </w:pPr>
            <w:r>
              <w:rPr>
                <w:rFonts w:ascii="Arial" w:cs="Arial" w:eastAsia="Arial" w:hAnsi="Arial"/>
                <w:sz w:val="7"/>
                <w:szCs w:val="7"/>
                <w:b w:val="1"/>
                <w:bCs w:val="1"/>
                <w:color w:val="auto"/>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revenues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Electric operating revenues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463</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Natural gas operating revenues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Revenues from alternative revenue programs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 revenues from affiliates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operating revenues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Purchased power</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209</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Purchased fuel</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Operating and maintenance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 and maintenance from affiliates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Taxes other than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437</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Other income and (deductions)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 net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other income and (deductions)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Income before income taxes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Comprehensive income</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Delmarva Power &amp; Light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43"/>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890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10"/>
                <w:szCs w:val="10"/>
                <w:color w:val="auto"/>
              </w:rPr>
            </w:pPr>
          </w:p>
        </w:tc>
        <w:tc>
          <w:tcPr>
            <w:tcW w:w="860" w:type="dxa"/>
            <w:vAlign w:val="bottom"/>
          </w:tcPr>
          <w:p>
            <w:pPr>
              <w:jc w:val="right"/>
              <w:ind w:right="398"/>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jc w:val="right"/>
              <w:ind w:right="377"/>
              <w:spacing w:after="0"/>
              <w:rPr>
                <w:sz w:val="20"/>
                <w:szCs w:val="20"/>
                <w:color w:val="auto"/>
              </w:rPr>
            </w:pPr>
            <w:r>
              <w:rPr>
                <w:rFonts w:ascii="Arial" w:cs="Arial" w:eastAsia="Arial" w:hAnsi="Arial"/>
                <w:sz w:val="10"/>
                <w:szCs w:val="10"/>
                <w:b w:val="1"/>
                <w:bCs w:val="1"/>
                <w:color w:val="auto"/>
                <w:w w:val="98"/>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Deferred income taxes and amortization of investment tax credits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Other non-cash operating activities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Changes in assets and liabilities: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Accounts receivable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Receivables from and payables to affiliates, net</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Inventories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Collateral received,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90"/>
        </w:trPr>
        <w:tc>
          <w:tcPr>
            <w:tcW w:w="20" w:type="dxa"/>
            <w:vAlign w:val="bottom"/>
          </w:tcPr>
          <w:p>
            <w:pPr>
              <w:spacing w:after="0"/>
              <w:rPr>
                <w:sz w:val="16"/>
                <w:szCs w:val="16"/>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Regulatory assets and liabilities, net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Pension and non-pension postretirement benefit contributions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420"/>
              <w:spacing w:after="0"/>
              <w:rPr>
                <w:sz w:val="20"/>
                <w:szCs w:val="20"/>
                <w:color w:val="auto"/>
              </w:rPr>
            </w:pPr>
            <w:r>
              <w:rPr>
                <w:rFonts w:ascii="Arial" w:cs="Arial" w:eastAsia="Arial" w:hAnsi="Arial"/>
                <w:sz w:val="13"/>
                <w:szCs w:val="13"/>
                <w:color w:val="auto"/>
              </w:rPr>
              <w:t>Other assets and liabilities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operating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Capital expenditures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Changes in PHI intercompany money pool</w:t>
            </w:r>
          </w:p>
        </w:tc>
        <w:tc>
          <w:tcPr>
            <w:tcW w:w="2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Net cash flows used in investing activities</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Changes in short-term borrowings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Issuance of long-term debt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Dividends paid on common stock</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Contributions from parent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Other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line="148" w:lineRule="exact"/>
              <w:rPr>
                <w:sz w:val="20"/>
                <w:szCs w:val="20"/>
                <w:color w:val="auto"/>
              </w:rPr>
            </w:pPr>
            <w:r>
              <w:rPr>
                <w:rFonts w:ascii="Arial" w:cs="Arial" w:eastAsia="Arial" w:hAnsi="Arial"/>
                <w:sz w:val="13"/>
                <w:szCs w:val="13"/>
                <w:color w:val="auto"/>
              </w:rPr>
              <w:t>Net cash flows (used in) provided by financing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Increase in cash, restricted cash, and cash equivalents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70"/>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Cash, restricted cash, and cash equivalents at beginning of period</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Cash, restricted cash, and cash equivalents at end of period</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Decrease in capital expenditures not paid</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Delmarva Power &amp; Light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60" w:type="dxa"/>
            <w:vAlign w:val="bottom"/>
          </w:tcPr>
          <w:p>
            <w:pPr>
              <w:spacing w:after="0"/>
              <w:rPr>
                <w:sz w:val="10"/>
                <w:szCs w:val="10"/>
                <w:color w:val="auto"/>
              </w:rPr>
            </w:pPr>
          </w:p>
        </w:tc>
        <w:tc>
          <w:tcPr>
            <w:tcW w:w="1660" w:type="dxa"/>
            <w:vAlign w:val="bottom"/>
            <w:gridSpan w:val="2"/>
          </w:tcPr>
          <w:p>
            <w:pPr>
              <w:ind w:left="200"/>
              <w:spacing w:after="0"/>
              <w:rPr>
                <w:sz w:val="20"/>
                <w:szCs w:val="20"/>
                <w:color w:val="auto"/>
              </w:rPr>
            </w:pPr>
            <w:r>
              <w:rPr>
                <w:rFonts w:ascii="Arial" w:cs="Arial" w:eastAsia="Arial" w:hAnsi="Arial"/>
                <w:sz w:val="10"/>
                <w:szCs w:val="10"/>
                <w:b w:val="1"/>
                <w:bCs w:val="1"/>
                <w:color w:val="auto"/>
              </w:rPr>
              <w:t>March 31, 2026</w:t>
            </w:r>
          </w:p>
        </w:tc>
        <w:tc>
          <w:tcPr>
            <w:tcW w:w="400" w:type="dxa"/>
            <w:vAlign w:val="bottom"/>
          </w:tcPr>
          <w:p>
            <w:pPr>
              <w:spacing w:after="0"/>
              <w:rPr>
                <w:sz w:val="10"/>
                <w:szCs w:val="10"/>
                <w:color w:val="auto"/>
              </w:rPr>
            </w:pPr>
          </w:p>
        </w:tc>
        <w:tc>
          <w:tcPr>
            <w:tcW w:w="160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580" w:type="dxa"/>
            <w:vAlign w:val="bottom"/>
            <w:shd w:val="clear" w:color="auto" w:fill="CCEEFF"/>
          </w:tcPr>
          <w:p>
            <w:pPr>
              <w:ind w:left="2760"/>
              <w:spacing w:after="0"/>
              <w:rPr>
                <w:sz w:val="20"/>
                <w:szCs w:val="20"/>
                <w:color w:val="auto"/>
              </w:rPr>
            </w:pPr>
            <w:r>
              <w:rPr>
                <w:rFonts w:ascii="Arial" w:cs="Arial" w:eastAsia="Arial" w:hAnsi="Arial"/>
                <w:sz w:val="13"/>
                <w:szCs w:val="13"/>
                <w:b w:val="1"/>
                <w:bCs w:val="1"/>
                <w:color w:val="auto"/>
              </w:rPr>
              <w:t>ASSETS</w:t>
            </w:r>
          </w:p>
        </w:tc>
        <w:tc>
          <w:tcPr>
            <w:tcW w:w="4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Restricted cash and cash equivalents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Accounts receivable</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Customer accounts receivable</w:t>
            </w:r>
          </w:p>
        </w:tc>
        <w:tc>
          <w:tcPr>
            <w:tcW w:w="460" w:type="dxa"/>
            <w:vAlign w:val="bottom"/>
          </w:tcPr>
          <w:p>
            <w:pPr>
              <w:ind w:left="20"/>
              <w:spacing w:after="0"/>
              <w:rPr>
                <w:sz w:val="20"/>
                <w:szCs w:val="20"/>
                <w:color w:val="auto"/>
              </w:rPr>
            </w:pPr>
            <w:r>
              <w:rPr>
                <w:rFonts w:ascii="Arial" w:cs="Arial" w:eastAsia="Arial" w:hAnsi="Arial"/>
                <w:sz w:val="13"/>
                <w:szCs w:val="13"/>
                <w:color w:val="auto"/>
              </w:rPr>
              <w:t>228</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253</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Customer allowance for credit losses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(24)</w:t>
            </w:r>
          </w:p>
        </w:tc>
        <w:tc>
          <w:tcPr>
            <w:tcW w:w="15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(19)</w:t>
            </w:r>
          </w:p>
        </w:tc>
        <w:tc>
          <w:tcPr>
            <w:tcW w:w="16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ind w:left="420"/>
              <w:spacing w:after="0"/>
              <w:rPr>
                <w:sz w:val="20"/>
                <w:szCs w:val="20"/>
                <w:color w:val="auto"/>
              </w:rPr>
            </w:pPr>
            <w:r>
              <w:rPr>
                <w:rFonts w:ascii="Arial" w:cs="Arial" w:eastAsia="Arial" w:hAnsi="Arial"/>
                <w:sz w:val="13"/>
                <w:szCs w:val="13"/>
                <w:color w:val="auto"/>
              </w:rPr>
              <w:t>Customer accounts receivable, net</w:t>
            </w:r>
          </w:p>
        </w:tc>
        <w:tc>
          <w:tcPr>
            <w:tcW w:w="4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Other accounts receivable</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73</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75</w:t>
            </w: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Other allowance for credit losses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(11)</w:t>
            </w: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(10)</w:t>
            </w: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Other accounts receivable, net</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Receivables from affiliates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Inventories, net</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Fossil fuel</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Materials and supplies</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Prepaid utility taxes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Regulatory assets</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Prepaid renewable energy credits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Total current assets</w:t>
            </w:r>
          </w:p>
        </w:tc>
        <w:tc>
          <w:tcPr>
            <w:tcW w:w="4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71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Property, plant, and equipment (net of accumulated depreciation and amortization of $2,289 and $2,241 as of</w:t>
            </w:r>
          </w:p>
        </w:tc>
        <w:tc>
          <w:tcPr>
            <w:tcW w:w="460" w:type="dxa"/>
            <w:vAlign w:val="bottom"/>
            <w:shd w:val="clear" w:color="auto" w:fill="CCEEFF"/>
          </w:tcPr>
          <w:p>
            <w:pPr>
              <w:spacing w:after="0"/>
              <w:rPr>
                <w:sz w:val="9"/>
                <w:szCs w:val="9"/>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5,921</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5,855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2026 and December 31, 2025, respectively)</w:t>
            </w:r>
          </w:p>
        </w:tc>
        <w:tc>
          <w:tcPr>
            <w:tcW w:w="46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Regulatory assets</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deferred debits and other assets</w:t>
            </w:r>
          </w:p>
        </w:tc>
        <w:tc>
          <w:tcPr>
            <w:tcW w:w="46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6,798</w:t>
            </w:r>
          </w:p>
        </w:tc>
        <w:tc>
          <w:tcPr>
            <w:tcW w:w="10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Delmarva Power &amp; Light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0"/>
                <w:szCs w:val="10"/>
                <w:color w:val="auto"/>
              </w:rPr>
            </w:pPr>
          </w:p>
        </w:tc>
        <w:tc>
          <w:tcPr>
            <w:tcW w:w="1740" w:type="dxa"/>
            <w:vAlign w:val="bottom"/>
            <w:gridSpan w:val="2"/>
          </w:tcPr>
          <w:p>
            <w:pPr>
              <w:ind w:left="280"/>
              <w:spacing w:after="0"/>
              <w:rPr>
                <w:sz w:val="20"/>
                <w:szCs w:val="20"/>
                <w:color w:val="auto"/>
              </w:rPr>
            </w:pPr>
            <w:r>
              <w:rPr>
                <w:rFonts w:ascii="Arial" w:cs="Arial" w:eastAsia="Arial" w:hAnsi="Arial"/>
                <w:sz w:val="10"/>
                <w:szCs w:val="10"/>
                <w:b w:val="1"/>
                <w:bCs w:val="1"/>
                <w:color w:val="auto"/>
              </w:rPr>
              <w:t>March 31, 2026</w:t>
            </w:r>
          </w:p>
        </w:tc>
        <w:tc>
          <w:tcPr>
            <w:tcW w:w="320" w:type="dxa"/>
            <w:vAlign w:val="bottom"/>
          </w:tcPr>
          <w:p>
            <w:pPr>
              <w:spacing w:after="0"/>
              <w:rPr>
                <w:sz w:val="10"/>
                <w:szCs w:val="10"/>
                <w:color w:val="auto"/>
              </w:rPr>
            </w:pPr>
          </w:p>
        </w:tc>
        <w:tc>
          <w:tcPr>
            <w:tcW w:w="168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580" w:type="dxa"/>
            <w:vAlign w:val="bottom"/>
            <w:shd w:val="clear" w:color="auto" w:fill="CCEEFF"/>
          </w:tcPr>
          <w:p>
            <w:pPr>
              <w:ind w:left="1660"/>
              <w:spacing w:after="0"/>
              <w:rPr>
                <w:sz w:val="20"/>
                <w:szCs w:val="20"/>
                <w:color w:val="auto"/>
              </w:rPr>
            </w:pPr>
            <w:r>
              <w:rPr>
                <w:rFonts w:ascii="Arial" w:cs="Arial" w:eastAsia="Arial" w:hAnsi="Arial"/>
                <w:sz w:val="13"/>
                <w:szCs w:val="13"/>
                <w:b w:val="1"/>
                <w:bCs w:val="1"/>
                <w:color w:val="auto"/>
              </w:rPr>
              <w:t>LIABILITIES AND SHAREHOLDER'S EQUITY</w:t>
            </w: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Short-term borrowings</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Long-term debt due within one year</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Accrued expenses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Payables to affiliates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Customer deposits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Renewable energy credit obligations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auto"/>
              </w:rPr>
              <w:t>Total current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Long-term debt</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2,291</w:t>
            </w: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Deferred income taxes and unamortized investment tax credits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316</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Asset retirement obligations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deferred credits and other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1,451</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auto"/>
              </w:rPr>
              <w:t>Total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4,418</w:t>
            </w:r>
          </w:p>
        </w:tc>
      </w:tr>
      <w:tr>
        <w:trPr>
          <w:trHeight w:val="151"/>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Commitments and contingencies</w:t>
            </w: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Shareholder's equity</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Common stock</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Retained earnings</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w:t>
            </w:r>
          </w:p>
        </w:tc>
      </w:tr>
      <w:tr>
        <w:trPr>
          <w:trHeight w:val="160"/>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shareholder's equity</w:t>
            </w:r>
          </w:p>
        </w:tc>
        <w:tc>
          <w:tcPr>
            <w:tcW w:w="3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2,443</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2,371</w:t>
            </w:r>
          </w:p>
        </w:tc>
      </w:tr>
      <w:tr>
        <w:trPr>
          <w:trHeight w:val="162"/>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6,789</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Delmarva Power &amp; Light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5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8"/>
              </w:rPr>
              <w:t>Three Months Ended March 31, 2026</w:t>
            </w: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117"/>
        </w:trPr>
        <w:tc>
          <w:tcPr>
            <w:tcW w:w="652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Pr>
          <w:p>
            <w:pPr>
              <w:spacing w:after="0"/>
              <w:rPr>
                <w:sz w:val="10"/>
                <w:szCs w:val="10"/>
                <w:color w:val="auto"/>
              </w:rPr>
            </w:pPr>
          </w:p>
        </w:tc>
        <w:tc>
          <w:tcPr>
            <w:tcW w:w="1260" w:type="dxa"/>
            <w:vAlign w:val="bottom"/>
          </w:tcPr>
          <w:p>
            <w:pPr>
              <w:jc w:val="right"/>
              <w:ind w:right="319"/>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Retained Earnings</w:t>
            </w:r>
          </w:p>
        </w:tc>
        <w:tc>
          <w:tcPr>
            <w:tcW w:w="120" w:type="dxa"/>
            <w:vAlign w:val="bottom"/>
          </w:tcPr>
          <w:p>
            <w:pPr>
              <w:spacing w:after="0"/>
              <w:rPr>
                <w:sz w:val="10"/>
                <w:szCs w:val="10"/>
                <w:color w:val="auto"/>
              </w:rPr>
            </w:pPr>
          </w:p>
        </w:tc>
        <w:tc>
          <w:tcPr>
            <w:tcW w:w="1400" w:type="dxa"/>
            <w:vAlign w:val="bottom"/>
          </w:tcPr>
          <w:p>
            <w:pPr>
              <w:jc w:val="right"/>
              <w:ind w:right="79"/>
              <w:spacing w:after="0"/>
              <w:rPr>
                <w:sz w:val="20"/>
                <w:szCs w:val="20"/>
                <w:color w:val="auto"/>
              </w:rPr>
            </w:pPr>
            <w:r>
              <w:rPr>
                <w:rFonts w:ascii="Arial" w:cs="Arial" w:eastAsia="Arial" w:hAnsi="Arial"/>
                <w:sz w:val="10"/>
                <w:szCs w:val="10"/>
                <w:b w:val="1"/>
                <w:bCs w:val="1"/>
                <w:color w:val="auto"/>
                <w:w w:val="98"/>
              </w:rPr>
              <w:t>Total Shareholder's Equity</w:t>
            </w:r>
          </w:p>
        </w:tc>
      </w:tr>
      <w:tr>
        <w:trPr>
          <w:trHeight w:val="22"/>
        </w:trPr>
        <w:tc>
          <w:tcPr>
            <w:tcW w:w="5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0"/>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2025</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2,371</w:t>
            </w:r>
          </w:p>
        </w:tc>
      </w:tr>
      <w:tr>
        <w:trPr>
          <w:trHeight w:val="169"/>
        </w:trPr>
        <w:tc>
          <w:tcPr>
            <w:tcW w:w="65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71"/>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dividends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69"/>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parent</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r>
      <w:tr>
        <w:trPr>
          <w:trHeight w:val="16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2026</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w:t>
            </w:r>
          </w:p>
        </w:tc>
      </w:tr>
      <w:tr>
        <w:trPr>
          <w:trHeight w:val="426"/>
        </w:trPr>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8"/>
              </w:rPr>
              <w:t>Three Months Ended March 31, 2025</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17"/>
        </w:trPr>
        <w:tc>
          <w:tcPr>
            <w:tcW w:w="652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Pr>
          <w:p>
            <w:pPr>
              <w:spacing w:after="0"/>
              <w:rPr>
                <w:sz w:val="10"/>
                <w:szCs w:val="10"/>
                <w:color w:val="auto"/>
              </w:rPr>
            </w:pPr>
          </w:p>
        </w:tc>
        <w:tc>
          <w:tcPr>
            <w:tcW w:w="1260" w:type="dxa"/>
            <w:vAlign w:val="bottom"/>
          </w:tcPr>
          <w:p>
            <w:pPr>
              <w:jc w:val="right"/>
              <w:ind w:right="319"/>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Retained Earnings</w:t>
            </w:r>
          </w:p>
        </w:tc>
        <w:tc>
          <w:tcPr>
            <w:tcW w:w="120" w:type="dxa"/>
            <w:vAlign w:val="bottom"/>
          </w:tcPr>
          <w:p>
            <w:pPr>
              <w:spacing w:after="0"/>
              <w:rPr>
                <w:sz w:val="10"/>
                <w:szCs w:val="10"/>
                <w:color w:val="auto"/>
              </w:rPr>
            </w:pPr>
          </w:p>
        </w:tc>
        <w:tc>
          <w:tcPr>
            <w:tcW w:w="1400" w:type="dxa"/>
            <w:vAlign w:val="bottom"/>
          </w:tcPr>
          <w:p>
            <w:pPr>
              <w:jc w:val="right"/>
              <w:ind w:right="79"/>
              <w:spacing w:after="0"/>
              <w:rPr>
                <w:sz w:val="20"/>
                <w:szCs w:val="20"/>
                <w:color w:val="auto"/>
              </w:rPr>
            </w:pPr>
            <w:r>
              <w:rPr>
                <w:rFonts w:ascii="Arial" w:cs="Arial" w:eastAsia="Arial" w:hAnsi="Arial"/>
                <w:sz w:val="10"/>
                <w:szCs w:val="10"/>
                <w:b w:val="1"/>
                <w:bCs w:val="1"/>
                <w:color w:val="auto"/>
                <w:w w:val="98"/>
              </w:rPr>
              <w:t>Total Shareholder's Equity</w:t>
            </w:r>
          </w:p>
        </w:tc>
      </w:tr>
      <w:tr>
        <w:trPr>
          <w:trHeight w:val="22"/>
        </w:trPr>
        <w:tc>
          <w:tcPr>
            <w:tcW w:w="5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0"/>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2,242</w:t>
            </w:r>
          </w:p>
        </w:tc>
      </w:tr>
      <w:tr>
        <w:trPr>
          <w:trHeight w:val="169"/>
        </w:trPr>
        <w:tc>
          <w:tcPr>
            <w:tcW w:w="65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71"/>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dividends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69"/>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parent</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r>
      <w:tr>
        <w:trPr>
          <w:trHeight w:val="16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2025</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2,364</w:t>
            </w: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Atlantic City Electric Company and Subsidiary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8900" w:type="dxa"/>
            <w:vAlign w:val="bottom"/>
            <w:gridSpan w:val="2"/>
          </w:tcPr>
          <w:p>
            <w:pPr>
              <w:spacing w:after="0" w:line="76" w:lineRule="exact"/>
              <w:rPr>
                <w:sz w:val="20"/>
                <w:szCs w:val="20"/>
                <w:color w:val="auto"/>
              </w:rPr>
            </w:pPr>
            <w:r>
              <w:rPr>
                <w:rFonts w:ascii="Arial" w:cs="Arial" w:eastAsia="Arial" w:hAnsi="Arial"/>
                <w:sz w:val="7"/>
                <w:szCs w:val="7"/>
                <w:b w:val="1"/>
                <w:bCs w:val="1"/>
                <w:color w:val="auto"/>
              </w:rPr>
              <w:t>(In millions)</w:t>
            </w:r>
          </w:p>
        </w:tc>
        <w:tc>
          <w:tcPr>
            <w:tcW w:w="280" w:type="dxa"/>
            <w:vAlign w:val="bottom"/>
          </w:tcPr>
          <w:p>
            <w:pPr>
              <w:spacing w:after="0"/>
              <w:rPr>
                <w:sz w:val="8"/>
                <w:szCs w:val="8"/>
                <w:color w:val="auto"/>
              </w:rPr>
            </w:pPr>
          </w:p>
        </w:tc>
        <w:tc>
          <w:tcPr>
            <w:tcW w:w="860" w:type="dxa"/>
            <w:vAlign w:val="bottom"/>
          </w:tcPr>
          <w:p>
            <w:pPr>
              <w:jc w:val="right"/>
              <w:ind w:right="399"/>
              <w:spacing w:after="0" w:line="76" w:lineRule="exact"/>
              <w:rPr>
                <w:sz w:val="20"/>
                <w:szCs w:val="20"/>
                <w:color w:val="auto"/>
              </w:rPr>
            </w:pPr>
            <w:r>
              <w:rPr>
                <w:rFonts w:ascii="Arial" w:cs="Arial" w:eastAsia="Arial" w:hAnsi="Arial"/>
                <w:sz w:val="7"/>
                <w:szCs w:val="7"/>
                <w:b w:val="1"/>
                <w:bCs w:val="1"/>
                <w:color w:val="auto"/>
              </w:rPr>
              <w:t>2026</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jc w:val="right"/>
              <w:ind w:right="378"/>
              <w:spacing w:after="0" w:line="76" w:lineRule="exact"/>
              <w:rPr>
                <w:sz w:val="20"/>
                <w:szCs w:val="20"/>
                <w:color w:val="auto"/>
              </w:rPr>
            </w:pPr>
            <w:r>
              <w:rPr>
                <w:rFonts w:ascii="Arial" w:cs="Arial" w:eastAsia="Arial" w:hAnsi="Arial"/>
                <w:sz w:val="7"/>
                <w:szCs w:val="7"/>
                <w:b w:val="1"/>
                <w:bCs w:val="1"/>
                <w:color w:val="auto"/>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revenues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Electric operating revenues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Revenues from alternative revenue programs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Operating revenues from affiliates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operating revenues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Operating expenses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Purchased power</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Operating and maintenance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 and maintenance from affiliates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Taxes other than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ind w:left="340"/>
              <w:spacing w:after="0" w:line="148" w:lineRule="exact"/>
              <w:rPr>
                <w:sz w:val="20"/>
                <w:szCs w:val="20"/>
                <w:color w:val="auto"/>
              </w:rPr>
            </w:pPr>
            <w:r>
              <w:rPr>
                <w:rFonts w:ascii="Arial" w:cs="Arial" w:eastAsia="Arial" w:hAnsi="Arial"/>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Other income and (deductions)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 net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other income and (deductions)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Income before income taxes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taxes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59"/>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Comprehensive income</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Atlantic City Electric Company and Subsidiary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r>
      <w:tr>
        <w:trPr>
          <w:trHeight w:val="143"/>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890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10"/>
                <w:szCs w:val="10"/>
                <w:color w:val="auto"/>
              </w:rPr>
            </w:pPr>
          </w:p>
        </w:tc>
        <w:tc>
          <w:tcPr>
            <w:tcW w:w="860" w:type="dxa"/>
            <w:vAlign w:val="bottom"/>
          </w:tcPr>
          <w:p>
            <w:pPr>
              <w:jc w:val="right"/>
              <w:ind w:right="398"/>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jc w:val="right"/>
              <w:ind w:right="377"/>
              <w:spacing w:after="0"/>
              <w:rPr>
                <w:sz w:val="20"/>
                <w:szCs w:val="20"/>
                <w:color w:val="auto"/>
              </w:rPr>
            </w:pPr>
            <w:r>
              <w:rPr>
                <w:rFonts w:ascii="Arial" w:cs="Arial" w:eastAsia="Arial" w:hAnsi="Arial"/>
                <w:sz w:val="10"/>
                <w:szCs w:val="10"/>
                <w:b w:val="1"/>
                <w:bCs w:val="1"/>
                <w:color w:val="auto"/>
                <w:w w:val="98"/>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Deferred income taxes and amortization of investment tax credits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260"/>
              <w:spacing w:after="0"/>
              <w:rPr>
                <w:sz w:val="20"/>
                <w:szCs w:val="20"/>
                <w:color w:val="auto"/>
              </w:rPr>
            </w:pPr>
            <w:r>
              <w:rPr>
                <w:rFonts w:ascii="Arial" w:cs="Arial" w:eastAsia="Arial" w:hAnsi="Arial"/>
                <w:sz w:val="13"/>
                <w:szCs w:val="13"/>
                <w:color w:val="auto"/>
              </w:rPr>
              <w:t>Other non-cash operating activities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Changes in assets and liabilities: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Accounts receivable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Receivables from and payables to affiliates,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Inventories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Collateral (paid) received, net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90"/>
        </w:trPr>
        <w:tc>
          <w:tcPr>
            <w:tcW w:w="20" w:type="dxa"/>
            <w:vAlign w:val="bottom"/>
          </w:tcPr>
          <w:p>
            <w:pPr>
              <w:spacing w:after="0"/>
              <w:rPr>
                <w:sz w:val="16"/>
                <w:szCs w:val="16"/>
                <w:color w:val="auto"/>
              </w:rPr>
            </w:pPr>
          </w:p>
        </w:tc>
        <w:tc>
          <w:tcPr>
            <w:tcW w:w="8900" w:type="dxa"/>
            <w:vAlign w:val="bottom"/>
            <w:gridSpan w:val="2"/>
          </w:tcPr>
          <w:p>
            <w:pPr>
              <w:ind w:left="420"/>
              <w:spacing w:after="0"/>
              <w:rPr>
                <w:sz w:val="20"/>
                <w:szCs w:val="20"/>
                <w:color w:val="auto"/>
              </w:rPr>
            </w:pPr>
            <w:r>
              <w:rPr>
                <w:rFonts w:ascii="Arial" w:cs="Arial" w:eastAsia="Arial" w:hAnsi="Arial"/>
                <w:sz w:val="13"/>
                <w:szCs w:val="13"/>
                <w:color w:val="auto"/>
              </w:rPr>
              <w:t>Regulatory assets and liabilities, net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Pension and non-pension postretirement benefit contributions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ind w:left="420"/>
              <w:spacing w:after="0"/>
              <w:rPr>
                <w:sz w:val="20"/>
                <w:szCs w:val="20"/>
                <w:color w:val="auto"/>
              </w:rPr>
            </w:pPr>
            <w:r>
              <w:rPr>
                <w:rFonts w:ascii="Arial" w:cs="Arial" w:eastAsia="Arial" w:hAnsi="Arial"/>
                <w:sz w:val="13"/>
                <w:szCs w:val="13"/>
                <w:color w:val="auto"/>
              </w:rPr>
              <w:t>Other assets and liabilities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operating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50"/>
        </w:trPr>
        <w:tc>
          <w:tcPr>
            <w:tcW w:w="20" w:type="dxa"/>
            <w:vAlign w:val="bottom"/>
          </w:tcPr>
          <w:p>
            <w:pPr>
              <w:spacing w:after="0"/>
              <w:rPr>
                <w:sz w:val="13"/>
                <w:szCs w:val="13"/>
                <w:color w:val="auto"/>
              </w:rPr>
            </w:pPr>
          </w:p>
        </w:tc>
        <w:tc>
          <w:tcPr>
            <w:tcW w:w="89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Capital expenditures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line="148" w:lineRule="exact"/>
              <w:rPr>
                <w:sz w:val="20"/>
                <w:szCs w:val="20"/>
                <w:color w:val="auto"/>
              </w:rPr>
            </w:pPr>
            <w:r>
              <w:rPr>
                <w:rFonts w:ascii="Arial" w:cs="Arial" w:eastAsia="Arial" w:hAnsi="Arial"/>
                <w:sz w:val="13"/>
                <w:szCs w:val="13"/>
                <w:color w:val="auto"/>
              </w:rPr>
              <w:t>Net cash flows used in investing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r>
      <w:tr>
        <w:trPr>
          <w:trHeight w:val="151"/>
        </w:trPr>
        <w:tc>
          <w:tcPr>
            <w:tcW w:w="20" w:type="dxa"/>
            <w:vAlign w:val="bottom"/>
            <w:shd w:val="clear" w:color="auto" w:fill="CCEEFF"/>
          </w:tcPr>
          <w:p>
            <w:pPr>
              <w:spacing w:after="0"/>
              <w:rPr>
                <w:sz w:val="13"/>
                <w:szCs w:val="13"/>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Changes in short-term borrowings</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(186)</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Issuance of long-term debt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Changes in PHI intercompany money pool</w:t>
            </w:r>
          </w:p>
        </w:tc>
        <w:tc>
          <w:tcPr>
            <w:tcW w:w="2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Dividends paid on common stock</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20" w:type="dxa"/>
            <w:vAlign w:val="bottom"/>
          </w:tcPr>
          <w:p>
            <w:pPr>
              <w:spacing w:after="0"/>
              <w:rPr>
                <w:sz w:val="14"/>
                <w:szCs w:val="14"/>
                <w:color w:val="auto"/>
              </w:rPr>
            </w:pPr>
          </w:p>
        </w:tc>
        <w:tc>
          <w:tcPr>
            <w:tcW w:w="8900" w:type="dxa"/>
            <w:vAlign w:val="bottom"/>
            <w:gridSpan w:val="2"/>
          </w:tcPr>
          <w:p>
            <w:pPr>
              <w:ind w:left="80"/>
              <w:spacing w:after="0"/>
              <w:rPr>
                <w:sz w:val="20"/>
                <w:szCs w:val="20"/>
                <w:color w:val="auto"/>
              </w:rPr>
            </w:pPr>
            <w:r>
              <w:rPr>
                <w:rFonts w:ascii="Arial" w:cs="Arial" w:eastAsia="Arial" w:hAnsi="Arial"/>
                <w:sz w:val="13"/>
                <w:szCs w:val="13"/>
                <w:color w:val="auto"/>
              </w:rPr>
              <w:t>Contributions from parent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71"/>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Other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9"/>
        </w:trPr>
        <w:tc>
          <w:tcPr>
            <w:tcW w:w="20" w:type="dxa"/>
            <w:vAlign w:val="bottom"/>
            <w:tcBorders>
              <w:bottom w:val="single" w:sz="8" w:color="CCEEFF"/>
            </w:tcBorders>
          </w:tcPr>
          <w:p>
            <w:pPr>
              <w:spacing w:after="0"/>
              <w:rPr>
                <w:sz w:val="13"/>
                <w:szCs w:val="13"/>
                <w:color w:val="auto"/>
              </w:rPr>
            </w:pPr>
          </w:p>
        </w:tc>
        <w:tc>
          <w:tcPr>
            <w:tcW w:w="8900" w:type="dxa"/>
            <w:vAlign w:val="bottom"/>
            <w:tcBorders>
              <w:bottom w:val="single" w:sz="8" w:color="CCEEFF"/>
            </w:tcBorders>
            <w:gridSpan w:val="2"/>
          </w:tcPr>
          <w:p>
            <w:pPr>
              <w:spacing w:after="0" w:line="148" w:lineRule="exact"/>
              <w:rPr>
                <w:sz w:val="20"/>
                <w:szCs w:val="20"/>
                <w:color w:val="auto"/>
              </w:rPr>
            </w:pPr>
            <w:r>
              <w:rPr>
                <w:rFonts w:ascii="Arial" w:cs="Arial" w:eastAsia="Arial" w:hAnsi="Arial"/>
                <w:sz w:val="13"/>
                <w:szCs w:val="13"/>
                <w:color w:val="auto"/>
              </w:rPr>
              <w:t>Net cash flows provided by (used in) financing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2"/>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(Decrease) increase in cash and cash equivalents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2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Cash and cash equivalents at beginning of period</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70"/>
        </w:trPr>
        <w:tc>
          <w:tcPr>
            <w:tcW w:w="20" w:type="dxa"/>
            <w:vAlign w:val="bottom"/>
            <w:shd w:val="clear" w:color="auto" w:fill="CCEEFF"/>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Decrease in capital expenditures not paid</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Atlantic City Electric Company and Subsidiary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60" w:type="dxa"/>
            <w:vAlign w:val="bottom"/>
          </w:tcPr>
          <w:p>
            <w:pPr>
              <w:spacing w:after="0"/>
              <w:rPr>
                <w:sz w:val="10"/>
                <w:szCs w:val="10"/>
                <w:color w:val="auto"/>
              </w:rPr>
            </w:pPr>
          </w:p>
        </w:tc>
        <w:tc>
          <w:tcPr>
            <w:tcW w:w="1660" w:type="dxa"/>
            <w:vAlign w:val="bottom"/>
            <w:gridSpan w:val="2"/>
          </w:tcPr>
          <w:p>
            <w:pPr>
              <w:ind w:left="200"/>
              <w:spacing w:after="0"/>
              <w:rPr>
                <w:sz w:val="20"/>
                <w:szCs w:val="20"/>
                <w:color w:val="auto"/>
              </w:rPr>
            </w:pPr>
            <w:r>
              <w:rPr>
                <w:rFonts w:ascii="Arial" w:cs="Arial" w:eastAsia="Arial" w:hAnsi="Arial"/>
                <w:sz w:val="10"/>
                <w:szCs w:val="10"/>
                <w:b w:val="1"/>
                <w:bCs w:val="1"/>
                <w:color w:val="auto"/>
              </w:rPr>
              <w:t>March 31, 2026</w:t>
            </w:r>
          </w:p>
        </w:tc>
        <w:tc>
          <w:tcPr>
            <w:tcW w:w="400" w:type="dxa"/>
            <w:vAlign w:val="bottom"/>
          </w:tcPr>
          <w:p>
            <w:pPr>
              <w:spacing w:after="0"/>
              <w:rPr>
                <w:sz w:val="10"/>
                <w:szCs w:val="10"/>
                <w:color w:val="auto"/>
              </w:rPr>
            </w:pPr>
          </w:p>
        </w:tc>
        <w:tc>
          <w:tcPr>
            <w:tcW w:w="160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580" w:type="dxa"/>
            <w:vAlign w:val="bottom"/>
            <w:shd w:val="clear" w:color="auto" w:fill="CCEEFF"/>
          </w:tcPr>
          <w:p>
            <w:pPr>
              <w:ind w:left="2760"/>
              <w:spacing w:after="0"/>
              <w:rPr>
                <w:sz w:val="20"/>
                <w:szCs w:val="20"/>
                <w:color w:val="auto"/>
              </w:rPr>
            </w:pPr>
            <w:r>
              <w:rPr>
                <w:rFonts w:ascii="Arial" w:cs="Arial" w:eastAsia="Arial" w:hAnsi="Arial"/>
                <w:sz w:val="13"/>
                <w:szCs w:val="13"/>
                <w:b w:val="1"/>
                <w:bCs w:val="1"/>
                <w:color w:val="auto"/>
              </w:rPr>
              <w:t>ASSETS</w:t>
            </w:r>
          </w:p>
        </w:tc>
        <w:tc>
          <w:tcPr>
            <w:tcW w:w="4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Restricted cash and cash equivalents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Accounts receivable</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260"/>
              <w:spacing w:after="0"/>
              <w:rPr>
                <w:sz w:val="20"/>
                <w:szCs w:val="20"/>
                <w:color w:val="auto"/>
              </w:rPr>
            </w:pPr>
            <w:r>
              <w:rPr>
                <w:rFonts w:ascii="Arial" w:cs="Arial" w:eastAsia="Arial" w:hAnsi="Arial"/>
                <w:sz w:val="13"/>
                <w:szCs w:val="13"/>
                <w:color w:val="auto"/>
              </w:rPr>
              <w:t>Customer accounts receivable</w:t>
            </w:r>
          </w:p>
        </w:tc>
        <w:tc>
          <w:tcPr>
            <w:tcW w:w="460" w:type="dxa"/>
            <w:vAlign w:val="bottom"/>
          </w:tcPr>
          <w:p>
            <w:pPr>
              <w:ind w:left="20"/>
              <w:spacing w:after="0"/>
              <w:rPr>
                <w:sz w:val="20"/>
                <w:szCs w:val="20"/>
                <w:color w:val="auto"/>
              </w:rPr>
            </w:pPr>
            <w:r>
              <w:rPr>
                <w:rFonts w:ascii="Arial" w:cs="Arial" w:eastAsia="Arial" w:hAnsi="Arial"/>
                <w:sz w:val="13"/>
                <w:szCs w:val="13"/>
                <w:color w:val="auto"/>
              </w:rPr>
              <w:t>216</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239</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Customer allowance for credit losses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(31)</w:t>
            </w:r>
          </w:p>
        </w:tc>
        <w:tc>
          <w:tcPr>
            <w:tcW w:w="15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(27)</w:t>
            </w:r>
          </w:p>
        </w:tc>
        <w:tc>
          <w:tcPr>
            <w:tcW w:w="16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Customer accounts receivable, net</w:t>
            </w:r>
          </w:p>
        </w:tc>
        <w:tc>
          <w:tcPr>
            <w:tcW w:w="4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Other accounts receivable</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80</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64</w:t>
            </w: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Other allowance for credit losses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(12)</w:t>
            </w: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(13)</w:t>
            </w: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Other accounts receivable, net</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Receivables from affiliates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Inventories, net</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Regulatory assets</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Total current assets</w:t>
            </w:r>
          </w:p>
        </w:tc>
        <w:tc>
          <w:tcPr>
            <w:tcW w:w="4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71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Property, plant, and equipment (net of accumulated depreciation and amortization of $2,003 and $1,956 as of</w:t>
            </w:r>
          </w:p>
        </w:tc>
        <w:tc>
          <w:tcPr>
            <w:tcW w:w="460" w:type="dxa"/>
            <w:vAlign w:val="bottom"/>
            <w:shd w:val="clear" w:color="auto" w:fill="CCEEFF"/>
          </w:tcPr>
          <w:p>
            <w:pPr>
              <w:spacing w:after="0"/>
              <w:rPr>
                <w:sz w:val="9"/>
                <w:szCs w:val="9"/>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4,615</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4,556</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2026 and December 31, 2025, respectively)</w:t>
            </w:r>
          </w:p>
        </w:tc>
        <w:tc>
          <w:tcPr>
            <w:tcW w:w="46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Regulatory assets</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deferred debits and other assets</w:t>
            </w:r>
          </w:p>
        </w:tc>
        <w:tc>
          <w:tcPr>
            <w:tcW w:w="46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5,685</w:t>
            </w:r>
          </w:p>
        </w:tc>
        <w:tc>
          <w:tcPr>
            <w:tcW w:w="10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Atlantic City Electric Company and Subsidiary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1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0"/>
                <w:szCs w:val="10"/>
                <w:color w:val="auto"/>
              </w:rPr>
            </w:pPr>
          </w:p>
        </w:tc>
        <w:tc>
          <w:tcPr>
            <w:tcW w:w="1740" w:type="dxa"/>
            <w:vAlign w:val="bottom"/>
            <w:gridSpan w:val="2"/>
          </w:tcPr>
          <w:p>
            <w:pPr>
              <w:ind w:left="280"/>
              <w:spacing w:after="0"/>
              <w:rPr>
                <w:sz w:val="20"/>
                <w:szCs w:val="20"/>
                <w:color w:val="auto"/>
              </w:rPr>
            </w:pPr>
            <w:r>
              <w:rPr>
                <w:rFonts w:ascii="Arial" w:cs="Arial" w:eastAsia="Arial" w:hAnsi="Arial"/>
                <w:sz w:val="10"/>
                <w:szCs w:val="10"/>
                <w:b w:val="1"/>
                <w:bCs w:val="1"/>
                <w:color w:val="auto"/>
              </w:rPr>
              <w:t>March 31, 2026</w:t>
            </w:r>
          </w:p>
        </w:tc>
        <w:tc>
          <w:tcPr>
            <w:tcW w:w="320" w:type="dxa"/>
            <w:vAlign w:val="bottom"/>
          </w:tcPr>
          <w:p>
            <w:pPr>
              <w:spacing w:after="0"/>
              <w:rPr>
                <w:sz w:val="10"/>
                <w:szCs w:val="10"/>
                <w:color w:val="auto"/>
              </w:rPr>
            </w:pPr>
          </w:p>
        </w:tc>
        <w:tc>
          <w:tcPr>
            <w:tcW w:w="1680" w:type="dxa"/>
            <w:vAlign w:val="bottom"/>
          </w:tcPr>
          <w:p>
            <w:pPr>
              <w:jc w:val="right"/>
              <w:ind w:right="497"/>
              <w:spacing w:after="0"/>
              <w:rPr>
                <w:sz w:val="20"/>
                <w:szCs w:val="20"/>
                <w:color w:val="auto"/>
              </w:rPr>
            </w:pPr>
            <w:r>
              <w:rPr>
                <w:rFonts w:ascii="Arial" w:cs="Arial" w:eastAsia="Arial" w:hAnsi="Arial"/>
                <w:sz w:val="10"/>
                <w:szCs w:val="10"/>
                <w:b w:val="1"/>
                <w:bCs w:val="1"/>
                <w:color w:val="auto"/>
              </w:rPr>
              <w:t>December 31, 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580" w:type="dxa"/>
            <w:vAlign w:val="bottom"/>
            <w:shd w:val="clear" w:color="auto" w:fill="CCEEFF"/>
          </w:tcPr>
          <w:p>
            <w:pPr>
              <w:ind w:left="1660"/>
              <w:spacing w:after="0"/>
              <w:rPr>
                <w:sz w:val="20"/>
                <w:szCs w:val="20"/>
                <w:color w:val="auto"/>
              </w:rPr>
            </w:pPr>
            <w:r>
              <w:rPr>
                <w:rFonts w:ascii="Arial" w:cs="Arial" w:eastAsia="Arial" w:hAnsi="Arial"/>
                <w:sz w:val="13"/>
                <w:szCs w:val="13"/>
                <w:b w:val="1"/>
                <w:bCs w:val="1"/>
                <w:color w:val="auto"/>
              </w:rPr>
              <w:t>LIABILITIES AND SHAREHOLDER'S EQUITY</w:t>
            </w: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Short-term borrowings</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Long-term debt due within one year</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Accrued expenses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Payables to affiliates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20" w:type="dxa"/>
            <w:vAlign w:val="bottom"/>
          </w:tcPr>
          <w:p>
            <w:pPr>
              <w:spacing w:after="0"/>
              <w:rPr>
                <w:sz w:val="14"/>
                <w:szCs w:val="14"/>
                <w:color w:val="auto"/>
              </w:rPr>
            </w:pPr>
          </w:p>
        </w:tc>
        <w:tc>
          <w:tcPr>
            <w:tcW w:w="7140" w:type="dxa"/>
            <w:vAlign w:val="bottom"/>
            <w:gridSpan w:val="2"/>
          </w:tcPr>
          <w:p>
            <w:pPr>
              <w:ind w:left="100"/>
              <w:spacing w:after="0"/>
              <w:rPr>
                <w:sz w:val="20"/>
                <w:szCs w:val="20"/>
                <w:color w:val="auto"/>
              </w:rPr>
            </w:pPr>
            <w:r>
              <w:rPr>
                <w:rFonts w:ascii="Arial" w:cs="Arial" w:eastAsia="Arial" w:hAnsi="Arial"/>
                <w:sz w:val="13"/>
                <w:szCs w:val="13"/>
                <w:color w:val="auto"/>
              </w:rPr>
              <w:t>Customer deposits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current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w:t>
            </w:r>
          </w:p>
        </w:tc>
      </w:tr>
      <w:tr>
        <w:trPr>
          <w:trHeight w:val="160"/>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Long-term debt</w:t>
            </w:r>
          </w:p>
        </w:tc>
        <w:tc>
          <w:tcPr>
            <w:tcW w:w="3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2,128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2,028</w:t>
            </w: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140" w:type="dxa"/>
            <w:vAlign w:val="bottom"/>
            <w:gridSpan w:val="2"/>
          </w:tcPr>
          <w:p>
            <w:pPr>
              <w:ind w:left="80"/>
              <w:spacing w:after="0"/>
              <w:rPr>
                <w:sz w:val="20"/>
                <w:szCs w:val="20"/>
                <w:color w:val="auto"/>
              </w:rPr>
            </w:pPr>
            <w:r>
              <w:rPr>
                <w:rFonts w:ascii="Arial" w:cs="Arial" w:eastAsia="Arial" w:hAnsi="Arial"/>
                <w:sz w:val="13"/>
                <w:szCs w:val="13"/>
                <w:color w:val="auto"/>
              </w:rPr>
              <w:t>Deferred income taxes and unamortized investment tax credits</w:t>
            </w: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869</w:t>
            </w:r>
          </w:p>
        </w:tc>
      </w:tr>
      <w:tr>
        <w:trPr>
          <w:trHeight w:val="171"/>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Regulatory liabilities</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r>
      <w:tr>
        <w:trPr>
          <w:trHeight w:val="162"/>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 deferred credits and other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r>
      <w:tr>
        <w:trPr>
          <w:trHeight w:val="159"/>
        </w:trPr>
        <w:tc>
          <w:tcPr>
            <w:tcW w:w="20" w:type="dxa"/>
            <w:vAlign w:val="bottom"/>
            <w:tcBorders>
              <w:bottom w:val="single" w:sz="8" w:color="CCEEFF"/>
            </w:tcBorders>
          </w:tcPr>
          <w:p>
            <w:pPr>
              <w:spacing w:after="0"/>
              <w:rPr>
                <w:sz w:val="13"/>
                <w:szCs w:val="13"/>
                <w:color w:val="auto"/>
              </w:rPr>
            </w:pPr>
          </w:p>
        </w:tc>
        <w:tc>
          <w:tcPr>
            <w:tcW w:w="7140" w:type="dxa"/>
            <w:vAlign w:val="bottom"/>
            <w:tcBorders>
              <w:bottom w:val="single" w:sz="8" w:color="CCEEFF"/>
            </w:tcBorders>
            <w:gridSpan w:val="2"/>
          </w:tcPr>
          <w:p>
            <w:pPr>
              <w:ind w:left="320"/>
              <w:spacing w:after="0"/>
              <w:rPr>
                <w:sz w:val="20"/>
                <w:szCs w:val="20"/>
                <w:color w:val="auto"/>
              </w:rPr>
            </w:pPr>
            <w:r>
              <w:rPr>
                <w:rFonts w:ascii="Arial" w:cs="Arial" w:eastAsia="Arial" w:hAnsi="Arial"/>
                <w:sz w:val="13"/>
                <w:szCs w:val="13"/>
                <w:color w:val="auto"/>
              </w:rPr>
              <w:t>Total liabilities</w:t>
            </w: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3,604</w:t>
            </w:r>
          </w:p>
        </w:tc>
      </w:tr>
      <w:tr>
        <w:trPr>
          <w:trHeight w:val="151"/>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Commitments and contingencies</w:t>
            </w: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Shareholder's equity</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Common stock</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r>
      <w:tr>
        <w:trPr>
          <w:trHeight w:val="169"/>
        </w:trPr>
        <w:tc>
          <w:tcPr>
            <w:tcW w:w="2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Retained earnings</w:t>
            </w: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160"/>
        </w:trPr>
        <w:tc>
          <w:tcPr>
            <w:tcW w:w="20" w:type="dxa"/>
            <w:vAlign w:val="bottom"/>
            <w:shd w:val="clear" w:color="auto" w:fill="CCEEFF"/>
          </w:tcPr>
          <w:p>
            <w:pPr>
              <w:spacing w:after="0"/>
              <w:rPr>
                <w:sz w:val="13"/>
                <w:szCs w:val="13"/>
                <w:color w:val="auto"/>
              </w:rPr>
            </w:pPr>
          </w:p>
        </w:tc>
        <w:tc>
          <w:tcPr>
            <w:tcW w:w="71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Total shareholder's equity</w:t>
            </w:r>
          </w:p>
        </w:tc>
        <w:tc>
          <w:tcPr>
            <w:tcW w:w="3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2,028</w:t>
            </w:r>
          </w:p>
        </w:tc>
      </w:tr>
      <w:tr>
        <w:trPr>
          <w:trHeight w:val="162"/>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5,632</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Atlantic City Electric Company and Subsidiary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5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8"/>
              </w:rPr>
              <w:t>Three Months Ended March 31, 2026</w:t>
            </w: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117"/>
        </w:trPr>
        <w:tc>
          <w:tcPr>
            <w:tcW w:w="652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Pr>
          <w:p>
            <w:pPr>
              <w:spacing w:after="0"/>
              <w:rPr>
                <w:sz w:val="10"/>
                <w:szCs w:val="10"/>
                <w:color w:val="auto"/>
              </w:rPr>
            </w:pPr>
          </w:p>
        </w:tc>
        <w:tc>
          <w:tcPr>
            <w:tcW w:w="1260" w:type="dxa"/>
            <w:vAlign w:val="bottom"/>
          </w:tcPr>
          <w:p>
            <w:pPr>
              <w:jc w:val="right"/>
              <w:ind w:right="319"/>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Retained (Deficit) Earnings</w:t>
            </w:r>
          </w:p>
        </w:tc>
        <w:tc>
          <w:tcPr>
            <w:tcW w:w="120" w:type="dxa"/>
            <w:vAlign w:val="bottom"/>
          </w:tcPr>
          <w:p>
            <w:pPr>
              <w:spacing w:after="0"/>
              <w:rPr>
                <w:sz w:val="10"/>
                <w:szCs w:val="10"/>
                <w:color w:val="auto"/>
              </w:rPr>
            </w:pPr>
          </w:p>
        </w:tc>
        <w:tc>
          <w:tcPr>
            <w:tcW w:w="1400" w:type="dxa"/>
            <w:vAlign w:val="bottom"/>
          </w:tcPr>
          <w:p>
            <w:pPr>
              <w:jc w:val="right"/>
              <w:ind w:right="79"/>
              <w:spacing w:after="0"/>
              <w:rPr>
                <w:sz w:val="20"/>
                <w:szCs w:val="20"/>
                <w:color w:val="auto"/>
              </w:rPr>
            </w:pPr>
            <w:r>
              <w:rPr>
                <w:rFonts w:ascii="Arial" w:cs="Arial" w:eastAsia="Arial" w:hAnsi="Arial"/>
                <w:sz w:val="10"/>
                <w:szCs w:val="10"/>
                <w:b w:val="1"/>
                <w:bCs w:val="1"/>
                <w:color w:val="auto"/>
                <w:w w:val="98"/>
              </w:rPr>
              <w:t>Total Shareholder's Equity</w:t>
            </w:r>
          </w:p>
        </w:tc>
      </w:tr>
      <w:tr>
        <w:trPr>
          <w:trHeight w:val="22"/>
        </w:trPr>
        <w:tc>
          <w:tcPr>
            <w:tcW w:w="5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0"/>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2025</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w:t>
            </w:r>
          </w:p>
        </w:tc>
      </w:tr>
      <w:tr>
        <w:trPr>
          <w:trHeight w:val="169"/>
        </w:trPr>
        <w:tc>
          <w:tcPr>
            <w:tcW w:w="65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71"/>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dividends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parent</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r>
      <w:tr>
        <w:trPr>
          <w:trHeight w:val="16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2026</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w:t>
            </w:r>
          </w:p>
        </w:tc>
      </w:tr>
      <w:tr>
        <w:trPr>
          <w:trHeight w:val="426"/>
        </w:trPr>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8"/>
              </w:rPr>
              <w:t>Three Months Ended March 31, 2025</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17"/>
        </w:trPr>
        <w:tc>
          <w:tcPr>
            <w:tcW w:w="652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Pr>
          <w:p>
            <w:pPr>
              <w:spacing w:after="0"/>
              <w:rPr>
                <w:sz w:val="10"/>
                <w:szCs w:val="10"/>
                <w:color w:val="auto"/>
              </w:rPr>
            </w:pPr>
          </w:p>
        </w:tc>
        <w:tc>
          <w:tcPr>
            <w:tcW w:w="1260" w:type="dxa"/>
            <w:vAlign w:val="bottom"/>
          </w:tcPr>
          <w:p>
            <w:pPr>
              <w:jc w:val="right"/>
              <w:ind w:right="319"/>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Retained (Deficit) Earnings</w:t>
            </w:r>
          </w:p>
        </w:tc>
        <w:tc>
          <w:tcPr>
            <w:tcW w:w="120" w:type="dxa"/>
            <w:vAlign w:val="bottom"/>
          </w:tcPr>
          <w:p>
            <w:pPr>
              <w:spacing w:after="0"/>
              <w:rPr>
                <w:sz w:val="10"/>
                <w:szCs w:val="10"/>
                <w:color w:val="auto"/>
              </w:rPr>
            </w:pPr>
          </w:p>
        </w:tc>
        <w:tc>
          <w:tcPr>
            <w:tcW w:w="1400" w:type="dxa"/>
            <w:vAlign w:val="bottom"/>
          </w:tcPr>
          <w:p>
            <w:pPr>
              <w:jc w:val="right"/>
              <w:ind w:right="79"/>
              <w:spacing w:after="0"/>
              <w:rPr>
                <w:sz w:val="20"/>
                <w:szCs w:val="20"/>
                <w:color w:val="auto"/>
              </w:rPr>
            </w:pPr>
            <w:r>
              <w:rPr>
                <w:rFonts w:ascii="Arial" w:cs="Arial" w:eastAsia="Arial" w:hAnsi="Arial"/>
                <w:sz w:val="10"/>
                <w:szCs w:val="10"/>
                <w:b w:val="1"/>
                <w:bCs w:val="1"/>
                <w:color w:val="auto"/>
                <w:w w:val="98"/>
              </w:rPr>
              <w:t>Total Shareholder's Equity</w:t>
            </w:r>
          </w:p>
        </w:tc>
      </w:tr>
      <w:tr>
        <w:trPr>
          <w:trHeight w:val="22"/>
        </w:trPr>
        <w:tc>
          <w:tcPr>
            <w:tcW w:w="5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0"/>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1,925</w:t>
            </w:r>
          </w:p>
        </w:tc>
      </w:tr>
      <w:tr>
        <w:trPr>
          <w:trHeight w:val="169"/>
        </w:trPr>
        <w:tc>
          <w:tcPr>
            <w:tcW w:w="65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71"/>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dividends</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Contributions from parent</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r>
      <w:tr>
        <w:trPr>
          <w:trHeight w:val="162"/>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2025</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w:t>
            </w: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Combined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Note 1 —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Significant Accounting Policies (All Registrants)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Description of Business (All Registrants)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Exelon is a utility services holding company engaged in the energy transmission and distribution businesses through ComEd, PECO, BGE, Pepco, DPL, and ACE.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Name of Registrant</w:t>
            </w: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Business</w:t>
            </w:r>
          </w:p>
        </w:tc>
        <w:tc>
          <w:tcPr>
            <w:tcW w:w="450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Service Territories</w:t>
            </w:r>
          </w:p>
        </w:tc>
        <w:tc>
          <w:tcPr>
            <w:tcW w:w="0" w:type="dxa"/>
            <w:vAlign w:val="bottom"/>
          </w:tcPr>
          <w:p>
            <w:pPr>
              <w:spacing w:after="0"/>
              <w:rPr>
                <w:sz w:val="1"/>
                <w:szCs w:val="1"/>
                <w:color w:val="auto"/>
              </w:rPr>
            </w:pPr>
          </w:p>
        </w:tc>
      </w:tr>
      <w:tr>
        <w:trPr>
          <w:trHeight w:val="98"/>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rPr>
              <w:t>Commonwealth Edison Company</w:t>
            </w:r>
          </w:p>
        </w:tc>
        <w:tc>
          <w:tcPr>
            <w:tcW w:w="4840" w:type="dxa"/>
            <w:vAlign w:val="bottom"/>
            <w:shd w:val="clear" w:color="auto" w:fill="CCEEFF"/>
          </w:tcPr>
          <w:p>
            <w:pPr>
              <w:spacing w:after="0"/>
              <w:rPr>
                <w:sz w:val="8"/>
                <w:szCs w:val="8"/>
                <w:color w:val="auto"/>
              </w:rPr>
            </w:pPr>
          </w:p>
        </w:tc>
        <w:tc>
          <w:tcPr>
            <w:tcW w:w="4500" w:type="dxa"/>
            <w:vAlign w:val="bottom"/>
            <w:shd w:val="clear" w:color="auto" w:fill="CCEEFF"/>
          </w:tcPr>
          <w:p>
            <w:pPr>
              <w:ind w:left="360"/>
              <w:spacing w:after="0" w:line="98" w:lineRule="exact"/>
              <w:rPr>
                <w:sz w:val="20"/>
                <w:szCs w:val="20"/>
                <w:color w:val="auto"/>
              </w:rPr>
            </w:pPr>
            <w:r>
              <w:rPr>
                <w:rFonts w:ascii="Arial" w:cs="Arial" w:eastAsia="Arial" w:hAnsi="Arial"/>
                <w:sz w:val="10"/>
                <w:szCs w:val="10"/>
                <w:color w:val="auto"/>
              </w:rPr>
              <w:t>Northern Illinois, including the City of Chicago (and, through its subsidiary ComEd of Indiana,</w:t>
            </w:r>
          </w:p>
        </w:tc>
        <w:tc>
          <w:tcPr>
            <w:tcW w:w="0" w:type="dxa"/>
            <w:vAlign w:val="bottom"/>
          </w:tcPr>
          <w:p>
            <w:pPr>
              <w:spacing w:after="0"/>
              <w:rPr>
                <w:sz w:val="1"/>
                <w:szCs w:val="1"/>
                <w:color w:val="auto"/>
              </w:rPr>
            </w:pPr>
          </w:p>
        </w:tc>
      </w:tr>
      <w:tr>
        <w:trPr>
          <w:trHeight w:val="140"/>
        </w:trPr>
        <w:tc>
          <w:tcPr>
            <w:tcW w:w="1940" w:type="dxa"/>
            <w:vAlign w:val="bottom"/>
            <w:vMerge w:val="continue"/>
            <w:shd w:val="clear" w:color="auto" w:fill="CCEEFF"/>
          </w:tcPr>
          <w:p>
            <w:pPr>
              <w:spacing w:after="0"/>
              <w:rPr>
                <w:sz w:val="12"/>
                <w:szCs w:val="12"/>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Purchase and regulated retail sale of electricity</w:t>
            </w:r>
          </w:p>
        </w:tc>
        <w:tc>
          <w:tcPr>
            <w:tcW w:w="45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transmission in a small portion of northwestern Indiana)</w:t>
            </w:r>
          </w:p>
        </w:tc>
        <w:tc>
          <w:tcPr>
            <w:tcW w:w="0" w:type="dxa"/>
            <w:vAlign w:val="bottom"/>
          </w:tcPr>
          <w:p>
            <w:pPr>
              <w:spacing w:after="0"/>
              <w:rPr>
                <w:sz w:val="1"/>
                <w:szCs w:val="1"/>
                <w:color w:val="auto"/>
              </w:rPr>
            </w:pPr>
          </w:p>
        </w:tc>
      </w:tr>
      <w:tr>
        <w:trPr>
          <w:trHeight w:val="134"/>
        </w:trPr>
        <w:tc>
          <w:tcPr>
            <w:tcW w:w="194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0"/>
                <w:szCs w:val="10"/>
                <w:color w:val="auto"/>
              </w:rPr>
              <w:t>Transmission and distribution of electricity to retail customers</w:t>
            </w:r>
          </w:p>
        </w:tc>
        <w:tc>
          <w:tcPr>
            <w:tcW w:w="4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PECO Energy Company</w:t>
            </w:r>
          </w:p>
        </w:tc>
        <w:tc>
          <w:tcPr>
            <w:tcW w:w="48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Purchase and regulated retail sale of electricity and natural gas</w:t>
            </w:r>
          </w:p>
        </w:tc>
        <w:tc>
          <w:tcPr>
            <w:tcW w:w="45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Southeastern Pennsylvania, including the City of Philadelphia (electricity)</w:t>
            </w:r>
          </w:p>
        </w:tc>
        <w:tc>
          <w:tcPr>
            <w:tcW w:w="0" w:type="dxa"/>
            <w:vAlign w:val="bottom"/>
          </w:tcPr>
          <w:p>
            <w:pPr>
              <w:spacing w:after="0"/>
              <w:rPr>
                <w:sz w:val="1"/>
                <w:szCs w:val="1"/>
                <w:color w:val="auto"/>
              </w:rPr>
            </w:pPr>
          </w:p>
        </w:tc>
      </w:tr>
      <w:tr>
        <w:trPr>
          <w:trHeight w:val="134"/>
        </w:trPr>
        <w:tc>
          <w:tcPr>
            <w:tcW w:w="194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0"/>
                <w:szCs w:val="10"/>
                <w:color w:val="auto"/>
              </w:rPr>
              <w:t>Transmission and distribution of electricity and distribution of natural gas to retail customers</w:t>
            </w:r>
          </w:p>
        </w:tc>
        <w:tc>
          <w:tcPr>
            <w:tcW w:w="4500" w:type="dxa"/>
            <w:vAlign w:val="bottom"/>
            <w:tcBorders>
              <w:bottom w:val="single" w:sz="8" w:color="auto"/>
            </w:tcBorders>
          </w:tcPr>
          <w:p>
            <w:pPr>
              <w:ind w:left="360"/>
              <w:spacing w:after="0"/>
              <w:rPr>
                <w:sz w:val="20"/>
                <w:szCs w:val="20"/>
                <w:color w:val="auto"/>
              </w:rPr>
            </w:pPr>
            <w:r>
              <w:rPr>
                <w:rFonts w:ascii="Arial" w:cs="Arial" w:eastAsia="Arial" w:hAnsi="Arial"/>
                <w:sz w:val="10"/>
                <w:szCs w:val="10"/>
                <w:color w:val="auto"/>
              </w:rPr>
              <w:t>Pennsylvania counties surrounding the City of Philadelphia (natural gas)</w:t>
            </w: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Baltimore Gas and Electric Company</w:t>
            </w:r>
          </w:p>
        </w:tc>
        <w:tc>
          <w:tcPr>
            <w:tcW w:w="48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Purchase and regulated retail sale of electricity and natural gas</w:t>
            </w:r>
          </w:p>
        </w:tc>
        <w:tc>
          <w:tcPr>
            <w:tcW w:w="45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Central Maryland, including the City of Baltimore (electricity and natural gas)</w:t>
            </w:r>
          </w:p>
        </w:tc>
        <w:tc>
          <w:tcPr>
            <w:tcW w:w="0" w:type="dxa"/>
            <w:vAlign w:val="bottom"/>
          </w:tcPr>
          <w:p>
            <w:pPr>
              <w:spacing w:after="0"/>
              <w:rPr>
                <w:sz w:val="1"/>
                <w:szCs w:val="1"/>
                <w:color w:val="auto"/>
              </w:rPr>
            </w:pPr>
          </w:p>
        </w:tc>
      </w:tr>
      <w:tr>
        <w:trPr>
          <w:trHeight w:val="134"/>
        </w:trPr>
        <w:tc>
          <w:tcPr>
            <w:tcW w:w="194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0"/>
                <w:szCs w:val="10"/>
                <w:color w:val="auto"/>
              </w:rPr>
              <w:t>Transmission and distribution of electricity and distribution of natural gas to retail customers</w:t>
            </w:r>
          </w:p>
        </w:tc>
        <w:tc>
          <w:tcPr>
            <w:tcW w:w="4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Pepco Holdings LLC</w:t>
            </w:r>
          </w:p>
        </w:tc>
        <w:tc>
          <w:tcPr>
            <w:tcW w:w="48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Utility services holding company engaged, through its reportable segments Pepco, DPL, and ACE</w:t>
            </w:r>
          </w:p>
        </w:tc>
        <w:tc>
          <w:tcPr>
            <w:tcW w:w="45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Service Territories of Pepco, DPL, and ACE</w:t>
            </w:r>
          </w:p>
        </w:tc>
        <w:tc>
          <w:tcPr>
            <w:tcW w:w="0" w:type="dxa"/>
            <w:vAlign w:val="bottom"/>
          </w:tcPr>
          <w:p>
            <w:pPr>
              <w:spacing w:after="0"/>
              <w:rPr>
                <w:sz w:val="1"/>
                <w:szCs w:val="1"/>
                <w:color w:val="auto"/>
              </w:rPr>
            </w:pPr>
          </w:p>
        </w:tc>
      </w:tr>
      <w:tr>
        <w:trPr>
          <w:trHeight w:val="74"/>
        </w:trPr>
        <w:tc>
          <w:tcPr>
            <w:tcW w:w="194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4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940" w:type="dxa"/>
            <w:vAlign w:val="bottom"/>
            <w:shd w:val="clear" w:color="auto" w:fill="CCEEFF"/>
          </w:tcPr>
          <w:p>
            <w:pPr>
              <w:ind w:left="20"/>
              <w:spacing w:after="0" w:line="93" w:lineRule="exact"/>
              <w:rPr>
                <w:sz w:val="20"/>
                <w:szCs w:val="20"/>
                <w:color w:val="auto"/>
              </w:rPr>
            </w:pPr>
            <w:r>
              <w:rPr>
                <w:rFonts w:ascii="Arial" w:cs="Arial" w:eastAsia="Arial" w:hAnsi="Arial"/>
                <w:sz w:val="10"/>
                <w:szCs w:val="10"/>
                <w:b w:val="1"/>
                <w:bCs w:val="1"/>
                <w:color w:val="auto"/>
              </w:rPr>
              <w:t>Potomac Electric</w:t>
            </w:r>
          </w:p>
        </w:tc>
        <w:tc>
          <w:tcPr>
            <w:tcW w:w="4840" w:type="dxa"/>
            <w:vAlign w:val="bottom"/>
            <w:shd w:val="clear" w:color="auto" w:fill="CCEEFF"/>
          </w:tcPr>
          <w:p>
            <w:pPr>
              <w:spacing w:after="0"/>
              <w:rPr>
                <w:sz w:val="8"/>
                <w:szCs w:val="8"/>
                <w:color w:val="auto"/>
              </w:rPr>
            </w:pPr>
          </w:p>
        </w:tc>
        <w:tc>
          <w:tcPr>
            <w:tcW w:w="4500" w:type="dxa"/>
            <w:vAlign w:val="bottom"/>
            <w:shd w:val="clear" w:color="auto" w:fill="CCEEFF"/>
          </w:tcPr>
          <w:p>
            <w:pPr>
              <w:ind w:left="360"/>
              <w:spacing w:after="0" w:line="93" w:lineRule="exact"/>
              <w:rPr>
                <w:sz w:val="20"/>
                <w:szCs w:val="20"/>
                <w:color w:val="auto"/>
              </w:rPr>
            </w:pPr>
            <w:r>
              <w:rPr>
                <w:rFonts w:ascii="Arial" w:cs="Arial" w:eastAsia="Arial" w:hAnsi="Arial"/>
                <w:sz w:val="10"/>
                <w:szCs w:val="10"/>
                <w:color w:val="auto"/>
              </w:rPr>
              <w:t>District of Columbia, and major portions of Montgomery and Prince George’s Counties,</w:t>
            </w: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Power Company</w:t>
            </w:r>
          </w:p>
        </w:tc>
        <w:tc>
          <w:tcPr>
            <w:tcW w:w="48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Purchase and regulated retail sale of electricity</w:t>
            </w:r>
          </w:p>
        </w:tc>
        <w:tc>
          <w:tcPr>
            <w:tcW w:w="45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Maryland</w:t>
            </w:r>
          </w:p>
        </w:tc>
        <w:tc>
          <w:tcPr>
            <w:tcW w:w="0" w:type="dxa"/>
            <w:vAlign w:val="bottom"/>
          </w:tcPr>
          <w:p>
            <w:pPr>
              <w:spacing w:after="0"/>
              <w:rPr>
                <w:sz w:val="1"/>
                <w:szCs w:val="1"/>
                <w:color w:val="auto"/>
              </w:rPr>
            </w:pPr>
          </w:p>
        </w:tc>
      </w:tr>
      <w:tr>
        <w:trPr>
          <w:trHeight w:val="134"/>
        </w:trPr>
        <w:tc>
          <w:tcPr>
            <w:tcW w:w="194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0"/>
                <w:szCs w:val="10"/>
                <w:color w:val="auto"/>
              </w:rPr>
              <w:t>Transmission and distribution of electricity to retail customers</w:t>
            </w:r>
          </w:p>
        </w:tc>
        <w:tc>
          <w:tcPr>
            <w:tcW w:w="4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940" w:type="dxa"/>
            <w:vAlign w:val="bottom"/>
            <w:shd w:val="clear" w:color="auto" w:fill="CCEEFF"/>
          </w:tcPr>
          <w:p>
            <w:pPr>
              <w:ind w:left="20"/>
              <w:spacing w:after="0" w:line="97" w:lineRule="exact"/>
              <w:rPr>
                <w:sz w:val="20"/>
                <w:szCs w:val="20"/>
                <w:color w:val="auto"/>
              </w:rPr>
            </w:pPr>
            <w:r>
              <w:rPr>
                <w:rFonts w:ascii="Arial" w:cs="Arial" w:eastAsia="Arial" w:hAnsi="Arial"/>
                <w:sz w:val="10"/>
                <w:szCs w:val="10"/>
                <w:b w:val="1"/>
                <w:bCs w:val="1"/>
                <w:color w:val="auto"/>
              </w:rPr>
              <w:t>Delmarva Power &amp;</w:t>
            </w:r>
          </w:p>
        </w:tc>
        <w:tc>
          <w:tcPr>
            <w:tcW w:w="4840" w:type="dxa"/>
            <w:vAlign w:val="bottom"/>
            <w:shd w:val="clear" w:color="auto" w:fill="CCEEFF"/>
          </w:tcPr>
          <w:p>
            <w:pPr>
              <w:spacing w:after="0"/>
              <w:rPr>
                <w:sz w:val="8"/>
                <w:szCs w:val="8"/>
                <w:color w:val="auto"/>
              </w:rPr>
            </w:pPr>
          </w:p>
        </w:tc>
        <w:tc>
          <w:tcPr>
            <w:tcW w:w="4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Light Company</w:t>
            </w:r>
          </w:p>
        </w:tc>
        <w:tc>
          <w:tcPr>
            <w:tcW w:w="48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Purchase and regulated retail sale of electricity and natural gas</w:t>
            </w:r>
          </w:p>
        </w:tc>
        <w:tc>
          <w:tcPr>
            <w:tcW w:w="45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Portions of Delaware and Maryland (electricity)</w:t>
            </w:r>
          </w:p>
        </w:tc>
        <w:tc>
          <w:tcPr>
            <w:tcW w:w="0" w:type="dxa"/>
            <w:vAlign w:val="bottom"/>
          </w:tcPr>
          <w:p>
            <w:pPr>
              <w:spacing w:after="0"/>
              <w:rPr>
                <w:sz w:val="1"/>
                <w:szCs w:val="1"/>
                <w:color w:val="auto"/>
              </w:rPr>
            </w:pPr>
          </w:p>
        </w:tc>
      </w:tr>
      <w:tr>
        <w:trPr>
          <w:trHeight w:val="134"/>
        </w:trPr>
        <w:tc>
          <w:tcPr>
            <w:tcW w:w="194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0"/>
                <w:szCs w:val="10"/>
                <w:color w:val="auto"/>
              </w:rPr>
              <w:t>Transmission and distribution of electricity and distribution of natural gas to retail customers</w:t>
            </w:r>
          </w:p>
        </w:tc>
        <w:tc>
          <w:tcPr>
            <w:tcW w:w="4500" w:type="dxa"/>
            <w:vAlign w:val="bottom"/>
            <w:tcBorders>
              <w:bottom w:val="single" w:sz="8" w:color="auto"/>
            </w:tcBorders>
          </w:tcPr>
          <w:p>
            <w:pPr>
              <w:ind w:left="360"/>
              <w:spacing w:after="0"/>
              <w:rPr>
                <w:sz w:val="20"/>
                <w:szCs w:val="20"/>
                <w:color w:val="auto"/>
              </w:rPr>
            </w:pPr>
            <w:r>
              <w:rPr>
                <w:rFonts w:ascii="Arial" w:cs="Arial" w:eastAsia="Arial" w:hAnsi="Arial"/>
                <w:sz w:val="10"/>
                <w:szCs w:val="10"/>
                <w:color w:val="auto"/>
              </w:rPr>
              <w:t>Portions of New Castle County, Delaware (natural gas)</w:t>
            </w: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Atlantic City Electric Company</w:t>
            </w:r>
          </w:p>
        </w:tc>
        <w:tc>
          <w:tcPr>
            <w:tcW w:w="48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Purchase and regulated retail sale of electricity</w:t>
            </w:r>
          </w:p>
        </w:tc>
        <w:tc>
          <w:tcPr>
            <w:tcW w:w="45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Portions of Southern New Jersey</w:t>
            </w: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4840" w:type="dxa"/>
            <w:vAlign w:val="bottom"/>
          </w:tcPr>
          <w:p>
            <w:pPr>
              <w:ind w:left="200"/>
              <w:spacing w:after="0"/>
              <w:rPr>
                <w:sz w:val="20"/>
                <w:szCs w:val="20"/>
                <w:color w:val="auto"/>
              </w:rPr>
            </w:pPr>
            <w:r>
              <w:rPr>
                <w:rFonts w:ascii="Arial" w:cs="Arial" w:eastAsia="Arial" w:hAnsi="Arial"/>
                <w:sz w:val="10"/>
                <w:szCs w:val="10"/>
                <w:color w:val="auto"/>
              </w:rPr>
              <w:t>Transmission and distribution of electricity to retail customers</w:t>
            </w:r>
          </w:p>
        </w:tc>
        <w:tc>
          <w:tcPr>
            <w:tcW w:w="4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Prior Period Adjustments (ACE)</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the first quarter of 2026, management identified an error in the historical rate classification for a limited number of ACE customers that resulted in the overstatement of Regulatory assets and Revenues from alternative revenue programs. Management has concluded that the error was not material to previously issued or to the current period financial statements.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impact of the error correction recognized in the first quarter of 2026 was a $14 million decrease to ACE’s Revenues from alternative revenue programs, a $4 million decrease to Income taxes, and a corresponding decrease of $14 million in Regulatory assets. The overall impact on ACE’s Operating income was a decrease of $14 million, and the impact on ACE’s Net income was $10 million. The error did not impact any net cash flow subtotal for the three months ended March 31, 2026.</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 (All Registrants)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This is a combined quarterly report of all Registrants. The Notes to the Consolidated Financial Statements apply to the Registrants as indicated parenthetically next to each corresponding disclosure. When appropriate, the Registrants are named specifically for their related activities and disclosures. Each of the Registrants' Consolidated Financial Statements includes the accounts of its subsidiaries. All intercompany transactions have been eliminated.</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Through its business services subsidiary, BSC, Exelon provides its subsidiaries with a variety of support services at cost, including legal, human resources, financial, information technology, and supply management services. PHI also has a business services subsidiary, PHISCO, which provides a variety of support services at cost, including legal, finance, engineering, customer operations, transmission and distribution planning, asset management, system operations, and power procurement, to PHI operating Registrants. The costs of BSC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Combined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 — Significant Accounting Policies</w:t>
      </w: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PHISCO are directly charged or allocated to the applicable subsidiaries. The results of Exelon’s corporate operations are presented as “Other” within the consolidated financial statements and include intercompany eliminations unless otherwise disclosed.</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accompanying consolidated financial statements as of March 31, 2026 and for the three months ended March 31, 2026 and 2025 are unaudited but, in the opinion of each Registrant's management, the Registrants include all adjustments that are considered necessary for a fair statement of the Registrants’ respective financial statements in accordance with GAAP. All adjustments are of a normal, recurring nature, except as otherwise disclosed. The December 31, 2025 Consolidated Balance Sheets were derived from audited financial statements. The interim financial statements are to be read in conjunction with prior annual financial statements and notes. Additionally, financial results for interim periods are not necessarily indicative of results that may be expected for any other interim period or for the fiscal year ending December 31, 2026. These Combined Notes to Consolidated Financial Statements have been prepared pursuant to the rules and regulations of the SEC for Quarterly Reports on Form 10-Q. Certain information and note disclosures normally included in financial statements prepared in accordance with GAAP have been condensed or omitted pursuant to such rules and regulations.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New Accounting Standards (All Registrants)</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color w:val="auto"/>
        </w:rPr>
        <w:t xml:space="preserve">New Accounting Standards Issued and Not Yet Adopted as of March 31, 2026: </w:t>
      </w:r>
      <w:r>
        <w:rPr>
          <w:rFonts w:ascii="Arial" w:cs="Arial" w:eastAsia="Arial" w:hAnsi="Arial"/>
          <w:sz w:val="13"/>
          <w:szCs w:val="13"/>
          <w:color w:val="auto"/>
        </w:rPr>
        <w:t>The following new authoritative accounting guidance issued by the FASB has not yet been adopted and reflected by</w:t>
      </w:r>
      <w:r>
        <w:rPr>
          <w:rFonts w:ascii="Arial" w:cs="Arial" w:eastAsia="Arial" w:hAnsi="Arial"/>
          <w:sz w:val="13"/>
          <w:szCs w:val="13"/>
          <w:b w:val="1"/>
          <w:bCs w:val="1"/>
          <w:color w:val="auto"/>
        </w:rPr>
        <w:t xml:space="preserve"> </w:t>
      </w:r>
      <w:r>
        <w:rPr>
          <w:rFonts w:ascii="Arial" w:cs="Arial" w:eastAsia="Arial" w:hAnsi="Arial"/>
          <w:sz w:val="13"/>
          <w:szCs w:val="13"/>
          <w:color w:val="auto"/>
        </w:rPr>
        <w:t>the Registrants in their consolidated financial statements as of March 31, 2026. Unless otherwise indicated, the Registrants are currently assessing the impacts such guidance may have (which could be material) in their Consolidated Balance Sheets, Consolidated Statements of Operations and Comprehensive Income, Consolidated Statements of Cash Flows and disclosures, as well as the potential to early adopt where applicable. The Registrants have assessed other FASB issuances of new standards which are not listed below given the current expectation that such standards will not significantly impact the Registrants' financial reporting.</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auto"/>
        </w:rPr>
        <w:t>Disaggregation of Income Statement Expenses (Issued November 2024)</w:t>
      </w:r>
      <w:r>
        <w:rPr>
          <w:rFonts w:ascii="Arial" w:cs="Arial" w:eastAsia="Arial" w:hAnsi="Arial"/>
          <w:sz w:val="13"/>
          <w:szCs w:val="13"/>
          <w:color w:val="auto"/>
        </w:rPr>
        <w:t>. Provides additional disclosure requirements related to relevant expense captions of income statement expense line items. The</w:t>
      </w:r>
      <w:r>
        <w:rPr>
          <w:rFonts w:ascii="Arial" w:cs="Arial" w:eastAsia="Arial" w:hAnsi="Arial"/>
          <w:sz w:val="13"/>
          <w:szCs w:val="13"/>
          <w:i w:val="1"/>
          <w:iCs w:val="1"/>
          <w:color w:val="auto"/>
        </w:rPr>
        <w:t xml:space="preserve"> </w:t>
      </w:r>
      <w:r>
        <w:rPr>
          <w:rFonts w:ascii="Arial" w:cs="Arial" w:eastAsia="Arial" w:hAnsi="Arial"/>
          <w:sz w:val="13"/>
          <w:szCs w:val="13"/>
          <w:color w:val="auto"/>
        </w:rPr>
        <w:t>revised guidance requires a new tabular disclosure of disaggregated income statement expenses including a break out of (1) purchases of inventory, (2) employee compensation, (3) depreciation, (4) intangible asset amortization, (5) depreciation, depletion, and amortization recognized as part of oil and gas producing activities included in each relevant expense line item on the income statement. The tabular disaggregation should include certain amounts already required to be disclosed under GAAP elsewhere. Any remaining amounts not separately disaggregated quantitatively should include a qualitative description. Additionally, on an annual basis, the standard requires disclosure of management’s definition of selling expenses and the amount of expense. The standard is effective January 1, 2027, with early adoption permitted.</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Regulatory Matters (All Registrants)</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discussed in Note 2 — Regulatory Matters of the 2025 Form 10-K, the Registrants are involved in rate and regulatory proceedings at FERC and their state commissions. The following discusses developments in 2026 and updates to the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2 — Regulatory Matters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 Base Rate Case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show the completed and pending distribution base rate case proceedings in 2026.</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Completed Distribution Base Rate Case Proceedings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92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Registrant/Jurisdiction</w:t>
            </w:r>
          </w:p>
        </w:tc>
        <w:tc>
          <w:tcPr>
            <w:tcW w:w="12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Filing Date</w:t>
            </w:r>
          </w:p>
        </w:tc>
        <w:tc>
          <w:tcPr>
            <w:tcW w:w="100" w:type="dxa"/>
            <w:vAlign w:val="bottom"/>
          </w:tcPr>
          <w:p>
            <w:pPr>
              <w:spacing w:after="0"/>
              <w:rPr>
                <w:sz w:val="10"/>
                <w:szCs w:val="10"/>
                <w:color w:val="auto"/>
              </w:rPr>
            </w:pPr>
          </w:p>
        </w:tc>
        <w:tc>
          <w:tcPr>
            <w:tcW w:w="880" w:type="dxa"/>
            <w:vAlign w:val="bottom"/>
            <w:vMerge w:val="restart"/>
          </w:tcPr>
          <w:p>
            <w:pPr>
              <w:ind w:left="260"/>
              <w:spacing w:after="0"/>
              <w:rPr>
                <w:sz w:val="20"/>
                <w:szCs w:val="20"/>
                <w:color w:val="auto"/>
              </w:rPr>
            </w:pPr>
            <w:r>
              <w:rPr>
                <w:rFonts w:ascii="Arial" w:cs="Arial" w:eastAsia="Arial" w:hAnsi="Arial"/>
                <w:sz w:val="10"/>
                <w:szCs w:val="10"/>
                <w:b w:val="1"/>
                <w:bCs w:val="1"/>
                <w:color w:val="auto"/>
              </w:rPr>
              <w:t>Service</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Requested Revenue</w:t>
            </w:r>
          </w:p>
        </w:tc>
        <w:tc>
          <w:tcPr>
            <w:tcW w:w="120" w:type="dxa"/>
            <w:vAlign w:val="bottom"/>
          </w:tcPr>
          <w:p>
            <w:pPr>
              <w:spacing w:after="0"/>
              <w:rPr>
                <w:sz w:val="10"/>
                <w:szCs w:val="1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Approved Revenue</w:t>
            </w:r>
          </w:p>
        </w:tc>
        <w:tc>
          <w:tcPr>
            <w:tcW w:w="9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Approved ROE</w:t>
            </w:r>
          </w:p>
        </w:tc>
        <w:tc>
          <w:tcPr>
            <w:tcW w:w="120" w:type="dxa"/>
            <w:vAlign w:val="bottom"/>
            <w:vMerge w:val="restart"/>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Approval Date</w:t>
            </w:r>
          </w:p>
        </w:tc>
        <w:tc>
          <w:tcPr>
            <w:tcW w:w="100" w:type="dxa"/>
            <w:vAlign w:val="bottom"/>
            <w:vMerge w:val="restart"/>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Rate Effective Date</w:t>
            </w:r>
          </w:p>
        </w:tc>
        <w:tc>
          <w:tcPr>
            <w:tcW w:w="0" w:type="dxa"/>
            <w:vAlign w:val="bottom"/>
          </w:tcPr>
          <w:p>
            <w:pPr>
              <w:spacing w:after="0"/>
              <w:rPr>
                <w:sz w:val="1"/>
                <w:szCs w:val="1"/>
                <w:color w:val="auto"/>
              </w:rPr>
            </w:pPr>
          </w:p>
        </w:tc>
      </w:tr>
      <w:tr>
        <w:trPr>
          <w:trHeight w:val="139"/>
        </w:trPr>
        <w:tc>
          <w:tcPr>
            <w:tcW w:w="19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9"/>
              </w:rPr>
              <w:t>Requirement Increase</w:t>
            </w:r>
          </w:p>
        </w:tc>
        <w:tc>
          <w:tcPr>
            <w:tcW w:w="1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9"/>
              </w:rPr>
              <w:t>Requirement Increase</w:t>
            </w:r>
          </w:p>
        </w:tc>
        <w:tc>
          <w:tcPr>
            <w:tcW w:w="1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January 17, 2023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Electric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8.905%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December 19, 2024</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January 1, 2024</w:t>
            </w: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ComEd - Illinois</w:t>
            </w:r>
          </w:p>
        </w:tc>
        <w:tc>
          <w:tcPr>
            <w:tcW w:w="120" w:type="dxa"/>
            <w:vAlign w:val="bottom"/>
            <w:shd w:val="clear" w:color="auto" w:fill="CCEEFF"/>
          </w:tcPr>
          <w:p>
            <w:pPr>
              <w:spacing w:after="0"/>
              <w:rPr>
                <w:sz w:val="23"/>
                <w:szCs w:val="23"/>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April 26, 2024 (amended on</w:t>
            </w:r>
          </w:p>
        </w:tc>
        <w:tc>
          <w:tcPr>
            <w:tcW w:w="100" w:type="dxa"/>
            <w:vAlign w:val="bottom"/>
            <w:shd w:val="clear" w:color="auto" w:fill="CCEEFF"/>
          </w:tcPr>
          <w:p>
            <w:pPr>
              <w:spacing w:after="0"/>
              <w:rPr>
                <w:sz w:val="23"/>
                <w:szCs w:val="23"/>
                <w:color w:val="auto"/>
              </w:rPr>
            </w:pPr>
          </w:p>
        </w:tc>
        <w:tc>
          <w:tcPr>
            <w:tcW w:w="10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Electric</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spacing w:after="0"/>
              <w:rPr>
                <w:sz w:val="23"/>
                <w:szCs w:val="2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20" w:type="dxa"/>
            <w:vAlign w:val="bottom"/>
            <w:shd w:val="clear" w:color="auto" w:fill="CCEEFF"/>
          </w:tcPr>
          <w:p>
            <w:pPr>
              <w:spacing w:after="0"/>
              <w:rPr>
                <w:sz w:val="23"/>
                <w:szCs w:val="23"/>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9.89%</w:t>
            </w:r>
          </w:p>
        </w:tc>
        <w:tc>
          <w:tcPr>
            <w:tcW w:w="120" w:type="dxa"/>
            <w:vAlign w:val="bottom"/>
            <w:shd w:val="clear" w:color="auto" w:fill="CCEEFF"/>
          </w:tcPr>
          <w:p>
            <w:pPr>
              <w:spacing w:after="0"/>
              <w:rPr>
                <w:sz w:val="23"/>
                <w:szCs w:val="23"/>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7"/>
              </w:rPr>
              <w:t>October 31, 2024</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January 1, 2025</w:t>
            </w:r>
          </w:p>
        </w:tc>
        <w:tc>
          <w:tcPr>
            <w:tcW w:w="0" w:type="dxa"/>
            <w:vAlign w:val="bottom"/>
          </w:tcPr>
          <w:p>
            <w:pPr>
              <w:spacing w:after="0"/>
              <w:rPr>
                <w:sz w:val="1"/>
                <w:szCs w:val="1"/>
                <w:color w:val="auto"/>
              </w:rPr>
            </w:pPr>
          </w:p>
        </w:tc>
      </w:tr>
      <w:tr>
        <w:trPr>
          <w:trHeight w:val="45"/>
        </w:trPr>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8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gridSpan w:val="2"/>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108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108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40" w:type="dxa"/>
            <w:vAlign w:val="bottom"/>
            <w:gridSpan w:val="2"/>
            <w:vMerge w:val="continue"/>
            <w:shd w:val="clear" w:color="auto" w:fill="CCEEFF"/>
          </w:tcPr>
          <w:p>
            <w:pPr>
              <w:spacing w:after="0"/>
              <w:rPr>
                <w:sz w:val="3"/>
                <w:szCs w:val="3"/>
                <w:color w:val="auto"/>
              </w:rPr>
            </w:pPr>
          </w:p>
        </w:tc>
        <w:tc>
          <w:tcPr>
            <w:tcW w:w="126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1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September 11, 2024)</w:t>
            </w:r>
          </w:p>
        </w:tc>
        <w:tc>
          <w:tcPr>
            <w:tcW w:w="10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PECO - Pennsylvania</w:t>
            </w:r>
          </w:p>
        </w:tc>
        <w:tc>
          <w:tcPr>
            <w:tcW w:w="120" w:type="dxa"/>
            <w:vAlign w:val="bottom"/>
          </w:tcPr>
          <w:p>
            <w:pPr>
              <w:spacing w:after="0"/>
              <w:rPr>
                <w:sz w:val="20"/>
                <w:szCs w:val="20"/>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7"/>
              </w:rPr>
              <w:t>March 28, 2024</w:t>
            </w: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Electric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354</w:t>
            </w:r>
          </w:p>
        </w:tc>
        <w:tc>
          <w:tcPr>
            <w:tcW w:w="120" w:type="dxa"/>
            <w:vAlign w:val="bottom"/>
          </w:tcPr>
          <w:p>
            <w:pPr>
              <w:spacing w:after="0"/>
              <w:rPr>
                <w:sz w:val="20"/>
                <w:szCs w:val="20"/>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N/A</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8"/>
              </w:rPr>
              <w:t>December 12, 2024</w:t>
            </w:r>
          </w:p>
        </w:tc>
        <w:tc>
          <w:tcPr>
            <w:tcW w:w="1260" w:type="dxa"/>
            <w:vAlign w:val="bottom"/>
            <w:vMerge w:val="restart"/>
          </w:tcPr>
          <w:p>
            <w:pPr>
              <w:jc w:val="center"/>
              <w:spacing w:after="0"/>
              <w:rPr>
                <w:sz w:val="20"/>
                <w:szCs w:val="20"/>
                <w:color w:val="auto"/>
              </w:rPr>
            </w:pPr>
            <w:r>
              <w:rPr>
                <w:rFonts w:ascii="Arial" w:cs="Arial" w:eastAsia="Arial" w:hAnsi="Arial"/>
                <w:sz w:val="13"/>
                <w:szCs w:val="13"/>
                <w:color w:val="auto"/>
                <w:w w:val="96"/>
              </w:rPr>
              <w:t>January 1, 2025</w:t>
            </w:r>
          </w:p>
        </w:tc>
        <w:tc>
          <w:tcPr>
            <w:tcW w:w="0" w:type="dxa"/>
            <w:vAlign w:val="bottom"/>
          </w:tcPr>
          <w:p>
            <w:pPr>
              <w:spacing w:after="0"/>
              <w:rPr>
                <w:sz w:val="1"/>
                <w:szCs w:val="1"/>
                <w:color w:val="auto"/>
              </w:rPr>
            </w:pPr>
          </w:p>
        </w:tc>
      </w:tr>
      <w:tr>
        <w:trPr>
          <w:trHeight w:val="149"/>
        </w:trPr>
        <w:tc>
          <w:tcPr>
            <w:tcW w:w="1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Natural Gas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9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BGE - Maryland</w:t>
            </w:r>
          </w:p>
        </w:tc>
        <w:tc>
          <w:tcPr>
            <w:tcW w:w="120" w:type="dxa"/>
            <w:vAlign w:val="bottom"/>
            <w:shd w:val="clear" w:color="auto" w:fill="CCEEFF"/>
          </w:tcPr>
          <w:p>
            <w:pPr>
              <w:spacing w:after="0"/>
              <w:rPr>
                <w:sz w:val="20"/>
                <w:szCs w:val="20"/>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February 17, 2023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Electric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9.50%</w:t>
            </w:r>
          </w:p>
        </w:tc>
        <w:tc>
          <w:tcPr>
            <w:tcW w:w="120" w:type="dxa"/>
            <w:vAlign w:val="bottom"/>
            <w:shd w:val="clear" w:color="auto" w:fill="CCEEFF"/>
          </w:tcPr>
          <w:p>
            <w:pPr>
              <w:spacing w:after="0"/>
              <w:rPr>
                <w:sz w:val="20"/>
                <w:szCs w:val="20"/>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8"/>
              </w:rPr>
              <w:t>December 14, 2023</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January 1, 2024</w:t>
            </w:r>
          </w:p>
        </w:tc>
        <w:tc>
          <w:tcPr>
            <w:tcW w:w="0" w:type="dxa"/>
            <w:vAlign w:val="bottom"/>
          </w:tcPr>
          <w:p>
            <w:pPr>
              <w:spacing w:after="0"/>
              <w:rPr>
                <w:sz w:val="1"/>
                <w:szCs w:val="1"/>
                <w:color w:val="auto"/>
              </w:rPr>
            </w:pPr>
          </w:p>
        </w:tc>
      </w:tr>
      <w:tr>
        <w:trPr>
          <w:trHeight w:val="149"/>
        </w:trPr>
        <w:tc>
          <w:tcPr>
            <w:tcW w:w="1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Natural Gas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9.45%</w:t>
            </w:r>
          </w:p>
        </w:tc>
        <w:tc>
          <w:tcPr>
            <w:tcW w:w="12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Pepco - District of Columbia</w:t>
            </w:r>
          </w:p>
        </w:tc>
        <w:tc>
          <w:tcPr>
            <w:tcW w:w="120" w:type="dxa"/>
            <w:vAlign w:val="bottom"/>
          </w:tcPr>
          <w:p>
            <w:pPr>
              <w:spacing w:after="0"/>
              <w:rPr>
                <w:sz w:val="11"/>
                <w:szCs w:val="11"/>
                <w:color w:val="auto"/>
              </w:rPr>
            </w:pPr>
          </w:p>
        </w:tc>
        <w:tc>
          <w:tcPr>
            <w:tcW w:w="1680" w:type="dxa"/>
            <w:vAlign w:val="bottom"/>
          </w:tcPr>
          <w:p>
            <w:pPr>
              <w:jc w:val="center"/>
              <w:spacing w:after="0" w:line="128" w:lineRule="exact"/>
              <w:rPr>
                <w:sz w:val="20"/>
                <w:szCs w:val="20"/>
                <w:color w:val="auto"/>
              </w:rPr>
            </w:pPr>
            <w:r>
              <w:rPr>
                <w:rFonts w:ascii="Arial" w:cs="Arial" w:eastAsia="Arial" w:hAnsi="Arial"/>
                <w:sz w:val="13"/>
                <w:szCs w:val="13"/>
                <w:color w:val="auto"/>
                <w:w w:val="98"/>
              </w:rPr>
              <w:t>April 13, 2023 (amended</w:t>
            </w:r>
          </w:p>
        </w:tc>
        <w:tc>
          <w:tcPr>
            <w:tcW w:w="1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Electric</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7"/>
              </w:rPr>
              <w:t>9.50%</w:t>
            </w:r>
          </w:p>
        </w:tc>
        <w:tc>
          <w:tcPr>
            <w:tcW w:w="12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8"/>
              </w:rPr>
              <w:t>November 26, 2024</w:t>
            </w:r>
          </w:p>
        </w:tc>
        <w:tc>
          <w:tcPr>
            <w:tcW w:w="1260" w:type="dxa"/>
            <w:vAlign w:val="bottom"/>
            <w:vMerge w:val="restart"/>
          </w:tcPr>
          <w:p>
            <w:pPr>
              <w:jc w:val="center"/>
              <w:spacing w:after="0"/>
              <w:rPr>
                <w:sz w:val="20"/>
                <w:szCs w:val="20"/>
                <w:color w:val="auto"/>
              </w:rPr>
            </w:pPr>
            <w:r>
              <w:rPr>
                <w:rFonts w:ascii="Arial" w:cs="Arial" w:eastAsia="Arial" w:hAnsi="Arial"/>
                <w:sz w:val="13"/>
                <w:szCs w:val="13"/>
                <w:color w:val="auto"/>
                <w:w w:val="96"/>
              </w:rPr>
              <w:t>January 1, 2025</w:t>
            </w:r>
          </w:p>
        </w:tc>
        <w:tc>
          <w:tcPr>
            <w:tcW w:w="0" w:type="dxa"/>
            <w:vAlign w:val="bottom"/>
          </w:tcPr>
          <w:p>
            <w:pPr>
              <w:spacing w:after="0"/>
              <w:rPr>
                <w:sz w:val="1"/>
                <w:szCs w:val="1"/>
                <w:color w:val="auto"/>
              </w:rPr>
            </w:pPr>
          </w:p>
        </w:tc>
      </w:tr>
      <w:tr>
        <w:trPr>
          <w:trHeight w:val="104"/>
        </w:trPr>
        <w:tc>
          <w:tcPr>
            <w:tcW w:w="1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97"/>
              </w:rPr>
              <w:t>February 27, 2024)</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9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Pepco - Maryland</w:t>
            </w:r>
          </w:p>
        </w:tc>
        <w:tc>
          <w:tcPr>
            <w:tcW w:w="120" w:type="dxa"/>
            <w:vAlign w:val="bottom"/>
            <w:shd w:val="clear" w:color="auto" w:fill="CCEEFF"/>
          </w:tcPr>
          <w:p>
            <w:pPr>
              <w:spacing w:after="0"/>
              <w:rPr>
                <w:sz w:val="11"/>
                <w:szCs w:val="11"/>
                <w:color w:val="auto"/>
              </w:rPr>
            </w:pP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7"/>
              </w:rPr>
              <w:t>May 16, 2023 (amended</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Electric</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9.50%</w:t>
            </w:r>
          </w:p>
        </w:tc>
        <w:tc>
          <w:tcPr>
            <w:tcW w:w="12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9"/>
              </w:rPr>
              <w:t>June 10, 2024</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5"/>
              </w:rPr>
              <w:t>April 1, 2024</w:t>
            </w:r>
          </w:p>
        </w:tc>
        <w:tc>
          <w:tcPr>
            <w:tcW w:w="0" w:type="dxa"/>
            <w:vAlign w:val="bottom"/>
          </w:tcPr>
          <w:p>
            <w:pPr>
              <w:spacing w:after="0"/>
              <w:rPr>
                <w:sz w:val="1"/>
                <w:szCs w:val="1"/>
                <w:color w:val="auto"/>
              </w:rPr>
            </w:pPr>
          </w:p>
        </w:tc>
      </w:tr>
      <w:tr>
        <w:trPr>
          <w:trHeight w:val="104"/>
        </w:trPr>
        <w:tc>
          <w:tcPr>
            <w:tcW w:w="19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February 23, 2024)</w:t>
            </w:r>
          </w:p>
        </w:tc>
        <w:tc>
          <w:tcPr>
            <w:tcW w:w="10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920" w:type="dxa"/>
            <w:vAlign w:val="bottom"/>
          </w:tcPr>
          <w:p>
            <w:pPr>
              <w:ind w:left="20"/>
              <w:spacing w:after="0"/>
              <w:rPr>
                <w:sz w:val="20"/>
                <w:szCs w:val="20"/>
                <w:color w:val="auto"/>
              </w:rPr>
            </w:pPr>
            <w:r>
              <w:rPr>
                <w:rFonts w:ascii="Arial" w:cs="Arial" w:eastAsia="Arial" w:hAnsi="Arial"/>
                <w:sz w:val="13"/>
                <w:szCs w:val="13"/>
                <w:color w:val="auto"/>
              </w:rPr>
              <w:t>DPL - Maryland</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May 19, 2022</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Electric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9.60%</w:t>
            </w: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December 14, 2022</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January 1, 2023</w:t>
            </w:r>
          </w:p>
        </w:tc>
        <w:tc>
          <w:tcPr>
            <w:tcW w:w="0" w:type="dxa"/>
            <w:vAlign w:val="bottom"/>
          </w:tcPr>
          <w:p>
            <w:pPr>
              <w:spacing w:after="0"/>
              <w:rPr>
                <w:sz w:val="1"/>
                <w:szCs w:val="1"/>
                <w:color w:val="auto"/>
              </w:rPr>
            </w:pPr>
          </w:p>
        </w:tc>
      </w:tr>
      <w:tr>
        <w:trPr>
          <w:trHeight w:val="192"/>
        </w:trPr>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December 15, 2022</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Electric</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9.60%</w:t>
            </w:r>
          </w:p>
        </w:tc>
        <w:tc>
          <w:tcPr>
            <w:tcW w:w="120" w:type="dxa"/>
            <w:vAlign w:val="bottom"/>
            <w:shd w:val="clear" w:color="auto" w:fill="CCEEFF"/>
          </w:tcPr>
          <w:p>
            <w:pPr>
              <w:spacing w:after="0"/>
              <w:rPr>
                <w:sz w:val="16"/>
                <w:szCs w:val="16"/>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7"/>
              </w:rPr>
              <w:t>April 18, 2024</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July 15, 2023</w:t>
            </w:r>
          </w:p>
        </w:tc>
        <w:tc>
          <w:tcPr>
            <w:tcW w:w="0" w:type="dxa"/>
            <w:vAlign w:val="bottom"/>
          </w:tcPr>
          <w:p>
            <w:pPr>
              <w:spacing w:after="0"/>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8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7"/>
              </w:rPr>
              <w:t>(amended September 29,</w:t>
            </w:r>
          </w:p>
        </w:tc>
        <w:tc>
          <w:tcPr>
            <w:tcW w:w="10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DPL - Delaware</w:t>
            </w: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September 20, 2024</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Natural Gas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9.60%</w:t>
            </w:r>
          </w:p>
        </w:tc>
        <w:tc>
          <w:tcPr>
            <w:tcW w:w="12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8"/>
              </w:rPr>
              <w:t>December 17, 2025</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January 1, 2026</w:t>
            </w:r>
          </w:p>
        </w:tc>
        <w:tc>
          <w:tcPr>
            <w:tcW w:w="0" w:type="dxa"/>
            <w:vAlign w:val="bottom"/>
          </w:tcPr>
          <w:p>
            <w:pPr>
              <w:spacing w:after="0"/>
              <w:rPr>
                <w:sz w:val="1"/>
                <w:szCs w:val="1"/>
                <w:color w:val="auto"/>
              </w:rPr>
            </w:pPr>
          </w:p>
        </w:tc>
      </w:tr>
      <w:tr>
        <w:trPr>
          <w:trHeight w:val="109"/>
        </w:trPr>
        <w:tc>
          <w:tcPr>
            <w:tcW w:w="1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8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98"/>
              </w:rPr>
              <w:t>(amended September 5,</w:t>
            </w:r>
          </w:p>
        </w:tc>
        <w:tc>
          <w:tcPr>
            <w:tcW w:w="10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3"/>
                <w:szCs w:val="13"/>
                <w:color w:val="auto"/>
              </w:rPr>
              <w:t>ACE - New Jersey</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98"/>
              </w:rPr>
              <w:t>November 21, 2024</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Electric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9.60%</w:t>
            </w: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November 21, 2025</w:t>
            </w:r>
          </w:p>
        </w:tc>
        <w:tc>
          <w:tcPr>
            <w:tcW w:w="1260" w:type="dxa"/>
            <w:vAlign w:val="bottom"/>
          </w:tcPr>
          <w:p>
            <w:pPr>
              <w:jc w:val="center"/>
              <w:spacing w:after="0"/>
              <w:rPr>
                <w:sz w:val="20"/>
                <w:szCs w:val="20"/>
                <w:color w:val="auto"/>
              </w:rPr>
            </w:pPr>
            <w:r>
              <w:rPr>
                <w:rFonts w:ascii="Arial" w:cs="Arial" w:eastAsia="Arial" w:hAnsi="Arial"/>
                <w:sz w:val="13"/>
                <w:szCs w:val="13"/>
                <w:color w:val="auto"/>
                <w:w w:val="99"/>
              </w:rPr>
              <w:t>December 1, 2025</w:t>
            </w: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Pending Distribution Base Rate Case Proceedings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40" w:type="dxa"/>
            <w:vAlign w:val="bottom"/>
            <w:vMerge w:val="restart"/>
          </w:tcPr>
          <w:p>
            <w:pPr>
              <w:ind w:left="680"/>
              <w:spacing w:after="0"/>
              <w:rPr>
                <w:sz w:val="20"/>
                <w:szCs w:val="20"/>
                <w:color w:val="auto"/>
              </w:rPr>
            </w:pPr>
            <w:r>
              <w:rPr>
                <w:rFonts w:ascii="Arial" w:cs="Arial" w:eastAsia="Arial" w:hAnsi="Arial"/>
                <w:sz w:val="10"/>
                <w:szCs w:val="10"/>
                <w:b w:val="1"/>
                <w:bCs w:val="1"/>
                <w:color w:val="auto"/>
              </w:rPr>
              <w:t>Registrant/Jurisdiction</w:t>
            </w:r>
          </w:p>
        </w:tc>
        <w:tc>
          <w:tcPr>
            <w:tcW w:w="120" w:type="dxa"/>
            <w:vAlign w:val="bottom"/>
            <w:vMerge w:val="restart"/>
          </w:tcPr>
          <w:p>
            <w:pPr>
              <w:spacing w:after="0"/>
              <w:rPr>
                <w:sz w:val="10"/>
                <w:szCs w:val="10"/>
                <w:color w:val="auto"/>
              </w:rPr>
            </w:pPr>
          </w:p>
        </w:tc>
        <w:tc>
          <w:tcPr>
            <w:tcW w:w="21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Filing Date</w:t>
            </w:r>
          </w:p>
        </w:tc>
        <w:tc>
          <w:tcPr>
            <w:tcW w:w="100" w:type="dxa"/>
            <w:vAlign w:val="bottom"/>
            <w:vMerge w:val="restart"/>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Service</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ind w:left="80"/>
              <w:spacing w:after="0"/>
              <w:rPr>
                <w:sz w:val="20"/>
                <w:szCs w:val="20"/>
                <w:color w:val="auto"/>
              </w:rPr>
            </w:pPr>
            <w:r>
              <w:rPr>
                <w:rFonts w:ascii="Arial" w:cs="Arial" w:eastAsia="Arial" w:hAnsi="Arial"/>
                <w:sz w:val="10"/>
                <w:szCs w:val="10"/>
                <w:b w:val="1"/>
                <w:bCs w:val="1"/>
                <w:color w:val="auto"/>
              </w:rPr>
              <w:t>Requested Revenue</w:t>
            </w:r>
          </w:p>
        </w:tc>
        <w:tc>
          <w:tcPr>
            <w:tcW w:w="10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Requested ROE</w:t>
            </w:r>
          </w:p>
        </w:tc>
        <w:tc>
          <w:tcPr>
            <w:tcW w:w="100" w:type="dxa"/>
            <w:vAlign w:val="bottom"/>
            <w:vMerge w:val="restart"/>
          </w:tcPr>
          <w:p>
            <w:pPr>
              <w:spacing w:after="0"/>
              <w:rPr>
                <w:sz w:val="10"/>
                <w:szCs w:val="10"/>
                <w:color w:val="auto"/>
              </w:rPr>
            </w:pPr>
          </w:p>
        </w:tc>
        <w:tc>
          <w:tcPr>
            <w:tcW w:w="2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Expected Approval Timing</w:t>
            </w:r>
          </w:p>
        </w:tc>
        <w:tc>
          <w:tcPr>
            <w:tcW w:w="0" w:type="dxa"/>
            <w:vAlign w:val="bottom"/>
          </w:tcPr>
          <w:p>
            <w:pPr>
              <w:spacing w:after="0"/>
              <w:rPr>
                <w:sz w:val="1"/>
                <w:szCs w:val="1"/>
                <w:color w:val="auto"/>
              </w:rPr>
            </w:pPr>
          </w:p>
        </w:tc>
      </w:tr>
      <w:tr>
        <w:trPr>
          <w:trHeight w:val="139"/>
        </w:trPr>
        <w:tc>
          <w:tcPr>
            <w:tcW w:w="24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1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99"/>
              </w:rPr>
              <w:t>Requirement Increase</w:t>
            </w: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Pepco - Maryland</w:t>
            </w:r>
            <w:r>
              <w:rPr>
                <w:rFonts w:ascii="Arial" w:cs="Arial" w:eastAsia="Arial" w:hAnsi="Arial"/>
                <w:sz w:val="16"/>
                <w:szCs w:val="16"/>
                <w:color w:val="auto"/>
                <w:vertAlign w:val="superscript"/>
              </w:rPr>
              <w:t>(a)</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October 14, 2025 (amended April</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Electric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10.50%</w:t>
            </w:r>
          </w:p>
        </w:tc>
        <w:tc>
          <w:tcPr>
            <w:tcW w:w="100" w:type="dxa"/>
            <w:vAlign w:val="bottom"/>
            <w:shd w:val="clear" w:color="auto" w:fill="CCEEFF"/>
          </w:tcPr>
          <w:p>
            <w:pPr>
              <w:spacing w:after="0"/>
              <w:rPr>
                <w:sz w:val="16"/>
                <w:szCs w:val="16"/>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Third quarter of 2026</w:t>
            </w:r>
          </w:p>
        </w:tc>
        <w:tc>
          <w:tcPr>
            <w:tcW w:w="0" w:type="dxa"/>
            <w:vAlign w:val="bottom"/>
          </w:tcPr>
          <w:p>
            <w:pPr>
              <w:spacing w:after="0"/>
              <w:rPr>
                <w:sz w:val="1"/>
                <w:szCs w:val="1"/>
                <w:color w:val="auto"/>
              </w:rPr>
            </w:pPr>
          </w:p>
        </w:tc>
      </w:tr>
      <w:tr>
        <w:trPr>
          <w:trHeight w:val="106"/>
        </w:trPr>
        <w:tc>
          <w:tcPr>
            <w:tcW w:w="2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100" w:type="dxa"/>
            <w:vAlign w:val="bottom"/>
            <w:shd w:val="clear" w:color="auto" w:fill="CCEEFF"/>
          </w:tcPr>
          <w:p>
            <w:pPr>
              <w:jc w:val="center"/>
              <w:spacing w:after="0" w:line="106" w:lineRule="exact"/>
              <w:rPr>
                <w:sz w:val="20"/>
                <w:szCs w:val="20"/>
                <w:color w:val="auto"/>
              </w:rPr>
            </w:pPr>
            <w:r>
              <w:rPr>
                <w:rFonts w:ascii="Arial" w:cs="Arial" w:eastAsia="Arial" w:hAnsi="Arial"/>
                <w:sz w:val="12"/>
                <w:szCs w:val="12"/>
                <w:color w:val="auto"/>
              </w:rPr>
              <w:t>16, 2026)</w:t>
            </w: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DPL - Delaware</w:t>
            </w:r>
            <w:r>
              <w:rPr>
                <w:rFonts w:ascii="Arial" w:cs="Arial" w:eastAsia="Arial" w:hAnsi="Arial"/>
                <w:sz w:val="16"/>
                <w:szCs w:val="16"/>
                <w:color w:val="auto"/>
                <w:vertAlign w:val="superscript"/>
              </w:rPr>
              <w:t>(b)</w:t>
            </w:r>
          </w:p>
        </w:tc>
        <w:tc>
          <w:tcPr>
            <w:tcW w:w="220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December 9, 2025</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Electric</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3"/>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9"/>
              </w:rPr>
              <w:t>10.50%</w:t>
            </w:r>
          </w:p>
        </w:tc>
        <w:tc>
          <w:tcPr>
            <w:tcW w:w="10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w w:val="98"/>
              </w:rPr>
              <w:t>Third quarter of 2027</w:t>
            </w: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On April 14, 2026, Pepco notified the MDPSC of pursuing a traditional base rate case.</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DPL can implement interim rates on July 9, 2026, subject to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2 — Regulatory Matters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ComEd Distribution Base Rate Case Proceedings</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ICC approved ComEd's four-year MRP for the period January 1, 2024 through December 31, 2027. The MRP was originally approved by the ICC on December 14, 2023 and was subsequently amended on January 10, 2024, April 18, 2024 and December 19, 2024. The December 19, 2024 order provided a total revenue requirement increase of $1.045 billion inclusive of rate increases of approximately $752 million in 2024, $80 million in 2025, $102 million in 2026, and $111 million in 2027.</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May 1, 2026, ComEd filed its 2025 MRP Reconciliation reflecting a revenue increase of $234 million, which includes the tax benefit of NOLCs. While NOLCs were included in the MRP Reconciliation, the impacts of the NOLCs will not be reflected in the financial statements until the PLR is received from the IRS. See Note 6 — Income Taxes for additional information on NOLCs.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On March 20, 2026, ComEd filed its annual revenue balancing reconciliation for 2025. This reconciliation, which is a component of revenue decoupling, reflected a revenue reduction of $128 million.</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The reconciliation is effective January 1, 2027, subject to regulatory approval.</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December 18, 2025, the ICC approved ComEd's 2024 MRP Reconciliation reflecting a revenue increase of $243 million, including the tax benefit of NOLCs. While NOLCs are included in the MRP Reconciliation per the final order, the impacts of the NOLCs will not be reflected in the financial statements until the PLR is received from the IRS. See Note 6 — Income Taxes for additional information on NOLCs. On January 20, 2026, the Illinois Attorney General filed an Application for Rehearing of the December 18 order, which focuses solely on NOLCs. On February 5, 2026, the ICC denied the Illinois Attorney General's Application for Rehearing.</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PECO Distribution Base Rate Case Proceedings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December 12, 2024, the PAPUC issued their Opinions and Orders which approved the non- unanimous partial settlements with limited modifications for both the electric and natural gas base rate cases, and denied the Weather Normalization Adjustment requested in the natural gas base rate case.</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PECO’s approved annual electric revenue requirement increase of $354 million is partially offset by a one-time credit of $64 million in 2025. In addition, the PAPUC approved the recovery of storm damage costs incurred by PECO in January 2024, up to $23 million, subject to review for reasonableness and prudency in PECO’s next distribution rate case.</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BGE Distribution Base Rate Case Proceedings</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In February 2023, BGE filed its three-year cumulative multi-year plan for January 1, 2024 through December 31, 2026 to the MDPSC, which was approved in December 2023 and went into effect on January 1, 2024. The MDSPC awarded BGE electric revenue requirement increases of $41 million, $113 million, and $25 million with an approved ROE of 9.50% in 2024, 2025, and 2026, respectively, and natural gas revenue requirement increases of $126 million, $62 million, and $41 million with an approved ROE of 9.45% in 2024, 2025, and 2026, respectively. The requested revenue requirement increases will be used to recover capital investments designed to increase the resilience of the electric and gas distribution systems and support Maryland's climate and regulatory initiatives.</w:t>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MDPSC also approved a portion of the requested 2021 and 2022 reconciliation amounts, which were recovered through separate electric and gas riders between March 2024 and February 2025. As such, the reconciliation amounts are not included in the approved revenue increases. The 2021 reconciliation amounts are $13 million and $7 million for electric and gas, respectively, and the 2022 reconciliation amounts are $39 million and $15 million for electric and gas, respectively. In April 2024, BGE filed with the MDPSC its request for recovery of the 2023 reconciliation amounts of $79 million and $73 million for electric and gas, respectively, with supporting testimony and schedules. In December 2025, the MDPSC authorized BGE to recover $31 million and $46 million for electric and gas, respectively, beginning in February 2026 and extending through December 2027, in the reconciliation rider. In addition to the amounts approved in the reconciliation rider, the MDPSC provided for additional regulatory assets related to minor storms of $24 million (to be recovered over 5 years) and the Baltimore City conduit of $4 million (to be reviewed along with a cost-benefit analysis in BGE’s next rate case).</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Pepco District of Columbia Distribution Base Rate Case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2 — Regulatory Matters</w:t>
      </w:r>
    </w:p>
    <w:p>
      <w:pPr>
        <w:spacing w:after="0" w:line="28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On April 13, 2023, Pepco filed an electric base rate case with the DCPSC (amended February 27, 2024) requesting a total revenue requirement increase of $186 million and an ROE of 10.50%. The DCPSC issued an order approving the two-year cumulative multi-year plan on November 26, 2024, which included a total revenue requirement increase of $123 million with an ROE of 9.50% effective January 1, 2025 through December 31, 2026. The DCPSC awarded Pepco electric incremental revenue requirement increases of $99 million and $24 million for 2025 and 2026, respectively. Subsequent to DCPSC approval of the order, interveners appealed the order on several grounds including that the DCPSC did not hold evidentiary hearings. On March 5, 2026, the District of Columbia Court of Appeals remanded the November 26, 2024, order back to the DCPSC to hold evidentiary hearings. On March 27, 2026, the DCPSC issued an order adopting a procedural schedule and requested supplemental briefing on what interim rates should be in effect during the remand period but did not order any refunds for previous amounts collected. Pepco is preparing for the proceeding and will continue to monitor developments.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Pepco Maryland Distribution Base Rate Case Proceedings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May 16, 2023, Pepco filed an electric base rate case with the MDPSC (amended February 23, 2024) requesting a total revenue requirement increase of $111 million (before offsets) and an ROE of 10.50%. The MDPSC issued an order on June 10, 2024 awarding Pepco a one-year multi-year plan for April 1, 2024 through March 31, 2025 which included an incremental revenue requirement increase of $45 million and an ROE of 9.50%. The MDPSC did not adopt the requested revenue requirement increases of $80 million (before offsets), $51 million, and $14 million as filed for 2025, 2026, and the 2027 nine-month extension period, respectively. The MDPSC also approved the requested reconciliation amounts for the 12-month periods ending March 31, 2022, and March 31, 2023, which will be recovered through a rider between August 2024 through March 2026. As such, the reconciliation amounts are not included in the approved revenue requirement increases. The reconciliation amounts are $1 million and $7 million, for the 12-month periods ending March 31, 2022, and March 31, 2023, respectively. In July 2024, Pepco filed its request with the MDPSC, for recovery of the reconciliation amounts of $31 million for the 12-month period ended March 31, 2024, with supporting testimony and schedules. On March 31, 2026, the MDPSC issued an order authorizing Pepco to recover approximately $13 million through the reconciliation rider. This will be recovered through rates between May 2026 through April 2027. Additionally, the order disallowed the recovery of various assets. The order resulted in the write off of $11 million of Regulatory assets and $15 million of Property, plant and equipment with a total of $26 million recorded in Operations and maintenance expense.</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DPL Maryland Distribution Base Rate Case Proceedings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May 19, 2022, DPL filed an electric base rate case with the MDPSC requesting a total revenue requirement increase of $38 million based on an ROE of 10.25%. On December 14, 2022, the MDPSC issued an order awarding DPL a total revenue requirement increase of $29 million with an ROE of 9.60%. The order reflects a three-year cumulative multi-year plan for January 1, 2023 through December 31, 2025, with rates remaining in effect subsequent to the multi-year plan period. The MDPSC awarded DPL electric incremental revenue requirement increases of $17 million, $6 million, and $6 million for 2023, 2024, and 2025,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DPL Delaware Distribution Base Rate Case Proceedings</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December 15, 2022, DPL filed an electric base rate case with the DEPSC (amended September 29, 2023) requesting a total revenue requirement increase of $39 million and an ROE of 10.50%. On April 18, 2024, the DEPSC issued an order awarding DPL a total revenue requirement increase of $28 million with an ROE of 9.60%, effective July 15, 2023. As part of the approved order, the DEPSC approved the Significant Storm Expense Rate Rider (Rider SSER) which will allow DPL to recover expenses associated with qualified storms. A qualified storm will be an individual storm for which DPL incurs expenses between $5 million and $15 million. The Rider SSER allows DPL to recover significant storm damage expenses for the previous 12-month period over a future 24-month period. For individual storm events for which DPL incurs expenses of more than $15 million, the future recovery period will be evaluated on a case-by-case basis and the unamortized balance will earn a return at DPL's authorized long-term cost of debt. The Rider SSER will have an annual true-up filing, subject to DEPSC review and approval.</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ACE New Jersey Distribution Base Rate Case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2 — Regulatory Matters</w:t>
      </w: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November 21, 2024, ACE filed an electric base rate case with the NJBPU requesting a total revenue requirement increase of $109 million, before NJ sales and use tax, and an ROE of 10.70%. On November 21, 2025, the NJBPU issued an order awarding ACE an electric revenue requirement increase, before NJ sales and use tax, of $54 million effective December 1, 2025, with an ROE of 9.60%. In addition, the NJBPU approved the recovery through a regulatory asset of work stoppage costs that were incurred by ACE in 2023 of $38 million.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State Regulatory Matters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Illinois Regulatory Matters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CEJA (Exelon and ComEd). </w:t>
      </w:r>
      <w:r>
        <w:rPr>
          <w:rFonts w:ascii="Arial" w:cs="Arial" w:eastAsia="Arial" w:hAnsi="Arial"/>
          <w:sz w:val="13"/>
          <w:szCs w:val="13"/>
          <w:color w:val="auto"/>
        </w:rPr>
        <w:t>On September 15, 2021, the Governor of Illinois signed into law CEJA. CEJA includes, among other features, (1) procurement of CMCs from qualifying nuclear-powered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generating facilities, (2) a requirement to file a general rate case or a new four-year MRP no later than January 20, 2023 to establish rates effective after ComEd’s existing performance-based distribution formula rate sunsets, (3) requirements that ComEd and the ICC initiate and conduct various regulatory proceedings on subjects including ethics, spending, grid investments, and performance metrics.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ComEd Electric Distribution Rates</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Beginning in 2024, ComEd recovers from retail customers, subject to certain exceptions, the costs it incurs to provide electric delivery services either through its electric distribution rate or other recovery mechanisms authorized by CEJA. On January 17, 2023, ComEd filed a petition with the ICC seeking approval of a MRP for 2024-2027. The MRP supports a multi-year grid plan (2024-2027 Grid Plan), also filed on January 17, covering planned investments on the electric distribution system within ComEd’s service area through 2027. Costs incurred during each year of the MRP are subject to ICC review and the plan’s revenue requirement for each year will be reconciled with the actual costs that the ICC determines are prudently and reasonably incurred for that year. The reconciliation is subject to adjustment for certain costs, including a limitation on recovery of costs that are more than 105% of certain costs in the previously approved MRP revenue requirement, absent a modification of the rate plan itself. Thus, for example, the rate adjustments necessary to reconcile 2024 revenues to ComEd’s actual 2024 costs incurred would take effect in January 2026 after the ICC’s review during 2025.</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December 14, 2023, the ICC issued a final order. The ICC rejected ComEd’s 2024-2027 Grid Plan as non-compliant with certain requirements of CEJA and required ComEd to file a revised 2024-2027 Grid Plan. On January 10, 2024, ComEd filed an appeal in the Illinois Appellate Court of portions of the ICC's December 2023 order, including but not limited to the allowed ROE, 50% equity ratio, and denial of a return on ComEd’s pension asset. There is no deadline by when the appellate court must rule. On March 13, 2024, ComEd filed its Refiled 2024-2027 Grid Plan with supporting testimony and schedules with the ICC and subsequently on March 15, 2024, ComEd also filed a petition to adjust its MRP to authorize increased rates consistent with the Refiled 2024-2027 Grid Plan. On December 19, 2024, the ICC approved the Refiled 2024-2027 Grid Plan and adjusted the approved MRP with rates effective on January 1, 2025. The final approved MRP, as adjusted, which reflects the Refiled Grid Plan, resulted in a total cumulative revenue requirement increase of $1.045 billion over the 2024-2027 plan years and remains subject to annual reconciliations in accordance with CEJA. ComEd filed timely requests for rehearing and an appeal of the MRP order, again limited to the issues on which rehearing of the December 2023 order was denied, including the allowed ROE, 50% equity ratio, and denial of a return on ComEd's pension asset.</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January 16, 2026, ComEd filed a multi-year integrated grid plan (2028-2031 Grid Plan), seeking approval for planned investments on the electric distribution system within ComEd's service area in 2028-2031. The ICC must issue an order by December 15, 2026.</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Carbon Mitigation Credit</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CEJA establishes decarbonization requirements for Illinois as well as programs to support the retention and development of emissions-free sources of electricity. ComEd is required to purchase CMCs from participating nuclear power generating facilities between June 1, 2022 and May 31, 2027. The price to be paid for each CMC was established through a competitive bidding process that included consumer-protection measures that capped the maximum acceptable bid amount and a formula that reduces CMC prices by an energy price index, the base residual auction capacity price in the ComEd zone of PJM, and the monetized value of any federal tax credit or other subsidy if applicable. On October 31, 2025, the seller provided notification to ComEd and the IPA that it has reflected on its 2024 federal tax return $804 million of nuclear production tax credits associated with its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2 — Regulatory Matters</w:t>
      </w:r>
    </w:p>
    <w:p>
      <w:pPr>
        <w:spacing w:after="0" w:line="28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participating nuclear power generating facilities. These amounts will be collected from the seller through an adjustment to the CMC price to be paid by ComEd and returned to customers in 2026. As of December 31, 2025, Exelon and ComEd's Consolidated Balance Sheets reflected these amounts as a receivable from the seller with an offsetting balance within the Carbon mitigation credit regulatory liability. These adjustments had no net impact on Exelon and ComEd’s Consolidated Statements of Operations and Comprehensive Income. The seller has not provided notification to ComEd or the IPA that any subsidies or tax credits, such as nuclear production tax credits, have been monetized for 2025. The consumer protection measures contained in CEJA will result in net payments to ComEd ratepayers if the energy index, the capacity price and applicable federal tax credits or subsidy exceed the CMC contract price. Beginning with the June 2022 monthly billing period, ComEd began issuing credits and/or charges to its retail customers under its CMC rider, the Rider Carbon-Free Resource Adjustment (Rider CFRA). A regulatory asset or liability is recorded for the difference between ComEd's costs associated with the procurement of CMCs from participating nuclear power generating facilities and revenues received from customers. The balance of the liability as of March 31, 2026 is $434 million.</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February 2, 2024, ComEd filed a petition with the ICC to initiate the reconciliation proceeding for the costs incurred in connection with the procurement of CMC’s during the delivery year beginning June 1, 2022 and extending through May 31, 2023. While both Staff and the Administrative Law Judge's proposed order supported ComEd’s proposed reconciliation adjustment, on September 4, 2025, the ICC issued its final order rejecting the proposed reconciliation adjustment. Specifically, the order disallowed portions of the administrative costs as well as a portion of ComEd's interest costs on the balance of credit extended to customers under the applicable tariff that were not yet funded by payments from the generator. The CMC costs themselves were not disallowed. The order resulted in an immaterial impact to the financial statements and on October 3, 2025 ComEd filed its Application for Rehearing. On October 16, 2025, the ICC denied ComEd's Application. On October 17, 2025, ComEd filed its appeal with the Illinois Appellate Court for review of the ICC's order and its denial of rehearing.</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Energy Efficiency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CEJA extends ComEd’s current cumulative annual energy efficiency MWh savings goals through 2040, adds expanded electrification measures to those goals, increases low-income commitments, and adds a new performance adjustment to the energy efficiency formula rate. ComEd expects its annual spend to increase through 2040 to achieve these energy efficiency MWh savings goals, which is deferred as a separate regulatory asset that is recovered through the energy efficiency formula rate over the weighted average useful life, as approved by the ICC, of the related energy efficiency measures.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In 2026, Illinois enacted the CRGA, which makes certain changes to the energy efficiency framework established under CEJA.</w:t>
      </w:r>
    </w:p>
    <w:p>
      <w:pPr>
        <w:spacing w:after="0" w:line="190" w:lineRule="exact"/>
        <w:rPr>
          <w:sz w:val="20"/>
          <w:szCs w:val="20"/>
          <w:color w:val="auto"/>
        </w:rPr>
      </w:pPr>
    </w:p>
    <w:p>
      <w:pPr>
        <w:jc w:val="both"/>
        <w:spacing w:after="0" w:line="151" w:lineRule="exact"/>
        <w:rPr>
          <w:sz w:val="20"/>
          <w:szCs w:val="20"/>
          <w:color w:val="auto"/>
        </w:rPr>
      </w:pPr>
      <w:r>
        <w:rPr>
          <w:rFonts w:ascii="Arial" w:cs="Arial" w:eastAsia="Arial" w:hAnsi="Arial"/>
          <w:sz w:val="13"/>
          <w:szCs w:val="13"/>
          <w:color w:val="auto"/>
        </w:rPr>
        <w:t>CRGA modifies the manner in which ComEd’s energy efficiency savings goals are calculated by establishing a flat incremental annual savings requirement that applies indefinitely. CRGA also increases energy efficiency budget and low</w:t>
      </w:r>
      <w:r>
        <w:rPr>
          <w:rFonts w:ascii="MS PGothic" w:cs="MS PGothic" w:eastAsia="MS PGothic" w:hAnsi="MS PGothic"/>
          <w:sz w:val="13"/>
          <w:szCs w:val="13"/>
          <w:color w:val="auto"/>
        </w:rPr>
        <w:t>‑</w:t>
      </w:r>
      <w:r>
        <w:rPr>
          <w:rFonts w:ascii="Arial" w:cs="Arial" w:eastAsia="Arial" w:hAnsi="Arial"/>
          <w:sz w:val="13"/>
          <w:szCs w:val="13"/>
          <w:color w:val="auto"/>
        </w:rPr>
        <w:t>income commitments from levels established under CEJA, expands the categories of savings that may be credited toward annual goals, and revises the return on equity applicable to the energy efficiency regulatory asset to align with the distribution return on equity.</w:t>
      </w:r>
    </w:p>
    <w:p>
      <w:pPr>
        <w:spacing w:after="0" w:line="174" w:lineRule="exact"/>
        <w:rPr>
          <w:sz w:val="20"/>
          <w:szCs w:val="20"/>
          <w:color w:val="auto"/>
        </w:rPr>
      </w:pPr>
    </w:p>
    <w:p>
      <w:pPr>
        <w:jc w:val="both"/>
        <w:spacing w:after="0" w:line="155" w:lineRule="exact"/>
        <w:rPr>
          <w:sz w:val="20"/>
          <w:szCs w:val="20"/>
          <w:color w:val="auto"/>
        </w:rPr>
      </w:pPr>
      <w:r>
        <w:rPr>
          <w:rFonts w:ascii="Arial" w:cs="Arial" w:eastAsia="Arial" w:hAnsi="Arial"/>
          <w:sz w:val="13"/>
          <w:szCs w:val="13"/>
          <w:color w:val="auto"/>
        </w:rPr>
        <w:t>Beginning in 2027, ComEd expects that implementation of CRGA may result in higher annual energy efficiency spending. Incremental costs incurred in advance of recovery are expected to be deferred as a regulatory asset and recovered through ComEd’s energy efficiency formula rate over the weighted</w:t>
      </w:r>
      <w:r>
        <w:rPr>
          <w:rFonts w:ascii="MS PGothic" w:cs="MS PGothic" w:eastAsia="MS PGothic" w:hAnsi="MS PGothic"/>
          <w:sz w:val="13"/>
          <w:szCs w:val="13"/>
          <w:color w:val="auto"/>
        </w:rPr>
        <w:t>‑</w:t>
      </w:r>
      <w:r>
        <w:rPr>
          <w:rFonts w:ascii="Arial" w:cs="Arial" w:eastAsia="Arial" w:hAnsi="Arial"/>
          <w:sz w:val="13"/>
          <w:szCs w:val="13"/>
          <w:color w:val="auto"/>
        </w:rPr>
        <w:t>average useful life of the related measures, subject to approval by the Illinois Commerce Commission.</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energy efficiency provisions of CRGA are effective June 1, 2026. In advance of the effective date, ComEd has begun undertaking implementation activities, including regulatory filings and planning efforts.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2 — Regulatory Matters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Maryland Regulatory Matters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Summer and Winter Rate Mitigation (Exelon, BGE, PHI, Pepco, and DPL). </w:t>
      </w:r>
      <w:r>
        <w:rPr>
          <w:rFonts w:ascii="Arial" w:cs="Arial" w:eastAsia="Arial" w:hAnsi="Arial"/>
          <w:sz w:val="13"/>
          <w:szCs w:val="13"/>
          <w:color w:val="auto"/>
        </w:rPr>
        <w:t>As part of the passing of the Next Generation Energy Act of 2025 by the Maryland General Assembly, the MDPSC issued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order on June 26, 2025, to implement the Legislative Energy Relief Refund program under which bill credits were distributed to residential customers based on their consumption of electricity supply that was subject to the renewable energy portfolio standard. On July 24, 2025, the MDPSC issued an order accepting BGE, Pepco, and DPL's proposal for the implementation of the program. As a result, BGE, Pepco, and DPL received $49 million, $21 million, and $8 million, respectively, from the MDPSC on February 3, 2026. These amounts were used to reduce residential customer account receivable balances within the first quarter of 2026.</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Federal Regulatory Matters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PJM Cost Allocation Methodology (All Registrants). </w:t>
      </w:r>
      <w:r>
        <w:rPr>
          <w:rFonts w:ascii="Arial" w:cs="Arial" w:eastAsia="Arial" w:hAnsi="Arial"/>
          <w:sz w:val="13"/>
          <w:szCs w:val="13"/>
          <w:color w:val="auto"/>
        </w:rPr>
        <w:t>On March 6, 2026, FERC issued an order requiring the removal of the de minimis threshold exemption in the calculation of the cost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responsibility of certain transmission reliability upgrade costs allocated to the rate zones of PJM transmission owners, including the Utility Registrants. FERC further ordered PJM to recalculate historical cost allocations for the period beginning June 18, 2015, and to pass through additional charges or payments to PJM customers, including Utility Registrants, as applicable, with interest within 90 days. On April 29, 2026, the time for those calculations was extended until further order from FERC. The Utility Registrants expect to recover any incremental charges incurred or reimburse any payments received through prospective electric customer rates. On April 6, 2026, a number of parties filed petitions for rehearing or clarification.</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The final impacts of the decision cannot be predicted and the results, while not reasonably estimable at this time, could be material to the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Regulatory Assets and Liabilities</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Utility Registrants' regulatory assets and liabilities have not changed materially since December 31, 2025, unless noted below. See Note 2 — Regulatory Matters of the 2025 Form 10-K for additional information on the specific regulatory assets and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ComEd. </w:t>
      </w:r>
      <w:r>
        <w:rPr>
          <w:rFonts w:ascii="Arial" w:cs="Arial" w:eastAsia="Arial" w:hAnsi="Arial"/>
          <w:sz w:val="13"/>
          <w:szCs w:val="13"/>
          <w:color w:val="auto"/>
        </w:rPr>
        <w:t>Regulatory assets increased $155 million primarily due to an increase of $127 million in the Electric energy and natural gas costs regulatory asset.</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PECO. </w:t>
      </w:r>
      <w:r>
        <w:rPr>
          <w:rFonts w:ascii="Arial" w:cs="Arial" w:eastAsia="Arial" w:hAnsi="Arial"/>
          <w:sz w:val="13"/>
          <w:szCs w:val="13"/>
          <w:color w:val="auto"/>
        </w:rPr>
        <w:t>Regulatory assets increased $132 million primarily due to an increase of $72 million in the Deferred income taxes regulatory asset. Regulatory liabilities increased $88 million primarily due to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of $91 million in the Decommissioning the Regulatory Agreement Units.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BGE. </w:t>
      </w:r>
      <w:r>
        <w:rPr>
          <w:rFonts w:ascii="Arial" w:cs="Arial" w:eastAsia="Arial" w:hAnsi="Arial"/>
          <w:sz w:val="13"/>
          <w:szCs w:val="13"/>
          <w:color w:val="auto"/>
        </w:rPr>
        <w:t>Regulatory assets decreased $102 million primarily due to a decrease of $45 million in the Electric energy and natural gas costs regulatory asset and a decrease of $42 million in the Energy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efficiency and demand response programs regulatory asset. Regulatory liabilities decreased $16 million primarily due to a decrease of $31 million in the Deferred income taxes regulatory liability.</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Pepco. </w:t>
      </w:r>
      <w:r>
        <w:rPr>
          <w:rFonts w:ascii="Arial" w:cs="Arial" w:eastAsia="Arial" w:hAnsi="Arial"/>
          <w:sz w:val="13"/>
          <w:szCs w:val="13"/>
          <w:color w:val="auto"/>
        </w:rPr>
        <w:t>Regulatory assets decreased $42 million primarily due to a decrease of $27 million in the Energy efficiency and demand response programs regulatory asset.</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DPL. </w:t>
      </w:r>
      <w:r>
        <w:rPr>
          <w:rFonts w:ascii="Arial" w:cs="Arial" w:eastAsia="Arial" w:hAnsi="Arial"/>
          <w:sz w:val="13"/>
          <w:szCs w:val="13"/>
          <w:color w:val="auto"/>
        </w:rPr>
        <w:t>Regulatory assets remained consistent primarily due to a decrease of $15 million in the Energy efficiency and demand response programs regulatory asset, partially offset by an increase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$8 million in the Electric energy and natural gas costs regulatory asset and an increase of $4 million in the Transmission formula rate annual reconciliations regulatory asset.</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ACE. </w:t>
      </w:r>
      <w:r>
        <w:rPr>
          <w:rFonts w:ascii="Arial" w:cs="Arial" w:eastAsia="Arial" w:hAnsi="Arial"/>
          <w:sz w:val="13"/>
          <w:szCs w:val="13"/>
          <w:color w:val="auto"/>
        </w:rPr>
        <w:t>Regulatory liabilities increased $2 million primarily due to an increase of $13 million in the Electric energy and natural gas costs regulatory liability, partially offset by a decrease of $4 million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Transmission formula rate annual reconciliations regulatory liability and a decrease of $4 million in the Over-recovered credit loss expense regulatory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2 — Regulatory Matters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Capitalized Ratemaking Amounts Not Recognized</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following table presents authorized amounts capitalized for ratemaking purposes related to earnings on shareholders' investment that are not recognized for financial reporting purposes in the Registrants' Consolidated Balance Sheets. These amounts will be recognized as revenues in the related Consolidated Statements of Operations and Comprehensive Income in the periods they are billable to the Utility Registrants' customers. PECO had no related amounts at March 31, 2026 and December 31, 2025.</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8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Exelon</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ComEd</w:t>
            </w:r>
            <w:r>
              <w:rPr>
                <w:rFonts w:ascii="Arial" w:cs="Arial" w:eastAsia="Arial" w:hAnsi="Arial"/>
                <w:sz w:val="12"/>
                <w:szCs w:val="12"/>
                <w:b w:val="1"/>
                <w:bCs w:val="1"/>
                <w:color w:val="auto"/>
                <w:vertAlign w:val="superscript"/>
              </w:rPr>
              <w:t>(a)</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BGE</w:t>
            </w:r>
            <w:r>
              <w:rPr>
                <w:rFonts w:ascii="Arial" w:cs="Arial" w:eastAsia="Arial" w:hAnsi="Arial"/>
                <w:sz w:val="12"/>
                <w:szCs w:val="12"/>
                <w:b w:val="1"/>
                <w:bCs w:val="1"/>
                <w:color w:val="auto"/>
                <w:vertAlign w:val="superscript"/>
              </w:rPr>
              <w:t>(b)</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PHI</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Pepco</w:t>
            </w:r>
            <w:r>
              <w:rPr>
                <w:rFonts w:ascii="Arial" w:cs="Arial" w:eastAsia="Arial" w:hAnsi="Arial"/>
                <w:sz w:val="12"/>
                <w:szCs w:val="12"/>
                <w:b w:val="1"/>
                <w:bCs w:val="1"/>
                <w:color w:val="auto"/>
                <w:vertAlign w:val="superscript"/>
              </w:rPr>
              <w:t>(c)</w:t>
            </w: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DPL</w:t>
            </w:r>
            <w:r>
              <w:rPr>
                <w:rFonts w:ascii="Arial" w:cs="Arial" w:eastAsia="Arial" w:hAnsi="Arial"/>
                <w:sz w:val="12"/>
                <w:szCs w:val="12"/>
                <w:b w:val="1"/>
                <w:bCs w:val="1"/>
                <w:color w:val="auto"/>
                <w:vertAlign w:val="superscript"/>
              </w:rPr>
              <w:t>(d)</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ACE</w:t>
            </w:r>
            <w:r>
              <w:rPr>
                <w:rFonts w:ascii="Arial" w:cs="Arial" w:eastAsia="Arial" w:hAnsi="Arial"/>
                <w:sz w:val="12"/>
                <w:szCs w:val="12"/>
                <w:b w:val="1"/>
                <w:bCs w:val="1"/>
                <w:color w:val="auto"/>
                <w:vertAlign w:val="superscript"/>
              </w:rPr>
              <w:t>(e)</w:t>
            </w:r>
          </w:p>
        </w:tc>
      </w:tr>
      <w:tr>
        <w:trPr>
          <w:trHeight w:val="160"/>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March 31, 2026</w:t>
            </w:r>
          </w:p>
        </w:tc>
        <w:tc>
          <w:tcPr>
            <w:tcW w:w="700" w:type="dxa"/>
            <w:vAlign w:val="bottom"/>
            <w:shd w:val="clear" w:color="auto" w:fill="CCEEFF"/>
          </w:tcPr>
          <w:p>
            <w:pPr>
              <w:jc w:val="right"/>
              <w:ind w:right="563"/>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63"/>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16</w:t>
            </w:r>
          </w:p>
        </w:tc>
      </w:tr>
      <w:tr>
        <w:trPr>
          <w:trHeight w:val="167"/>
        </w:trPr>
        <w:tc>
          <w:tcPr>
            <w:tcW w:w="3800" w:type="dxa"/>
            <w:vAlign w:val="bottom"/>
          </w:tcPr>
          <w:p>
            <w:pPr>
              <w:spacing w:after="0"/>
              <w:rPr>
                <w:sz w:val="20"/>
                <w:szCs w:val="20"/>
                <w:color w:val="auto"/>
              </w:rPr>
            </w:pPr>
            <w:r>
              <w:rPr>
                <w:rFonts w:ascii="Arial" w:cs="Arial" w:eastAsia="Arial" w:hAnsi="Arial"/>
                <w:sz w:val="13"/>
                <w:szCs w:val="13"/>
                <w:color w:val="auto"/>
              </w:rPr>
              <w:t>December 31, 2025</w:t>
            </w: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color w:val="auto"/>
              </w:rPr>
              <w:t>16</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hanging="255"/>
        <w:spacing w:after="0" w:line="263" w:lineRule="auto"/>
        <w:tabs>
          <w:tab w:leader="none" w:pos="249" w:val="left"/>
        </w:tabs>
        <w:numPr>
          <w:ilvl w:val="0"/>
          <w:numId w:val="6"/>
        </w:numPr>
        <w:rPr>
          <w:rFonts w:ascii="Arial" w:cs="Arial" w:eastAsia="Arial" w:hAnsi="Arial"/>
          <w:sz w:val="11"/>
          <w:szCs w:val="11"/>
          <w:color w:val="auto"/>
        </w:rPr>
      </w:pPr>
      <w:r>
        <w:rPr>
          <w:rFonts w:ascii="Arial" w:cs="Arial" w:eastAsia="Arial" w:hAnsi="Arial"/>
          <w:sz w:val="11"/>
          <w:szCs w:val="11"/>
          <w:color w:val="auto"/>
        </w:rPr>
        <w:t>For the three months ended March 31, 2026 reflects ComEd's unrecognized equity returns earned for ratemaking purposes on its electric distribution rate regulatory asset. For the year ended December 31, 2025, reflects ComEd's unrecognized equity returns earned for ratemaking purposes on its electric distribution rates and distributed generation regulatory assets.</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BGE's amount capitalized for ratemaking purposes primarily relates to investments in rate base included in the multi-year plan reconciliations.</w:t>
      </w:r>
    </w:p>
    <w:p>
      <w:pPr>
        <w:spacing w:after="0" w:line="11" w:lineRule="exact"/>
        <w:rPr>
          <w:rFonts w:ascii="Arial" w:cs="Arial" w:eastAsia="Arial" w:hAnsi="Arial"/>
          <w:sz w:val="11"/>
          <w:szCs w:val="11"/>
          <w:color w:val="auto"/>
        </w:rPr>
      </w:pPr>
    </w:p>
    <w:p>
      <w:pPr>
        <w:ind w:left="260" w:hanging="255"/>
        <w:spacing w:after="0" w:line="251" w:lineRule="auto"/>
        <w:tabs>
          <w:tab w:leader="none" w:pos="254" w:val="left"/>
        </w:tabs>
        <w:numPr>
          <w:ilvl w:val="0"/>
          <w:numId w:val="6"/>
        </w:numPr>
        <w:rPr>
          <w:rFonts w:ascii="Arial" w:cs="Arial" w:eastAsia="Arial" w:hAnsi="Arial"/>
          <w:sz w:val="11"/>
          <w:szCs w:val="11"/>
          <w:color w:val="auto"/>
        </w:rPr>
      </w:pPr>
      <w:r>
        <w:rPr>
          <w:rFonts w:ascii="Arial" w:cs="Arial" w:eastAsia="Arial" w:hAnsi="Arial"/>
          <w:sz w:val="11"/>
          <w:szCs w:val="11"/>
          <w:color w:val="auto"/>
        </w:rPr>
        <w:t>Pepco's authorized amounts capitalized for ratemaking purposes relate to earnings on shareholders' investment on AMI programs, Energy efficiency and demand response programs, investments in rate base and revenues included in the multi-year plan reconciliations, and a portion of Pepco District of Columbia's revenue decoupling.</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DPL's authorized amounts capitalized for ratemaking purposes relate to earnings on shareholders' investment on AMI programs and Energy efficiency and demand response programs.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ACE's authorized amounts capitalized for ratemaking purposes primarily relate to earnings on shareholders' investment on AMI programs.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Revenue from Contracts with Customers (All Registrants)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Registrants recognize revenue from contracts with customers to depict the transfer of goods or services to customers at an amount that the entities expect to be entitled to in exchange for those goods or services. The primary sources of revenue include regulated electric and gas tariff sales, distribution, and transmission services.</w:t>
      </w:r>
    </w:p>
    <w:p>
      <w:pPr>
        <w:spacing w:after="0" w:line="82" w:lineRule="exact"/>
        <w:rPr>
          <w:sz w:val="20"/>
          <w:szCs w:val="20"/>
          <w:color w:val="auto"/>
        </w:rPr>
      </w:pPr>
    </w:p>
    <w:p>
      <w:pPr>
        <w:ind w:right="1940"/>
        <w:spacing w:after="0" w:line="451" w:lineRule="auto"/>
        <w:rPr>
          <w:sz w:val="20"/>
          <w:szCs w:val="20"/>
          <w:color w:val="auto"/>
        </w:rPr>
      </w:pPr>
      <w:r>
        <w:rPr>
          <w:rFonts w:ascii="Arial" w:cs="Arial" w:eastAsia="Arial" w:hAnsi="Arial"/>
          <w:sz w:val="13"/>
          <w:szCs w:val="13"/>
          <w:color w:val="auto"/>
        </w:rPr>
        <w:t xml:space="preserve">See Note 3 — Revenue from Contracts with Customers of the 2025 Form 10-K for additional information regarding the primary sources of revenue for the Registrants. </w:t>
      </w:r>
      <w:r>
        <w:rPr>
          <w:rFonts w:ascii="Arial" w:cs="Arial" w:eastAsia="Arial" w:hAnsi="Arial"/>
          <w:sz w:val="13"/>
          <w:szCs w:val="13"/>
          <w:b w:val="1"/>
          <w:bCs w:val="1"/>
          <w:i w:val="1"/>
          <w:iCs w:val="1"/>
          <w:color w:val="auto"/>
        </w:rPr>
        <w:t>Contract Liabilities</w:t>
      </w:r>
    </w:p>
    <w:p>
      <w:pPr>
        <w:jc w:val="both"/>
        <w:spacing w:after="0" w:line="266" w:lineRule="auto"/>
        <w:rPr>
          <w:sz w:val="20"/>
          <w:szCs w:val="20"/>
          <w:color w:val="auto"/>
        </w:rPr>
      </w:pPr>
      <w:r>
        <w:rPr>
          <w:rFonts w:ascii="Arial" w:cs="Arial" w:eastAsia="Arial" w:hAnsi="Arial"/>
          <w:sz w:val="13"/>
          <w:szCs w:val="13"/>
          <w:color w:val="auto"/>
        </w:rPr>
        <w:t>The Registrants record contract liabilities when consideration is received or due prior to the satisfaction of the performance obligations. The Registrants record contract liabilities in Other current liabilities and Other noncurrent deferred credits and other liabilities in their Consolidated Balance Sheets.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For Pepco, DPL, and ACE these contract liabilities primarily relate to upfront consideration received in the third quarter of 2020 for a collaborative arrangement ("Agreement") with an unrelated owner and manager of communication infrastructure, as well as additional consideration received for the payment option amendment ("Amendment") executed during the fourth quarter of 2023, which is discussed in further detail within Note 3 — Revenue from Contracts with Customers of the 2025 Form 10-K. The contract liability balance attributable to the Agreement and the Amendment is being recognized as Electric operating revenues over a 35 year period and 31 year period, respectively.</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provides a rollforward of the contract liabilities reflected in Exelon's, PHI's, Pepco's, DPL's, and ACE's Consolidated Balance Sheets for the three months ended March 31, 2026 and 2025. At March 31, 2026 and December 31, 2025, ComEd's, PECO's, and BGE's contract liabilities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3 — Revenue from Contracts with Customers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Exelon</w:t>
            </w:r>
            <w:r>
              <w:rPr>
                <w:rFonts w:ascii="Arial" w:cs="Arial" w:eastAsia="Arial" w:hAnsi="Arial"/>
                <w:sz w:val="12"/>
                <w:szCs w:val="12"/>
                <w:b w:val="1"/>
                <w:bCs w:val="1"/>
                <w:color w:val="auto"/>
                <w:vertAlign w:val="superscript"/>
              </w:rPr>
              <w:t>(a)</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ind w:left="180"/>
              <w:spacing w:after="0"/>
              <w:rPr>
                <w:sz w:val="20"/>
                <w:szCs w:val="20"/>
                <w:color w:val="auto"/>
              </w:rPr>
            </w:pPr>
            <w:r>
              <w:rPr>
                <w:rFonts w:ascii="Arial" w:cs="Arial" w:eastAsia="Arial" w:hAnsi="Arial"/>
                <w:sz w:val="10"/>
                <w:szCs w:val="10"/>
                <w:b w:val="1"/>
                <w:bCs w:val="1"/>
                <w:color w:val="auto"/>
              </w:rPr>
              <w:t>PHI</w:t>
            </w:r>
            <w:r>
              <w:rPr>
                <w:rFonts w:ascii="Arial" w:cs="Arial" w:eastAsia="Arial" w:hAnsi="Arial"/>
                <w:sz w:val="12"/>
                <w:szCs w:val="12"/>
                <w:b w:val="1"/>
                <w:bCs w:val="1"/>
                <w:color w:val="auto"/>
                <w:vertAlign w:val="superscript"/>
              </w:rPr>
              <w:t>(a)</w:t>
            </w:r>
          </w:p>
        </w:tc>
        <w:tc>
          <w:tcPr>
            <w:tcW w:w="220" w:type="dxa"/>
            <w:vAlign w:val="bottom"/>
          </w:tcPr>
          <w:p>
            <w:pPr>
              <w:spacing w:after="0"/>
              <w:rPr>
                <w:sz w:val="12"/>
                <w:szCs w:val="12"/>
                <w:color w:val="auto"/>
              </w:rPr>
            </w:pPr>
          </w:p>
        </w:tc>
        <w:tc>
          <w:tcPr>
            <w:tcW w:w="980" w:type="dxa"/>
            <w:vAlign w:val="bottom"/>
            <w:gridSpan w:val="2"/>
          </w:tcPr>
          <w:p>
            <w:pPr>
              <w:ind w:left="140"/>
              <w:spacing w:after="0"/>
              <w:rPr>
                <w:sz w:val="20"/>
                <w:szCs w:val="20"/>
                <w:color w:val="auto"/>
              </w:rPr>
            </w:pPr>
            <w:r>
              <w:rPr>
                <w:rFonts w:ascii="Arial" w:cs="Arial" w:eastAsia="Arial" w:hAnsi="Arial"/>
                <w:sz w:val="10"/>
                <w:szCs w:val="10"/>
                <w:b w:val="1"/>
                <w:bCs w:val="1"/>
                <w:color w:val="auto"/>
              </w:rPr>
              <w:t>Pepco</w:t>
            </w:r>
            <w:r>
              <w:rPr>
                <w:rFonts w:ascii="Arial" w:cs="Arial" w:eastAsia="Arial" w:hAnsi="Arial"/>
                <w:sz w:val="12"/>
                <w:szCs w:val="12"/>
                <w:b w:val="1"/>
                <w:bCs w:val="1"/>
                <w:color w:val="auto"/>
                <w:vertAlign w:val="superscript"/>
              </w:rPr>
              <w:t>(a)</w:t>
            </w:r>
          </w:p>
        </w:tc>
        <w:tc>
          <w:tcPr>
            <w:tcW w:w="280" w:type="dxa"/>
            <w:vAlign w:val="bottom"/>
          </w:tcPr>
          <w:p>
            <w:pPr>
              <w:spacing w:after="0"/>
              <w:rPr>
                <w:sz w:val="12"/>
                <w:szCs w:val="12"/>
                <w:color w:val="auto"/>
              </w:rPr>
            </w:pPr>
          </w:p>
        </w:tc>
        <w:tc>
          <w:tcPr>
            <w:tcW w:w="940" w:type="dxa"/>
            <w:vAlign w:val="bottom"/>
            <w:gridSpan w:val="2"/>
          </w:tcPr>
          <w:p>
            <w:pPr>
              <w:ind w:left="180"/>
              <w:spacing w:after="0"/>
              <w:rPr>
                <w:sz w:val="20"/>
                <w:szCs w:val="20"/>
                <w:color w:val="auto"/>
              </w:rPr>
            </w:pPr>
            <w:r>
              <w:rPr>
                <w:rFonts w:ascii="Arial" w:cs="Arial" w:eastAsia="Arial" w:hAnsi="Arial"/>
                <w:sz w:val="10"/>
                <w:szCs w:val="10"/>
                <w:b w:val="1"/>
                <w:bCs w:val="1"/>
                <w:color w:val="auto"/>
              </w:rPr>
              <w:t>DPL</w:t>
            </w:r>
          </w:p>
        </w:tc>
        <w:tc>
          <w:tcPr>
            <w:tcW w:w="260" w:type="dxa"/>
            <w:vAlign w:val="bottom"/>
          </w:tcPr>
          <w:p>
            <w:pPr>
              <w:spacing w:after="0"/>
              <w:rPr>
                <w:sz w:val="12"/>
                <w:szCs w:val="12"/>
                <w:color w:val="auto"/>
              </w:rPr>
            </w:pPr>
          </w:p>
        </w:tc>
        <w:tc>
          <w:tcPr>
            <w:tcW w:w="840" w:type="dxa"/>
            <w:vAlign w:val="bottom"/>
          </w:tcPr>
          <w:p>
            <w:pPr>
              <w:jc w:val="right"/>
              <w:ind w:right="380"/>
              <w:spacing w:after="0"/>
              <w:rPr>
                <w:sz w:val="20"/>
                <w:szCs w:val="20"/>
                <w:color w:val="auto"/>
              </w:rPr>
            </w:pPr>
            <w:r>
              <w:rPr>
                <w:rFonts w:ascii="Arial" w:cs="Arial" w:eastAsia="Arial" w:hAnsi="Arial"/>
                <w:sz w:val="10"/>
                <w:szCs w:val="10"/>
                <w:b w:val="1"/>
                <w:bCs w:val="1"/>
                <w:color w:val="auto"/>
              </w:rPr>
              <w:t>ACE</w:t>
            </w:r>
          </w:p>
        </w:tc>
      </w:tr>
      <w:tr>
        <w:trPr>
          <w:trHeight w:val="17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2025</w:t>
            </w:r>
          </w:p>
        </w:tc>
        <w:tc>
          <w:tcPr>
            <w:tcW w:w="80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90"/>
        </w:trPr>
        <w:tc>
          <w:tcPr>
            <w:tcW w:w="5320" w:type="dxa"/>
            <w:vAlign w:val="bottom"/>
          </w:tcPr>
          <w:p>
            <w:pPr>
              <w:ind w:left="20"/>
              <w:spacing w:after="0"/>
              <w:rPr>
                <w:sz w:val="20"/>
                <w:szCs w:val="20"/>
                <w:color w:val="auto"/>
              </w:rPr>
            </w:pPr>
            <w:r>
              <w:rPr>
                <w:rFonts w:ascii="Arial" w:cs="Arial" w:eastAsia="Arial" w:hAnsi="Arial"/>
                <w:sz w:val="13"/>
                <w:szCs w:val="13"/>
                <w:color w:val="auto"/>
              </w:rPr>
              <w:t>Revenues recognized</w:t>
            </w: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2026</w:t>
            </w:r>
          </w:p>
        </w:tc>
        <w:tc>
          <w:tcPr>
            <w:tcW w:w="80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118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308"/>
        </w:trPr>
        <w:tc>
          <w:tcPr>
            <w:tcW w:w="5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Exelon</w:t>
            </w:r>
            <w:r>
              <w:rPr>
                <w:rFonts w:ascii="Arial" w:cs="Arial" w:eastAsia="Arial" w:hAnsi="Arial"/>
                <w:sz w:val="12"/>
                <w:szCs w:val="12"/>
                <w:b w:val="1"/>
                <w:bCs w:val="1"/>
                <w:color w:val="auto"/>
                <w:vertAlign w:val="superscript"/>
              </w:rPr>
              <w:t>(a)</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Arial" w:cs="Arial" w:eastAsia="Arial" w:hAnsi="Arial"/>
                <w:sz w:val="19"/>
                <w:szCs w:val="19"/>
                <w:b w:val="1"/>
                <w:bCs w:val="1"/>
                <w:color w:val="auto"/>
                <w:vertAlign w:val="subscript"/>
              </w:rPr>
              <w:t>PHI</w:t>
            </w:r>
            <w:r>
              <w:rPr>
                <w:rFonts w:ascii="Arial" w:cs="Arial" w:eastAsia="Arial" w:hAnsi="Arial"/>
                <w:sz w:val="6"/>
                <w:szCs w:val="6"/>
                <w:b w:val="1"/>
                <w:bCs w:val="1"/>
                <w:color w:val="auto"/>
              </w:rPr>
              <w:t>(a)</w:t>
            </w:r>
          </w:p>
        </w:tc>
        <w:tc>
          <w:tcPr>
            <w:tcW w:w="22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0"/>
                <w:szCs w:val="10"/>
                <w:b w:val="1"/>
                <w:bCs w:val="1"/>
                <w:color w:val="auto"/>
              </w:rPr>
              <w:t>Pepco</w:t>
            </w:r>
            <w:r>
              <w:rPr>
                <w:rFonts w:ascii="Arial" w:cs="Arial" w:eastAsia="Arial" w:hAnsi="Arial"/>
                <w:sz w:val="12"/>
                <w:szCs w:val="12"/>
                <w:b w:val="1"/>
                <w:bCs w:val="1"/>
                <w:color w:val="auto"/>
                <w:vertAlign w:val="superscript"/>
              </w:rPr>
              <w:t>(a)</w:t>
            </w:r>
          </w:p>
        </w:tc>
        <w:tc>
          <w:tcPr>
            <w:tcW w:w="280" w:type="dxa"/>
            <w:vAlign w:val="bottom"/>
          </w:tcPr>
          <w:p>
            <w:pPr>
              <w:spacing w:after="0"/>
              <w:rPr>
                <w:sz w:val="24"/>
                <w:szCs w:val="24"/>
                <w:color w:val="auto"/>
              </w:rPr>
            </w:pPr>
          </w:p>
        </w:tc>
        <w:tc>
          <w:tcPr>
            <w:tcW w:w="940" w:type="dxa"/>
            <w:vAlign w:val="bottom"/>
            <w:gridSpan w:val="2"/>
          </w:tcPr>
          <w:p>
            <w:pPr>
              <w:ind w:left="180"/>
              <w:spacing w:after="0"/>
              <w:rPr>
                <w:sz w:val="20"/>
                <w:szCs w:val="20"/>
                <w:color w:val="auto"/>
              </w:rPr>
            </w:pPr>
            <w:r>
              <w:rPr>
                <w:rFonts w:ascii="Arial" w:cs="Arial" w:eastAsia="Arial" w:hAnsi="Arial"/>
                <w:sz w:val="10"/>
                <w:szCs w:val="10"/>
                <w:b w:val="1"/>
                <w:bCs w:val="1"/>
                <w:color w:val="auto"/>
              </w:rPr>
              <w:t>DPL</w:t>
            </w:r>
          </w:p>
        </w:tc>
        <w:tc>
          <w:tcPr>
            <w:tcW w:w="260" w:type="dxa"/>
            <w:vAlign w:val="bottom"/>
          </w:tcPr>
          <w:p>
            <w:pPr>
              <w:spacing w:after="0"/>
              <w:rPr>
                <w:sz w:val="24"/>
                <w:szCs w:val="24"/>
                <w:color w:val="auto"/>
              </w:rPr>
            </w:pPr>
          </w:p>
        </w:tc>
        <w:tc>
          <w:tcPr>
            <w:tcW w:w="840" w:type="dxa"/>
            <w:vAlign w:val="bottom"/>
          </w:tcPr>
          <w:p>
            <w:pPr>
              <w:jc w:val="right"/>
              <w:ind w:right="380"/>
              <w:spacing w:after="0"/>
              <w:rPr>
                <w:sz w:val="20"/>
                <w:szCs w:val="20"/>
                <w:color w:val="auto"/>
              </w:rPr>
            </w:pPr>
            <w:r>
              <w:rPr>
                <w:rFonts w:ascii="Arial" w:cs="Arial" w:eastAsia="Arial" w:hAnsi="Arial"/>
                <w:sz w:val="10"/>
                <w:szCs w:val="10"/>
                <w:b w:val="1"/>
                <w:bCs w:val="1"/>
                <w:color w:val="auto"/>
              </w:rPr>
              <w:t>ACE</w:t>
            </w:r>
          </w:p>
        </w:tc>
      </w:tr>
      <w:tr>
        <w:trPr>
          <w:trHeight w:val="17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2024</w:t>
            </w:r>
          </w:p>
        </w:tc>
        <w:tc>
          <w:tcPr>
            <w:tcW w:w="80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127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90"/>
        </w:trPr>
        <w:tc>
          <w:tcPr>
            <w:tcW w:w="5320" w:type="dxa"/>
            <w:vAlign w:val="bottom"/>
          </w:tcPr>
          <w:p>
            <w:pPr>
              <w:ind w:left="20"/>
              <w:spacing w:after="0"/>
              <w:rPr>
                <w:sz w:val="20"/>
                <w:szCs w:val="20"/>
                <w:color w:val="auto"/>
              </w:rPr>
            </w:pPr>
            <w:r>
              <w:rPr>
                <w:rFonts w:ascii="Arial" w:cs="Arial" w:eastAsia="Arial" w:hAnsi="Arial"/>
                <w:sz w:val="13"/>
                <w:szCs w:val="13"/>
                <w:color w:val="auto"/>
              </w:rPr>
              <w:t>Revenues recognized</w:t>
            </w:r>
          </w:p>
        </w:tc>
        <w:tc>
          <w:tcPr>
            <w:tcW w:w="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2025</w:t>
            </w:r>
          </w:p>
        </w:tc>
        <w:tc>
          <w:tcPr>
            <w:tcW w:w="80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126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Revenues recognized in the three months ended March 31, 2026 and 2025, were included in the contract liabilities at December 31, 2025 and 2024,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Transaction Price Allocated to Remaining Performance Obligations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following table shows the amounts of future revenues expected to be recorded in each year for performance obligations that are unsatisfied or partially unsatisfied as of March 31, 2026. This disclosure only includes contracts for which the total consideration is fixed and determinable at contract inception. The average contract term varies by customer type and commodity but ranges from one month to several years.</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This disclosure excludes the Utility Registrants' gas and electric tariff sales contracts and transmission revenue contracts as they generally have an original expected duration of one year or less and, therefore, do not contain any future, unsatisfied performance obligations to be included in this disclosure.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40" w:type="dxa"/>
            <w:vAlign w:val="bottom"/>
            <w:gridSpan w:val="2"/>
          </w:tcPr>
          <w:p>
            <w:pPr>
              <w:spacing w:after="0"/>
              <w:rPr>
                <w:sz w:val="20"/>
                <w:szCs w:val="20"/>
                <w:color w:val="auto"/>
              </w:rPr>
            </w:pPr>
            <w:r>
              <w:rPr>
                <w:rFonts w:ascii="Arial" w:cs="Arial" w:eastAsia="Arial" w:hAnsi="Arial"/>
                <w:sz w:val="10"/>
                <w:szCs w:val="10"/>
                <w:b w:val="1"/>
                <w:bCs w:val="1"/>
                <w:color w:val="auto"/>
              </w:rPr>
              <w:t>Year</w:t>
            </w:r>
          </w:p>
        </w:tc>
        <w:tc>
          <w:tcPr>
            <w:tcW w:w="260" w:type="dxa"/>
            <w:vAlign w:val="bottom"/>
          </w:tcPr>
          <w:p>
            <w:pPr>
              <w:spacing w:after="0"/>
              <w:rPr>
                <w:sz w:val="10"/>
                <w:szCs w:val="10"/>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Exelon</w:t>
            </w:r>
          </w:p>
        </w:tc>
        <w:tc>
          <w:tcPr>
            <w:tcW w:w="300" w:type="dxa"/>
            <w:vAlign w:val="bottom"/>
          </w:tcPr>
          <w:p>
            <w:pPr>
              <w:spacing w:after="0"/>
              <w:rPr>
                <w:sz w:val="10"/>
                <w:szCs w:val="10"/>
                <w:color w:val="auto"/>
              </w:rPr>
            </w:pPr>
          </w:p>
        </w:tc>
        <w:tc>
          <w:tcPr>
            <w:tcW w:w="1000" w:type="dxa"/>
            <w:vAlign w:val="bottom"/>
            <w:gridSpan w:val="2"/>
          </w:tcPr>
          <w:p>
            <w:pPr>
              <w:ind w:left="220"/>
              <w:spacing w:after="0"/>
              <w:rPr>
                <w:sz w:val="20"/>
                <w:szCs w:val="20"/>
                <w:color w:val="auto"/>
              </w:rPr>
            </w:pPr>
            <w:r>
              <w:rPr>
                <w:rFonts w:ascii="Arial" w:cs="Arial" w:eastAsia="Arial" w:hAnsi="Arial"/>
                <w:sz w:val="10"/>
                <w:szCs w:val="10"/>
                <w:b w:val="1"/>
                <w:bCs w:val="1"/>
                <w:color w:val="auto"/>
              </w:rPr>
              <w:t>PHI</w:t>
            </w:r>
          </w:p>
        </w:tc>
        <w:tc>
          <w:tcPr>
            <w:tcW w:w="280" w:type="dxa"/>
            <w:vAlign w:val="bottom"/>
          </w:tcPr>
          <w:p>
            <w:pPr>
              <w:spacing w:after="0"/>
              <w:rPr>
                <w:sz w:val="10"/>
                <w:szCs w:val="10"/>
                <w:color w:val="auto"/>
              </w:rPr>
            </w:pPr>
          </w:p>
        </w:tc>
        <w:tc>
          <w:tcPr>
            <w:tcW w:w="1020" w:type="dxa"/>
            <w:vAlign w:val="bottom"/>
            <w:gridSpan w:val="2"/>
          </w:tcPr>
          <w:p>
            <w:pPr>
              <w:ind w:left="180"/>
              <w:spacing w:after="0"/>
              <w:rPr>
                <w:sz w:val="20"/>
                <w:szCs w:val="20"/>
                <w:color w:val="auto"/>
              </w:rPr>
            </w:pPr>
            <w:r>
              <w:rPr>
                <w:rFonts w:ascii="Arial" w:cs="Arial" w:eastAsia="Arial" w:hAnsi="Arial"/>
                <w:sz w:val="10"/>
                <w:szCs w:val="10"/>
                <w:b w:val="1"/>
                <w:bCs w:val="1"/>
                <w:color w:val="auto"/>
              </w:rPr>
              <w:t>Pepco</w:t>
            </w:r>
          </w:p>
        </w:tc>
        <w:tc>
          <w:tcPr>
            <w:tcW w:w="860" w:type="dxa"/>
            <w:vAlign w:val="bottom"/>
          </w:tcPr>
          <w:p>
            <w:pPr>
              <w:jc w:val="right"/>
              <w:ind w:right="101"/>
              <w:spacing w:after="0"/>
              <w:rPr>
                <w:sz w:val="20"/>
                <w:szCs w:val="20"/>
                <w:color w:val="auto"/>
              </w:rPr>
            </w:pPr>
            <w:r>
              <w:rPr>
                <w:rFonts w:ascii="Arial" w:cs="Arial" w:eastAsia="Arial" w:hAnsi="Arial"/>
                <w:sz w:val="10"/>
                <w:szCs w:val="10"/>
                <w:b w:val="1"/>
                <w:bCs w:val="1"/>
                <w:color w:val="auto"/>
              </w:rPr>
              <w:t>DPL</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ind w:right="438"/>
              <w:spacing w:after="0"/>
              <w:rPr>
                <w:sz w:val="20"/>
                <w:szCs w:val="20"/>
                <w:color w:val="auto"/>
              </w:rPr>
            </w:pPr>
            <w:r>
              <w:rPr>
                <w:rFonts w:ascii="Arial" w:cs="Arial" w:eastAsia="Arial" w:hAnsi="Arial"/>
                <w:sz w:val="10"/>
                <w:szCs w:val="10"/>
                <w:b w:val="1"/>
                <w:bCs w:val="1"/>
                <w:color w:val="auto"/>
              </w:rPr>
              <w:t>ACE</w:t>
            </w:r>
          </w:p>
        </w:tc>
      </w:tr>
      <w:tr>
        <w:trPr>
          <w:trHeight w:val="22"/>
        </w:trPr>
        <w:tc>
          <w:tcPr>
            <w:tcW w:w="22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0"/>
        </w:trPr>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2026</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01"/>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840" w:type="dxa"/>
            <w:vAlign w:val="bottom"/>
            <w:gridSpan w:val="2"/>
          </w:tcPr>
          <w:p>
            <w:pPr>
              <w:spacing w:after="0"/>
              <w:rPr>
                <w:sz w:val="20"/>
                <w:szCs w:val="20"/>
                <w:color w:val="auto"/>
              </w:rPr>
            </w:pPr>
            <w:r>
              <w:rPr>
                <w:rFonts w:ascii="Arial" w:cs="Arial" w:eastAsia="Arial" w:hAnsi="Arial"/>
                <w:sz w:val="13"/>
                <w:szCs w:val="13"/>
                <w:color w:val="auto"/>
              </w:rPr>
              <w:t>2027</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2028</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4840" w:type="dxa"/>
            <w:vAlign w:val="bottom"/>
            <w:gridSpan w:val="2"/>
          </w:tcPr>
          <w:p>
            <w:pPr>
              <w:spacing w:after="0"/>
              <w:rPr>
                <w:sz w:val="20"/>
                <w:szCs w:val="20"/>
                <w:color w:val="auto"/>
              </w:rPr>
            </w:pPr>
            <w:r>
              <w:rPr>
                <w:rFonts w:ascii="Arial" w:cs="Arial" w:eastAsia="Arial" w:hAnsi="Arial"/>
                <w:sz w:val="13"/>
                <w:szCs w:val="13"/>
                <w:color w:val="auto"/>
              </w:rPr>
              <w:t>2029</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2030 and thereafter</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2"/>
        </w:trPr>
        <w:tc>
          <w:tcPr>
            <w:tcW w:w="4840" w:type="dxa"/>
            <w:vAlign w:val="bottom"/>
            <w:gridSpan w:val="2"/>
          </w:tcPr>
          <w:p>
            <w:pPr>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01"/>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r>
      <w:tr>
        <w:trPr>
          <w:trHeight w:val="20"/>
        </w:trPr>
        <w:tc>
          <w:tcPr>
            <w:tcW w:w="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Disaggregation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Registrants disaggregate revenue recognized from contracts with customers into categories that depict how the nature, amount, timing, and uncertainty of revenue and cash flows are affected by economic factors. See Note 4 — Segment Information for the presentation of the Registrants' revenue disaggregation.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4 — Segment Information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Segment Information (All Registrants)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Operating segments for each of the Registrants are determined based on information used by the CODMs in deciding how to evaluate performance and allocate resources at each of the Registrants. The Chief Executive Officer is the CODM for Exelon. For PHI and each of the Utility Registrants, CODM responsibilities are shared by Exelon's Chief Operating Officer and the Utility Registrant's Chief Executive Officer.</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Exelon has six reportable segments, which include ComEd, PECO, BGE, and PHI's three reportable segments consisting of Pepco, DPL, and ACE. ComEd, PECO, BGE, Pepco, DPL, and ACE each represent a single reportable segment, and as such, no separate segment information is provided for these Registrants. Exelon, ComEd, PECO, BGE, PHI, Pepco, DPL, and ACE's CODMs rely on a variety of business considerations, including net income, in evaluating segment performance, determining reinvestment of profits, and establishing the amounts of dividend distributions.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An analysis and reconciliation of the Registrants’ reportable segment information to the respective information in the consolidated financial statements for the three months ended March 31, 2026 and 2025 is as follows: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ind w:left="120"/>
              <w:spacing w:after="0"/>
              <w:rPr>
                <w:sz w:val="20"/>
                <w:szCs w:val="20"/>
                <w:color w:val="auto"/>
              </w:rPr>
            </w:pPr>
            <w:r>
              <w:rPr>
                <w:rFonts w:ascii="Arial" w:cs="Arial" w:eastAsia="Arial" w:hAnsi="Arial"/>
                <w:sz w:val="10"/>
                <w:szCs w:val="10"/>
                <w:b w:val="1"/>
                <w:bCs w:val="1"/>
                <w:color w:val="auto"/>
              </w:rPr>
              <w:t>Intersegment</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ComEd</w:t>
            </w:r>
          </w:p>
        </w:tc>
        <w:tc>
          <w:tcPr>
            <w:tcW w:w="22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0"/>
                <w:szCs w:val="10"/>
                <w:b w:val="1"/>
                <w:bCs w:val="1"/>
                <w:color w:val="auto"/>
              </w:rPr>
              <w:t>PECO</w:t>
            </w:r>
          </w:p>
        </w:tc>
        <w:tc>
          <w:tcPr>
            <w:tcW w:w="22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Arial" w:cs="Arial" w:eastAsia="Arial" w:hAnsi="Arial"/>
                <w:sz w:val="10"/>
                <w:szCs w:val="10"/>
                <w:b w:val="1"/>
                <w:bCs w:val="1"/>
                <w:color w:val="auto"/>
              </w:rPr>
              <w:t>BGE</w:t>
            </w:r>
          </w:p>
        </w:tc>
        <w:tc>
          <w:tcPr>
            <w:tcW w:w="24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0"/>
                <w:szCs w:val="10"/>
                <w:b w:val="1"/>
                <w:bCs w:val="1"/>
                <w:color w:val="auto"/>
              </w:rPr>
              <w:t>PHI</w:t>
            </w:r>
          </w:p>
        </w:tc>
        <w:tc>
          <w:tcPr>
            <w:tcW w:w="1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20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0"/>
                <w:szCs w:val="10"/>
                <w:b w:val="1"/>
                <w:bCs w:val="1"/>
                <w:color w:val="auto"/>
              </w:rPr>
              <w:t>Eliminations</w:t>
            </w:r>
          </w:p>
        </w:tc>
        <w:tc>
          <w:tcPr>
            <w:tcW w:w="220" w:type="dxa"/>
            <w:vAlign w:val="bottom"/>
          </w:tcPr>
          <w:p>
            <w:pPr>
              <w:spacing w:after="0"/>
              <w:rPr>
                <w:sz w:val="13"/>
                <w:szCs w:val="13"/>
                <w:color w:val="auto"/>
              </w:rPr>
            </w:pPr>
          </w:p>
        </w:tc>
        <w:tc>
          <w:tcPr>
            <w:tcW w:w="800" w:type="dxa"/>
            <w:vAlign w:val="bottom"/>
          </w:tcPr>
          <w:p>
            <w:pPr>
              <w:jc w:val="right"/>
              <w:ind w:right="277"/>
              <w:spacing w:after="0"/>
              <w:rPr>
                <w:sz w:val="20"/>
                <w:szCs w:val="20"/>
                <w:color w:val="auto"/>
              </w:rPr>
            </w:pPr>
            <w:r>
              <w:rPr>
                <w:rFonts w:ascii="Arial" w:cs="Arial" w:eastAsia="Arial" w:hAnsi="Arial"/>
                <w:sz w:val="10"/>
                <w:szCs w:val="10"/>
                <w:b w:val="1"/>
                <w:bCs w:val="1"/>
                <w:color w:val="auto"/>
              </w:rPr>
              <w:t>Exelon</w:t>
            </w:r>
          </w:p>
        </w:tc>
        <w:tc>
          <w:tcPr>
            <w:tcW w:w="0" w:type="dxa"/>
            <w:vAlign w:val="bottom"/>
          </w:tcPr>
          <w:p>
            <w:pPr>
              <w:spacing w:after="0"/>
              <w:rPr>
                <w:sz w:val="1"/>
                <w:szCs w:val="1"/>
                <w:color w:val="auto"/>
              </w:rPr>
            </w:pPr>
          </w:p>
        </w:tc>
      </w:tr>
      <w:tr>
        <w:trPr>
          <w:trHeight w:val="150"/>
        </w:trPr>
        <w:tc>
          <w:tcPr>
            <w:tcW w:w="374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3"/>
                <w:szCs w:val="13"/>
                <w:b w:val="1"/>
                <w:bCs w:val="1"/>
                <w:color w:val="auto"/>
              </w:rPr>
              <w:t>Operating revenues</w:t>
            </w:r>
            <w:r>
              <w:rPr>
                <w:rFonts w:ascii="Arial" w:cs="Arial" w:eastAsia="Arial" w:hAnsi="Arial"/>
                <w:sz w:val="16"/>
                <w:szCs w:val="16"/>
                <w:b w:val="1"/>
                <w:bCs w:val="1"/>
                <w:color w:val="auto"/>
                <w:vertAlign w:val="superscript"/>
              </w:rPr>
              <w:t>(b)</w:t>
            </w:r>
            <w:r>
              <w:rPr>
                <w:rFonts w:ascii="Arial" w:cs="Arial" w:eastAsia="Arial" w:hAnsi="Arial"/>
                <w:sz w:val="13"/>
                <w:szCs w:val="13"/>
                <w:b w:val="1"/>
                <w:bCs w:val="1"/>
                <w:color w:val="auto"/>
              </w:rPr>
              <w:t>:</w:t>
            </w: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180"/>
              <w:spacing w:after="0"/>
              <w:rPr>
                <w:sz w:val="20"/>
                <w:szCs w:val="20"/>
                <w:color w:val="auto"/>
              </w:rPr>
            </w:pPr>
            <w:r>
              <w:rPr>
                <w:rFonts w:ascii="Arial" w:cs="Arial" w:eastAsia="Arial" w:hAnsi="Arial"/>
                <w:sz w:val="13"/>
                <w:szCs w:val="13"/>
                <w:color w:val="auto"/>
              </w:rPr>
              <w:t>2026</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Electric revenues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6,134</w:t>
            </w:r>
          </w:p>
        </w:tc>
        <w:tc>
          <w:tcPr>
            <w:tcW w:w="0" w:type="dxa"/>
            <w:vAlign w:val="bottom"/>
          </w:tcPr>
          <w:p>
            <w:pPr>
              <w:spacing w:after="0"/>
              <w:rPr>
                <w:sz w:val="1"/>
                <w:szCs w:val="1"/>
                <w:color w:val="auto"/>
              </w:rPr>
            </w:pPr>
          </w:p>
        </w:tc>
      </w:tr>
      <w:tr>
        <w:trPr>
          <w:trHeight w:val="169"/>
        </w:trPr>
        <w:tc>
          <w:tcPr>
            <w:tcW w:w="3740" w:type="dxa"/>
            <w:vAlign w:val="bottom"/>
          </w:tcPr>
          <w:p>
            <w:pPr>
              <w:ind w:left="280"/>
              <w:spacing w:after="0"/>
              <w:rPr>
                <w:sz w:val="20"/>
                <w:szCs w:val="20"/>
                <w:color w:val="auto"/>
              </w:rPr>
            </w:pPr>
            <w:r>
              <w:rPr>
                <w:rFonts w:ascii="Arial" w:cs="Arial" w:eastAsia="Arial" w:hAnsi="Arial"/>
                <w:sz w:val="13"/>
                <w:szCs w:val="13"/>
                <w:color w:val="auto"/>
              </w:rPr>
              <w:t>Natural gas revenues</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1,108</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Shared service and other revenues</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3740" w:type="dxa"/>
            <w:vAlign w:val="bottom"/>
          </w:tcPr>
          <w:p>
            <w:pPr>
              <w:ind w:left="280"/>
              <w:spacing w:after="0" w:line="148" w:lineRule="exact"/>
              <w:rPr>
                <w:sz w:val="20"/>
                <w:szCs w:val="20"/>
                <w:color w:val="auto"/>
              </w:rPr>
            </w:pPr>
            <w:r>
              <w:rPr>
                <w:rFonts w:ascii="Arial" w:cs="Arial" w:eastAsia="Arial" w:hAnsi="Arial"/>
                <w:sz w:val="13"/>
                <w:szCs w:val="13"/>
                <w:color w:val="auto"/>
              </w:rPr>
              <w:t>Total operating revenues</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1,492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1,828</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2,030</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7,242</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40" w:type="dxa"/>
            <w:vAlign w:val="bottom"/>
            <w:shd w:val="clear" w:color="auto" w:fill="CCEEFF"/>
          </w:tcPr>
          <w:p>
            <w:pPr>
              <w:ind w:left="180"/>
              <w:spacing w:after="0" w:line="133" w:lineRule="exact"/>
              <w:rPr>
                <w:sz w:val="20"/>
                <w:szCs w:val="20"/>
                <w:color w:val="auto"/>
              </w:rPr>
            </w:pPr>
            <w:r>
              <w:rPr>
                <w:rFonts w:ascii="Arial" w:cs="Arial" w:eastAsia="Arial" w:hAnsi="Arial"/>
                <w:sz w:val="13"/>
                <w:szCs w:val="13"/>
                <w:color w:val="auto"/>
              </w:rPr>
              <w:t>2025</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80"/>
              <w:spacing w:after="0"/>
              <w:rPr>
                <w:sz w:val="20"/>
                <w:szCs w:val="20"/>
                <w:color w:val="auto"/>
              </w:rPr>
            </w:pPr>
            <w:r>
              <w:rPr>
                <w:rFonts w:ascii="Arial" w:cs="Arial" w:eastAsia="Arial" w:hAnsi="Arial"/>
                <w:sz w:val="13"/>
                <w:szCs w:val="13"/>
                <w:color w:val="auto"/>
              </w:rPr>
              <w:t>Electric revenues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2,065</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956</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1,012</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1,687</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5,709</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Natural gas revenues</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w:t>
            </w:r>
          </w:p>
        </w:tc>
        <w:tc>
          <w:tcPr>
            <w:tcW w:w="0" w:type="dxa"/>
            <w:vAlign w:val="bottom"/>
          </w:tcPr>
          <w:p>
            <w:pPr>
              <w:spacing w:after="0"/>
              <w:rPr>
                <w:sz w:val="1"/>
                <w:szCs w:val="1"/>
                <w:color w:val="auto"/>
              </w:rPr>
            </w:pPr>
          </w:p>
        </w:tc>
      </w:tr>
      <w:tr>
        <w:trPr>
          <w:trHeight w:val="169"/>
        </w:trPr>
        <w:tc>
          <w:tcPr>
            <w:tcW w:w="3740" w:type="dxa"/>
            <w:vAlign w:val="bottom"/>
          </w:tcPr>
          <w:p>
            <w:pPr>
              <w:ind w:left="280"/>
              <w:spacing w:after="0"/>
              <w:rPr>
                <w:sz w:val="20"/>
                <w:szCs w:val="20"/>
                <w:color w:val="auto"/>
              </w:rPr>
            </w:pPr>
            <w:r>
              <w:rPr>
                <w:rFonts w:ascii="Arial" w:cs="Arial" w:eastAsia="Arial" w:hAnsi="Arial"/>
                <w:sz w:val="13"/>
                <w:szCs w:val="13"/>
                <w:color w:val="auto"/>
              </w:rPr>
              <w:t>Shared service and other revenues</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7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operating revenues</w:t>
            </w: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Less: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Purchased power</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180"/>
              <w:spacing w:after="0"/>
              <w:rPr>
                <w:sz w:val="20"/>
                <w:szCs w:val="20"/>
                <w:color w:val="auto"/>
              </w:rPr>
            </w:pPr>
            <w:r>
              <w:rPr>
                <w:rFonts w:ascii="Arial" w:cs="Arial" w:eastAsia="Arial" w:hAnsi="Arial"/>
                <w:sz w:val="13"/>
                <w:szCs w:val="13"/>
                <w:color w:val="auto"/>
              </w:rPr>
              <w:t>2026</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451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451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630</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850</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2,382</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w:t>
            </w:r>
          </w:p>
        </w:tc>
        <w:tc>
          <w:tcPr>
            <w:tcW w:w="0" w:type="dxa"/>
            <w:vAlign w:val="bottom"/>
          </w:tcPr>
          <w:p>
            <w:pPr>
              <w:spacing w:after="0"/>
              <w:rPr>
                <w:sz w:val="1"/>
                <w:szCs w:val="1"/>
                <w:color w:val="auto"/>
              </w:rPr>
            </w:pP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Purchased fuel</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169"/>
        </w:trPr>
        <w:tc>
          <w:tcPr>
            <w:tcW w:w="3740" w:type="dxa"/>
            <w:vAlign w:val="bottom"/>
          </w:tcPr>
          <w:p>
            <w:pPr>
              <w:ind w:left="180"/>
              <w:spacing w:after="0"/>
              <w:rPr>
                <w:sz w:val="20"/>
                <w:szCs w:val="20"/>
                <w:color w:val="auto"/>
              </w:rPr>
            </w:pPr>
            <w:r>
              <w:rPr>
                <w:rFonts w:ascii="Arial" w:cs="Arial" w:eastAsia="Arial" w:hAnsi="Arial"/>
                <w:sz w:val="13"/>
                <w:szCs w:val="13"/>
                <w:color w:val="auto"/>
              </w:rPr>
              <w:t>2025</w:t>
            </w: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and maintenance</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180"/>
              <w:spacing w:after="0"/>
              <w:rPr>
                <w:sz w:val="20"/>
                <w:szCs w:val="20"/>
                <w:color w:val="auto"/>
              </w:rPr>
            </w:pPr>
            <w:r>
              <w:rPr>
                <w:rFonts w:ascii="Arial" w:cs="Arial" w:eastAsia="Arial" w:hAnsi="Arial"/>
                <w:sz w:val="13"/>
                <w:szCs w:val="13"/>
                <w:color w:val="auto"/>
              </w:rPr>
              <w:t>2026</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335</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260</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365</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447</w:t>
            </w:r>
          </w:p>
        </w:tc>
        <w:tc>
          <w:tcPr>
            <w:tcW w:w="8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1,466</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w:t>
            </w:r>
          </w:p>
        </w:tc>
        <w:tc>
          <w:tcPr>
            <w:tcW w:w="0" w:type="dxa"/>
            <w:vAlign w:val="bottom"/>
          </w:tcPr>
          <w:p>
            <w:pPr>
              <w:spacing w:after="0"/>
              <w:rPr>
                <w:sz w:val="1"/>
                <w:szCs w:val="1"/>
                <w:color w:val="auto"/>
              </w:rPr>
            </w:pP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Operating and maintenance from affiliates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740" w:type="dxa"/>
            <w:vAlign w:val="bottom"/>
          </w:tcPr>
          <w:p>
            <w:pPr>
              <w:ind w:left="180"/>
              <w:spacing w:after="0"/>
              <w:rPr>
                <w:sz w:val="20"/>
                <w:szCs w:val="20"/>
                <w:color w:val="auto"/>
              </w:rPr>
            </w:pPr>
            <w:r>
              <w:rPr>
                <w:rFonts w:ascii="Arial" w:cs="Arial" w:eastAsia="Arial" w:hAnsi="Arial"/>
                <w:sz w:val="13"/>
                <w:szCs w:val="13"/>
                <w:color w:val="auto"/>
              </w:rPr>
              <w:t>2025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180"/>
              <w:spacing w:after="0"/>
              <w:rPr>
                <w:sz w:val="20"/>
                <w:szCs w:val="20"/>
                <w:color w:val="auto"/>
              </w:rPr>
            </w:pPr>
            <w:r>
              <w:rPr>
                <w:rFonts w:ascii="Arial" w:cs="Arial" w:eastAsia="Arial" w:hAnsi="Arial"/>
                <w:sz w:val="13"/>
                <w:szCs w:val="13"/>
                <w:color w:val="auto"/>
              </w:rPr>
              <w:t>2026</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404</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246</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952</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4 — Segment Information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60" w:type="dxa"/>
            <w:vAlign w:val="bottom"/>
          </w:tcPr>
          <w:p>
            <w:pPr>
              <w:ind w:left="100"/>
              <w:spacing w:after="0"/>
              <w:rPr>
                <w:sz w:val="20"/>
                <w:szCs w:val="20"/>
                <w:color w:val="auto"/>
              </w:rPr>
            </w:pPr>
            <w:r>
              <w:rPr>
                <w:rFonts w:ascii="Arial" w:cs="Arial" w:eastAsia="Arial" w:hAnsi="Arial"/>
                <w:sz w:val="13"/>
                <w:szCs w:val="13"/>
                <w:color w:val="auto"/>
              </w:rPr>
              <w:t>Taxes other than income taxes</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105</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104</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151</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r>
      <w:tr>
        <w:trPr>
          <w:trHeight w:val="169"/>
        </w:trPr>
        <w:tc>
          <w:tcPr>
            <w:tcW w:w="3560" w:type="dxa"/>
            <w:vAlign w:val="bottom"/>
          </w:tcPr>
          <w:p>
            <w:pPr>
              <w:ind w:left="180"/>
              <w:spacing w:after="0"/>
              <w:rPr>
                <w:sz w:val="20"/>
                <w:szCs w:val="20"/>
                <w:color w:val="auto"/>
              </w:rPr>
            </w:pPr>
            <w:r>
              <w:rPr>
                <w:rFonts w:ascii="Arial" w:cs="Arial" w:eastAsia="Arial" w:hAnsi="Arial"/>
                <w:sz w:val="13"/>
                <w:szCs w:val="13"/>
                <w:color w:val="auto"/>
              </w:rPr>
              <w:t>2025</w:t>
            </w:r>
          </w:p>
        </w:tc>
        <w:tc>
          <w:tcPr>
            <w:tcW w:w="4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99</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60</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96</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140</w:t>
            </w:r>
          </w:p>
        </w:tc>
        <w:tc>
          <w:tcPr>
            <w:tcW w:w="34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50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405</w:t>
            </w:r>
          </w:p>
        </w:tc>
      </w:tr>
      <w:tr>
        <w:trPr>
          <w:trHeight w:val="171"/>
        </w:trPr>
        <w:tc>
          <w:tcPr>
            <w:tcW w:w="3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Loss on sale of assets</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3560" w:type="dxa"/>
            <w:vAlign w:val="bottom"/>
          </w:tcPr>
          <w:p>
            <w:pPr>
              <w:ind w:left="180"/>
              <w:spacing w:after="0"/>
              <w:rPr>
                <w:sz w:val="20"/>
                <w:szCs w:val="20"/>
                <w:color w:val="auto"/>
              </w:rPr>
            </w:pPr>
            <w:r>
              <w:rPr>
                <w:rFonts w:ascii="Arial" w:cs="Arial" w:eastAsia="Arial" w:hAnsi="Arial"/>
                <w:sz w:val="13"/>
                <w:szCs w:val="13"/>
                <w:color w:val="auto"/>
              </w:rPr>
              <w:t>2026</w:t>
            </w:r>
          </w:p>
        </w:tc>
        <w:tc>
          <w:tcPr>
            <w:tcW w:w="4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0"/>
        </w:trPr>
        <w:tc>
          <w:tcPr>
            <w:tcW w:w="3560" w:type="dxa"/>
            <w:vAlign w:val="bottom"/>
          </w:tcPr>
          <w:p>
            <w:pPr>
              <w:ind w:left="100"/>
              <w:spacing w:after="0" w:line="170" w:lineRule="exact"/>
              <w:rPr>
                <w:sz w:val="20"/>
                <w:szCs w:val="20"/>
                <w:color w:val="auto"/>
              </w:rPr>
            </w:pPr>
            <w:r>
              <w:rPr>
                <w:rFonts w:ascii="Arial" w:cs="Arial" w:eastAsia="Arial" w:hAnsi="Arial"/>
                <w:sz w:val="13"/>
                <w:szCs w:val="13"/>
                <w:color w:val="auto"/>
              </w:rPr>
              <w:t>Interest expense, net</w:t>
            </w:r>
            <w:r>
              <w:rPr>
                <w:rFonts w:ascii="Arial" w:cs="Arial" w:eastAsia="Arial" w:hAnsi="Arial"/>
                <w:sz w:val="16"/>
                <w:szCs w:val="16"/>
                <w:color w:val="auto"/>
                <w:vertAlign w:val="superscript"/>
              </w:rPr>
              <w:t>(c)</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132</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62</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105</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180</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r>
      <w:tr>
        <w:trPr>
          <w:trHeight w:val="169"/>
        </w:trPr>
        <w:tc>
          <w:tcPr>
            <w:tcW w:w="3560" w:type="dxa"/>
            <w:vAlign w:val="bottom"/>
          </w:tcPr>
          <w:p>
            <w:pPr>
              <w:ind w:left="180"/>
              <w:spacing w:after="0"/>
              <w:rPr>
                <w:sz w:val="20"/>
                <w:szCs w:val="20"/>
                <w:color w:val="auto"/>
              </w:rPr>
            </w:pPr>
            <w:r>
              <w:rPr>
                <w:rFonts w:ascii="Arial" w:cs="Arial" w:eastAsia="Arial" w:hAnsi="Arial"/>
                <w:sz w:val="13"/>
                <w:szCs w:val="13"/>
                <w:color w:val="auto"/>
              </w:rPr>
              <w:t>2025</w:t>
            </w:r>
          </w:p>
        </w:tc>
        <w:tc>
          <w:tcPr>
            <w:tcW w:w="4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125</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59</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58</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99</w:t>
            </w:r>
          </w:p>
        </w:tc>
        <w:tc>
          <w:tcPr>
            <w:tcW w:w="34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163</w:t>
            </w:r>
          </w:p>
        </w:tc>
        <w:tc>
          <w:tcPr>
            <w:tcW w:w="50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504</w:t>
            </w:r>
          </w:p>
        </w:tc>
      </w:tr>
      <w:tr>
        <w:trPr>
          <w:trHeight w:val="171"/>
        </w:trPr>
        <w:tc>
          <w:tcPr>
            <w:tcW w:w="3560" w:type="dxa"/>
            <w:vAlign w:val="bottom"/>
            <w:shd w:val="clear" w:color="auto" w:fill="CCEEFF"/>
          </w:tcPr>
          <w:p>
            <w:pPr>
              <w:ind w:left="100"/>
              <w:spacing w:after="0" w:line="171" w:lineRule="exact"/>
              <w:rPr>
                <w:sz w:val="20"/>
                <w:szCs w:val="20"/>
                <w:color w:val="auto"/>
              </w:rPr>
            </w:pPr>
            <w:r>
              <w:rPr>
                <w:rFonts w:ascii="Arial" w:cs="Arial" w:eastAsia="Arial" w:hAnsi="Arial"/>
                <w:sz w:val="13"/>
                <w:szCs w:val="13"/>
                <w:color w:val="auto"/>
              </w:rPr>
              <w:t>Interest expense to affiliates, net</w:t>
            </w:r>
            <w:r>
              <w:rPr>
                <w:rFonts w:ascii="Arial" w:cs="Arial" w:eastAsia="Arial" w:hAnsi="Arial"/>
                <w:sz w:val="16"/>
                <w:szCs w:val="16"/>
                <w:color w:val="auto"/>
                <w:vertAlign w:val="superscript"/>
              </w:rPr>
              <w:t>(c)</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3560" w:type="dxa"/>
            <w:vAlign w:val="bottom"/>
          </w:tcPr>
          <w:p>
            <w:pPr>
              <w:ind w:left="180"/>
              <w:spacing w:after="0"/>
              <w:rPr>
                <w:sz w:val="20"/>
                <w:szCs w:val="20"/>
                <w:color w:val="auto"/>
              </w:rPr>
            </w:pPr>
            <w:r>
              <w:rPr>
                <w:rFonts w:ascii="Arial" w:cs="Arial" w:eastAsia="Arial" w:hAnsi="Arial"/>
                <w:sz w:val="13"/>
                <w:szCs w:val="13"/>
                <w:color w:val="auto"/>
              </w:rPr>
              <w:t>2026</w:t>
            </w:r>
          </w:p>
        </w:tc>
        <w:tc>
          <w:tcPr>
            <w:tcW w:w="4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3560" w:type="dxa"/>
            <w:vAlign w:val="bottom"/>
          </w:tcPr>
          <w:p>
            <w:pPr>
              <w:ind w:left="100"/>
              <w:spacing w:after="0"/>
              <w:rPr>
                <w:sz w:val="20"/>
                <w:szCs w:val="20"/>
                <w:color w:val="auto"/>
              </w:rPr>
            </w:pPr>
            <w:r>
              <w:rPr>
                <w:rFonts w:ascii="Arial" w:cs="Arial" w:eastAsia="Arial" w:hAnsi="Arial"/>
                <w:sz w:val="13"/>
                <w:szCs w:val="13"/>
                <w:color w:val="auto"/>
              </w:rPr>
              <w:t>Other, net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r>
      <w:tr>
        <w:trPr>
          <w:trHeight w:val="169"/>
        </w:trPr>
        <w:tc>
          <w:tcPr>
            <w:tcW w:w="3560" w:type="dxa"/>
            <w:vAlign w:val="bottom"/>
          </w:tcPr>
          <w:p>
            <w:pPr>
              <w:ind w:left="180"/>
              <w:spacing w:after="0"/>
              <w:rPr>
                <w:sz w:val="20"/>
                <w:szCs w:val="20"/>
                <w:color w:val="auto"/>
              </w:rPr>
            </w:pPr>
            <w:r>
              <w:rPr>
                <w:rFonts w:ascii="Arial" w:cs="Arial" w:eastAsia="Arial" w:hAnsi="Arial"/>
                <w:sz w:val="13"/>
                <w:szCs w:val="13"/>
                <w:color w:val="auto"/>
              </w:rPr>
              <w:t>2025</w:t>
            </w:r>
          </w:p>
        </w:tc>
        <w:tc>
          <w:tcPr>
            <w:tcW w:w="4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50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16</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71"/>
        </w:trPr>
        <w:tc>
          <w:tcPr>
            <w:tcW w:w="3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Income taxes</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3560" w:type="dxa"/>
            <w:vAlign w:val="bottom"/>
          </w:tcPr>
          <w:p>
            <w:pPr>
              <w:ind w:left="180"/>
              <w:spacing w:after="0"/>
              <w:rPr>
                <w:sz w:val="20"/>
                <w:szCs w:val="20"/>
                <w:color w:val="auto"/>
              </w:rPr>
            </w:pPr>
            <w:r>
              <w:rPr>
                <w:rFonts w:ascii="Arial" w:cs="Arial" w:eastAsia="Arial" w:hAnsi="Arial"/>
                <w:sz w:val="13"/>
                <w:szCs w:val="13"/>
                <w:color w:val="auto"/>
              </w:rPr>
              <w:t>2026</w:t>
            </w:r>
          </w:p>
        </w:tc>
        <w:tc>
          <w:tcPr>
            <w:tcW w:w="4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101</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15</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79</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47</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(42)</w:t>
            </w:r>
          </w:p>
        </w:tc>
        <w:tc>
          <w:tcPr>
            <w:tcW w:w="50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171"/>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65</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71</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57</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r>
      <w:tr>
        <w:trPr>
          <w:trHeight w:val="170"/>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common shareholders</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310</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278</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298</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169</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r>
      <w:tr>
        <w:trPr>
          <w:trHeight w:val="169"/>
        </w:trPr>
        <w:tc>
          <w:tcPr>
            <w:tcW w:w="3560" w:type="dxa"/>
            <w:vAlign w:val="bottom"/>
          </w:tcPr>
          <w:p>
            <w:pPr>
              <w:ind w:left="180"/>
              <w:spacing w:after="0"/>
              <w:rPr>
                <w:sz w:val="20"/>
                <w:szCs w:val="20"/>
                <w:color w:val="auto"/>
              </w:rPr>
            </w:pPr>
            <w:r>
              <w:rPr>
                <w:rFonts w:ascii="Arial" w:cs="Arial" w:eastAsia="Arial" w:hAnsi="Arial"/>
                <w:sz w:val="13"/>
                <w:szCs w:val="13"/>
                <w:color w:val="auto"/>
              </w:rPr>
              <w:t>2025</w:t>
            </w:r>
          </w:p>
        </w:tc>
        <w:tc>
          <w:tcPr>
            <w:tcW w:w="4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302</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266</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260</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194</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w:t>
            </w:r>
          </w:p>
        </w:tc>
        <w:tc>
          <w:tcPr>
            <w:tcW w:w="50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908</w:t>
            </w:r>
          </w:p>
        </w:tc>
      </w:tr>
      <w:tr>
        <w:trPr>
          <w:trHeight w:val="171"/>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segment information</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0"/>
        </w:trPr>
        <w:tc>
          <w:tcPr>
            <w:tcW w:w="3560" w:type="dxa"/>
            <w:vAlign w:val="bottom"/>
          </w:tcPr>
          <w:p>
            <w:pPr>
              <w:ind w:left="100"/>
              <w:spacing w:after="0" w:line="170" w:lineRule="exact"/>
              <w:rPr>
                <w:sz w:val="20"/>
                <w:szCs w:val="20"/>
                <w:color w:val="auto"/>
              </w:rPr>
            </w:pPr>
            <w:r>
              <w:rPr>
                <w:rFonts w:ascii="Arial" w:cs="Arial" w:eastAsia="Arial" w:hAnsi="Arial"/>
                <w:sz w:val="13"/>
                <w:szCs w:val="13"/>
                <w:color w:val="auto"/>
              </w:rPr>
              <w:t>Intersegment revenues</w:t>
            </w:r>
            <w:r>
              <w:rPr>
                <w:rFonts w:ascii="Arial" w:cs="Arial" w:eastAsia="Arial" w:hAnsi="Arial"/>
                <w:sz w:val="16"/>
                <w:szCs w:val="16"/>
                <w:color w:val="auto"/>
                <w:vertAlign w:val="superscript"/>
              </w:rPr>
              <w:t>(d)</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486</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560" w:type="dxa"/>
            <w:vAlign w:val="bottom"/>
          </w:tcPr>
          <w:p>
            <w:pPr>
              <w:ind w:left="180"/>
              <w:spacing w:after="0"/>
              <w:rPr>
                <w:sz w:val="20"/>
                <w:szCs w:val="20"/>
                <w:color w:val="auto"/>
              </w:rPr>
            </w:pPr>
            <w:r>
              <w:rPr>
                <w:rFonts w:ascii="Arial" w:cs="Arial" w:eastAsia="Arial" w:hAnsi="Arial"/>
                <w:sz w:val="13"/>
                <w:szCs w:val="13"/>
                <w:color w:val="auto"/>
              </w:rPr>
              <w:t>2025</w:t>
            </w:r>
          </w:p>
        </w:tc>
        <w:tc>
          <w:tcPr>
            <w:tcW w:w="4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8</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34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463</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(478)</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Capital expenditures</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3560" w:type="dxa"/>
            <w:vAlign w:val="bottom"/>
          </w:tcPr>
          <w:p>
            <w:pPr>
              <w:ind w:left="180"/>
              <w:spacing w:after="0"/>
              <w:rPr>
                <w:sz w:val="20"/>
                <w:szCs w:val="20"/>
                <w:color w:val="auto"/>
              </w:rPr>
            </w:pPr>
            <w:r>
              <w:rPr>
                <w:rFonts w:ascii="Arial" w:cs="Arial" w:eastAsia="Arial" w:hAnsi="Arial"/>
                <w:sz w:val="13"/>
                <w:szCs w:val="13"/>
                <w:color w:val="auto"/>
              </w:rPr>
              <w:t>2026</w:t>
            </w:r>
          </w:p>
        </w:tc>
        <w:tc>
          <w:tcPr>
            <w:tcW w:w="4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885</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469</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437</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558</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9</w:t>
            </w:r>
          </w:p>
        </w:tc>
        <w:tc>
          <w:tcPr>
            <w:tcW w:w="50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2,358</w:t>
            </w:r>
          </w:p>
        </w:tc>
      </w:tr>
      <w:tr>
        <w:trPr>
          <w:trHeight w:val="171"/>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590</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406</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513</w:t>
            </w: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w:t>
            </w: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w:t>
            </w:r>
          </w:p>
        </w:tc>
      </w:tr>
      <w:tr>
        <w:trPr>
          <w:trHeight w:val="169"/>
        </w:trPr>
        <w:tc>
          <w:tcPr>
            <w:tcW w:w="356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March 31, 2026</w:t>
            </w:r>
          </w:p>
        </w:tc>
        <w:tc>
          <w:tcPr>
            <w:tcW w:w="4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48,478</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20,193</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17,171</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29,657</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6,380</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(4,334)</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117,545</w:t>
            </w:r>
          </w:p>
        </w:tc>
      </w:tr>
      <w:tr>
        <w:trPr>
          <w:trHeight w:val="167"/>
        </w:trPr>
        <w:tc>
          <w:tcPr>
            <w:tcW w:w="3560" w:type="dxa"/>
            <w:vAlign w:val="bottom"/>
          </w:tcPr>
          <w:p>
            <w:pPr>
              <w:ind w:left="180"/>
              <w:spacing w:after="0"/>
              <w:rPr>
                <w:sz w:val="20"/>
                <w:szCs w:val="20"/>
                <w:color w:val="auto"/>
              </w:rPr>
            </w:pPr>
            <w:r>
              <w:rPr>
                <w:rFonts w:ascii="Arial" w:cs="Arial" w:eastAsia="Arial" w:hAnsi="Arial"/>
                <w:sz w:val="13"/>
                <w:szCs w:val="13"/>
                <w:color w:val="auto"/>
              </w:rPr>
              <w:t>December 31, 2025</w:t>
            </w:r>
          </w:p>
        </w:tc>
        <w:tc>
          <w:tcPr>
            <w:tcW w:w="4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48,285</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19,362</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17,184</w:t>
            </w:r>
          </w:p>
        </w:tc>
        <w:tc>
          <w:tcPr>
            <w:tcW w:w="34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29,715</w:t>
            </w:r>
          </w:p>
        </w:tc>
        <w:tc>
          <w:tcPr>
            <w:tcW w:w="34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6,170</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(4,146)</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116,570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Other primarily includes Exelon’s corporate operations, shared service entities, and other financing and investment activities.</w:t>
      </w:r>
    </w:p>
    <w:p>
      <w:pPr>
        <w:spacing w:after="0" w:line="3" w:lineRule="exact"/>
        <w:rPr>
          <w:rFonts w:ascii="Arial" w:cs="Arial" w:eastAsia="Arial" w:hAnsi="Arial"/>
          <w:sz w:val="11"/>
          <w:szCs w:val="11"/>
          <w:color w:val="auto"/>
        </w:rPr>
      </w:pPr>
    </w:p>
    <w:p>
      <w:pPr>
        <w:ind w:left="260" w:hanging="255"/>
        <w:spacing w:after="0" w:line="261" w:lineRule="auto"/>
        <w:tabs>
          <w:tab w:leader="none" w:pos="249"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gross utility tax receipts from customers. The offsetting remittance of utility taxes to the governing bodies is recorded in Taxes other than income taxes in the Registrants’ Consolidated Statements of Operations and Comprehensive Income. See Note 14 — Supplemental Financial Information for additional information on total utility taxes.</w:t>
      </w: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Interest expense, net and Interest expense to affiliates, net are primarily inclusive of Interest expense, which is partially offset by an immaterial amount of Interest income.</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See Note 15 — Related Party Transactions for additional information on intersegment revenues.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PHI:</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0"/>
                <w:szCs w:val="10"/>
                <w:b w:val="1"/>
                <w:bCs w:val="1"/>
                <w:color w:val="auto"/>
              </w:rPr>
              <w:t>Intersegment</w:t>
            </w: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53"/>
        </w:trPr>
        <w:tc>
          <w:tcPr>
            <w:tcW w:w="4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Pepco</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0"/>
                <w:szCs w:val="10"/>
                <w:b w:val="1"/>
                <w:bCs w:val="1"/>
                <w:color w:val="auto"/>
              </w:rPr>
              <w:t>DPL</w:t>
            </w:r>
          </w:p>
        </w:tc>
        <w:tc>
          <w:tcPr>
            <w:tcW w:w="2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0"/>
                <w:szCs w:val="10"/>
                <w:b w:val="1"/>
                <w:bCs w:val="1"/>
                <w:color w:val="auto"/>
              </w:rPr>
              <w:t>ACE</w:t>
            </w:r>
          </w:p>
        </w:tc>
        <w:tc>
          <w:tcPr>
            <w:tcW w:w="22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0"/>
                <w:szCs w:val="10"/>
                <w:b w:val="1"/>
                <w:bCs w:val="1"/>
                <w:color w:val="auto"/>
              </w:rPr>
              <w:t>Eliminations</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0"/>
              <w:spacing w:after="0"/>
              <w:rPr>
                <w:sz w:val="20"/>
                <w:szCs w:val="20"/>
                <w:color w:val="auto"/>
              </w:rPr>
            </w:pPr>
            <w:r>
              <w:rPr>
                <w:rFonts w:ascii="Arial" w:cs="Arial" w:eastAsia="Arial" w:hAnsi="Arial"/>
                <w:sz w:val="10"/>
                <w:szCs w:val="10"/>
                <w:b w:val="1"/>
                <w:bCs w:val="1"/>
                <w:color w:val="auto"/>
              </w:rPr>
              <w:t>PHI</w:t>
            </w:r>
          </w:p>
        </w:tc>
      </w:tr>
      <w:tr>
        <w:trPr>
          <w:trHeight w:val="150"/>
        </w:trPr>
        <w:tc>
          <w:tcPr>
            <w:tcW w:w="4420" w:type="dxa"/>
            <w:vAlign w:val="bottom"/>
          </w:tcPr>
          <w:p>
            <w:pPr>
              <w:ind w:left="20"/>
              <w:spacing w:after="0" w:line="150" w:lineRule="exact"/>
              <w:rPr>
                <w:sz w:val="20"/>
                <w:szCs w:val="20"/>
                <w:color w:val="auto"/>
              </w:rPr>
            </w:pPr>
            <w:r>
              <w:rPr>
                <w:rFonts w:ascii="Arial" w:cs="Arial" w:eastAsia="Arial" w:hAnsi="Arial"/>
                <w:sz w:val="13"/>
                <w:szCs w:val="13"/>
                <w:b w:val="1"/>
                <w:bCs w:val="1"/>
                <w:color w:val="auto"/>
              </w:rPr>
              <w:t>Operating revenues</w:t>
            </w:r>
            <w:r>
              <w:rPr>
                <w:rFonts w:ascii="Arial" w:cs="Arial" w:eastAsia="Arial" w:hAnsi="Arial"/>
                <w:sz w:val="16"/>
                <w:szCs w:val="16"/>
                <w:b w:val="1"/>
                <w:bCs w:val="1"/>
                <w:color w:val="auto"/>
                <w:vertAlign w:val="superscript"/>
              </w:rPr>
              <w:t>(b)</w:t>
            </w:r>
            <w:r>
              <w:rPr>
                <w:rFonts w:ascii="Arial" w:cs="Arial" w:eastAsia="Arial" w:hAnsi="Arial"/>
                <w:sz w:val="13"/>
                <w:szCs w:val="13"/>
                <w:b w:val="1"/>
                <w:bCs w:val="1"/>
                <w:color w:val="auto"/>
              </w:rPr>
              <w:t>:</w:t>
            </w:r>
          </w:p>
        </w:tc>
        <w:tc>
          <w:tcPr>
            <w:tcW w:w="6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170"/>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9"/>
        </w:trPr>
        <w:tc>
          <w:tcPr>
            <w:tcW w:w="4420" w:type="dxa"/>
            <w:vAlign w:val="bottom"/>
          </w:tcPr>
          <w:p>
            <w:pPr>
              <w:ind w:left="280"/>
              <w:spacing w:after="0"/>
              <w:rPr>
                <w:sz w:val="20"/>
                <w:szCs w:val="20"/>
                <w:color w:val="auto"/>
              </w:rPr>
            </w:pPr>
            <w:r>
              <w:rPr>
                <w:rFonts w:ascii="Arial" w:cs="Arial" w:eastAsia="Arial" w:hAnsi="Arial"/>
                <w:sz w:val="13"/>
                <w:szCs w:val="13"/>
                <w:color w:val="auto"/>
              </w:rPr>
              <w:t>Electric revenues</w:t>
            </w:r>
          </w:p>
        </w:tc>
        <w:tc>
          <w:tcPr>
            <w:tcW w:w="680" w:type="dxa"/>
            <w:vAlign w:val="bottom"/>
          </w:tcPr>
          <w:p>
            <w:pPr>
              <w:jc w:val="right"/>
              <w:ind w:right="543"/>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989</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506</w:t>
            </w:r>
          </w:p>
        </w:tc>
        <w:tc>
          <w:tcPr>
            <w:tcW w:w="10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120" w:type="dxa"/>
            <w:vAlign w:val="bottom"/>
            <w:gridSpan w:val="3"/>
          </w:tcPr>
          <w:p>
            <w:pPr>
              <w:ind w:left="600"/>
              <w:spacing w:after="0"/>
              <w:rPr>
                <w:sz w:val="20"/>
                <w:szCs w:val="20"/>
                <w:color w:val="auto"/>
              </w:rPr>
            </w:pPr>
            <w:r>
              <w:rPr>
                <w:rFonts w:ascii="Arial" w:cs="Arial" w:eastAsia="Arial" w:hAnsi="Arial"/>
                <w:sz w:val="13"/>
                <w:szCs w:val="13"/>
                <w:color w:val="auto"/>
              </w:rPr>
              <w:t>—   $</w:t>
            </w:r>
          </w:p>
        </w:tc>
        <w:tc>
          <w:tcPr>
            <w:tcW w:w="11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1,911</w:t>
            </w:r>
          </w:p>
        </w:tc>
      </w:tr>
      <w:tr>
        <w:trPr>
          <w:trHeight w:val="171"/>
        </w:trPr>
        <w:tc>
          <w:tcPr>
            <w:tcW w:w="4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Natural gas revenues</w:t>
            </w:r>
          </w:p>
        </w:tc>
        <w:tc>
          <w:tcPr>
            <w:tcW w:w="6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69"/>
        </w:trPr>
        <w:tc>
          <w:tcPr>
            <w:tcW w:w="4420" w:type="dxa"/>
            <w:vAlign w:val="bottom"/>
          </w:tcPr>
          <w:p>
            <w:pPr>
              <w:ind w:left="280"/>
              <w:spacing w:after="0"/>
              <w:rPr>
                <w:sz w:val="20"/>
                <w:szCs w:val="20"/>
                <w:color w:val="auto"/>
              </w:rPr>
            </w:pPr>
            <w:r>
              <w:rPr>
                <w:rFonts w:ascii="Arial" w:cs="Arial" w:eastAsia="Arial" w:hAnsi="Arial"/>
                <w:sz w:val="13"/>
                <w:szCs w:val="13"/>
                <w:color w:val="auto"/>
              </w:rPr>
              <w:t>Shared service and other revenues</w:t>
            </w: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4 — Segment Information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operating revenues</w:t>
            </w: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3"/>
                <w:szCs w:val="13"/>
                <w:color w:val="auto"/>
              </w:rPr>
              <w:t>2025</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Electric revenues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w:t>
            </w:r>
          </w:p>
        </w:tc>
        <w:tc>
          <w:tcPr>
            <w:tcW w:w="0" w:type="dxa"/>
            <w:vAlign w:val="bottom"/>
          </w:tcPr>
          <w:p>
            <w:pPr>
              <w:spacing w:after="0"/>
              <w:rPr>
                <w:sz w:val="1"/>
                <w:szCs w:val="1"/>
                <w:color w:val="auto"/>
              </w:rPr>
            </w:pPr>
          </w:p>
        </w:tc>
      </w:tr>
      <w:tr>
        <w:trPr>
          <w:trHeight w:val="169"/>
        </w:trPr>
        <w:tc>
          <w:tcPr>
            <w:tcW w:w="4420" w:type="dxa"/>
            <w:vAlign w:val="bottom"/>
          </w:tcPr>
          <w:p>
            <w:pPr>
              <w:ind w:left="280"/>
              <w:spacing w:after="0"/>
              <w:rPr>
                <w:sz w:val="20"/>
                <w:szCs w:val="20"/>
                <w:color w:val="auto"/>
              </w:rPr>
            </w:pPr>
            <w:r>
              <w:rPr>
                <w:rFonts w:ascii="Arial" w:cs="Arial" w:eastAsia="Arial" w:hAnsi="Arial"/>
                <w:sz w:val="13"/>
                <w:szCs w:val="13"/>
                <w:color w:val="auto"/>
              </w:rPr>
              <w:t>Natural gas revenues</w:t>
            </w:r>
          </w:p>
        </w:tc>
        <w:tc>
          <w:tcPr>
            <w:tcW w:w="4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Shared service and other revenues</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9"/>
        </w:trPr>
        <w:tc>
          <w:tcPr>
            <w:tcW w:w="4420" w:type="dxa"/>
            <w:vAlign w:val="bottom"/>
          </w:tcPr>
          <w:p>
            <w:pPr>
              <w:ind w:left="280"/>
              <w:spacing w:after="0" w:line="148" w:lineRule="exact"/>
              <w:rPr>
                <w:sz w:val="20"/>
                <w:szCs w:val="20"/>
                <w:color w:val="auto"/>
              </w:rPr>
            </w:pPr>
            <w:r>
              <w:rPr>
                <w:rFonts w:ascii="Arial" w:cs="Arial" w:eastAsia="Arial" w:hAnsi="Arial"/>
                <w:sz w:val="13"/>
                <w:szCs w:val="13"/>
                <w:color w:val="auto"/>
              </w:rPr>
              <w:t>Total operating revenues</w:t>
            </w: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859</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1,778</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42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Less:</w:t>
            </w: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100"/>
              <w:spacing w:after="0"/>
              <w:rPr>
                <w:sz w:val="20"/>
                <w:szCs w:val="20"/>
                <w:color w:val="auto"/>
              </w:rPr>
            </w:pPr>
            <w:r>
              <w:rPr>
                <w:rFonts w:ascii="Arial" w:cs="Arial" w:eastAsia="Arial" w:hAnsi="Arial"/>
                <w:sz w:val="13"/>
                <w:szCs w:val="13"/>
                <w:color w:val="auto"/>
              </w:rPr>
              <w:t>Purchased power</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Purchased fuel</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2026</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9"/>
        </w:trPr>
        <w:tc>
          <w:tcPr>
            <w:tcW w:w="4420" w:type="dxa"/>
            <w:vAlign w:val="bottom"/>
          </w:tcPr>
          <w:p>
            <w:pPr>
              <w:ind w:left="100"/>
              <w:spacing w:after="0"/>
              <w:rPr>
                <w:sz w:val="20"/>
                <w:szCs w:val="20"/>
                <w:color w:val="auto"/>
              </w:rPr>
            </w:pPr>
            <w:r>
              <w:rPr>
                <w:rFonts w:ascii="Arial" w:cs="Arial" w:eastAsia="Arial" w:hAnsi="Arial"/>
                <w:sz w:val="13"/>
                <w:szCs w:val="13"/>
                <w:color w:val="auto"/>
              </w:rPr>
              <w:t>Operating and maintenance</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and maintenance from affiliates</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2026</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9"/>
        </w:trPr>
        <w:tc>
          <w:tcPr>
            <w:tcW w:w="442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Taxes other than income taxes</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2026</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69"/>
        </w:trPr>
        <w:tc>
          <w:tcPr>
            <w:tcW w:w="4420" w:type="dxa"/>
            <w:vAlign w:val="bottom"/>
          </w:tcPr>
          <w:p>
            <w:pPr>
              <w:ind w:left="100"/>
              <w:spacing w:after="0"/>
              <w:rPr>
                <w:sz w:val="20"/>
                <w:szCs w:val="20"/>
                <w:color w:val="auto"/>
              </w:rPr>
            </w:pPr>
            <w:r>
              <w:rPr>
                <w:rFonts w:ascii="Arial" w:cs="Arial" w:eastAsia="Arial" w:hAnsi="Arial"/>
                <w:sz w:val="13"/>
                <w:szCs w:val="13"/>
                <w:color w:val="auto"/>
              </w:rPr>
              <w:t>Loss on sale of assets</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00"/>
              <w:spacing w:after="0" w:line="171" w:lineRule="exact"/>
              <w:rPr>
                <w:sz w:val="20"/>
                <w:szCs w:val="20"/>
                <w:color w:val="auto"/>
              </w:rPr>
            </w:pPr>
            <w:r>
              <w:rPr>
                <w:rFonts w:ascii="Arial" w:cs="Arial" w:eastAsia="Arial" w:hAnsi="Arial"/>
                <w:sz w:val="13"/>
                <w:szCs w:val="13"/>
                <w:color w:val="auto"/>
              </w:rPr>
              <w:t>Interest expense, net</w:t>
            </w:r>
            <w:r>
              <w:rPr>
                <w:rFonts w:ascii="Arial" w:cs="Arial" w:eastAsia="Arial" w:hAnsi="Arial"/>
                <w:sz w:val="16"/>
                <w:szCs w:val="16"/>
                <w:color w:val="auto"/>
                <w:vertAlign w:val="superscript"/>
              </w:rPr>
              <w:t>(c)</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2026</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70"/>
        </w:trPr>
        <w:tc>
          <w:tcPr>
            <w:tcW w:w="4420" w:type="dxa"/>
            <w:vAlign w:val="bottom"/>
          </w:tcPr>
          <w:p>
            <w:pPr>
              <w:ind w:left="100"/>
              <w:spacing w:after="0" w:line="170" w:lineRule="exact"/>
              <w:rPr>
                <w:sz w:val="20"/>
                <w:szCs w:val="20"/>
                <w:color w:val="auto"/>
              </w:rPr>
            </w:pPr>
            <w:r>
              <w:rPr>
                <w:rFonts w:ascii="Arial" w:cs="Arial" w:eastAsia="Arial" w:hAnsi="Arial"/>
                <w:sz w:val="13"/>
                <w:szCs w:val="13"/>
                <w:color w:val="auto"/>
              </w:rPr>
              <w:t>Interest expense to affiliates, net</w:t>
            </w:r>
            <w:r>
              <w:rPr>
                <w:rFonts w:ascii="Arial" w:cs="Arial" w:eastAsia="Arial" w:hAnsi="Arial"/>
                <w:sz w:val="16"/>
                <w:szCs w:val="16"/>
                <w:color w:val="auto"/>
                <w:vertAlign w:val="superscript"/>
              </w:rPr>
              <w:t>(c)</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2026</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9"/>
        </w:trPr>
        <w:tc>
          <w:tcPr>
            <w:tcW w:w="4420" w:type="dxa"/>
            <w:vAlign w:val="bottom"/>
          </w:tcPr>
          <w:p>
            <w:pPr>
              <w:ind w:left="100"/>
              <w:spacing w:after="0"/>
              <w:rPr>
                <w:sz w:val="20"/>
                <w:szCs w:val="20"/>
                <w:color w:val="auto"/>
              </w:rPr>
            </w:pPr>
            <w:r>
              <w:rPr>
                <w:rFonts w:ascii="Arial" w:cs="Arial" w:eastAsia="Arial" w:hAnsi="Arial"/>
                <w:sz w:val="13"/>
                <w:szCs w:val="13"/>
                <w:color w:val="auto"/>
              </w:rPr>
              <w:t>Income taxes</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common shareholders</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2026</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70"/>
        </w:trPr>
        <w:tc>
          <w:tcPr>
            <w:tcW w:w="4420" w:type="dxa"/>
            <w:vAlign w:val="bottom"/>
          </w:tcPr>
          <w:p>
            <w:pPr>
              <w:ind w:left="20"/>
              <w:spacing w:after="0"/>
              <w:rPr>
                <w:sz w:val="20"/>
                <w:szCs w:val="20"/>
                <w:color w:val="auto"/>
              </w:rPr>
            </w:pPr>
            <w:r>
              <w:rPr>
                <w:rFonts w:ascii="Arial" w:cs="Arial" w:eastAsia="Arial" w:hAnsi="Arial"/>
                <w:sz w:val="13"/>
                <w:szCs w:val="13"/>
                <w:b w:val="1"/>
                <w:bCs w:val="1"/>
                <w:color w:val="auto"/>
              </w:rPr>
              <w:t>Supplemental segment information</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20" w:type="dxa"/>
            <w:vAlign w:val="bottom"/>
            <w:shd w:val="clear" w:color="auto" w:fill="CCEEFF"/>
          </w:tcPr>
          <w:p>
            <w:pPr>
              <w:ind w:left="100"/>
              <w:spacing w:after="0" w:line="170" w:lineRule="exact"/>
              <w:rPr>
                <w:sz w:val="20"/>
                <w:szCs w:val="20"/>
                <w:color w:val="auto"/>
              </w:rPr>
            </w:pPr>
            <w:r>
              <w:rPr>
                <w:rFonts w:ascii="Arial" w:cs="Arial" w:eastAsia="Arial" w:hAnsi="Arial"/>
                <w:sz w:val="13"/>
                <w:szCs w:val="13"/>
                <w:color w:val="auto"/>
              </w:rPr>
              <w:t>Intersegment revenues</w:t>
            </w:r>
            <w:r>
              <w:rPr>
                <w:rFonts w:ascii="Arial" w:cs="Arial" w:eastAsia="Arial" w:hAnsi="Arial"/>
                <w:sz w:val="16"/>
                <w:szCs w:val="16"/>
                <w:color w:val="auto"/>
                <w:vertAlign w:val="superscript"/>
              </w:rPr>
              <w:t>(d)</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2026</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7"/>
        </w:trPr>
        <w:tc>
          <w:tcPr>
            <w:tcW w:w="4420" w:type="dxa"/>
            <w:vAlign w:val="bottom"/>
          </w:tcPr>
          <w:p>
            <w:pPr>
              <w:ind w:left="100"/>
              <w:spacing w:after="0"/>
              <w:rPr>
                <w:sz w:val="20"/>
                <w:szCs w:val="20"/>
                <w:color w:val="auto"/>
              </w:rPr>
            </w:pPr>
            <w:r>
              <w:rPr>
                <w:rFonts w:ascii="Arial" w:cs="Arial" w:eastAsia="Arial" w:hAnsi="Arial"/>
                <w:sz w:val="13"/>
                <w:szCs w:val="13"/>
                <w:color w:val="auto"/>
              </w:rPr>
              <w:t>Capital expenditures</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ind w:left="9340"/>
        <w:spacing w:after="0"/>
        <w:rPr>
          <w:sz w:val="20"/>
          <w:szCs w:val="20"/>
          <w:color w:val="auto"/>
        </w:rPr>
      </w:pPr>
      <w:r>
        <w:rPr>
          <w:rFonts w:ascii="Arial" w:cs="Arial" w:eastAsia="Arial" w:hAnsi="Arial"/>
          <w:sz w:val="14"/>
          <w:szCs w:val="14"/>
          <w:color w:val="auto"/>
        </w:rPr>
        <w:t>Note 4 — Segment Information</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2026</w:t>
            </w:r>
          </w:p>
        </w:tc>
        <w:tc>
          <w:tcPr>
            <w:tcW w:w="18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285</w:t>
            </w:r>
          </w:p>
        </w:tc>
        <w:tc>
          <w:tcPr>
            <w:tcW w:w="4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147</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122</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w:t>
            </w:r>
          </w:p>
        </w:tc>
        <w:tc>
          <w:tcPr>
            <w:tcW w:w="6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center"/>
              <w:ind w:left="416"/>
              <w:spacing w:after="0"/>
              <w:rPr>
                <w:sz w:val="20"/>
                <w:szCs w:val="20"/>
                <w:color w:val="auto"/>
              </w:rPr>
            </w:pPr>
            <w:r>
              <w:rPr>
                <w:rFonts w:ascii="Arial" w:cs="Arial" w:eastAsia="Arial" w:hAnsi="Arial"/>
                <w:sz w:val="13"/>
                <w:szCs w:val="13"/>
                <w:color w:val="auto"/>
                <w:w w:val="91"/>
              </w:rPr>
              <w:t>—</w:t>
            </w:r>
          </w:p>
        </w:tc>
        <w:tc>
          <w:tcPr>
            <w:tcW w:w="3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w:t>
            </w:r>
          </w:p>
        </w:tc>
      </w:tr>
      <w:tr>
        <w:trPr>
          <w:trHeight w:val="169"/>
        </w:trPr>
        <w:tc>
          <w:tcPr>
            <w:tcW w:w="2860" w:type="dxa"/>
            <w:vAlign w:val="bottom"/>
          </w:tcPr>
          <w:p>
            <w:pPr>
              <w:ind w:left="180"/>
              <w:spacing w:after="0"/>
              <w:rPr>
                <w:sz w:val="20"/>
                <w:szCs w:val="20"/>
                <w:color w:val="auto"/>
              </w:rPr>
            </w:pPr>
            <w:r>
              <w:rPr>
                <w:rFonts w:ascii="Arial" w:cs="Arial" w:eastAsia="Arial" w:hAnsi="Arial"/>
                <w:sz w:val="13"/>
                <w:szCs w:val="13"/>
                <w:color w:val="auto"/>
              </w:rPr>
              <w:t>2025</w:t>
            </w:r>
          </w:p>
        </w:tc>
        <w:tc>
          <w:tcPr>
            <w:tcW w:w="188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240</w:t>
            </w:r>
          </w:p>
        </w:tc>
        <w:tc>
          <w:tcPr>
            <w:tcW w:w="440" w:type="dxa"/>
            <w:vAlign w:val="bottom"/>
          </w:tcPr>
          <w:p>
            <w:pPr>
              <w:spacing w:after="0"/>
              <w:rPr>
                <w:sz w:val="14"/>
                <w:szCs w:val="14"/>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156</w:t>
            </w:r>
          </w:p>
        </w:tc>
        <w:tc>
          <w:tcPr>
            <w:tcW w:w="420" w:type="dxa"/>
            <w:vAlign w:val="bottom"/>
          </w:tcPr>
          <w:p>
            <w:pPr>
              <w:spacing w:after="0"/>
              <w:rPr>
                <w:sz w:val="14"/>
                <w:szCs w:val="14"/>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105</w:t>
            </w:r>
          </w:p>
        </w:tc>
        <w:tc>
          <w:tcPr>
            <w:tcW w:w="420" w:type="dxa"/>
            <w:vAlign w:val="bottom"/>
          </w:tcPr>
          <w:p>
            <w:pPr>
              <w:spacing w:after="0"/>
              <w:rPr>
                <w:sz w:val="14"/>
                <w:szCs w:val="14"/>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660" w:type="dxa"/>
            <w:vAlign w:val="bottom"/>
          </w:tcPr>
          <w:p>
            <w:pPr>
              <w:spacing w:after="0"/>
              <w:rPr>
                <w:sz w:val="14"/>
                <w:szCs w:val="14"/>
                <w:color w:val="auto"/>
              </w:rPr>
            </w:pPr>
          </w:p>
        </w:tc>
        <w:tc>
          <w:tcPr>
            <w:tcW w:w="800" w:type="dxa"/>
            <w:vAlign w:val="bottom"/>
          </w:tcPr>
          <w:p>
            <w:pPr>
              <w:jc w:val="center"/>
              <w:ind w:left="416"/>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513</w:t>
            </w:r>
          </w:p>
        </w:tc>
      </w:tr>
      <w:tr>
        <w:trPr>
          <w:trHeight w:val="171"/>
        </w:trPr>
        <w:tc>
          <w:tcPr>
            <w:tcW w:w="2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assets</w:t>
            </w:r>
          </w:p>
        </w:tc>
        <w:tc>
          <w:tcPr>
            <w:tcW w:w="1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2860" w:type="dxa"/>
            <w:vAlign w:val="bottom"/>
          </w:tcPr>
          <w:p>
            <w:pPr>
              <w:ind w:left="180"/>
              <w:spacing w:after="0"/>
              <w:rPr>
                <w:sz w:val="20"/>
                <w:szCs w:val="20"/>
                <w:color w:val="auto"/>
              </w:rPr>
            </w:pPr>
            <w:r>
              <w:rPr>
                <w:rFonts w:ascii="Arial" w:cs="Arial" w:eastAsia="Arial" w:hAnsi="Arial"/>
                <w:sz w:val="13"/>
                <w:szCs w:val="13"/>
                <w:color w:val="auto"/>
              </w:rPr>
              <w:t>March 31, 2026</w:t>
            </w:r>
          </w:p>
        </w:tc>
        <w:tc>
          <w:tcPr>
            <w:tcW w:w="18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12,632</w:t>
            </w:r>
          </w:p>
        </w:tc>
        <w:tc>
          <w:tcPr>
            <w:tcW w:w="4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6,798</w:t>
            </w:r>
          </w:p>
        </w:tc>
        <w:tc>
          <w:tcPr>
            <w:tcW w:w="4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5,685</w:t>
            </w:r>
          </w:p>
        </w:tc>
        <w:tc>
          <w:tcPr>
            <w:tcW w:w="4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4,618</w:t>
            </w:r>
          </w:p>
        </w:tc>
        <w:tc>
          <w:tcPr>
            <w:tcW w:w="66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396"/>
              <w:spacing w:after="0"/>
              <w:rPr>
                <w:sz w:val="20"/>
                <w:szCs w:val="20"/>
                <w:color w:val="auto"/>
              </w:rPr>
            </w:pPr>
            <w:r>
              <w:rPr>
                <w:rFonts w:ascii="Arial" w:cs="Arial" w:eastAsia="Arial" w:hAnsi="Arial"/>
                <w:sz w:val="13"/>
                <w:szCs w:val="13"/>
                <w:color w:val="auto"/>
                <w:w w:val="94"/>
              </w:rPr>
              <w:t>(76)</w:t>
            </w:r>
          </w:p>
        </w:tc>
        <w:tc>
          <w:tcPr>
            <w:tcW w:w="3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29,657</w:t>
            </w:r>
          </w:p>
        </w:tc>
      </w:tr>
      <w:tr>
        <w:trPr>
          <w:trHeight w:val="171"/>
        </w:trPr>
        <w:tc>
          <w:tcPr>
            <w:tcW w:w="2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December 31, 2025</w:t>
            </w:r>
          </w:p>
        </w:tc>
        <w:tc>
          <w:tcPr>
            <w:tcW w:w="18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12,728</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6,789</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5,632</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4,602</w:t>
            </w:r>
          </w:p>
        </w:tc>
        <w:tc>
          <w:tcPr>
            <w:tcW w:w="660" w:type="dxa"/>
            <w:vAlign w:val="bottom"/>
            <w:shd w:val="clear" w:color="auto" w:fill="CCEEFF"/>
          </w:tcPr>
          <w:p>
            <w:pPr>
              <w:spacing w:after="0"/>
              <w:rPr>
                <w:sz w:val="14"/>
                <w:szCs w:val="14"/>
                <w:color w:val="auto"/>
              </w:rPr>
            </w:pPr>
          </w:p>
        </w:tc>
        <w:tc>
          <w:tcPr>
            <w:tcW w:w="800" w:type="dxa"/>
            <w:vAlign w:val="bottom"/>
            <w:shd w:val="clear" w:color="auto" w:fill="CCEEFF"/>
          </w:tcPr>
          <w:p>
            <w:pPr>
              <w:jc w:val="center"/>
              <w:ind w:left="396"/>
              <w:spacing w:after="0"/>
              <w:rPr>
                <w:sz w:val="20"/>
                <w:szCs w:val="20"/>
                <w:color w:val="auto"/>
              </w:rPr>
            </w:pPr>
            <w:r>
              <w:rPr>
                <w:rFonts w:ascii="Arial" w:cs="Arial" w:eastAsia="Arial" w:hAnsi="Arial"/>
                <w:sz w:val="13"/>
                <w:szCs w:val="13"/>
                <w:color w:val="auto"/>
                <w:w w:val="94"/>
              </w:rPr>
              <w:t>(36)</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29,715</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Other primarily includes PHI’s corporate operations, shared service entities, and other financing and investment activities.</w:t>
      </w:r>
    </w:p>
    <w:p>
      <w:pPr>
        <w:spacing w:after="0" w:line="13" w:lineRule="exact"/>
        <w:rPr>
          <w:rFonts w:ascii="Arial" w:cs="Arial" w:eastAsia="Arial" w:hAnsi="Arial"/>
          <w:sz w:val="11"/>
          <w:szCs w:val="11"/>
          <w:color w:val="auto"/>
        </w:rPr>
      </w:pPr>
    </w:p>
    <w:p>
      <w:pPr>
        <w:ind w:left="260" w:hanging="255"/>
        <w:spacing w:after="0" w:line="261" w:lineRule="auto"/>
        <w:tabs>
          <w:tab w:leader="none" w:pos="249"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gross utility tax receipts from customers. The offsetting remittance of utility taxes to the governing bodies is recorded in Taxes other than income taxes in the Registrants’ Consolidated Statements of Operations and Comprehensive Income. See Note 14 — Supplemental Financial Information for additional information on total utility taxes.</w:t>
      </w:r>
    </w:p>
    <w:p>
      <w:pPr>
        <w:ind w:left="260" w:hanging="255"/>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Interest expense, net and Interest expense to affiliates, net are primarily inclusive of Interest expense, which is partially offset by an immaterial amount of Interest income.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1"/>
          <w:szCs w:val="11"/>
          <w:color w:val="auto"/>
        </w:rPr>
        <w:t>Includes intersegment revenues with ComEd, PECO, and BGE, which are eliminated at Exelon.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Electric and Gas Revenue by Customer Class (Utility Registrants):</w:t>
      </w:r>
    </w:p>
    <w:p>
      <w:pPr>
        <w:spacing w:after="0" w:line="12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following tables disaggregate the Registrants' revenues recognized from contracts with customers into categories that depict how the nature, amount, timing, and uncertainty of revenue and cash flows are affected by economic factors. For the Utility Registrants, the disaggregation of revenues reflects the two primary utility services of electric sales and natural gas sales (where applicable), with further disaggregation of these tariff sales provided by major customer groups. Exelon’s disaggregated revenues are consistent with the Utility Registrants, but exclude any intercompany revenues.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6"/>
          </w:tcPr>
          <w:p>
            <w:pPr>
              <w:jc w:val="center"/>
              <w:ind w:left="378"/>
              <w:spacing w:after="0"/>
              <w:rPr>
                <w:sz w:val="20"/>
                <w:szCs w:val="20"/>
                <w:color w:val="auto"/>
              </w:rPr>
            </w:pPr>
            <w:r>
              <w:rPr>
                <w:rFonts w:ascii="Arial" w:cs="Arial" w:eastAsia="Arial" w:hAnsi="Arial"/>
                <w:sz w:val="10"/>
                <w:szCs w:val="10"/>
                <w:b w:val="1"/>
                <w:bCs w:val="1"/>
                <w:color w:val="auto"/>
                <w:w w:val="98"/>
              </w:rPr>
              <w:t>Three Months Ended March 31, 2026</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51"/>
        </w:trPr>
        <w:tc>
          <w:tcPr>
            <w:tcW w:w="3820" w:type="dxa"/>
            <w:vAlign w:val="bottom"/>
          </w:tcPr>
          <w:p>
            <w:pPr>
              <w:ind w:left="20"/>
              <w:spacing w:after="0"/>
              <w:rPr>
                <w:sz w:val="20"/>
                <w:szCs w:val="20"/>
                <w:color w:val="auto"/>
              </w:rPr>
            </w:pPr>
            <w:r>
              <w:rPr>
                <w:rFonts w:ascii="Arial" w:cs="Arial" w:eastAsia="Arial" w:hAnsi="Arial"/>
                <w:sz w:val="10"/>
                <w:szCs w:val="10"/>
                <w:b w:val="1"/>
                <w:bCs w:val="1"/>
                <w:color w:val="auto"/>
              </w:rPr>
              <w:t>Revenues from contracts with customers</w:t>
            </w:r>
          </w:p>
        </w:tc>
        <w:tc>
          <w:tcPr>
            <w:tcW w:w="20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0"/>
                <w:szCs w:val="10"/>
                <w:b w:val="1"/>
                <w:bCs w:val="1"/>
                <w:color w:val="auto"/>
              </w:rPr>
              <w:t>ComEd</w:t>
            </w:r>
          </w:p>
        </w:tc>
        <w:tc>
          <w:tcPr>
            <w:tcW w:w="2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PECO</w:t>
            </w:r>
          </w:p>
        </w:tc>
        <w:tc>
          <w:tcPr>
            <w:tcW w:w="24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0"/>
                <w:szCs w:val="10"/>
                <w:b w:val="1"/>
                <w:bCs w:val="1"/>
                <w:color w:val="auto"/>
              </w:rPr>
              <w:t>BGE</w:t>
            </w:r>
          </w:p>
        </w:tc>
        <w:tc>
          <w:tcPr>
            <w:tcW w:w="2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PHI</w:t>
            </w:r>
          </w:p>
        </w:tc>
        <w:tc>
          <w:tcPr>
            <w:tcW w:w="30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Pepco</w:t>
            </w:r>
          </w:p>
        </w:tc>
        <w:tc>
          <w:tcPr>
            <w:tcW w:w="24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0"/>
                <w:szCs w:val="10"/>
                <w:b w:val="1"/>
                <w:bCs w:val="1"/>
                <w:color w:val="auto"/>
              </w:rPr>
              <w:t>DPL</w:t>
            </w:r>
          </w:p>
        </w:tc>
        <w:tc>
          <w:tcPr>
            <w:tcW w:w="240" w:type="dxa"/>
            <w:vAlign w:val="bottom"/>
          </w:tcPr>
          <w:p>
            <w:pPr>
              <w:spacing w:after="0"/>
              <w:rPr>
                <w:sz w:val="13"/>
                <w:szCs w:val="13"/>
                <w:color w:val="auto"/>
              </w:rPr>
            </w:pPr>
          </w:p>
        </w:tc>
        <w:tc>
          <w:tcPr>
            <w:tcW w:w="740" w:type="dxa"/>
            <w:vAlign w:val="bottom"/>
          </w:tcPr>
          <w:p>
            <w:pPr>
              <w:jc w:val="right"/>
              <w:ind w:right="317"/>
              <w:spacing w:after="0"/>
              <w:rPr>
                <w:sz w:val="20"/>
                <w:szCs w:val="20"/>
                <w:color w:val="auto"/>
              </w:rPr>
            </w:pPr>
            <w:r>
              <w:rPr>
                <w:rFonts w:ascii="Arial" w:cs="Arial" w:eastAsia="Arial" w:hAnsi="Arial"/>
                <w:sz w:val="10"/>
                <w:szCs w:val="10"/>
                <w:b w:val="1"/>
                <w:bCs w:val="1"/>
                <w:color w:val="auto"/>
              </w:rPr>
              <w:t>ACE</w:t>
            </w:r>
          </w:p>
        </w:tc>
      </w:tr>
      <w:tr>
        <w:trPr>
          <w:trHeight w:val="158"/>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Electric revenues</w:t>
            </w: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9"/>
        </w:trPr>
        <w:tc>
          <w:tcPr>
            <w:tcW w:w="3820" w:type="dxa"/>
            <w:vAlign w:val="bottom"/>
          </w:tcPr>
          <w:p>
            <w:pPr>
              <w:ind w:left="180"/>
              <w:spacing w:after="0"/>
              <w:rPr>
                <w:sz w:val="20"/>
                <w:szCs w:val="20"/>
                <w:color w:val="auto"/>
              </w:rPr>
            </w:pPr>
            <w:r>
              <w:rPr>
                <w:rFonts w:ascii="Arial" w:cs="Arial" w:eastAsia="Arial" w:hAnsi="Arial"/>
                <w:sz w:val="13"/>
                <w:szCs w:val="13"/>
                <w:color w:val="auto"/>
              </w:rPr>
              <w:t>Residential</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1,024</w:t>
            </w:r>
          </w:p>
        </w:tc>
        <w:tc>
          <w:tcPr>
            <w:tcW w:w="12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725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1,096</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507</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258</w:t>
            </w:r>
          </w:p>
        </w:tc>
      </w:tr>
      <w:tr>
        <w:trPr>
          <w:trHeight w:val="171"/>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Small commercial &amp; industrial</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9"/>
        </w:trPr>
        <w:tc>
          <w:tcPr>
            <w:tcW w:w="3820" w:type="dxa"/>
            <w:vAlign w:val="bottom"/>
          </w:tcPr>
          <w:p>
            <w:pPr>
              <w:ind w:left="180"/>
              <w:spacing w:after="0"/>
              <w:rPr>
                <w:sz w:val="20"/>
                <w:szCs w:val="20"/>
                <w:color w:val="auto"/>
              </w:rPr>
            </w:pPr>
            <w:r>
              <w:rPr>
                <w:rFonts w:ascii="Arial" w:cs="Arial" w:eastAsia="Arial" w:hAnsi="Arial"/>
                <w:sz w:val="13"/>
                <w:szCs w:val="13"/>
                <w:color w:val="auto"/>
              </w:rPr>
              <w:t>Large commercial &amp; industrial</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71"/>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Public authorities &amp; electric railroads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3820" w:type="dxa"/>
            <w:vAlign w:val="bottom"/>
            <w:tcBorders>
              <w:bottom w:val="single" w:sz="8" w:color="CCEEFF"/>
            </w:tcBorders>
          </w:tcPr>
          <w:p>
            <w:pPr>
              <w:ind w:left="180"/>
              <w:spacing w:after="0" w:line="170"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(a)</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r>
      <w:tr>
        <w:trPr>
          <w:trHeight w:val="160"/>
        </w:trPr>
        <w:tc>
          <w:tcPr>
            <w:tcW w:w="3820" w:type="dxa"/>
            <w:vAlign w:val="bottom"/>
            <w:shd w:val="clear" w:color="auto" w:fill="CCEEFF"/>
          </w:tcPr>
          <w:p>
            <w:pPr>
              <w:ind w:left="180"/>
              <w:spacing w:after="0" w:line="161" w:lineRule="exact"/>
              <w:rPr>
                <w:sz w:val="20"/>
                <w:szCs w:val="20"/>
                <w:color w:val="auto"/>
              </w:rPr>
            </w:pPr>
            <w:r>
              <w:rPr>
                <w:rFonts w:ascii="Arial" w:cs="Arial" w:eastAsia="Arial" w:hAnsi="Arial"/>
                <w:sz w:val="13"/>
                <w:szCs w:val="13"/>
                <w:color w:val="auto"/>
              </w:rPr>
              <w:t>Total electric revenues</w:t>
            </w:r>
            <w:r>
              <w:rPr>
                <w:rFonts w:ascii="Arial" w:cs="Arial" w:eastAsia="Arial" w:hAnsi="Arial"/>
                <w:sz w:val="16"/>
                <w:szCs w:val="16"/>
                <w:color w:val="auto"/>
                <w:vertAlign w:val="superscript"/>
              </w:rPr>
              <w:t>(b)</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w:t>
            </w:r>
          </w:p>
        </w:tc>
      </w:tr>
      <w:tr>
        <w:trPr>
          <w:trHeight w:val="170"/>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Natural gas revenues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Residential</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820" w:type="dxa"/>
            <w:vAlign w:val="bottom"/>
          </w:tcPr>
          <w:p>
            <w:pPr>
              <w:ind w:left="180"/>
              <w:spacing w:after="0"/>
              <w:rPr>
                <w:sz w:val="20"/>
                <w:szCs w:val="20"/>
                <w:color w:val="auto"/>
              </w:rPr>
            </w:pPr>
            <w:r>
              <w:rPr>
                <w:rFonts w:ascii="Arial" w:cs="Arial" w:eastAsia="Arial" w:hAnsi="Arial"/>
                <w:sz w:val="13"/>
                <w:szCs w:val="13"/>
                <w:color w:val="auto"/>
              </w:rPr>
              <w:t>Small commercial &amp; industrial</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Large commercial &amp; industrial</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820" w:type="dxa"/>
            <w:vAlign w:val="bottom"/>
          </w:tcPr>
          <w:p>
            <w:pPr>
              <w:ind w:left="180"/>
              <w:spacing w:after="0"/>
              <w:rPr>
                <w:sz w:val="20"/>
                <w:szCs w:val="20"/>
                <w:color w:val="auto"/>
              </w:rPr>
            </w:pPr>
            <w:r>
              <w:rPr>
                <w:rFonts w:ascii="Arial" w:cs="Arial" w:eastAsia="Arial" w:hAnsi="Arial"/>
                <w:sz w:val="13"/>
                <w:szCs w:val="13"/>
                <w:color w:val="auto"/>
              </w:rPr>
              <w:t>Transportation</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820" w:type="dxa"/>
            <w:vAlign w:val="bottom"/>
            <w:shd w:val="clear" w:color="auto" w:fill="CCEEFF"/>
          </w:tcPr>
          <w:p>
            <w:pPr>
              <w:ind w:left="18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(c)</w:t>
            </w: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820" w:type="dxa"/>
            <w:vAlign w:val="bottom"/>
          </w:tcPr>
          <w:p>
            <w:pPr>
              <w:ind w:left="180"/>
              <w:spacing w:after="0" w:line="161" w:lineRule="exact"/>
              <w:rPr>
                <w:sz w:val="20"/>
                <w:szCs w:val="20"/>
                <w:color w:val="auto"/>
              </w:rPr>
            </w:pPr>
            <w:r>
              <w:rPr>
                <w:rFonts w:ascii="Arial" w:cs="Arial" w:eastAsia="Arial" w:hAnsi="Arial"/>
                <w:sz w:val="13"/>
                <w:szCs w:val="13"/>
                <w:color w:val="auto"/>
              </w:rPr>
              <w:t>Total natural gas revenues</w:t>
            </w:r>
            <w:r>
              <w:rPr>
                <w:rFonts w:ascii="Arial" w:cs="Arial" w:eastAsia="Arial" w:hAnsi="Arial"/>
                <w:sz w:val="16"/>
                <w:szCs w:val="16"/>
                <w:color w:val="auto"/>
                <w:vertAlign w:val="superscript"/>
              </w:rPr>
              <w:t>(d)</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588</w:t>
            </w:r>
          </w:p>
        </w:tc>
        <w:tc>
          <w:tcPr>
            <w:tcW w:w="10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3"/>
                <w:szCs w:val="13"/>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revenues from contracts with customers</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1,889</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1,841</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w:t>
            </w:r>
          </w:p>
        </w:tc>
      </w:tr>
      <w:tr>
        <w:trPr>
          <w:trHeight w:val="170"/>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Other revenues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Revenues from alternative revenue programs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70"/>
        </w:trPr>
        <w:tc>
          <w:tcPr>
            <w:tcW w:w="3820" w:type="dxa"/>
            <w:vAlign w:val="bottom"/>
          </w:tcPr>
          <w:p>
            <w:pPr>
              <w:ind w:left="180"/>
              <w:spacing w:after="0" w:line="170" w:lineRule="exact"/>
              <w:rPr>
                <w:sz w:val="20"/>
                <w:szCs w:val="20"/>
                <w:color w:val="auto"/>
              </w:rPr>
            </w:pPr>
            <w:r>
              <w:rPr>
                <w:rFonts w:ascii="Arial" w:cs="Arial" w:eastAsia="Arial" w:hAnsi="Arial"/>
                <w:sz w:val="13"/>
                <w:szCs w:val="13"/>
                <w:color w:val="auto"/>
              </w:rPr>
              <w:t>Other electric revenues</w:t>
            </w:r>
            <w:r>
              <w:rPr>
                <w:rFonts w:ascii="Arial" w:cs="Arial" w:eastAsia="Arial" w:hAnsi="Arial"/>
                <w:sz w:val="16"/>
                <w:szCs w:val="16"/>
                <w:color w:val="auto"/>
                <w:vertAlign w:val="superscript"/>
              </w:rPr>
              <w:t>(e)</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820" w:type="dxa"/>
            <w:vAlign w:val="bottom"/>
            <w:shd w:val="clear" w:color="auto" w:fill="CCEEFF"/>
          </w:tcPr>
          <w:p>
            <w:pPr>
              <w:ind w:left="180"/>
              <w:spacing w:after="0" w:line="170" w:lineRule="exact"/>
              <w:rPr>
                <w:sz w:val="20"/>
                <w:szCs w:val="20"/>
                <w:color w:val="auto"/>
              </w:rPr>
            </w:pPr>
            <w:r>
              <w:rPr>
                <w:rFonts w:ascii="Arial" w:cs="Arial" w:eastAsia="Arial" w:hAnsi="Arial"/>
                <w:sz w:val="13"/>
                <w:szCs w:val="13"/>
                <w:color w:val="auto"/>
              </w:rPr>
              <w:t>Other natural gas revenues</w:t>
            </w:r>
            <w:r>
              <w:rPr>
                <w:rFonts w:ascii="Arial" w:cs="Arial" w:eastAsia="Arial" w:hAnsi="Arial"/>
                <w:sz w:val="16"/>
                <w:szCs w:val="16"/>
                <w:color w:val="auto"/>
                <w:vertAlign w:val="superscript"/>
              </w:rPr>
              <w:t>(e)</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other revenues</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8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revenues for reportable segments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4 — Segment Information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6"/>
          </w:tcPr>
          <w:p>
            <w:pPr>
              <w:jc w:val="center"/>
              <w:ind w:left="378"/>
              <w:spacing w:after="0"/>
              <w:rPr>
                <w:sz w:val="20"/>
                <w:szCs w:val="20"/>
                <w:color w:val="auto"/>
              </w:rPr>
            </w:pPr>
            <w:r>
              <w:rPr>
                <w:rFonts w:ascii="Arial" w:cs="Arial" w:eastAsia="Arial" w:hAnsi="Arial"/>
                <w:sz w:val="10"/>
                <w:szCs w:val="10"/>
                <w:b w:val="1"/>
                <w:bCs w:val="1"/>
                <w:color w:val="auto"/>
                <w:w w:val="98"/>
              </w:rPr>
              <w:t>Three Months Ended March 31, 2025</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51"/>
        </w:trPr>
        <w:tc>
          <w:tcPr>
            <w:tcW w:w="3820" w:type="dxa"/>
            <w:vAlign w:val="bottom"/>
          </w:tcPr>
          <w:p>
            <w:pPr>
              <w:ind w:left="20"/>
              <w:spacing w:after="0"/>
              <w:rPr>
                <w:sz w:val="20"/>
                <w:szCs w:val="20"/>
                <w:color w:val="auto"/>
              </w:rPr>
            </w:pPr>
            <w:r>
              <w:rPr>
                <w:rFonts w:ascii="Arial" w:cs="Arial" w:eastAsia="Arial" w:hAnsi="Arial"/>
                <w:sz w:val="10"/>
                <w:szCs w:val="10"/>
                <w:b w:val="1"/>
                <w:bCs w:val="1"/>
                <w:color w:val="auto"/>
              </w:rPr>
              <w:t>Revenues from contracts with customers</w:t>
            </w:r>
          </w:p>
        </w:tc>
        <w:tc>
          <w:tcPr>
            <w:tcW w:w="20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0"/>
                <w:szCs w:val="10"/>
                <w:b w:val="1"/>
                <w:bCs w:val="1"/>
                <w:color w:val="auto"/>
              </w:rPr>
              <w:t>ComEd</w:t>
            </w:r>
          </w:p>
        </w:tc>
        <w:tc>
          <w:tcPr>
            <w:tcW w:w="2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PECO</w:t>
            </w:r>
          </w:p>
        </w:tc>
        <w:tc>
          <w:tcPr>
            <w:tcW w:w="24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0"/>
                <w:szCs w:val="10"/>
                <w:b w:val="1"/>
                <w:bCs w:val="1"/>
                <w:color w:val="auto"/>
              </w:rPr>
              <w:t>BGE</w:t>
            </w:r>
          </w:p>
        </w:tc>
        <w:tc>
          <w:tcPr>
            <w:tcW w:w="2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PHI</w:t>
            </w:r>
          </w:p>
        </w:tc>
        <w:tc>
          <w:tcPr>
            <w:tcW w:w="30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Pepco</w:t>
            </w:r>
          </w:p>
        </w:tc>
        <w:tc>
          <w:tcPr>
            <w:tcW w:w="24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0"/>
                <w:szCs w:val="10"/>
                <w:b w:val="1"/>
                <w:bCs w:val="1"/>
                <w:color w:val="auto"/>
              </w:rPr>
              <w:t>DPL</w:t>
            </w:r>
          </w:p>
        </w:tc>
        <w:tc>
          <w:tcPr>
            <w:tcW w:w="240" w:type="dxa"/>
            <w:vAlign w:val="bottom"/>
          </w:tcPr>
          <w:p>
            <w:pPr>
              <w:spacing w:after="0"/>
              <w:rPr>
                <w:sz w:val="13"/>
                <w:szCs w:val="13"/>
                <w:color w:val="auto"/>
              </w:rPr>
            </w:pPr>
          </w:p>
        </w:tc>
        <w:tc>
          <w:tcPr>
            <w:tcW w:w="740" w:type="dxa"/>
            <w:vAlign w:val="bottom"/>
          </w:tcPr>
          <w:p>
            <w:pPr>
              <w:jc w:val="right"/>
              <w:ind w:right="317"/>
              <w:spacing w:after="0"/>
              <w:rPr>
                <w:sz w:val="20"/>
                <w:szCs w:val="20"/>
                <w:color w:val="auto"/>
              </w:rPr>
            </w:pPr>
            <w:r>
              <w:rPr>
                <w:rFonts w:ascii="Arial" w:cs="Arial" w:eastAsia="Arial" w:hAnsi="Arial"/>
                <w:sz w:val="10"/>
                <w:szCs w:val="10"/>
                <w:b w:val="1"/>
                <w:bCs w:val="1"/>
                <w:color w:val="auto"/>
              </w:rPr>
              <w:t>ACE</w:t>
            </w:r>
          </w:p>
        </w:tc>
      </w:tr>
      <w:tr>
        <w:trPr>
          <w:trHeight w:val="158"/>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Electric revenues</w:t>
            </w: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9"/>
        </w:trPr>
        <w:tc>
          <w:tcPr>
            <w:tcW w:w="3820" w:type="dxa"/>
            <w:vAlign w:val="bottom"/>
          </w:tcPr>
          <w:p>
            <w:pPr>
              <w:ind w:left="180"/>
              <w:spacing w:after="0"/>
              <w:rPr>
                <w:sz w:val="20"/>
                <w:szCs w:val="20"/>
                <w:color w:val="auto"/>
              </w:rPr>
            </w:pPr>
            <w:r>
              <w:rPr>
                <w:rFonts w:ascii="Arial" w:cs="Arial" w:eastAsia="Arial" w:hAnsi="Arial"/>
                <w:sz w:val="13"/>
                <w:szCs w:val="13"/>
                <w:color w:val="auto"/>
              </w:rPr>
              <w:t>Residential</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993</w:t>
            </w:r>
          </w:p>
        </w:tc>
        <w:tc>
          <w:tcPr>
            <w:tcW w:w="12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631</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648</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918</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196</w:t>
            </w:r>
          </w:p>
        </w:tc>
      </w:tr>
      <w:tr>
        <w:trPr>
          <w:trHeight w:val="171"/>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Small commercial &amp; industrial</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69"/>
        </w:trPr>
        <w:tc>
          <w:tcPr>
            <w:tcW w:w="3820" w:type="dxa"/>
            <w:vAlign w:val="bottom"/>
          </w:tcPr>
          <w:p>
            <w:pPr>
              <w:ind w:left="180"/>
              <w:spacing w:after="0"/>
              <w:rPr>
                <w:sz w:val="20"/>
                <w:szCs w:val="20"/>
                <w:color w:val="auto"/>
              </w:rPr>
            </w:pPr>
            <w:r>
              <w:rPr>
                <w:rFonts w:ascii="Arial" w:cs="Arial" w:eastAsia="Arial" w:hAnsi="Arial"/>
                <w:sz w:val="13"/>
                <w:szCs w:val="13"/>
                <w:color w:val="auto"/>
              </w:rPr>
              <w:t>Large commercial &amp; industrial</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71"/>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Public authorities &amp; electric railroads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3820" w:type="dxa"/>
            <w:vAlign w:val="bottom"/>
            <w:tcBorders>
              <w:bottom w:val="single" w:sz="8" w:color="CCEEFF"/>
            </w:tcBorders>
          </w:tcPr>
          <w:p>
            <w:pPr>
              <w:ind w:left="180"/>
              <w:spacing w:after="0" w:line="170"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(a)</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r>
      <w:tr>
        <w:trPr>
          <w:trHeight w:val="160"/>
        </w:trPr>
        <w:tc>
          <w:tcPr>
            <w:tcW w:w="3820" w:type="dxa"/>
            <w:vAlign w:val="bottom"/>
            <w:shd w:val="clear" w:color="auto" w:fill="CCEEFF"/>
          </w:tcPr>
          <w:p>
            <w:pPr>
              <w:ind w:left="180"/>
              <w:spacing w:after="0" w:line="161" w:lineRule="exact"/>
              <w:rPr>
                <w:sz w:val="20"/>
                <w:szCs w:val="20"/>
                <w:color w:val="auto"/>
              </w:rPr>
            </w:pPr>
            <w:r>
              <w:rPr>
                <w:rFonts w:ascii="Arial" w:cs="Arial" w:eastAsia="Arial" w:hAnsi="Arial"/>
                <w:sz w:val="13"/>
                <w:szCs w:val="13"/>
                <w:color w:val="auto"/>
              </w:rPr>
              <w:t>Total electric revenues</w:t>
            </w:r>
            <w:r>
              <w:rPr>
                <w:rFonts w:ascii="Arial" w:cs="Arial" w:eastAsia="Arial" w:hAnsi="Arial"/>
                <w:sz w:val="16"/>
                <w:szCs w:val="16"/>
                <w:color w:val="auto"/>
                <w:vertAlign w:val="superscript"/>
              </w:rPr>
              <w:t>(b)</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r>
      <w:tr>
        <w:trPr>
          <w:trHeight w:val="170"/>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Natural gas revenues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Residential</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820" w:type="dxa"/>
            <w:vAlign w:val="bottom"/>
          </w:tcPr>
          <w:p>
            <w:pPr>
              <w:ind w:left="180"/>
              <w:spacing w:after="0"/>
              <w:rPr>
                <w:sz w:val="20"/>
                <w:szCs w:val="20"/>
                <w:color w:val="auto"/>
              </w:rPr>
            </w:pPr>
            <w:r>
              <w:rPr>
                <w:rFonts w:ascii="Arial" w:cs="Arial" w:eastAsia="Arial" w:hAnsi="Arial"/>
                <w:sz w:val="13"/>
                <w:szCs w:val="13"/>
                <w:color w:val="auto"/>
              </w:rPr>
              <w:t>Small commercial &amp; industrial</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Large commercial &amp; industrial</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820" w:type="dxa"/>
            <w:vAlign w:val="bottom"/>
          </w:tcPr>
          <w:p>
            <w:pPr>
              <w:ind w:left="180"/>
              <w:spacing w:after="0"/>
              <w:rPr>
                <w:sz w:val="20"/>
                <w:szCs w:val="20"/>
                <w:color w:val="auto"/>
              </w:rPr>
            </w:pPr>
            <w:r>
              <w:rPr>
                <w:rFonts w:ascii="Arial" w:cs="Arial" w:eastAsia="Arial" w:hAnsi="Arial"/>
                <w:sz w:val="13"/>
                <w:szCs w:val="13"/>
                <w:color w:val="auto"/>
              </w:rPr>
              <w:t>Transportation</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820" w:type="dxa"/>
            <w:vAlign w:val="bottom"/>
            <w:shd w:val="clear" w:color="auto" w:fill="CCEEFF"/>
          </w:tcPr>
          <w:p>
            <w:pPr>
              <w:ind w:left="18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(c)</w:t>
            </w: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820" w:type="dxa"/>
            <w:vAlign w:val="bottom"/>
          </w:tcPr>
          <w:p>
            <w:pPr>
              <w:ind w:left="180"/>
              <w:spacing w:after="0" w:line="161" w:lineRule="exact"/>
              <w:rPr>
                <w:sz w:val="20"/>
                <w:szCs w:val="20"/>
                <w:color w:val="auto"/>
              </w:rPr>
            </w:pPr>
            <w:r>
              <w:rPr>
                <w:rFonts w:ascii="Arial" w:cs="Arial" w:eastAsia="Arial" w:hAnsi="Arial"/>
                <w:sz w:val="13"/>
                <w:szCs w:val="13"/>
                <w:color w:val="auto"/>
              </w:rPr>
              <w:t>Total natural gas revenues</w:t>
            </w:r>
            <w:r>
              <w:rPr>
                <w:rFonts w:ascii="Arial" w:cs="Arial" w:eastAsia="Arial" w:hAnsi="Arial"/>
                <w:sz w:val="16"/>
                <w:szCs w:val="16"/>
                <w:color w:val="auto"/>
                <w:vertAlign w:val="superscript"/>
              </w:rPr>
              <w:t>(d)</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3"/>
                <w:szCs w:val="13"/>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revenues from contracts with customers</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1,337</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1,782</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r>
      <w:tr>
        <w:trPr>
          <w:trHeight w:val="170"/>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Other revenues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Revenues from alternative revenue programs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820" w:type="dxa"/>
            <w:vAlign w:val="bottom"/>
          </w:tcPr>
          <w:p>
            <w:pPr>
              <w:ind w:left="180"/>
              <w:spacing w:after="0" w:line="170" w:lineRule="exact"/>
              <w:rPr>
                <w:sz w:val="20"/>
                <w:szCs w:val="20"/>
                <w:color w:val="auto"/>
              </w:rPr>
            </w:pPr>
            <w:r>
              <w:rPr>
                <w:rFonts w:ascii="Arial" w:cs="Arial" w:eastAsia="Arial" w:hAnsi="Arial"/>
                <w:sz w:val="13"/>
                <w:szCs w:val="13"/>
                <w:color w:val="auto"/>
              </w:rPr>
              <w:t>Other electric revenues</w:t>
            </w:r>
            <w:r>
              <w:rPr>
                <w:rFonts w:ascii="Arial" w:cs="Arial" w:eastAsia="Arial" w:hAnsi="Arial"/>
                <w:sz w:val="16"/>
                <w:szCs w:val="16"/>
                <w:color w:val="auto"/>
                <w:vertAlign w:val="superscript"/>
              </w:rPr>
              <w:t>(e)</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820" w:type="dxa"/>
            <w:vAlign w:val="bottom"/>
            <w:shd w:val="clear" w:color="auto" w:fill="CCEEFF"/>
          </w:tcPr>
          <w:p>
            <w:pPr>
              <w:ind w:left="180"/>
              <w:spacing w:after="0" w:line="170" w:lineRule="exact"/>
              <w:rPr>
                <w:sz w:val="20"/>
                <w:szCs w:val="20"/>
                <w:color w:val="auto"/>
              </w:rPr>
            </w:pPr>
            <w:r>
              <w:rPr>
                <w:rFonts w:ascii="Arial" w:cs="Arial" w:eastAsia="Arial" w:hAnsi="Arial"/>
                <w:sz w:val="13"/>
                <w:szCs w:val="13"/>
                <w:color w:val="auto"/>
              </w:rPr>
              <w:t>Other natural gas revenues</w:t>
            </w:r>
            <w:r>
              <w:rPr>
                <w:rFonts w:ascii="Arial" w:cs="Arial" w:eastAsia="Arial" w:hAnsi="Arial"/>
                <w:sz w:val="16"/>
                <w:szCs w:val="16"/>
                <w:color w:val="auto"/>
                <w:vertAlign w:val="superscript"/>
              </w:rPr>
              <w:t>(e)</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other revenues</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revenues for reportable segments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transmission revenue from PJM, wholesale electric revenue, and mutual assistance revenue.</w:t>
      </w:r>
    </w:p>
    <w:p>
      <w:pPr>
        <w:spacing w:after="0" w:line="3" w:lineRule="exact"/>
        <w:rPr>
          <w:rFonts w:ascii="Arial" w:cs="Arial" w:eastAsia="Arial" w:hAnsi="Arial"/>
          <w:sz w:val="11"/>
          <w:szCs w:val="11"/>
          <w:color w:val="auto"/>
        </w:rPr>
      </w:pPr>
    </w:p>
    <w:p>
      <w:pPr>
        <w:ind w:left="240" w:hanging="23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operating revenues from affiliates in 2026 and 2025 respectively of:</w:t>
      </w:r>
    </w:p>
    <w:p>
      <w:pPr>
        <w:spacing w:after="0" w:line="22" w:lineRule="exact"/>
        <w:rPr>
          <w:rFonts w:ascii="Arial" w:cs="Arial" w:eastAsia="Arial" w:hAnsi="Arial"/>
          <w:sz w:val="11"/>
          <w:szCs w:val="11"/>
          <w:color w:val="auto"/>
        </w:rPr>
      </w:pPr>
    </w:p>
    <w:p>
      <w:pPr>
        <w:ind w:left="760" w:hanging="246"/>
        <w:spacing w:after="0"/>
        <w:tabs>
          <w:tab w:leader="none" w:pos="760" w:val="left"/>
        </w:tabs>
        <w:numPr>
          <w:ilvl w:val="1"/>
          <w:numId w:val="9"/>
        </w:numPr>
        <w:rPr>
          <w:rFonts w:ascii="Arial" w:cs="Arial" w:eastAsia="Arial" w:hAnsi="Arial"/>
          <w:sz w:val="11"/>
          <w:szCs w:val="11"/>
          <w:color w:val="auto"/>
        </w:rPr>
      </w:pPr>
      <w:r>
        <w:rPr>
          <w:rFonts w:ascii="Arial" w:cs="Arial" w:eastAsia="Arial" w:hAnsi="Arial"/>
          <w:sz w:val="11"/>
          <w:szCs w:val="11"/>
          <w:color w:val="auto"/>
        </w:rPr>
        <w:t>$11 million, $8 million at ComEd</w:t>
      </w:r>
    </w:p>
    <w:p>
      <w:pPr>
        <w:spacing w:after="0" w:line="22" w:lineRule="exact"/>
        <w:rPr>
          <w:rFonts w:ascii="Arial" w:cs="Arial" w:eastAsia="Arial" w:hAnsi="Arial"/>
          <w:sz w:val="11"/>
          <w:szCs w:val="11"/>
          <w:color w:val="auto"/>
        </w:rPr>
      </w:pPr>
    </w:p>
    <w:p>
      <w:pPr>
        <w:ind w:left="760" w:hanging="246"/>
        <w:spacing w:after="0"/>
        <w:tabs>
          <w:tab w:leader="none" w:pos="760" w:val="left"/>
        </w:tabs>
        <w:numPr>
          <w:ilvl w:val="1"/>
          <w:numId w:val="9"/>
        </w:numPr>
        <w:rPr>
          <w:rFonts w:ascii="Arial" w:cs="Arial" w:eastAsia="Arial" w:hAnsi="Arial"/>
          <w:sz w:val="11"/>
          <w:szCs w:val="11"/>
          <w:color w:val="auto"/>
        </w:rPr>
      </w:pPr>
      <w:r>
        <w:rPr>
          <w:rFonts w:ascii="Arial" w:cs="Arial" w:eastAsia="Arial" w:hAnsi="Arial"/>
          <w:sz w:val="11"/>
          <w:szCs w:val="11"/>
          <w:color w:val="auto"/>
        </w:rPr>
        <w:t>$4 million, $2 million at PECO</w:t>
      </w:r>
    </w:p>
    <w:p>
      <w:pPr>
        <w:spacing w:after="0" w:line="21" w:lineRule="exact"/>
        <w:rPr>
          <w:rFonts w:ascii="Arial" w:cs="Arial" w:eastAsia="Arial" w:hAnsi="Arial"/>
          <w:sz w:val="11"/>
          <w:szCs w:val="11"/>
          <w:color w:val="auto"/>
        </w:rPr>
      </w:pPr>
    </w:p>
    <w:p>
      <w:pPr>
        <w:ind w:left="760" w:hanging="246"/>
        <w:spacing w:after="0"/>
        <w:tabs>
          <w:tab w:leader="none" w:pos="760" w:val="left"/>
        </w:tabs>
        <w:numPr>
          <w:ilvl w:val="1"/>
          <w:numId w:val="9"/>
        </w:numPr>
        <w:rPr>
          <w:rFonts w:ascii="Arial" w:cs="Arial" w:eastAsia="Arial" w:hAnsi="Arial"/>
          <w:sz w:val="11"/>
          <w:szCs w:val="11"/>
          <w:color w:val="auto"/>
        </w:rPr>
      </w:pPr>
      <w:r>
        <w:rPr>
          <w:rFonts w:ascii="Arial" w:cs="Arial" w:eastAsia="Arial" w:hAnsi="Arial"/>
          <w:sz w:val="11"/>
          <w:szCs w:val="11"/>
          <w:color w:val="auto"/>
        </w:rPr>
        <w:t>$2 million, $1 million at BGE</w:t>
      </w:r>
    </w:p>
    <w:p>
      <w:pPr>
        <w:spacing w:after="0" w:line="11" w:lineRule="exact"/>
        <w:rPr>
          <w:rFonts w:ascii="Arial" w:cs="Arial" w:eastAsia="Arial" w:hAnsi="Arial"/>
          <w:sz w:val="11"/>
          <w:szCs w:val="11"/>
          <w:color w:val="auto"/>
        </w:rPr>
      </w:pPr>
    </w:p>
    <w:p>
      <w:pPr>
        <w:ind w:left="760" w:hanging="246"/>
        <w:spacing w:after="0"/>
        <w:tabs>
          <w:tab w:leader="none" w:pos="760" w:val="left"/>
        </w:tabs>
        <w:numPr>
          <w:ilvl w:val="1"/>
          <w:numId w:val="9"/>
        </w:numPr>
        <w:rPr>
          <w:rFonts w:ascii="Arial" w:cs="Arial" w:eastAsia="Arial" w:hAnsi="Arial"/>
          <w:sz w:val="11"/>
          <w:szCs w:val="11"/>
          <w:color w:val="auto"/>
        </w:rPr>
      </w:pPr>
      <w:r>
        <w:rPr>
          <w:rFonts w:ascii="Arial" w:cs="Arial" w:eastAsia="Arial" w:hAnsi="Arial"/>
          <w:sz w:val="11"/>
          <w:szCs w:val="11"/>
          <w:color w:val="auto"/>
        </w:rPr>
        <w:t>$3 million, $2 million at PHI</w:t>
      </w:r>
    </w:p>
    <w:p>
      <w:pPr>
        <w:spacing w:after="0" w:line="11" w:lineRule="exact"/>
        <w:rPr>
          <w:rFonts w:ascii="Arial" w:cs="Arial" w:eastAsia="Arial" w:hAnsi="Arial"/>
          <w:sz w:val="11"/>
          <w:szCs w:val="11"/>
          <w:color w:val="auto"/>
        </w:rPr>
      </w:pPr>
    </w:p>
    <w:p>
      <w:pPr>
        <w:ind w:left="760" w:hanging="246"/>
        <w:spacing w:after="0"/>
        <w:tabs>
          <w:tab w:leader="none" w:pos="760" w:val="left"/>
        </w:tabs>
        <w:numPr>
          <w:ilvl w:val="1"/>
          <w:numId w:val="9"/>
        </w:numPr>
        <w:rPr>
          <w:rFonts w:ascii="Arial" w:cs="Arial" w:eastAsia="Arial" w:hAnsi="Arial"/>
          <w:sz w:val="11"/>
          <w:szCs w:val="11"/>
          <w:color w:val="auto"/>
        </w:rPr>
      </w:pPr>
      <w:r>
        <w:rPr>
          <w:rFonts w:ascii="Arial" w:cs="Arial" w:eastAsia="Arial" w:hAnsi="Arial"/>
          <w:sz w:val="11"/>
          <w:szCs w:val="11"/>
          <w:color w:val="auto"/>
        </w:rPr>
        <w:t>$2 million, $2 million at Pepco</w:t>
      </w:r>
    </w:p>
    <w:p>
      <w:pPr>
        <w:ind w:left="760" w:hanging="246"/>
        <w:spacing w:after="0"/>
        <w:tabs>
          <w:tab w:leader="none" w:pos="760" w:val="left"/>
        </w:tabs>
        <w:numPr>
          <w:ilvl w:val="1"/>
          <w:numId w:val="9"/>
        </w:numPr>
        <w:rPr>
          <w:rFonts w:ascii="Arial" w:cs="Arial" w:eastAsia="Arial" w:hAnsi="Arial"/>
          <w:sz w:val="11"/>
          <w:szCs w:val="11"/>
          <w:color w:val="auto"/>
        </w:rPr>
      </w:pPr>
      <w:r>
        <w:rPr>
          <w:rFonts w:ascii="Arial" w:cs="Arial" w:eastAsia="Arial" w:hAnsi="Arial"/>
          <w:sz w:val="11"/>
          <w:szCs w:val="11"/>
          <w:color w:val="auto"/>
        </w:rPr>
        <w:t>$2 million, $2 million at DPL</w:t>
      </w:r>
    </w:p>
    <w:p>
      <w:pPr>
        <w:spacing w:after="0" w:line="11" w:lineRule="exact"/>
        <w:rPr>
          <w:rFonts w:ascii="Arial" w:cs="Arial" w:eastAsia="Arial" w:hAnsi="Arial"/>
          <w:sz w:val="11"/>
          <w:szCs w:val="11"/>
          <w:color w:val="auto"/>
        </w:rPr>
      </w:pPr>
    </w:p>
    <w:p>
      <w:pPr>
        <w:ind w:left="760" w:hanging="246"/>
        <w:spacing w:after="0"/>
        <w:tabs>
          <w:tab w:leader="none" w:pos="760" w:val="left"/>
        </w:tabs>
        <w:numPr>
          <w:ilvl w:val="1"/>
          <w:numId w:val="9"/>
        </w:numPr>
        <w:rPr>
          <w:rFonts w:ascii="Arial" w:cs="Arial" w:eastAsia="Arial" w:hAnsi="Arial"/>
          <w:sz w:val="11"/>
          <w:szCs w:val="11"/>
          <w:color w:val="auto"/>
        </w:rPr>
      </w:pPr>
      <w:r>
        <w:rPr>
          <w:rFonts w:ascii="Arial" w:cs="Arial" w:eastAsia="Arial" w:hAnsi="Arial"/>
          <w:sz w:val="11"/>
          <w:szCs w:val="11"/>
          <w:color w:val="auto"/>
        </w:rPr>
        <w:t>$1 million, $1 million at ACE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revenues from off-system natural gas sales.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operating revenues from affiliates in 2026 and 2025 respectively of:</w:t>
      </w:r>
    </w:p>
    <w:p>
      <w:pPr>
        <w:spacing w:after="0" w:line="22" w:lineRule="exact"/>
        <w:rPr>
          <w:rFonts w:ascii="Arial" w:cs="Arial" w:eastAsia="Arial" w:hAnsi="Arial"/>
          <w:sz w:val="11"/>
          <w:szCs w:val="11"/>
          <w:color w:val="auto"/>
        </w:rPr>
      </w:pPr>
    </w:p>
    <w:p>
      <w:pPr>
        <w:ind w:left="760" w:hanging="246"/>
        <w:spacing w:after="0"/>
        <w:tabs>
          <w:tab w:leader="none" w:pos="760" w:val="left"/>
        </w:tabs>
        <w:numPr>
          <w:ilvl w:val="1"/>
          <w:numId w:val="9"/>
        </w:numPr>
        <w:rPr>
          <w:rFonts w:ascii="Arial" w:cs="Arial" w:eastAsia="Arial" w:hAnsi="Arial"/>
          <w:sz w:val="11"/>
          <w:szCs w:val="11"/>
          <w:color w:val="auto"/>
        </w:rPr>
      </w:pPr>
      <w:r>
        <w:rPr>
          <w:rFonts w:ascii="Arial" w:cs="Arial" w:eastAsia="Arial" w:hAnsi="Arial"/>
          <w:sz w:val="11"/>
          <w:szCs w:val="11"/>
          <w:color w:val="auto"/>
        </w:rPr>
        <w:t>less than $1 million, $1 million at PECO</w:t>
      </w:r>
    </w:p>
    <w:p>
      <w:pPr>
        <w:spacing w:after="0" w:line="22" w:lineRule="exact"/>
        <w:rPr>
          <w:rFonts w:ascii="Arial" w:cs="Arial" w:eastAsia="Arial" w:hAnsi="Arial"/>
          <w:sz w:val="11"/>
          <w:szCs w:val="11"/>
          <w:color w:val="auto"/>
        </w:rPr>
      </w:pPr>
    </w:p>
    <w:p>
      <w:pPr>
        <w:ind w:left="760" w:hanging="246"/>
        <w:spacing w:after="0"/>
        <w:tabs>
          <w:tab w:leader="none" w:pos="760" w:val="left"/>
        </w:tabs>
        <w:numPr>
          <w:ilvl w:val="1"/>
          <w:numId w:val="9"/>
        </w:numPr>
        <w:rPr>
          <w:rFonts w:ascii="Arial" w:cs="Arial" w:eastAsia="Arial" w:hAnsi="Arial"/>
          <w:sz w:val="11"/>
          <w:szCs w:val="11"/>
          <w:color w:val="auto"/>
        </w:rPr>
      </w:pPr>
      <w:r>
        <w:rPr>
          <w:rFonts w:ascii="Arial" w:cs="Arial" w:eastAsia="Arial" w:hAnsi="Arial"/>
          <w:sz w:val="11"/>
          <w:szCs w:val="11"/>
          <w:color w:val="auto"/>
        </w:rPr>
        <w:t>$1 million, $1 million at BGE</w:t>
      </w:r>
    </w:p>
    <w:p>
      <w:pPr>
        <w:spacing w:after="0" w:line="10" w:lineRule="exact"/>
        <w:rPr>
          <w:rFonts w:ascii="Arial" w:cs="Arial" w:eastAsia="Arial" w:hAnsi="Arial"/>
          <w:sz w:val="11"/>
          <w:szCs w:val="11"/>
          <w:color w:val="auto"/>
        </w:rPr>
      </w:pPr>
    </w:p>
    <w:p>
      <w:pPr>
        <w:ind w:left="240" w:hanging="23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late payment charge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5 — Accounts Receivable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Accounts Receivable (All Registrants)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Allowance for Credit Losses on Accounts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the rollforward of Allowance for Credit Losses on Customer Accounts Receivable.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rPr>
              <w:t>Three Months Ended March 31, 2026</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58"/>
        </w:trPr>
        <w:tc>
          <w:tcPr>
            <w:tcW w:w="35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Exelon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2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180" w:type="dxa"/>
            <w:vAlign w:val="bottom"/>
          </w:tcPr>
          <w:p>
            <w:pPr>
              <w:spacing w:after="0"/>
              <w:rPr>
                <w:sz w:val="13"/>
                <w:szCs w:val="13"/>
                <w:color w:val="auto"/>
              </w:rPr>
            </w:pPr>
          </w:p>
        </w:tc>
        <w:tc>
          <w:tcPr>
            <w:tcW w:w="800" w:type="dxa"/>
            <w:vAlign w:val="bottom"/>
            <w:gridSpan w:val="2"/>
          </w:tcPr>
          <w:p>
            <w:pPr>
              <w:jc w:val="center"/>
              <w:ind w:right="300"/>
              <w:spacing w:after="0" w:line="158" w:lineRule="exact"/>
              <w:rPr>
                <w:sz w:val="20"/>
                <w:szCs w:val="20"/>
                <w:color w:val="auto"/>
              </w:rPr>
            </w:pPr>
            <w:r>
              <w:rPr>
                <w:rFonts w:ascii="Arial" w:cs="Arial" w:eastAsia="Arial" w:hAnsi="Arial"/>
                <w:sz w:val="18"/>
                <w:szCs w:val="18"/>
                <w:b w:val="1"/>
                <w:bCs w:val="1"/>
                <w:color w:val="auto"/>
                <w:w w:val="88"/>
                <w:vertAlign w:val="subscript"/>
              </w:rPr>
              <w:t>BGE</w:t>
            </w:r>
            <w:r>
              <w:rPr>
                <w:rFonts w:ascii="Arial" w:cs="Arial" w:eastAsia="Arial" w:hAnsi="Arial"/>
                <w:sz w:val="6"/>
                <w:szCs w:val="6"/>
                <w:b w:val="1"/>
                <w:bCs w:val="1"/>
                <w:color w:val="auto"/>
                <w:w w:val="88"/>
              </w:rPr>
              <w:t>(b)</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180" w:type="dxa"/>
            <w:vAlign w:val="bottom"/>
          </w:tcPr>
          <w:p>
            <w:pPr>
              <w:spacing w:after="0"/>
              <w:rPr>
                <w:sz w:val="13"/>
                <w:szCs w:val="13"/>
                <w:color w:val="auto"/>
              </w:rPr>
            </w:pPr>
          </w:p>
        </w:tc>
        <w:tc>
          <w:tcPr>
            <w:tcW w:w="800" w:type="dxa"/>
            <w:vAlign w:val="bottom"/>
            <w:gridSpan w:val="2"/>
          </w:tcPr>
          <w:p>
            <w:pPr>
              <w:jc w:val="center"/>
              <w:ind w:right="280"/>
              <w:spacing w:after="0" w:line="158" w:lineRule="exact"/>
              <w:rPr>
                <w:sz w:val="20"/>
                <w:szCs w:val="20"/>
                <w:color w:val="auto"/>
              </w:rPr>
            </w:pPr>
            <w:r>
              <w:rPr>
                <w:rFonts w:ascii="Arial" w:cs="Arial" w:eastAsia="Arial" w:hAnsi="Arial"/>
                <w:sz w:val="18"/>
                <w:szCs w:val="18"/>
                <w:b w:val="1"/>
                <w:bCs w:val="1"/>
                <w:color w:val="auto"/>
                <w:w w:val="89"/>
                <w:vertAlign w:val="subscript"/>
              </w:rPr>
              <w:t>DPL</w:t>
            </w:r>
            <w:r>
              <w:rPr>
                <w:rFonts w:ascii="Arial" w:cs="Arial" w:eastAsia="Arial" w:hAnsi="Arial"/>
                <w:sz w:val="6"/>
                <w:szCs w:val="6"/>
                <w:b w:val="1"/>
                <w:bCs w:val="1"/>
                <w:color w:val="auto"/>
                <w:w w:val="89"/>
              </w:rPr>
              <w:t>(c)</w:t>
            </w:r>
          </w:p>
        </w:tc>
        <w:tc>
          <w:tcPr>
            <w:tcW w:w="220" w:type="dxa"/>
            <w:vAlign w:val="bottom"/>
          </w:tcPr>
          <w:p>
            <w:pPr>
              <w:spacing w:after="0"/>
              <w:rPr>
                <w:sz w:val="13"/>
                <w:szCs w:val="13"/>
                <w:color w:val="auto"/>
              </w:rPr>
            </w:pPr>
          </w:p>
        </w:tc>
        <w:tc>
          <w:tcPr>
            <w:tcW w:w="660" w:type="dxa"/>
            <w:vAlign w:val="bottom"/>
          </w:tcPr>
          <w:p>
            <w:pPr>
              <w:jc w:val="right"/>
              <w:ind w:right="279"/>
              <w:spacing w:after="0"/>
              <w:rPr>
                <w:sz w:val="20"/>
                <w:szCs w:val="20"/>
                <w:color w:val="auto"/>
              </w:rPr>
            </w:pPr>
            <w:r>
              <w:rPr>
                <w:rFonts w:ascii="Arial" w:cs="Arial" w:eastAsia="Arial" w:hAnsi="Arial"/>
                <w:sz w:val="10"/>
                <w:szCs w:val="10"/>
                <w:b w:val="1"/>
                <w:bCs w:val="1"/>
                <w:color w:val="auto"/>
              </w:rPr>
              <w:t>ACE</w:t>
            </w:r>
          </w:p>
        </w:tc>
      </w:tr>
      <w:tr>
        <w:trPr>
          <w:trHeight w:val="16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2025</w:t>
            </w:r>
          </w:p>
        </w:tc>
        <w:tc>
          <w:tcPr>
            <w:tcW w:w="60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435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68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9"/>
        </w:trPr>
        <w:tc>
          <w:tcPr>
            <w:tcW w:w="3500" w:type="dxa"/>
            <w:vAlign w:val="bottom"/>
          </w:tcPr>
          <w:p>
            <w:pPr>
              <w:ind w:left="20"/>
              <w:spacing w:after="0"/>
              <w:rPr>
                <w:sz w:val="20"/>
                <w:szCs w:val="20"/>
                <w:color w:val="auto"/>
              </w:rPr>
            </w:pPr>
            <w:r>
              <w:rPr>
                <w:rFonts w:ascii="Arial" w:cs="Arial" w:eastAsia="Arial" w:hAnsi="Arial"/>
                <w:sz w:val="13"/>
                <w:szCs w:val="13"/>
                <w:color w:val="auto"/>
              </w:rPr>
              <w:t>Plus: Current period provision for expected credit losses</w:t>
            </w:r>
          </w:p>
        </w:tc>
        <w:tc>
          <w:tcPr>
            <w:tcW w:w="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92"/>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Write-offs, net of recoveries</w:t>
            </w:r>
            <w:r>
              <w:rPr>
                <w:rFonts w:ascii="Arial" w:cs="Arial" w:eastAsia="Arial" w:hAnsi="Arial"/>
                <w:sz w:val="16"/>
                <w:szCs w:val="16"/>
                <w:color w:val="auto"/>
                <w:vertAlign w:val="superscript"/>
              </w:rPr>
              <w:t>(a)</w:t>
            </w:r>
          </w:p>
        </w:tc>
        <w:tc>
          <w:tcPr>
            <w:tcW w:w="6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0"/>
        </w:trPr>
        <w:tc>
          <w:tcPr>
            <w:tcW w:w="3500" w:type="dxa"/>
            <w:vAlign w:val="bottom"/>
          </w:tcPr>
          <w:p>
            <w:pPr>
              <w:ind w:left="20"/>
              <w:spacing w:after="0"/>
              <w:rPr>
                <w:sz w:val="20"/>
                <w:szCs w:val="20"/>
                <w:color w:val="auto"/>
              </w:rPr>
            </w:pPr>
            <w:r>
              <w:rPr>
                <w:rFonts w:ascii="Arial" w:cs="Arial" w:eastAsia="Arial" w:hAnsi="Arial"/>
                <w:sz w:val="13"/>
                <w:szCs w:val="13"/>
                <w:color w:val="auto"/>
              </w:rPr>
              <w:t>Balance at March 31, 2026</w:t>
            </w:r>
          </w:p>
        </w:tc>
        <w:tc>
          <w:tcPr>
            <w:tcW w:w="60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522</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20"/>
        </w:trPr>
        <w:tc>
          <w:tcPr>
            <w:tcW w:w="3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82"/>
        </w:trPr>
        <w:tc>
          <w:tcPr>
            <w:tcW w:w="35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rPr>
              <w:t>Three Months Ended March 31, 2025</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50"/>
        </w:trPr>
        <w:tc>
          <w:tcPr>
            <w:tcW w:w="35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Exelon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2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18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18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9"/>
              </w:rPr>
              <w:t>DPL</w:t>
            </w:r>
          </w:p>
        </w:tc>
        <w:tc>
          <w:tcPr>
            <w:tcW w:w="220" w:type="dxa"/>
            <w:vAlign w:val="bottom"/>
          </w:tcPr>
          <w:p>
            <w:pPr>
              <w:spacing w:after="0"/>
              <w:rPr>
                <w:sz w:val="13"/>
                <w:szCs w:val="13"/>
                <w:color w:val="auto"/>
              </w:rPr>
            </w:pPr>
          </w:p>
        </w:tc>
        <w:tc>
          <w:tcPr>
            <w:tcW w:w="660" w:type="dxa"/>
            <w:vAlign w:val="bottom"/>
          </w:tcPr>
          <w:p>
            <w:pPr>
              <w:jc w:val="right"/>
              <w:ind w:right="279"/>
              <w:spacing w:after="0"/>
              <w:rPr>
                <w:sz w:val="20"/>
                <w:szCs w:val="20"/>
                <w:color w:val="auto"/>
              </w:rPr>
            </w:pPr>
            <w:r>
              <w:rPr>
                <w:rFonts w:ascii="Arial" w:cs="Arial" w:eastAsia="Arial" w:hAnsi="Arial"/>
                <w:sz w:val="10"/>
                <w:szCs w:val="10"/>
                <w:b w:val="1"/>
                <w:bCs w:val="1"/>
                <w:color w:val="auto"/>
              </w:rPr>
              <w:t>ACE</w:t>
            </w:r>
          </w:p>
        </w:tc>
      </w:tr>
      <w:tr>
        <w:trPr>
          <w:trHeight w:val="16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2024</w:t>
            </w:r>
          </w:p>
        </w:tc>
        <w:tc>
          <w:tcPr>
            <w:tcW w:w="60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406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56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69"/>
        </w:trPr>
        <w:tc>
          <w:tcPr>
            <w:tcW w:w="3500" w:type="dxa"/>
            <w:vAlign w:val="bottom"/>
          </w:tcPr>
          <w:p>
            <w:pPr>
              <w:ind w:left="20"/>
              <w:spacing w:after="0"/>
              <w:rPr>
                <w:sz w:val="20"/>
                <w:szCs w:val="20"/>
                <w:color w:val="auto"/>
              </w:rPr>
            </w:pPr>
            <w:r>
              <w:rPr>
                <w:rFonts w:ascii="Arial" w:cs="Arial" w:eastAsia="Arial" w:hAnsi="Arial"/>
                <w:sz w:val="13"/>
                <w:szCs w:val="13"/>
                <w:color w:val="auto"/>
              </w:rPr>
              <w:t>Plus: Current period provision for expected credit losses</w:t>
            </w:r>
          </w:p>
        </w:tc>
        <w:tc>
          <w:tcPr>
            <w:tcW w:w="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Write-offs, net of recoveries</w:t>
            </w:r>
          </w:p>
        </w:tc>
        <w:tc>
          <w:tcPr>
            <w:tcW w:w="6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3500" w:type="dxa"/>
            <w:vAlign w:val="bottom"/>
          </w:tcPr>
          <w:p>
            <w:pPr>
              <w:ind w:left="20"/>
              <w:spacing w:after="0"/>
              <w:rPr>
                <w:sz w:val="20"/>
                <w:szCs w:val="20"/>
                <w:color w:val="auto"/>
              </w:rPr>
            </w:pPr>
            <w:r>
              <w:rPr>
                <w:rFonts w:ascii="Arial" w:cs="Arial" w:eastAsia="Arial" w:hAnsi="Arial"/>
                <w:sz w:val="13"/>
                <w:szCs w:val="13"/>
                <w:color w:val="auto"/>
              </w:rPr>
              <w:t>Balance at March 31, 2025</w:t>
            </w:r>
          </w:p>
        </w:tc>
        <w:tc>
          <w:tcPr>
            <w:tcW w:w="60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486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r>
      <w:tr>
        <w:trPr>
          <w:trHeight w:val="20"/>
        </w:trPr>
        <w:tc>
          <w:tcPr>
            <w:tcW w:w="3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5" w:lineRule="exact"/>
        <w:rPr>
          <w:sz w:val="20"/>
          <w:szCs w:val="20"/>
          <w:color w:val="auto"/>
        </w:rPr>
      </w:pPr>
    </w:p>
    <w:p>
      <w:pPr>
        <w:ind w:left="240" w:hanging="235"/>
        <w:spacing w:after="0"/>
        <w:tabs>
          <w:tab w:leader="none" w:pos="2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Recoveries were not material to the Registrants.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For BGE, the increase in current period provision for expected credit losses when comparing to the three months ended March 31, 2025, is primarily a result of increased receivable balances.</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For DPL, the decrease in current period provision for expected credit losses when comparing to the three months ended March 31, 2025, is primarily a result of favorable customer payment behavior.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the rollforward of Allowance for Credit Losses on Other Accounts Receivable.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5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rPr>
              <w:t>Three Months Ended March 31, 2026</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53"/>
        </w:trPr>
        <w:tc>
          <w:tcPr>
            <w:tcW w:w="35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Exelon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2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3"/>
                <w:szCs w:val="13"/>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DPL</w:t>
            </w:r>
          </w:p>
        </w:tc>
        <w:tc>
          <w:tcPr>
            <w:tcW w:w="200" w:type="dxa"/>
            <w:vAlign w:val="bottom"/>
          </w:tcPr>
          <w:p>
            <w:pPr>
              <w:spacing w:after="0"/>
              <w:rPr>
                <w:sz w:val="13"/>
                <w:szCs w:val="13"/>
                <w:color w:val="auto"/>
              </w:rPr>
            </w:pPr>
          </w:p>
        </w:tc>
        <w:tc>
          <w:tcPr>
            <w:tcW w:w="680" w:type="dxa"/>
            <w:vAlign w:val="bottom"/>
          </w:tcPr>
          <w:p>
            <w:pPr>
              <w:jc w:val="right"/>
              <w:ind w:right="241"/>
              <w:spacing w:after="0" w:line="153" w:lineRule="exact"/>
              <w:rPr>
                <w:sz w:val="20"/>
                <w:szCs w:val="20"/>
                <w:color w:val="auto"/>
              </w:rPr>
            </w:pPr>
            <w:r>
              <w:rPr>
                <w:rFonts w:ascii="Arial" w:cs="Arial" w:eastAsia="Arial" w:hAnsi="Arial"/>
                <w:sz w:val="17"/>
                <w:szCs w:val="17"/>
                <w:b w:val="1"/>
                <w:bCs w:val="1"/>
                <w:color w:val="auto"/>
                <w:vertAlign w:val="subscript"/>
              </w:rPr>
              <w:t>ACE</w:t>
            </w:r>
            <w:r>
              <w:rPr>
                <w:rFonts w:ascii="Arial" w:cs="Arial" w:eastAsia="Arial" w:hAnsi="Arial"/>
                <w:sz w:val="6"/>
                <w:szCs w:val="6"/>
                <w:b w:val="1"/>
                <w:bCs w:val="1"/>
                <w:color w:val="auto"/>
              </w:rPr>
              <w:t>(b)</w:t>
            </w:r>
          </w:p>
        </w:tc>
      </w:tr>
      <w:tr>
        <w:trPr>
          <w:trHeight w:val="16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2025</w:t>
            </w:r>
          </w:p>
        </w:tc>
        <w:tc>
          <w:tcPr>
            <w:tcW w:w="60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13</w:t>
            </w:r>
          </w:p>
        </w:tc>
      </w:tr>
      <w:tr>
        <w:trPr>
          <w:trHeight w:val="169"/>
        </w:trPr>
        <w:tc>
          <w:tcPr>
            <w:tcW w:w="3500" w:type="dxa"/>
            <w:vAlign w:val="bottom"/>
          </w:tcPr>
          <w:p>
            <w:pPr>
              <w:ind w:left="20"/>
              <w:spacing w:after="0"/>
              <w:rPr>
                <w:sz w:val="20"/>
                <w:szCs w:val="20"/>
                <w:color w:val="auto"/>
              </w:rPr>
            </w:pPr>
            <w:r>
              <w:rPr>
                <w:rFonts w:ascii="Arial" w:cs="Arial" w:eastAsia="Arial" w:hAnsi="Arial"/>
                <w:sz w:val="13"/>
                <w:szCs w:val="13"/>
                <w:color w:val="auto"/>
              </w:rPr>
              <w:t>Plus: Current period provision for expected credit losses</w:t>
            </w:r>
          </w:p>
        </w:tc>
        <w:tc>
          <w:tcPr>
            <w:tcW w:w="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3"/>
                <w:szCs w:val="13"/>
                <w:color w:val="auto"/>
              </w:rPr>
              <w:t>—</w:t>
            </w:r>
          </w:p>
        </w:tc>
      </w:tr>
      <w:tr>
        <w:trPr>
          <w:trHeight w:val="192"/>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Write-offs, net of recoveries</w:t>
            </w:r>
            <w:r>
              <w:rPr>
                <w:rFonts w:ascii="Arial" w:cs="Arial" w:eastAsia="Arial" w:hAnsi="Arial"/>
                <w:sz w:val="16"/>
                <w:szCs w:val="16"/>
                <w:color w:val="auto"/>
                <w:vertAlign w:val="superscript"/>
              </w:rPr>
              <w:t>(a)</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w:t>
            </w:r>
          </w:p>
        </w:tc>
      </w:tr>
      <w:tr>
        <w:trPr>
          <w:trHeight w:val="160"/>
        </w:trPr>
        <w:tc>
          <w:tcPr>
            <w:tcW w:w="3500" w:type="dxa"/>
            <w:vAlign w:val="bottom"/>
          </w:tcPr>
          <w:p>
            <w:pPr>
              <w:ind w:left="20"/>
              <w:spacing w:after="0"/>
              <w:rPr>
                <w:sz w:val="20"/>
                <w:szCs w:val="20"/>
                <w:color w:val="auto"/>
              </w:rPr>
            </w:pPr>
            <w:r>
              <w:rPr>
                <w:rFonts w:ascii="Arial" w:cs="Arial" w:eastAsia="Arial" w:hAnsi="Arial"/>
                <w:sz w:val="13"/>
                <w:szCs w:val="13"/>
                <w:color w:val="auto"/>
              </w:rPr>
              <w:t>Balance at March 31, 2026</w:t>
            </w:r>
          </w:p>
        </w:tc>
        <w:tc>
          <w:tcPr>
            <w:tcW w:w="6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102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12</w:t>
            </w:r>
          </w:p>
        </w:tc>
      </w:tr>
      <w:tr>
        <w:trPr>
          <w:trHeight w:val="20"/>
        </w:trPr>
        <w:tc>
          <w:tcPr>
            <w:tcW w:w="3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82"/>
        </w:trPr>
        <w:tc>
          <w:tcPr>
            <w:tcW w:w="35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rPr>
              <w:t>Three Months Ended March 31, 2025</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50"/>
        </w:trPr>
        <w:tc>
          <w:tcPr>
            <w:tcW w:w="35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Exelon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2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3"/>
                <w:szCs w:val="13"/>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3"/>
                <w:szCs w:val="13"/>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DPL</w:t>
            </w:r>
          </w:p>
        </w:tc>
        <w:tc>
          <w:tcPr>
            <w:tcW w:w="200" w:type="dxa"/>
            <w:vAlign w:val="bottom"/>
          </w:tcPr>
          <w:p>
            <w:pPr>
              <w:spacing w:after="0"/>
              <w:rPr>
                <w:sz w:val="13"/>
                <w:szCs w:val="13"/>
                <w:color w:val="auto"/>
              </w:rPr>
            </w:pPr>
          </w:p>
        </w:tc>
        <w:tc>
          <w:tcPr>
            <w:tcW w:w="680" w:type="dxa"/>
            <w:vAlign w:val="bottom"/>
          </w:tcPr>
          <w:p>
            <w:pPr>
              <w:jc w:val="right"/>
              <w:ind w:right="281"/>
              <w:spacing w:after="0"/>
              <w:rPr>
                <w:sz w:val="20"/>
                <w:szCs w:val="20"/>
                <w:color w:val="auto"/>
              </w:rPr>
            </w:pPr>
            <w:r>
              <w:rPr>
                <w:rFonts w:ascii="Arial" w:cs="Arial" w:eastAsia="Arial" w:hAnsi="Arial"/>
                <w:sz w:val="10"/>
                <w:szCs w:val="10"/>
                <w:b w:val="1"/>
                <w:bCs w:val="1"/>
                <w:color w:val="auto"/>
              </w:rPr>
              <w:t>ACE</w:t>
            </w:r>
          </w:p>
        </w:tc>
      </w:tr>
      <w:tr>
        <w:trPr>
          <w:trHeight w:val="16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2024</w:t>
            </w:r>
          </w:p>
        </w:tc>
        <w:tc>
          <w:tcPr>
            <w:tcW w:w="60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13</w:t>
            </w:r>
          </w:p>
        </w:tc>
      </w:tr>
      <w:tr>
        <w:trPr>
          <w:trHeight w:val="169"/>
        </w:trPr>
        <w:tc>
          <w:tcPr>
            <w:tcW w:w="3500" w:type="dxa"/>
            <w:vAlign w:val="bottom"/>
          </w:tcPr>
          <w:p>
            <w:pPr>
              <w:ind w:left="20"/>
              <w:spacing w:after="0"/>
              <w:rPr>
                <w:sz w:val="20"/>
                <w:szCs w:val="20"/>
                <w:color w:val="auto"/>
              </w:rPr>
            </w:pPr>
            <w:r>
              <w:rPr>
                <w:rFonts w:ascii="Arial" w:cs="Arial" w:eastAsia="Arial" w:hAnsi="Arial"/>
                <w:sz w:val="13"/>
                <w:szCs w:val="13"/>
                <w:color w:val="auto"/>
              </w:rPr>
              <w:t>Plus: Current period provision for expected credit losses</w:t>
            </w:r>
          </w:p>
        </w:tc>
        <w:tc>
          <w:tcPr>
            <w:tcW w:w="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3"/>
                <w:szCs w:val="13"/>
                <w:color w:val="auto"/>
              </w:rPr>
              <w:t>3</w:t>
            </w:r>
          </w:p>
        </w:tc>
      </w:tr>
      <w:tr>
        <w:trPr>
          <w:trHeight w:val="17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Write-offs, net of recoveries</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w:t>
            </w:r>
          </w:p>
        </w:tc>
      </w:tr>
      <w:tr>
        <w:trPr>
          <w:trHeight w:val="162"/>
        </w:trPr>
        <w:tc>
          <w:tcPr>
            <w:tcW w:w="3500" w:type="dxa"/>
            <w:vAlign w:val="bottom"/>
          </w:tcPr>
          <w:p>
            <w:pPr>
              <w:ind w:left="20"/>
              <w:spacing w:after="0"/>
              <w:rPr>
                <w:sz w:val="20"/>
                <w:szCs w:val="20"/>
                <w:color w:val="auto"/>
              </w:rPr>
            </w:pPr>
            <w:r>
              <w:rPr>
                <w:rFonts w:ascii="Arial" w:cs="Arial" w:eastAsia="Arial" w:hAnsi="Arial"/>
                <w:sz w:val="13"/>
                <w:szCs w:val="13"/>
                <w:color w:val="auto"/>
              </w:rPr>
              <w:t>Balance at March 31, 2025</w:t>
            </w:r>
          </w:p>
        </w:tc>
        <w:tc>
          <w:tcPr>
            <w:tcW w:w="6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113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15</w:t>
            </w:r>
          </w:p>
        </w:tc>
      </w:tr>
      <w:tr>
        <w:trPr>
          <w:trHeight w:val="20"/>
        </w:trPr>
        <w:tc>
          <w:tcPr>
            <w:tcW w:w="3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5" w:lineRule="exact"/>
        <w:rPr>
          <w:sz w:val="20"/>
          <w:szCs w:val="20"/>
          <w:color w:val="auto"/>
        </w:rPr>
      </w:pPr>
    </w:p>
    <w:p>
      <w:pPr>
        <w:ind w:left="240" w:hanging="235"/>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Recoveries were not material to the Registrants.</w:t>
      </w:r>
    </w:p>
    <w:p>
      <w:pPr>
        <w:spacing w:after="0" w:line="3" w:lineRule="exact"/>
        <w:rPr>
          <w:rFonts w:ascii="Arial" w:cs="Arial" w:eastAsia="Arial" w:hAnsi="Arial"/>
          <w:sz w:val="11"/>
          <w:szCs w:val="11"/>
          <w:color w:val="auto"/>
        </w:rPr>
      </w:pPr>
    </w:p>
    <w:p>
      <w:pPr>
        <w:ind w:left="240" w:hanging="235"/>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For ACE, the decrease in current period provision for expected credit losses when comparing to the three months ended March 31, 2025, is primarily a result of decreased aged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5 — Accounts Receivable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Unbilled Customer Revenue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additional information about unbilled customer revenues recorded in the Registrants' Consolidated Balance Sheets as of March 31, 2026 and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Unbilled customer revenues</w:t>
            </w:r>
            <w:r>
              <w:rPr>
                <w:rFonts w:ascii="Arial" w:cs="Arial" w:eastAsia="Arial" w:hAnsi="Arial"/>
                <w:sz w:val="12"/>
                <w:szCs w:val="12"/>
                <w:b w:val="1"/>
                <w:bCs w:val="1"/>
                <w:color w:val="auto"/>
                <w:vertAlign w:val="superscript"/>
              </w:rPr>
              <w:t>(a)</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41"/>
        </w:trPr>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Exelon</w:t>
            </w: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ComEd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16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DPL</w:t>
            </w:r>
          </w:p>
        </w:tc>
        <w:tc>
          <w:tcPr>
            <w:tcW w:w="220" w:type="dxa"/>
            <w:vAlign w:val="bottom"/>
          </w:tcPr>
          <w:p>
            <w:pPr>
              <w:spacing w:after="0"/>
              <w:rPr>
                <w:sz w:val="12"/>
                <w:szCs w:val="12"/>
                <w:color w:val="auto"/>
              </w:rPr>
            </w:pPr>
          </w:p>
        </w:tc>
        <w:tc>
          <w:tcPr>
            <w:tcW w:w="660" w:type="dxa"/>
            <w:vAlign w:val="bottom"/>
          </w:tcPr>
          <w:p>
            <w:pPr>
              <w:jc w:val="right"/>
              <w:ind w:right="281"/>
              <w:spacing w:after="0"/>
              <w:rPr>
                <w:sz w:val="20"/>
                <w:szCs w:val="20"/>
                <w:color w:val="auto"/>
              </w:rPr>
            </w:pPr>
            <w:r>
              <w:rPr>
                <w:rFonts w:ascii="Arial" w:cs="Arial" w:eastAsia="Arial" w:hAnsi="Arial"/>
                <w:sz w:val="10"/>
                <w:szCs w:val="10"/>
                <w:b w:val="1"/>
                <w:bCs w:val="1"/>
                <w:color w:val="auto"/>
              </w:rPr>
              <w:t>ACE</w:t>
            </w:r>
          </w:p>
        </w:tc>
      </w:tr>
      <w:tr>
        <w:trPr>
          <w:trHeight w:val="19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March 31, 2026</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873</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8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246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211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210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59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44</w:t>
            </w:r>
          </w:p>
        </w:tc>
      </w:tr>
      <w:tr>
        <w:trPr>
          <w:trHeight w:val="178"/>
        </w:trPr>
        <w:tc>
          <w:tcPr>
            <w:tcW w:w="3500" w:type="dxa"/>
            <w:vAlign w:val="bottom"/>
          </w:tcPr>
          <w:p>
            <w:pPr>
              <w:ind w:left="20"/>
              <w:spacing w:after="0"/>
              <w:rPr>
                <w:sz w:val="20"/>
                <w:szCs w:val="20"/>
                <w:color w:val="auto"/>
              </w:rPr>
            </w:pPr>
            <w:r>
              <w:rPr>
                <w:rFonts w:ascii="Arial" w:cs="Arial" w:eastAsia="Arial" w:hAnsi="Arial"/>
                <w:sz w:val="13"/>
                <w:szCs w:val="13"/>
                <w:color w:val="auto"/>
              </w:rPr>
              <w:t>December 31, 2025</w:t>
            </w:r>
          </w:p>
        </w:tc>
        <w:tc>
          <w:tcPr>
            <w:tcW w:w="18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1,231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82"/>
              </w:rPr>
              <w:t>301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3"/>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72</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Unbilled customer revenues are classified in Customer accounts receivable, net in the Registrants'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Purchases of Customer and Other Accounts Receivables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For the three months ended March 31, 2026 and 2025, the Utility Registrants were required, under separate legislation and regulations in Illinois, Pennsylvania, Maryland, District of Columbia, Delaware, and New Jersey, to purchase certain receivables from alternative retail electric and, as applicable, natural gas suppliers that participated in the utilities' consolidated billing. The following table presents the total receivables purchased.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Total receivables purchased</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50"/>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Exelon</w:t>
            </w:r>
          </w:p>
        </w:tc>
        <w:tc>
          <w:tcPr>
            <w:tcW w:w="14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1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0"/>
                <w:szCs w:val="10"/>
                <w:b w:val="1"/>
                <w:bCs w:val="1"/>
                <w:color w:val="auto"/>
              </w:rPr>
              <w:t>PECO</w:t>
            </w:r>
          </w:p>
        </w:tc>
        <w:tc>
          <w:tcPr>
            <w:tcW w:w="12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0"/>
                <w:szCs w:val="10"/>
                <w:b w:val="1"/>
                <w:bCs w:val="1"/>
                <w:color w:val="auto"/>
              </w:rPr>
              <w:t>BGE</w:t>
            </w:r>
          </w:p>
        </w:tc>
        <w:tc>
          <w:tcPr>
            <w:tcW w:w="20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0"/>
                <w:szCs w:val="10"/>
                <w:b w:val="1"/>
                <w:bCs w:val="1"/>
                <w:color w:val="auto"/>
              </w:rPr>
              <w:t>PHI</w:t>
            </w:r>
          </w:p>
        </w:tc>
        <w:tc>
          <w:tcPr>
            <w:tcW w:w="1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0"/>
                <w:szCs w:val="10"/>
                <w:b w:val="1"/>
                <w:bCs w:val="1"/>
                <w:color w:val="auto"/>
              </w:rPr>
              <w:t>Pepco</w:t>
            </w:r>
          </w:p>
        </w:tc>
        <w:tc>
          <w:tcPr>
            <w:tcW w:w="18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0"/>
                <w:szCs w:val="10"/>
                <w:b w:val="1"/>
                <w:bCs w:val="1"/>
                <w:color w:val="auto"/>
              </w:rPr>
              <w:t>DPL</w:t>
            </w:r>
          </w:p>
        </w:tc>
        <w:tc>
          <w:tcPr>
            <w:tcW w:w="180" w:type="dxa"/>
            <w:vAlign w:val="bottom"/>
          </w:tcPr>
          <w:p>
            <w:pPr>
              <w:spacing w:after="0"/>
              <w:rPr>
                <w:sz w:val="13"/>
                <w:szCs w:val="13"/>
                <w:color w:val="auto"/>
              </w:rPr>
            </w:pPr>
          </w:p>
        </w:tc>
        <w:tc>
          <w:tcPr>
            <w:tcW w:w="600" w:type="dxa"/>
            <w:vAlign w:val="bottom"/>
          </w:tcPr>
          <w:p>
            <w:pPr>
              <w:jc w:val="right"/>
              <w:ind w:right="221"/>
              <w:spacing w:after="0"/>
              <w:rPr>
                <w:sz w:val="20"/>
                <w:szCs w:val="20"/>
                <w:color w:val="auto"/>
              </w:rPr>
            </w:pPr>
            <w:r>
              <w:rPr>
                <w:rFonts w:ascii="Arial" w:cs="Arial" w:eastAsia="Arial" w:hAnsi="Arial"/>
                <w:sz w:val="10"/>
                <w:szCs w:val="10"/>
                <w:b w:val="1"/>
                <w:bCs w:val="1"/>
                <w:color w:val="auto"/>
              </w:rPr>
              <w:t>ACE</w:t>
            </w:r>
          </w:p>
        </w:tc>
      </w:tr>
      <w:tr>
        <w:trPr>
          <w:trHeight w:val="18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Three months ended March 31, 2026</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1,310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304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411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188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407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262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76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69</w:t>
            </w:r>
          </w:p>
        </w:tc>
      </w:tr>
      <w:tr>
        <w:trPr>
          <w:trHeight w:val="167"/>
        </w:trPr>
        <w:tc>
          <w:tcPr>
            <w:tcW w:w="4080" w:type="dxa"/>
            <w:vAlign w:val="bottom"/>
          </w:tcPr>
          <w:p>
            <w:pPr>
              <w:ind w:left="20"/>
              <w:spacing w:after="0"/>
              <w:rPr>
                <w:sz w:val="20"/>
                <w:szCs w:val="20"/>
                <w:color w:val="auto"/>
              </w:rPr>
            </w:pPr>
            <w:r>
              <w:rPr>
                <w:rFonts w:ascii="Arial" w:cs="Arial" w:eastAsia="Arial" w:hAnsi="Arial"/>
                <w:sz w:val="13"/>
                <w:szCs w:val="13"/>
                <w:color w:val="auto"/>
              </w:rPr>
              <w:t>Three months ended March 31, 2025</w:t>
            </w:r>
          </w:p>
        </w:tc>
        <w:tc>
          <w:tcPr>
            <w:tcW w:w="160" w:type="dxa"/>
            <w:vAlign w:val="bottom"/>
          </w:tcPr>
          <w:p>
            <w:pPr>
              <w:spacing w:after="0"/>
              <w:rPr>
                <w:sz w:val="14"/>
                <w:szCs w:val="14"/>
                <w:color w:val="auto"/>
              </w:rPr>
            </w:pPr>
          </w:p>
        </w:tc>
        <w:tc>
          <w:tcPr>
            <w:tcW w:w="620" w:type="dxa"/>
            <w:vAlign w:val="bottom"/>
          </w:tcPr>
          <w:p>
            <w:pPr>
              <w:jc w:val="right"/>
              <w:ind w:right="1"/>
              <w:spacing w:after="0"/>
              <w:rPr>
                <w:sz w:val="20"/>
                <w:szCs w:val="20"/>
                <w:color w:val="auto"/>
              </w:rPr>
            </w:pPr>
            <w:r>
              <w:rPr>
                <w:rFonts w:ascii="Arial" w:cs="Arial" w:eastAsia="Arial" w:hAnsi="Arial"/>
                <w:sz w:val="13"/>
                <w:szCs w:val="13"/>
                <w:color w:val="auto"/>
              </w:rPr>
              <w:t>1,138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Arial" w:cs="Arial" w:eastAsia="Arial" w:hAnsi="Arial"/>
                <w:sz w:val="13"/>
                <w:szCs w:val="13"/>
                <w:color w:val="auto"/>
              </w:rPr>
              <w:t>57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Income Taxes (All Registrants)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Rate Reconciliation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effective income tax rate from continuing operations varies from the U.S. federal statutory rate principally due to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ind w:left="60"/>
              <w:spacing w:after="0"/>
              <w:rPr>
                <w:sz w:val="20"/>
                <w:szCs w:val="20"/>
                <w:color w:val="auto"/>
              </w:rPr>
            </w:pPr>
            <w:r>
              <w:rPr>
                <w:rFonts w:ascii="Arial" w:cs="Arial" w:eastAsia="Arial" w:hAnsi="Arial"/>
                <w:sz w:val="10"/>
                <w:szCs w:val="10"/>
                <w:b w:val="1"/>
                <w:bCs w:val="1"/>
                <w:color w:val="auto"/>
              </w:rPr>
              <w:t>Three Months Ended March 31, 2026</w:t>
            </w:r>
            <w:r>
              <w:rPr>
                <w:rFonts w:ascii="Arial" w:cs="Arial" w:eastAsia="Arial" w:hAnsi="Arial"/>
                <w:sz w:val="12"/>
                <w:szCs w:val="12"/>
                <w:b w:val="1"/>
                <w:bCs w:val="1"/>
                <w:color w:val="auto"/>
                <w:vertAlign w:val="superscript"/>
              </w:rPr>
              <w:t>(a)(b)</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0"/>
        </w:trPr>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ind w:left="420"/>
              <w:spacing w:after="0"/>
              <w:rPr>
                <w:sz w:val="20"/>
                <w:szCs w:val="20"/>
                <w:color w:val="auto"/>
              </w:rPr>
            </w:pPr>
            <w:r>
              <w:rPr>
                <w:rFonts w:ascii="Arial" w:cs="Arial" w:eastAsia="Arial" w:hAnsi="Arial"/>
                <w:sz w:val="10"/>
                <w:szCs w:val="10"/>
                <w:b w:val="1"/>
                <w:bCs w:val="1"/>
                <w:color w:val="auto"/>
              </w:rPr>
              <w:t>Exelon</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4"/>
          </w:tcPr>
          <w:p>
            <w:pPr>
              <w:ind w:left="400"/>
              <w:spacing w:after="0"/>
              <w:rPr>
                <w:sz w:val="20"/>
                <w:szCs w:val="20"/>
                <w:color w:val="auto"/>
              </w:rPr>
            </w:pPr>
            <w:r>
              <w:rPr>
                <w:rFonts w:ascii="Arial" w:cs="Arial" w:eastAsia="Arial" w:hAnsi="Arial"/>
                <w:sz w:val="10"/>
                <w:szCs w:val="10"/>
                <w:b w:val="1"/>
                <w:bCs w:val="1"/>
                <w:color w:val="auto"/>
              </w:rPr>
              <w:t>ComEd</w:t>
            </w:r>
          </w:p>
        </w:tc>
        <w:tc>
          <w:tcPr>
            <w:tcW w:w="280" w:type="dxa"/>
            <w:vAlign w:val="bottom"/>
          </w:tcPr>
          <w:p>
            <w:pPr>
              <w:spacing w:after="0"/>
              <w:rPr>
                <w:sz w:val="13"/>
                <w:szCs w:val="13"/>
                <w:color w:val="auto"/>
              </w:rPr>
            </w:pPr>
          </w:p>
        </w:tc>
        <w:tc>
          <w:tcPr>
            <w:tcW w:w="840" w:type="dxa"/>
            <w:vAlign w:val="bottom"/>
            <w:gridSpan w:val="3"/>
          </w:tcPr>
          <w:p>
            <w:pPr>
              <w:ind w:left="380"/>
              <w:spacing w:after="0"/>
              <w:rPr>
                <w:sz w:val="20"/>
                <w:szCs w:val="20"/>
                <w:color w:val="auto"/>
              </w:rPr>
            </w:pPr>
            <w:r>
              <w:rPr>
                <w:rFonts w:ascii="Arial" w:cs="Arial" w:eastAsia="Arial" w:hAnsi="Arial"/>
                <w:sz w:val="10"/>
                <w:szCs w:val="10"/>
                <w:b w:val="1"/>
                <w:bCs w:val="1"/>
                <w:color w:val="auto"/>
              </w:rPr>
              <w:t>PECO</w:t>
            </w:r>
            <w:r>
              <w:rPr>
                <w:rFonts w:ascii="Arial" w:cs="Arial" w:eastAsia="Arial" w:hAnsi="Arial"/>
                <w:sz w:val="12"/>
                <w:szCs w:val="12"/>
                <w:b w:val="1"/>
                <w:bCs w:val="1"/>
                <w:color w:val="auto"/>
                <w:vertAlign w:val="superscript"/>
              </w:rPr>
              <w:t>(c)</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gridSpan w:val="2"/>
          </w:tcPr>
          <w:p>
            <w:pPr>
              <w:jc w:val="right"/>
              <w:ind w:right="676"/>
              <w:spacing w:after="0"/>
              <w:rPr>
                <w:sz w:val="20"/>
                <w:szCs w:val="20"/>
                <w:color w:val="auto"/>
              </w:rPr>
            </w:pPr>
            <w:r>
              <w:rPr>
                <w:rFonts w:ascii="Arial" w:cs="Arial" w:eastAsia="Arial" w:hAnsi="Arial"/>
                <w:sz w:val="10"/>
                <w:szCs w:val="10"/>
                <w:b w:val="1"/>
                <w:bCs w:val="1"/>
                <w:color w:val="auto"/>
                <w:w w:val="92"/>
              </w:rPr>
              <w:t>BGE</w:t>
            </w:r>
          </w:p>
        </w:tc>
      </w:tr>
      <w:tr>
        <w:trPr>
          <w:trHeight w:val="182"/>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 Federal statutory rate</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4180" w:type="dxa"/>
            <w:vAlign w:val="bottom"/>
          </w:tcPr>
          <w:p>
            <w:pPr>
              <w:ind w:left="20"/>
              <w:spacing w:after="0"/>
              <w:rPr>
                <w:sz w:val="20"/>
                <w:szCs w:val="20"/>
                <w:color w:val="auto"/>
              </w:rPr>
            </w:pPr>
            <w:r>
              <w:rPr>
                <w:rFonts w:ascii="Arial" w:cs="Arial" w:eastAsia="Arial" w:hAnsi="Arial"/>
                <w:sz w:val="13"/>
                <w:szCs w:val="13"/>
                <w:color w:val="auto"/>
              </w:rPr>
              <w:t>Increase (decrease) due to:</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income taxes, net of Federal income tax benefit</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92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96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6.1</w:t>
            </w:r>
          </w:p>
        </w:tc>
      </w:tr>
      <w:tr>
        <w:trPr>
          <w:trHeight w:val="190"/>
        </w:trPr>
        <w:tc>
          <w:tcPr>
            <w:tcW w:w="4180" w:type="dxa"/>
            <w:vAlign w:val="bottom"/>
          </w:tcPr>
          <w:p>
            <w:pPr>
              <w:ind w:left="140"/>
              <w:spacing w:after="0"/>
              <w:rPr>
                <w:sz w:val="20"/>
                <w:szCs w:val="20"/>
                <w:color w:val="auto"/>
              </w:rPr>
            </w:pPr>
            <w:r>
              <w:rPr>
                <w:rFonts w:ascii="Arial" w:cs="Arial" w:eastAsia="Arial" w:hAnsi="Arial"/>
                <w:sz w:val="13"/>
                <w:szCs w:val="13"/>
                <w:color w:val="auto"/>
              </w:rPr>
              <w:t>Tax credits</w:t>
            </w: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920" w:type="dxa"/>
            <w:vAlign w:val="bottom"/>
            <w:gridSpan w:val="2"/>
          </w:tcPr>
          <w:p>
            <w:pPr>
              <w:jc w:val="right"/>
              <w:ind w:right="5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960" w:type="dxa"/>
            <w:vAlign w:val="bottom"/>
            <w:gridSpan w:val="2"/>
          </w:tcPr>
          <w:p>
            <w:pPr>
              <w:jc w:val="right"/>
              <w:ind w:right="56"/>
              <w:spacing w:after="0"/>
              <w:rPr>
                <w:sz w:val="20"/>
                <w:szCs w:val="20"/>
                <w:color w:val="auto"/>
              </w:rPr>
            </w:pPr>
            <w:r>
              <w:rPr>
                <w:rFonts w:ascii="Arial" w:cs="Arial" w:eastAsia="Arial" w:hAnsi="Arial"/>
                <w:sz w:val="13"/>
                <w:szCs w:val="13"/>
                <w:color w:val="auto"/>
              </w:rPr>
              <w:t>(0.3)</w:t>
            </w:r>
          </w:p>
        </w:tc>
      </w:tr>
      <w:tr>
        <w:trPr>
          <w:trHeight w:val="192"/>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Unrecognized Tax Benefits</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92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96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(0.3)</w:t>
            </w:r>
          </w:p>
        </w:tc>
      </w:tr>
      <w:tr>
        <w:trPr>
          <w:trHeight w:val="190"/>
        </w:trPr>
        <w:tc>
          <w:tcPr>
            <w:tcW w:w="4180" w:type="dxa"/>
            <w:vAlign w:val="bottom"/>
          </w:tcPr>
          <w:p>
            <w:pPr>
              <w:ind w:left="140"/>
              <w:spacing w:after="0"/>
              <w:rPr>
                <w:sz w:val="20"/>
                <w:szCs w:val="20"/>
                <w:color w:val="auto"/>
              </w:rPr>
            </w:pPr>
            <w:r>
              <w:rPr>
                <w:rFonts w:ascii="Arial" w:cs="Arial" w:eastAsia="Arial" w:hAnsi="Arial"/>
                <w:sz w:val="13"/>
                <w:szCs w:val="13"/>
                <w:color w:val="auto"/>
              </w:rPr>
              <w:t>Nontaxable or nondeductible items</w:t>
            </w: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920" w:type="dxa"/>
            <w:vAlign w:val="bottom"/>
            <w:gridSpan w:val="2"/>
          </w:tcPr>
          <w:p>
            <w:pPr>
              <w:jc w:val="right"/>
              <w:ind w:right="96"/>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1"/>
        </w:trPr>
        <w:tc>
          <w:tcPr>
            <w:tcW w:w="4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Adjustments</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0"/>
        </w:trPr>
        <w:tc>
          <w:tcPr>
            <w:tcW w:w="4180" w:type="dxa"/>
            <w:vAlign w:val="bottom"/>
          </w:tcPr>
          <w:p>
            <w:pPr>
              <w:ind w:left="140"/>
              <w:spacing w:after="0"/>
              <w:rPr>
                <w:sz w:val="20"/>
                <w:szCs w:val="20"/>
                <w:color w:val="auto"/>
              </w:rPr>
            </w:pPr>
            <w:r>
              <w:rPr>
                <w:rFonts w:ascii="Arial" w:cs="Arial" w:eastAsia="Arial" w:hAnsi="Arial"/>
                <w:sz w:val="13"/>
                <w:szCs w:val="13"/>
                <w:color w:val="auto"/>
              </w:rPr>
              <w:t>Plant Basis differences</w:t>
            </w: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w:t>
            </w:r>
          </w:p>
        </w:tc>
        <w:tc>
          <w:tcPr>
            <w:tcW w:w="920" w:type="dxa"/>
            <w:vAlign w:val="bottom"/>
            <w:gridSpan w:val="2"/>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960" w:type="dxa"/>
            <w:vAlign w:val="bottom"/>
            <w:gridSpan w:val="2"/>
          </w:tcPr>
          <w:p>
            <w:pPr>
              <w:jc w:val="right"/>
              <w:ind w:right="56"/>
              <w:spacing w:after="0"/>
              <w:rPr>
                <w:sz w:val="20"/>
                <w:szCs w:val="20"/>
                <w:color w:val="auto"/>
              </w:rPr>
            </w:pPr>
            <w:r>
              <w:rPr>
                <w:rFonts w:ascii="Arial" w:cs="Arial" w:eastAsia="Arial" w:hAnsi="Arial"/>
                <w:sz w:val="13"/>
                <w:szCs w:val="13"/>
                <w:color w:val="auto"/>
              </w:rPr>
              <w:t>(2.1)</w:t>
            </w:r>
          </w:p>
        </w:tc>
      </w:tr>
      <w:tr>
        <w:trPr>
          <w:trHeight w:val="192"/>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deferred tax</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92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96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r>
      <w:tr>
        <w:trPr>
          <w:trHeight w:val="190"/>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Amortization of ITC, net deferred taxes</w:t>
            </w: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Effective Tax Rate</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24.6 %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6 — Income Taxes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10"/>
          </w:tcPr>
          <w:p>
            <w:pPr>
              <w:ind w:left="60"/>
              <w:spacing w:after="0"/>
              <w:rPr>
                <w:sz w:val="20"/>
                <w:szCs w:val="20"/>
                <w:color w:val="auto"/>
              </w:rPr>
            </w:pPr>
            <w:r>
              <w:rPr>
                <w:rFonts w:ascii="Arial" w:cs="Arial" w:eastAsia="Arial" w:hAnsi="Arial"/>
                <w:sz w:val="10"/>
                <w:szCs w:val="10"/>
                <w:b w:val="1"/>
                <w:bCs w:val="1"/>
                <w:color w:val="auto"/>
              </w:rPr>
              <w:t>Three Months Ended March 31, 2026</w:t>
            </w:r>
            <w:r>
              <w:rPr>
                <w:rFonts w:ascii="Arial" w:cs="Arial" w:eastAsia="Arial" w:hAnsi="Arial"/>
                <w:sz w:val="12"/>
                <w:szCs w:val="12"/>
                <w:b w:val="1"/>
                <w:bCs w:val="1"/>
                <w:color w:val="auto"/>
                <w:vertAlign w:val="superscript"/>
              </w:rPr>
              <w:t>(a)(b)</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41"/>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PHI</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rPr>
              <w:t>PEPCO</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DPL</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676"/>
              <w:spacing w:after="0"/>
              <w:rPr>
                <w:sz w:val="20"/>
                <w:szCs w:val="20"/>
                <w:color w:val="auto"/>
              </w:rPr>
            </w:pPr>
            <w:r>
              <w:rPr>
                <w:rFonts w:ascii="Arial" w:cs="Arial" w:eastAsia="Arial" w:hAnsi="Arial"/>
                <w:sz w:val="10"/>
                <w:szCs w:val="10"/>
                <w:b w:val="1"/>
                <w:bCs w:val="1"/>
                <w:color w:val="auto"/>
                <w:w w:val="94"/>
              </w:rPr>
              <w:t>ACE</w:t>
            </w:r>
          </w:p>
        </w:tc>
      </w:tr>
      <w:tr>
        <w:trPr>
          <w:trHeight w:val="190"/>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U.S. Federal statutory rate</w:t>
            </w:r>
          </w:p>
        </w:tc>
        <w:tc>
          <w:tcPr>
            <w:tcW w:w="26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Increase (decrease) due to:</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State income taxes, net of Federal income tax benefit</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92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96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8.3</w:t>
            </w:r>
          </w:p>
        </w:tc>
      </w:tr>
      <w:tr>
        <w:trPr>
          <w:trHeight w:val="190"/>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Tax credits</w:t>
            </w:r>
          </w:p>
        </w:tc>
        <w:tc>
          <w:tcPr>
            <w:tcW w:w="2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840" w:type="dxa"/>
            <w:vAlign w:val="bottom"/>
            <w:gridSpan w:val="5"/>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9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Change in Unrecognized Tax Benefits</w:t>
            </w:r>
          </w:p>
        </w:tc>
        <w:tc>
          <w:tcPr>
            <w:tcW w:w="2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0"/>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Nontaxable or nondeductible items</w:t>
            </w:r>
          </w:p>
        </w:tc>
        <w:tc>
          <w:tcPr>
            <w:tcW w:w="260" w:type="dxa"/>
            <w:vAlign w:val="bottom"/>
          </w:tcPr>
          <w:p>
            <w:pPr>
              <w:spacing w:after="0"/>
              <w:rPr>
                <w:sz w:val="16"/>
                <w:szCs w:val="16"/>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460" w:type="dxa"/>
            <w:vAlign w:val="bottom"/>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840" w:type="dxa"/>
            <w:vAlign w:val="bottom"/>
            <w:gridSpan w:val="5"/>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1"/>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Adjustments</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0"/>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Plant Basis differences</w:t>
            </w:r>
          </w:p>
        </w:tc>
        <w:tc>
          <w:tcPr>
            <w:tcW w:w="2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920" w:type="dxa"/>
            <w:vAlign w:val="bottom"/>
            <w:gridSpan w:val="2"/>
          </w:tcPr>
          <w:p>
            <w:pPr>
              <w:jc w:val="right"/>
              <w:ind w:right="56"/>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9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Excess deferred tax</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92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(6.8)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96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(4.3)</w:t>
            </w:r>
          </w:p>
        </w:tc>
      </w:tr>
      <w:tr>
        <w:trPr>
          <w:trHeight w:val="190"/>
        </w:trPr>
        <w:tc>
          <w:tcPr>
            <w:tcW w:w="4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Amortization of ITC, net deferred taxes</w:t>
            </w: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r>
      <w:tr>
        <w:trPr>
          <w:trHeight w:val="20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Effective Tax Rate</w:t>
            </w: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19.0 %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408"/>
        </w:trPr>
        <w:tc>
          <w:tcPr>
            <w:tcW w:w="4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ind w:left="60"/>
              <w:spacing w:after="0"/>
              <w:rPr>
                <w:sz w:val="20"/>
                <w:szCs w:val="20"/>
                <w:color w:val="auto"/>
              </w:rPr>
            </w:pPr>
            <w:r>
              <w:rPr>
                <w:rFonts w:ascii="Arial" w:cs="Arial" w:eastAsia="Arial" w:hAnsi="Arial"/>
                <w:sz w:val="10"/>
                <w:szCs w:val="10"/>
                <w:b w:val="1"/>
                <w:bCs w:val="1"/>
                <w:color w:val="auto"/>
              </w:rPr>
              <w:t>Three Months Ended March 31, 2025</w:t>
            </w:r>
            <w:r>
              <w:rPr>
                <w:rFonts w:ascii="Arial" w:cs="Arial" w:eastAsia="Arial" w:hAnsi="Arial"/>
                <w:sz w:val="12"/>
                <w:szCs w:val="12"/>
                <w:b w:val="1"/>
                <w:bCs w:val="1"/>
                <w:color w:val="auto"/>
                <w:vertAlign w:val="superscript"/>
              </w:rPr>
              <w:t>(a)(b)</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50"/>
        </w:trPr>
        <w:tc>
          <w:tcPr>
            <w:tcW w:w="42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0"/>
                <w:szCs w:val="10"/>
                <w:b w:val="1"/>
                <w:bCs w:val="1"/>
                <w:color w:val="auto"/>
                <w:w w:val="97"/>
              </w:rPr>
              <w:t>Exelon</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0"/>
                <w:szCs w:val="10"/>
                <w:b w:val="1"/>
                <w:bCs w:val="1"/>
                <w:color w:val="auto"/>
                <w:w w:val="92"/>
              </w:rPr>
              <w:t>ComEd</w:t>
            </w:r>
            <w:r>
              <w:rPr>
                <w:rFonts w:ascii="Arial" w:cs="Arial" w:eastAsia="Arial" w:hAnsi="Arial"/>
                <w:sz w:val="12"/>
                <w:szCs w:val="12"/>
                <w:b w:val="1"/>
                <w:bCs w:val="1"/>
                <w:color w:val="auto"/>
                <w:w w:val="92"/>
                <w:vertAlign w:val="superscript"/>
              </w:rPr>
              <w:t>(d)</w:t>
            </w:r>
          </w:p>
        </w:tc>
        <w:tc>
          <w:tcPr>
            <w:tcW w:w="120" w:type="dxa"/>
            <w:vAlign w:val="bottom"/>
            <w:tcBorders>
              <w:bottom w:val="single" w:sz="8" w:color="CCEEFF"/>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5"/>
          </w:tcPr>
          <w:p>
            <w:pPr>
              <w:jc w:val="center"/>
              <w:ind w:left="217"/>
              <w:spacing w:after="0"/>
              <w:rPr>
                <w:sz w:val="20"/>
                <w:szCs w:val="20"/>
                <w:color w:val="auto"/>
              </w:rPr>
            </w:pPr>
            <w:r>
              <w:rPr>
                <w:rFonts w:ascii="Arial" w:cs="Arial" w:eastAsia="Arial" w:hAnsi="Arial"/>
                <w:sz w:val="10"/>
                <w:szCs w:val="10"/>
                <w:b w:val="1"/>
                <w:bCs w:val="1"/>
                <w:color w:val="auto"/>
                <w:w w:val="94"/>
              </w:rPr>
              <w:t>PECO</w:t>
            </w:r>
            <w:r>
              <w:rPr>
                <w:rFonts w:ascii="Arial" w:cs="Arial" w:eastAsia="Arial" w:hAnsi="Arial"/>
                <w:sz w:val="12"/>
                <w:szCs w:val="12"/>
                <w:b w:val="1"/>
                <w:bCs w:val="1"/>
                <w:color w:val="auto"/>
                <w:w w:val="94"/>
                <w:vertAlign w:val="superscript"/>
              </w:rPr>
              <w:t>(c)</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0"/>
                <w:szCs w:val="10"/>
                <w:b w:val="1"/>
                <w:bCs w:val="1"/>
                <w:color w:val="auto"/>
                <w:w w:val="92"/>
              </w:rPr>
              <w:t>BGE</w:t>
            </w:r>
          </w:p>
        </w:tc>
      </w:tr>
      <w:tr>
        <w:trPr>
          <w:trHeight w:val="18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U.S. Federal statutory rate</w:t>
            </w:r>
          </w:p>
        </w:tc>
        <w:tc>
          <w:tcPr>
            <w:tcW w:w="260" w:type="dxa"/>
            <w:vAlign w:val="bottom"/>
            <w:shd w:val="clear" w:color="auto" w:fill="CCEEFF"/>
          </w:tcPr>
          <w:p>
            <w:pPr>
              <w:jc w:val="right"/>
              <w:ind w:right="14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Increase (decrease) due to:</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State income taxes, net of Federal income tax benefit</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92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96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6.3</w:t>
            </w:r>
          </w:p>
        </w:tc>
      </w:tr>
      <w:tr>
        <w:trPr>
          <w:trHeight w:val="190"/>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Tax credits</w:t>
            </w:r>
          </w:p>
        </w:tc>
        <w:tc>
          <w:tcPr>
            <w:tcW w:w="2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ind w:left="280"/>
              <w:spacing w:after="0"/>
              <w:rPr>
                <w:sz w:val="20"/>
                <w:szCs w:val="20"/>
                <w:color w:val="auto"/>
              </w:rPr>
            </w:pPr>
            <w:r>
              <w:rPr>
                <w:rFonts w:ascii="Arial" w:cs="Arial" w:eastAsia="Arial" w:hAnsi="Arial"/>
                <w:sz w:val="13"/>
                <w:szCs w:val="13"/>
                <w:color w:val="auto"/>
              </w:rPr>
              <w:t>(2)</w:t>
            </w:r>
          </w:p>
        </w:tc>
        <w:tc>
          <w:tcPr>
            <w:tcW w:w="920" w:type="dxa"/>
            <w:vAlign w:val="bottom"/>
            <w:gridSpan w:val="2"/>
          </w:tcPr>
          <w:p>
            <w:pPr>
              <w:jc w:val="right"/>
              <w:ind w:right="56"/>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5"/>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960" w:type="dxa"/>
            <w:vAlign w:val="bottom"/>
            <w:gridSpan w:val="2"/>
          </w:tcPr>
          <w:p>
            <w:pPr>
              <w:jc w:val="right"/>
              <w:ind w:right="56"/>
              <w:spacing w:after="0"/>
              <w:rPr>
                <w:sz w:val="20"/>
                <w:szCs w:val="20"/>
                <w:color w:val="auto"/>
              </w:rPr>
            </w:pPr>
            <w:r>
              <w:rPr>
                <w:rFonts w:ascii="Arial" w:cs="Arial" w:eastAsia="Arial" w:hAnsi="Arial"/>
                <w:sz w:val="13"/>
                <w:szCs w:val="13"/>
                <w:color w:val="auto"/>
              </w:rPr>
              <w:t>(0.3)</w:t>
            </w:r>
          </w:p>
        </w:tc>
      </w:tr>
      <w:tr>
        <w:trPr>
          <w:trHeight w:val="19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Nontaxable or nondeductible items</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92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9"/>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Other Adjustments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Plant Basis differences</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(4)</w:t>
            </w:r>
          </w:p>
        </w:tc>
        <w:tc>
          <w:tcPr>
            <w:tcW w:w="92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r>
      <w:tr>
        <w:trPr>
          <w:trHeight w:val="190"/>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Excess deferred tax</w:t>
            </w:r>
          </w:p>
        </w:tc>
        <w:tc>
          <w:tcPr>
            <w:tcW w:w="2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w:t>
            </w:r>
          </w:p>
        </w:tc>
        <w:tc>
          <w:tcPr>
            <w:tcW w:w="920" w:type="dxa"/>
            <w:vAlign w:val="bottom"/>
            <w:gridSpan w:val="2"/>
          </w:tcPr>
          <w:p>
            <w:pPr>
              <w:jc w:val="right"/>
              <w:ind w:right="56"/>
              <w:spacing w:after="0"/>
              <w:rPr>
                <w:sz w:val="20"/>
                <w:szCs w:val="20"/>
                <w:color w:val="auto"/>
              </w:rPr>
            </w:pPr>
            <w:r>
              <w:rPr>
                <w:rFonts w:ascii="Arial" w:cs="Arial" w:eastAsia="Arial" w:hAnsi="Arial"/>
                <w:sz w:val="13"/>
                <w:szCs w:val="13"/>
                <w:color w:val="auto"/>
              </w:rPr>
              <w:t>(9.5)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w:t>
            </w:r>
          </w:p>
        </w:tc>
        <w:tc>
          <w:tcPr>
            <w:tcW w:w="960" w:type="dxa"/>
            <w:vAlign w:val="bottom"/>
            <w:gridSpan w:val="2"/>
          </w:tcPr>
          <w:p>
            <w:pPr>
              <w:jc w:val="right"/>
              <w:ind w:right="56"/>
              <w:spacing w:after="0"/>
              <w:rPr>
                <w:sz w:val="20"/>
                <w:szCs w:val="20"/>
                <w:color w:val="auto"/>
              </w:rPr>
            </w:pPr>
            <w:r>
              <w:rPr>
                <w:rFonts w:ascii="Arial" w:cs="Arial" w:eastAsia="Arial" w:hAnsi="Arial"/>
                <w:sz w:val="13"/>
                <w:szCs w:val="13"/>
                <w:color w:val="auto"/>
              </w:rPr>
              <w:t>(4.0)</w:t>
            </w:r>
          </w:p>
        </w:tc>
      </w:tr>
      <w:tr>
        <w:trPr>
          <w:trHeight w:val="191"/>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ITC, net deferred taxes</w:t>
            </w: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83"/>
        </w:trPr>
        <w:tc>
          <w:tcPr>
            <w:tcW w:w="4220" w:type="dxa"/>
            <w:vAlign w:val="bottom"/>
            <w:gridSpan w:val="2"/>
          </w:tcPr>
          <w:p>
            <w:pPr>
              <w:ind w:left="20"/>
              <w:spacing w:after="0"/>
              <w:rPr>
                <w:sz w:val="20"/>
                <w:szCs w:val="20"/>
                <w:color w:val="auto"/>
              </w:rPr>
            </w:pPr>
            <w:r>
              <w:rPr>
                <w:rFonts w:ascii="Arial" w:cs="Arial" w:eastAsia="Arial" w:hAnsi="Arial"/>
                <w:sz w:val="13"/>
                <w:szCs w:val="13"/>
                <w:b w:val="1"/>
                <w:bCs w:val="1"/>
                <w:color w:val="auto"/>
              </w:rPr>
              <w:t>Effective Tax Rate</w:t>
            </w:r>
          </w:p>
        </w:tc>
        <w:tc>
          <w:tcPr>
            <w:tcW w:w="260" w:type="dxa"/>
            <w:vAlign w:val="bottom"/>
          </w:tcPr>
          <w:p>
            <w:pPr>
              <w:jc w:val="right"/>
              <w:ind w:right="14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15.8 %</w:t>
            </w: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17.7 %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21.5 %</w:t>
            </w:r>
          </w:p>
        </w:tc>
      </w:tr>
      <w:tr>
        <w:trPr>
          <w:trHeight w:val="20"/>
        </w:trPr>
        <w:tc>
          <w:tcPr>
            <w:tcW w:w="4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417"/>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ind w:left="60"/>
              <w:spacing w:after="0"/>
              <w:rPr>
                <w:sz w:val="20"/>
                <w:szCs w:val="20"/>
                <w:color w:val="auto"/>
              </w:rPr>
            </w:pPr>
            <w:r>
              <w:rPr>
                <w:rFonts w:ascii="Arial" w:cs="Arial" w:eastAsia="Arial" w:hAnsi="Arial"/>
                <w:sz w:val="10"/>
                <w:szCs w:val="10"/>
                <w:b w:val="1"/>
                <w:bCs w:val="1"/>
                <w:color w:val="auto"/>
              </w:rPr>
              <w:t>Three Months Ended March 31, 2025</w:t>
            </w:r>
            <w:r>
              <w:rPr>
                <w:rFonts w:ascii="Arial" w:cs="Arial" w:eastAsia="Arial" w:hAnsi="Arial"/>
                <w:sz w:val="12"/>
                <w:szCs w:val="12"/>
                <w:b w:val="1"/>
                <w:bCs w:val="1"/>
                <w:color w:val="auto"/>
                <w:vertAlign w:val="superscript"/>
              </w:rPr>
              <w:t>(a)(b)</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41"/>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PHI</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6"/>
              </w:rPr>
              <w:t>PEPCO</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99"/>
              </w:rPr>
              <w:t>DPL</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676"/>
              <w:spacing w:after="0"/>
              <w:rPr>
                <w:sz w:val="20"/>
                <w:szCs w:val="20"/>
                <w:color w:val="auto"/>
              </w:rPr>
            </w:pPr>
            <w:r>
              <w:rPr>
                <w:rFonts w:ascii="Arial" w:cs="Arial" w:eastAsia="Arial" w:hAnsi="Arial"/>
                <w:sz w:val="10"/>
                <w:szCs w:val="10"/>
                <w:b w:val="1"/>
                <w:bCs w:val="1"/>
                <w:color w:val="auto"/>
                <w:w w:val="94"/>
              </w:rPr>
              <w:t>ACE</w:t>
            </w:r>
          </w:p>
        </w:tc>
      </w:tr>
      <w:tr>
        <w:trPr>
          <w:trHeight w:val="190"/>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U.S. Federal statutory rate</w:t>
            </w:r>
          </w:p>
        </w:tc>
        <w:tc>
          <w:tcPr>
            <w:tcW w:w="26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Increase (decrease) due to:</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State income taxes, net of Federal income tax benefit</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92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6.6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96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7.1</w:t>
            </w:r>
          </w:p>
        </w:tc>
      </w:tr>
      <w:tr>
        <w:trPr>
          <w:trHeight w:val="190"/>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Tax credits</w:t>
            </w:r>
          </w:p>
        </w:tc>
        <w:tc>
          <w:tcPr>
            <w:tcW w:w="2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ind w:left="280"/>
              <w:spacing w:after="0"/>
              <w:rPr>
                <w:sz w:val="20"/>
                <w:szCs w:val="20"/>
                <w:color w:val="auto"/>
              </w:rPr>
            </w:pPr>
            <w:r>
              <w:rPr>
                <w:rFonts w:ascii="Arial" w:cs="Arial" w:eastAsia="Arial" w:hAnsi="Arial"/>
                <w:sz w:val="13"/>
                <w:szCs w:val="13"/>
                <w:color w:val="auto"/>
              </w:rPr>
              <w:t>(1)</w:t>
            </w:r>
          </w:p>
        </w:tc>
        <w:tc>
          <w:tcPr>
            <w:tcW w:w="920" w:type="dxa"/>
            <w:vAlign w:val="bottom"/>
            <w:gridSpan w:val="2"/>
          </w:tcPr>
          <w:p>
            <w:pPr>
              <w:jc w:val="right"/>
              <w:ind w:right="56"/>
              <w:spacing w:after="0"/>
              <w:rPr>
                <w:sz w:val="20"/>
                <w:szCs w:val="20"/>
                <w:color w:val="auto"/>
              </w:rPr>
            </w:pPr>
            <w:r>
              <w:rPr>
                <w:rFonts w:ascii="Arial" w:cs="Arial" w:eastAsia="Arial" w:hAnsi="Arial"/>
                <w:sz w:val="13"/>
                <w:szCs w:val="13"/>
                <w:color w:val="auto"/>
              </w:rPr>
              <w:t>(0.8)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5"/>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9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Nontaxable or nondeductible items</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9"/>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Other Adjustments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Plant Basis differences</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w:t>
            </w:r>
          </w:p>
        </w:tc>
        <w:tc>
          <w:tcPr>
            <w:tcW w:w="92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(0.8)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0.5</w:t>
            </w:r>
          </w:p>
        </w:tc>
      </w:tr>
      <w:tr>
        <w:trPr>
          <w:trHeight w:val="190"/>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Excess deferred tax</w:t>
            </w:r>
          </w:p>
        </w:tc>
        <w:tc>
          <w:tcPr>
            <w:tcW w:w="2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ind w:left="280"/>
              <w:spacing w:after="0"/>
              <w:rPr>
                <w:sz w:val="20"/>
                <w:szCs w:val="20"/>
                <w:color w:val="auto"/>
              </w:rPr>
            </w:pPr>
            <w:r>
              <w:rPr>
                <w:rFonts w:ascii="Arial" w:cs="Arial" w:eastAsia="Arial" w:hAnsi="Arial"/>
                <w:sz w:val="13"/>
                <w:szCs w:val="13"/>
                <w:color w:val="auto"/>
              </w:rPr>
              <w:t>(7)</w:t>
            </w:r>
          </w:p>
        </w:tc>
        <w:tc>
          <w:tcPr>
            <w:tcW w:w="920" w:type="dxa"/>
            <w:vAlign w:val="bottom"/>
            <w:gridSpan w:val="2"/>
          </w:tcPr>
          <w:p>
            <w:pPr>
              <w:jc w:val="right"/>
              <w:ind w:right="56"/>
              <w:spacing w:after="0"/>
              <w:rPr>
                <w:sz w:val="20"/>
                <w:szCs w:val="20"/>
                <w:color w:val="auto"/>
              </w:rPr>
            </w:pPr>
            <w:r>
              <w:rPr>
                <w:rFonts w:ascii="Arial" w:cs="Arial" w:eastAsia="Arial" w:hAnsi="Arial"/>
                <w:sz w:val="13"/>
                <w:szCs w:val="13"/>
                <w:color w:val="auto"/>
              </w:rPr>
              <w:t>(5.5)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960" w:type="dxa"/>
            <w:vAlign w:val="bottom"/>
            <w:gridSpan w:val="2"/>
          </w:tcPr>
          <w:p>
            <w:pPr>
              <w:jc w:val="right"/>
              <w:ind w:right="56"/>
              <w:spacing w:after="0"/>
              <w:rPr>
                <w:sz w:val="20"/>
                <w:szCs w:val="20"/>
                <w:color w:val="auto"/>
              </w:rPr>
            </w:pPr>
            <w:r>
              <w:rPr>
                <w:rFonts w:ascii="Arial" w:cs="Arial" w:eastAsia="Arial" w:hAnsi="Arial"/>
                <w:sz w:val="13"/>
                <w:szCs w:val="13"/>
                <w:color w:val="auto"/>
              </w:rPr>
              <w:t>(2.4)</w:t>
            </w:r>
          </w:p>
        </w:tc>
      </w:tr>
      <w:tr>
        <w:trPr>
          <w:trHeight w:val="191"/>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Amortization of ITC, net deferred taxes</w:t>
            </w:r>
          </w:p>
        </w:tc>
        <w:tc>
          <w:tcPr>
            <w:tcW w:w="2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83"/>
        </w:trPr>
        <w:tc>
          <w:tcPr>
            <w:tcW w:w="4220" w:type="dxa"/>
            <w:vAlign w:val="bottom"/>
            <w:gridSpan w:val="2"/>
          </w:tcPr>
          <w:p>
            <w:pPr>
              <w:ind w:left="20"/>
              <w:spacing w:after="0"/>
              <w:rPr>
                <w:sz w:val="20"/>
                <w:szCs w:val="20"/>
                <w:color w:val="auto"/>
              </w:rPr>
            </w:pPr>
            <w:r>
              <w:rPr>
                <w:rFonts w:ascii="Arial" w:cs="Arial" w:eastAsia="Arial" w:hAnsi="Arial"/>
                <w:sz w:val="13"/>
                <w:szCs w:val="13"/>
                <w:b w:val="1"/>
                <w:bCs w:val="1"/>
                <w:color w:val="auto"/>
              </w:rPr>
              <w:t>Effective Tax Rate</w:t>
            </w:r>
          </w:p>
        </w:tc>
        <w:tc>
          <w:tcPr>
            <w:tcW w:w="260" w:type="dxa"/>
            <w:vAlign w:val="bottom"/>
          </w:tcPr>
          <w:p>
            <w:pPr>
              <w:jc w:val="right"/>
              <w:ind w:right="122"/>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22.7 %</w:t>
            </w: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20.5 %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23.3 %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26.2 %</w:t>
            </w: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Positive percentages represent income tax expense. Negative percentages represent income tax benefit.</w:t>
      </w:r>
    </w:p>
    <w:p>
      <w:pPr>
        <w:spacing w:after="0" w:line="13" w:lineRule="exact"/>
        <w:rPr>
          <w:rFonts w:ascii="Arial" w:cs="Arial" w:eastAsia="Arial" w:hAnsi="Arial"/>
          <w:sz w:val="11"/>
          <w:szCs w:val="11"/>
          <w:color w:val="auto"/>
        </w:rPr>
      </w:pPr>
    </w:p>
    <w:p>
      <w:pPr>
        <w:ind w:left="260" w:right="380" w:hanging="255"/>
        <w:spacing w:after="0" w:line="251" w:lineRule="auto"/>
        <w:tabs>
          <w:tab w:leader="none" w:pos="249" w:val="left"/>
        </w:tabs>
        <w:numPr>
          <w:ilvl w:val="0"/>
          <w:numId w:val="12"/>
        </w:numPr>
        <w:rPr>
          <w:rFonts w:ascii="Arial" w:cs="Arial" w:eastAsia="Arial" w:hAnsi="Arial"/>
          <w:sz w:val="11"/>
          <w:szCs w:val="11"/>
          <w:color w:val="auto"/>
        </w:rPr>
      </w:pPr>
      <w:r>
        <w:rPr>
          <w:rFonts w:ascii="Arial" w:cs="Arial" w:eastAsia="Arial" w:hAnsi="Arial"/>
          <w:sz w:val="11"/>
          <w:szCs w:val="11"/>
          <w:color w:val="auto"/>
        </w:rPr>
        <w:t>Exelon and Registrants had no adjustments to the following disclosure categories: Foreign Tax Effects, Effects of Changes in Tax Law or Rates Enacted in the Current Period, Effects of Cross-Border Tax Laws, and Changes in Valuation Allowances.</w:t>
      </w:r>
    </w:p>
    <w:p>
      <w:pPr>
        <w:ind w:left="260" w:hanging="255"/>
        <w:spacing w:after="0"/>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For PECO, the lower effective tax rate is primarily related to state income taxes, net of federal income tax benefit and plant basis differences attributable to tax repair deductions.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For ComEd, the lower effective tax rate is primarily due to CEJA which resulted in the acceleration of certain income tax benefits being provided to customers.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6 — Income Taxes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State and local Income Tax (Major Jurisdictions)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state and local jurisdictions that comprise the majority of the effect of the state and local income tax, net of federal income taxes category by Registrant are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680" w:type="dxa"/>
            <w:vAlign w:val="bottom"/>
            <w:tcBorders>
              <w:bottom w:val="single" w:sz="8" w:color="CCEEFF"/>
            </w:tcBorders>
          </w:tcPr>
          <w:p>
            <w:pPr>
              <w:spacing w:after="0"/>
              <w:rPr>
                <w:sz w:val="12"/>
                <w:szCs w:val="1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2026</w:t>
            </w: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2025</w:t>
            </w:r>
          </w:p>
        </w:tc>
      </w:tr>
      <w:tr>
        <w:trPr>
          <w:trHeight w:val="185"/>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Exelon</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IL, MD</w:t>
            </w:r>
          </w:p>
        </w:tc>
        <w:tc>
          <w:tcPr>
            <w:tcW w:w="2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IL, MD</w:t>
            </w:r>
          </w:p>
        </w:tc>
      </w:tr>
      <w:tr>
        <w:trPr>
          <w:trHeight w:val="190"/>
        </w:trPr>
        <w:tc>
          <w:tcPr>
            <w:tcW w:w="6680" w:type="dxa"/>
            <w:vAlign w:val="bottom"/>
          </w:tcPr>
          <w:p>
            <w:pPr>
              <w:ind w:left="20"/>
              <w:spacing w:after="0"/>
              <w:rPr>
                <w:sz w:val="20"/>
                <w:szCs w:val="20"/>
                <w:color w:val="auto"/>
              </w:rPr>
            </w:pPr>
            <w:r>
              <w:rPr>
                <w:rFonts w:ascii="Arial" w:cs="Arial" w:eastAsia="Arial" w:hAnsi="Arial"/>
                <w:sz w:val="13"/>
                <w:szCs w:val="13"/>
                <w:color w:val="auto"/>
              </w:rPr>
              <w:t>ComEd</w:t>
            </w:r>
          </w:p>
        </w:tc>
        <w:tc>
          <w:tcPr>
            <w:tcW w:w="23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IL</w:t>
            </w:r>
          </w:p>
        </w:tc>
        <w:tc>
          <w:tcPr>
            <w:tcW w:w="2240" w:type="dxa"/>
            <w:vAlign w:val="bottom"/>
          </w:tcPr>
          <w:p>
            <w:pPr>
              <w:jc w:val="center"/>
              <w:spacing w:after="0"/>
              <w:rPr>
                <w:sz w:val="20"/>
                <w:szCs w:val="20"/>
                <w:color w:val="auto"/>
              </w:rPr>
            </w:pPr>
            <w:r>
              <w:rPr>
                <w:rFonts w:ascii="Arial" w:cs="Arial" w:eastAsia="Arial" w:hAnsi="Arial"/>
                <w:sz w:val="13"/>
                <w:szCs w:val="13"/>
                <w:color w:val="auto"/>
              </w:rPr>
              <w:t>IL</w:t>
            </w:r>
          </w:p>
        </w:tc>
      </w:tr>
      <w:tr>
        <w:trPr>
          <w:trHeight w:val="192"/>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PA</w:t>
            </w:r>
          </w:p>
        </w:tc>
        <w:tc>
          <w:tcPr>
            <w:tcW w:w="2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PA</w:t>
            </w:r>
          </w:p>
        </w:tc>
      </w:tr>
      <w:tr>
        <w:trPr>
          <w:trHeight w:val="190"/>
        </w:trPr>
        <w:tc>
          <w:tcPr>
            <w:tcW w:w="6680" w:type="dxa"/>
            <w:vAlign w:val="bottom"/>
          </w:tcPr>
          <w:p>
            <w:pPr>
              <w:ind w:left="20"/>
              <w:spacing w:after="0"/>
              <w:rPr>
                <w:sz w:val="20"/>
                <w:szCs w:val="20"/>
                <w:color w:val="auto"/>
              </w:rPr>
            </w:pPr>
            <w:r>
              <w:rPr>
                <w:rFonts w:ascii="Arial" w:cs="Arial" w:eastAsia="Arial" w:hAnsi="Arial"/>
                <w:sz w:val="13"/>
                <w:szCs w:val="13"/>
                <w:color w:val="auto"/>
              </w:rPr>
              <w:t>BGE</w:t>
            </w:r>
          </w:p>
        </w:tc>
        <w:tc>
          <w:tcPr>
            <w:tcW w:w="236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MD</w:t>
            </w:r>
          </w:p>
        </w:tc>
        <w:tc>
          <w:tcPr>
            <w:tcW w:w="2240" w:type="dxa"/>
            <w:vAlign w:val="bottom"/>
          </w:tcPr>
          <w:p>
            <w:pPr>
              <w:jc w:val="center"/>
              <w:spacing w:after="0"/>
              <w:rPr>
                <w:sz w:val="20"/>
                <w:szCs w:val="20"/>
                <w:color w:val="auto"/>
              </w:rPr>
            </w:pPr>
            <w:r>
              <w:rPr>
                <w:rFonts w:ascii="Arial" w:cs="Arial" w:eastAsia="Arial" w:hAnsi="Arial"/>
                <w:sz w:val="13"/>
                <w:szCs w:val="13"/>
                <w:color w:val="auto"/>
                <w:w w:val="98"/>
              </w:rPr>
              <w:t>MD</w:t>
            </w:r>
          </w:p>
        </w:tc>
      </w:tr>
      <w:tr>
        <w:trPr>
          <w:trHeight w:val="192"/>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MD, NJ</w:t>
            </w:r>
          </w:p>
        </w:tc>
        <w:tc>
          <w:tcPr>
            <w:tcW w:w="22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MD, NJ</w:t>
            </w:r>
          </w:p>
        </w:tc>
      </w:tr>
      <w:tr>
        <w:trPr>
          <w:trHeight w:val="190"/>
        </w:trPr>
        <w:tc>
          <w:tcPr>
            <w:tcW w:w="6680" w:type="dxa"/>
            <w:vAlign w:val="bottom"/>
          </w:tcPr>
          <w:p>
            <w:pPr>
              <w:ind w:left="20"/>
              <w:spacing w:after="0"/>
              <w:rPr>
                <w:sz w:val="20"/>
                <w:szCs w:val="20"/>
                <w:color w:val="auto"/>
              </w:rPr>
            </w:pPr>
            <w:r>
              <w:rPr>
                <w:rFonts w:ascii="Arial" w:cs="Arial" w:eastAsia="Arial" w:hAnsi="Arial"/>
                <w:sz w:val="13"/>
                <w:szCs w:val="13"/>
                <w:color w:val="auto"/>
              </w:rPr>
              <w:t>Pepco</w:t>
            </w:r>
          </w:p>
        </w:tc>
        <w:tc>
          <w:tcPr>
            <w:tcW w:w="236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MD</w:t>
            </w:r>
          </w:p>
        </w:tc>
        <w:tc>
          <w:tcPr>
            <w:tcW w:w="2240" w:type="dxa"/>
            <w:vAlign w:val="bottom"/>
          </w:tcPr>
          <w:p>
            <w:pPr>
              <w:jc w:val="center"/>
              <w:spacing w:after="0"/>
              <w:rPr>
                <w:sz w:val="20"/>
                <w:szCs w:val="20"/>
                <w:color w:val="auto"/>
              </w:rPr>
            </w:pPr>
            <w:r>
              <w:rPr>
                <w:rFonts w:ascii="Arial" w:cs="Arial" w:eastAsia="Arial" w:hAnsi="Arial"/>
                <w:sz w:val="13"/>
                <w:szCs w:val="13"/>
                <w:color w:val="auto"/>
                <w:w w:val="98"/>
              </w:rPr>
              <w:t>MD</w:t>
            </w:r>
          </w:p>
        </w:tc>
      </w:tr>
      <w:tr>
        <w:trPr>
          <w:trHeight w:val="192"/>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DPL</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DE</w:t>
            </w:r>
          </w:p>
        </w:tc>
        <w:tc>
          <w:tcPr>
            <w:tcW w:w="2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DE</w:t>
            </w:r>
          </w:p>
        </w:tc>
      </w:tr>
      <w:tr>
        <w:trPr>
          <w:trHeight w:val="189"/>
        </w:trPr>
        <w:tc>
          <w:tcPr>
            <w:tcW w:w="6680" w:type="dxa"/>
            <w:vAlign w:val="bottom"/>
          </w:tcPr>
          <w:p>
            <w:pPr>
              <w:ind w:left="20"/>
              <w:spacing w:after="0"/>
              <w:rPr>
                <w:sz w:val="20"/>
                <w:szCs w:val="20"/>
                <w:color w:val="auto"/>
              </w:rPr>
            </w:pPr>
            <w:r>
              <w:rPr>
                <w:rFonts w:ascii="Arial" w:cs="Arial" w:eastAsia="Arial" w:hAnsi="Arial"/>
                <w:sz w:val="13"/>
                <w:szCs w:val="13"/>
                <w:color w:val="auto"/>
              </w:rPr>
              <w:t>ACE</w:t>
            </w:r>
          </w:p>
        </w:tc>
        <w:tc>
          <w:tcPr>
            <w:tcW w:w="2360" w:type="dxa"/>
            <w:vAlign w:val="bottom"/>
            <w:gridSpan w:val="2"/>
          </w:tcPr>
          <w:p>
            <w:pPr>
              <w:jc w:val="center"/>
              <w:ind w:right="120"/>
              <w:spacing w:after="0"/>
              <w:rPr>
                <w:sz w:val="20"/>
                <w:szCs w:val="20"/>
                <w:color w:val="auto"/>
              </w:rPr>
            </w:pPr>
            <w:r>
              <w:rPr>
                <w:rFonts w:ascii="Arial" w:cs="Arial" w:eastAsia="Arial" w:hAnsi="Arial"/>
                <w:sz w:val="13"/>
                <w:szCs w:val="13"/>
                <w:color w:val="auto"/>
              </w:rPr>
              <w:t>NJ</w:t>
            </w:r>
          </w:p>
        </w:tc>
        <w:tc>
          <w:tcPr>
            <w:tcW w:w="2240" w:type="dxa"/>
            <w:vAlign w:val="bottom"/>
          </w:tcPr>
          <w:p>
            <w:pPr>
              <w:jc w:val="center"/>
              <w:spacing w:after="0"/>
              <w:rPr>
                <w:sz w:val="20"/>
                <w:szCs w:val="20"/>
                <w:color w:val="auto"/>
              </w:rPr>
            </w:pPr>
            <w:r>
              <w:rPr>
                <w:rFonts w:ascii="Arial" w:cs="Arial" w:eastAsia="Arial" w:hAnsi="Arial"/>
                <w:sz w:val="13"/>
                <w:szCs w:val="13"/>
                <w:color w:val="auto"/>
              </w:rPr>
              <w:t>NJ</w:t>
            </w:r>
          </w:p>
        </w:tc>
      </w:tr>
    </w:tbl>
    <w:p>
      <w:pPr>
        <w:spacing w:after="0" w:line="3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Unrecognized Tax Benefits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Exelon, PHI and DPL have the following unrecognized tax benefits at March 31, 2026 and December 31, 2025. ComEd's, PECO's, BGE's, Pepco's, and ACE's amounts are not material.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Exelon</w:t>
            </w:r>
            <w:r>
              <w:rPr>
                <w:rFonts w:ascii="Arial" w:cs="Arial" w:eastAsia="Arial" w:hAnsi="Arial"/>
                <w:sz w:val="12"/>
                <w:szCs w:val="12"/>
                <w:b w:val="1"/>
                <w:bCs w:val="1"/>
                <w:color w:val="auto"/>
                <w:vertAlign w:val="superscript"/>
              </w:rPr>
              <w:t>(a)</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PHI</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DPL</w:t>
            </w:r>
          </w:p>
        </w:tc>
      </w:tr>
      <w:tr>
        <w:trPr>
          <w:trHeight w:val="160"/>
        </w:trPr>
        <w:tc>
          <w:tcPr>
            <w:tcW w:w="6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March 31, 2026</w:t>
            </w:r>
          </w:p>
        </w:tc>
        <w:tc>
          <w:tcPr>
            <w:tcW w:w="1080" w:type="dxa"/>
            <w:vAlign w:val="bottom"/>
            <w:shd w:val="clear" w:color="auto" w:fill="CCEEFF"/>
          </w:tcPr>
          <w:p>
            <w:pPr>
              <w:jc w:val="right"/>
              <w:ind w:right="94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90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14</w:t>
            </w:r>
          </w:p>
        </w:tc>
      </w:tr>
      <w:tr>
        <w:trPr>
          <w:trHeight w:val="167"/>
        </w:trPr>
        <w:tc>
          <w:tcPr>
            <w:tcW w:w="6620" w:type="dxa"/>
            <w:vAlign w:val="bottom"/>
          </w:tcPr>
          <w:p>
            <w:pPr>
              <w:ind w:left="20"/>
              <w:spacing w:after="0"/>
              <w:rPr>
                <w:sz w:val="20"/>
                <w:szCs w:val="20"/>
                <w:color w:val="auto"/>
              </w:rPr>
            </w:pPr>
            <w:r>
              <w:rPr>
                <w:rFonts w:ascii="Arial" w:cs="Arial" w:eastAsia="Arial" w:hAnsi="Arial"/>
                <w:sz w:val="13"/>
                <w:szCs w:val="13"/>
                <w:color w:val="auto"/>
              </w:rPr>
              <w:t>December 31, 2025</w:t>
            </w:r>
          </w:p>
        </w:tc>
        <w:tc>
          <w:tcPr>
            <w:tcW w:w="10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Arial" w:cs="Arial" w:eastAsia="Arial" w:hAnsi="Arial"/>
                <w:sz w:val="13"/>
                <w:szCs w:val="13"/>
                <w:color w:val="auto"/>
              </w:rPr>
              <w:t>12</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hanging="255"/>
        <w:spacing w:after="0" w:line="288" w:lineRule="auto"/>
        <w:tabs>
          <w:tab w:leader="none" w:pos="249" w:val="left"/>
        </w:tabs>
        <w:numPr>
          <w:ilvl w:val="0"/>
          <w:numId w:val="13"/>
        </w:numPr>
        <w:rPr>
          <w:rFonts w:ascii="Arial" w:cs="Arial" w:eastAsia="Arial" w:hAnsi="Arial"/>
          <w:sz w:val="11"/>
          <w:szCs w:val="11"/>
          <w:color w:val="auto"/>
        </w:rPr>
      </w:pPr>
      <w:r>
        <w:rPr>
          <w:rFonts w:ascii="Arial" w:cs="Arial" w:eastAsia="Arial" w:hAnsi="Arial"/>
          <w:sz w:val="11"/>
          <w:szCs w:val="11"/>
          <w:color w:val="auto"/>
        </w:rPr>
        <w:t>At March 31, 2026 and December 31, 2025, Exelon's unrecognized tax benefits is inclusive of $20 million related to Constellation's share of unrecognized tax benefits for periods prior to the separation. Exelon reflected an offsetting receivable of $20 million in Other deferred debits and other assets in the Consolidated Balance Sheet for these amounts.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Tax Matters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 Matters Agreement (Exelon)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February 2022, in connection with the separation between Exelon and Constellation, the parties entered into a TMA. The TMA governs the respective rights, responsibilities, and obligations between Exelon and Constellation after the separation with respect to tax liabilities, refunds and attributes for open tax years that Constellation was part of Exelon’s consolidated group for U.S. federal, state, and local tax purposes.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i w:val="1"/>
          <w:iCs w:val="1"/>
          <w:color w:val="auto"/>
        </w:rPr>
        <w:t xml:space="preserve">Indemnification for Taxes. </w:t>
      </w:r>
      <w:r>
        <w:rPr>
          <w:rFonts w:ascii="Arial" w:cs="Arial" w:eastAsia="Arial" w:hAnsi="Arial"/>
          <w:sz w:val="13"/>
          <w:szCs w:val="13"/>
          <w:color w:val="auto"/>
        </w:rPr>
        <w:t>As a former subsidiary of Exelon, Constellation has joint and several liability with Exelon to the IRS and certain state jurisdictions relating to the taxable periods prior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separation. The TMA specifies that Constellation is liable for their share of taxes required to be paid by Exelon with respect to taxable periods prior to the separation to the extent Constellation would have been responsible for such taxes under the Exelon tax sharing agreement when Constellation was included in Exelon's consolidated group. At March 31, 2026, there is no balance due to or from Constellation.</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i w:val="1"/>
          <w:iCs w:val="1"/>
          <w:color w:val="auto"/>
        </w:rPr>
        <w:t xml:space="preserve">Tax Refunds. </w:t>
      </w:r>
      <w:r>
        <w:rPr>
          <w:rFonts w:ascii="Arial" w:cs="Arial" w:eastAsia="Arial" w:hAnsi="Arial"/>
          <w:sz w:val="13"/>
          <w:szCs w:val="13"/>
          <w:color w:val="auto"/>
        </w:rPr>
        <w:t>The TMA specifies that Constellation is entitled to their share of any future tax refunds claimed by Exelon with respect to taxable periods prior to the separation to the extent that</w:t>
      </w:r>
      <w:r>
        <w:rPr>
          <w:rFonts w:ascii="Arial" w:cs="Arial" w:eastAsia="Arial" w:hAnsi="Arial"/>
          <w:sz w:val="13"/>
          <w:szCs w:val="13"/>
          <w:i w:val="1"/>
          <w:iCs w:val="1"/>
          <w:color w:val="auto"/>
        </w:rPr>
        <w:t xml:space="preserve"> </w:t>
      </w:r>
      <w:r>
        <w:rPr>
          <w:rFonts w:ascii="Arial" w:cs="Arial" w:eastAsia="Arial" w:hAnsi="Arial"/>
          <w:sz w:val="13"/>
          <w:szCs w:val="13"/>
          <w:color w:val="auto"/>
        </w:rPr>
        <w:t>Constellation would have received such tax refunds under the Exelon tax sharing agreement when Constellation was included in Exelon's consolidated group. At March 31, 2026, there is no balance due to or from Constellation.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Tax Attributes</w:t>
      </w:r>
      <w:r>
        <w:rPr>
          <w:rFonts w:ascii="Arial" w:cs="Arial" w:eastAsia="Arial" w:hAnsi="Arial"/>
          <w:sz w:val="13"/>
          <w:szCs w:val="13"/>
          <w:color w:val="auto"/>
        </w:rPr>
        <w:t>. At the date of separation certain tax attributes, primarily pre-separation tax credit carryforwards, that were generated by Constellation were required by law to be allocated to Exelon. The</w:t>
      </w:r>
      <w:r>
        <w:rPr>
          <w:rFonts w:ascii="Arial" w:cs="Arial" w:eastAsia="Arial" w:hAnsi="Arial"/>
          <w:sz w:val="13"/>
          <w:szCs w:val="13"/>
          <w:i w:val="1"/>
          <w:iCs w:val="1"/>
          <w:color w:val="auto"/>
        </w:rPr>
        <w:t xml:space="preserve"> </w:t>
      </w:r>
      <w:r>
        <w:rPr>
          <w:rFonts w:ascii="Arial" w:cs="Arial" w:eastAsia="Arial" w:hAnsi="Arial"/>
          <w:sz w:val="13"/>
          <w:szCs w:val="13"/>
          <w:color w:val="auto"/>
        </w:rPr>
        <w:t>TMA provides that Exelon will reimburse Constellation when those allocated tax attribute carryforwards are utilized. In 2026, Exelon received $235 million of payments from Constellation as reimbursement for a reduction in previously utilized pre-separation tax credit carryforwards due to amended federal tax returns filed in Q1 2026. At March 31, 2026, Exelon recorded a payable of $58 million and $373 million in Other current liabilities and Other deferred credits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6 — Income Taxes</w:t>
      </w:r>
    </w:p>
    <w:p>
      <w:pPr>
        <w:spacing w:after="0" w:line="289" w:lineRule="exact"/>
        <w:rPr>
          <w:sz w:val="20"/>
          <w:szCs w:val="20"/>
          <w:color w:val="auto"/>
        </w:rPr>
      </w:pPr>
    </w:p>
    <w:p>
      <w:pPr>
        <w:ind w:right="2140"/>
        <w:spacing w:after="0" w:line="451" w:lineRule="auto"/>
        <w:rPr>
          <w:sz w:val="20"/>
          <w:szCs w:val="20"/>
          <w:color w:val="auto"/>
        </w:rPr>
      </w:pPr>
      <w:r>
        <w:rPr>
          <w:rFonts w:ascii="Arial" w:cs="Arial" w:eastAsia="Arial" w:hAnsi="Arial"/>
          <w:sz w:val="13"/>
          <w:szCs w:val="13"/>
          <w:color w:val="auto"/>
        </w:rPr>
        <w:t xml:space="preserve">and other liabilities, respectively, in the Consolidated Balance Sheet for tax attribute carryforwards that are expected to be utilized and reimbursed to Constellation. </w:t>
      </w:r>
      <w:r>
        <w:rPr>
          <w:rFonts w:ascii="Arial" w:cs="Arial" w:eastAsia="Arial" w:hAnsi="Arial"/>
          <w:sz w:val="13"/>
          <w:szCs w:val="13"/>
          <w:b w:val="1"/>
          <w:bCs w:val="1"/>
          <w:i w:val="1"/>
          <w:iCs w:val="1"/>
          <w:color w:val="auto"/>
        </w:rPr>
        <w:t>Corporate Alternative Minimum Tax (All Registrants)</w:t>
      </w:r>
    </w:p>
    <w:p>
      <w:pPr>
        <w:jc w:val="both"/>
        <w:spacing w:after="0" w:line="253" w:lineRule="auto"/>
        <w:rPr>
          <w:sz w:val="20"/>
          <w:szCs w:val="20"/>
          <w:color w:val="auto"/>
        </w:rPr>
      </w:pPr>
      <w:r>
        <w:rPr>
          <w:rFonts w:ascii="Arial" w:cs="Arial" w:eastAsia="Arial" w:hAnsi="Arial"/>
          <w:sz w:val="13"/>
          <w:szCs w:val="13"/>
          <w:color w:val="auto"/>
        </w:rPr>
        <w:t>On August 16, 2022, the IRA was signed into law and implements a new corporate alternative minimum tax (CAMT) that imposes a 15.0% tax on modified GAAP net income. Corporations will now pay the greater of 15.0% of financial statement pre-tax income (with certain adjustments) or their regular federal tax liability, which is federal taxable income multiplied by 21.0% federal corporate tax rate. Corporations are entitled to a tax credit (minimum tax credit) to the extent the CAMT liability exceeds the regular tax liability. This amount can be carried forward indefinitely and used in future years when regular tax exceeds the CAMT.</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the years ended December 31, 2025, December 31, 2024, and December 31, 2023, based on the existing guidance in effect at that time, Exelon and each of the Utility Registrants were subject to and reported the CAMT on a separate Registrant basis in the Consolidated Statements of Operations and Comprehensive Income and the Consolidated Balance Sheets.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February 18, 2026, the U.S. Treasury issued guidance addressing the implementation of CAMT in the form of a notice. The new guidance permits corporate taxpayers to deduct repair and maintenance costs in the calculation of their CAMT liabilities. The notice applies retroactively, permitting Exelon to file amended returns for both 2024 and 2023 to reduce its CAMT liability by $80 million. Pursuant to the TMA, Exelon received reimbursement from Constellation for $235 million due to the reduction in the amount of Constellation's tax credits needed to offset Exelon's CAMT liability on its amended returns.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impact of the notice was recorded as of March 31, 2026.</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Allocation of Income Taxes to Regulated Utilities (All Registrants)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Q2 2024, the IRS issued a series of PLRs, to another taxpayer, providing guidance with respect to the application of the tax normalization rules to the allocation of consolidated tax benefits among the members of a consolidated group associated with NOLC for ratemaking purposes. The rulings provide that for ratemaking purposes the tax benefit of NOLC should be reflected on a separate company basis not taking into consideration the utilization of losses by other affiliates. A PLR issued to another taxpayer may not be relied on as precedent.</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For the Utility Registrants, except for PECO, the methodology prescribed by the IRS in these PLRs could result in a material reduction of the regulatory liability established for EDITs arising from the TCJA corporate tax rate change that are being amortized and flowed through to customers as well as a reduction in the accumulated deferred income taxes included in rate base for ratemaking purposes. The Utility Registrants, except for PECO, filed PLR requests with the IRS confirming the treatment of the NOLC for ratemaking purposes. The Utility Registrants will record the impact, if any, upon receiving the PLR from the IRS.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Retirement Benefits (All Registrants)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Defined Benefit Pension and OPEB</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majority of the 2026 pension benefit cost for the Exelon-sponsored plans is calculated using an expected long-term rate of return on plan assets of 7.00% and a discount rate of 5.42%. The majority of the 2026 OPEB cost is calculated using an expected long-term rate of return on plan assets of 6.50% for funded plans and a discount rate of 5.34%.</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first quarter of 2026, Exelon received an updated valuation of its pension and OPEB to reflect actual census data as of January 1, 2026. This valuation resulted in an increase to the pension obligation of $6 million and an increase to the OPEB obligation of $10 million and a decrease to the asset of $2 million, respectively. Additionally, AOCI decreased by $4 million (after-tax) and regulatory assets increased by $23 million and liabilities increased by $1 million.</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portion of the net periodic benefit cost for all plans is capitalized within the Consolidated Balance Sheets. The following table presents the components of Exelon's net periodic benefit costs, prior to capitalization,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7 — Retirement Benefits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60"/>
        <w:spacing w:after="0"/>
        <w:tabs>
          <w:tab w:leader="none" w:pos="9560" w:val="left"/>
        </w:tabs>
        <w:rPr>
          <w:sz w:val="20"/>
          <w:szCs w:val="20"/>
          <w:color w:val="auto"/>
        </w:rPr>
      </w:pPr>
      <w:r>
        <w:rPr>
          <w:rFonts w:ascii="Arial" w:cs="Arial" w:eastAsia="Arial" w:hAnsi="Arial"/>
          <w:sz w:val="10"/>
          <w:szCs w:val="10"/>
          <w:b w:val="1"/>
          <w:bCs w:val="1"/>
          <w:color w:val="auto"/>
        </w:rPr>
        <w:t>Pension Benefits</w:t>
      </w:r>
      <w:r>
        <w:rPr>
          <w:sz w:val="20"/>
          <w:szCs w:val="20"/>
          <w:color w:val="auto"/>
        </w:rPr>
        <w:tab/>
      </w:r>
      <w:r>
        <w:rPr>
          <w:rFonts w:ascii="Arial" w:cs="Arial" w:eastAsia="Arial" w:hAnsi="Arial"/>
          <w:sz w:val="9"/>
          <w:szCs w:val="9"/>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17145</wp:posOffset>
            </wp:positionV>
            <wp:extent cx="40557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55745" cy="698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p>
      <w:pPr>
        <w:spacing w:after="0" w:line="34" w:lineRule="exact"/>
        <w:rPr>
          <w:sz w:val="20"/>
          <w:szCs w:val="20"/>
          <w:color w:val="auto"/>
        </w:rPr>
      </w:pPr>
    </w:p>
    <w:p>
      <w:pPr>
        <w:jc w:val="center"/>
        <w:ind w:left="484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17145</wp:posOffset>
            </wp:positionV>
            <wp:extent cx="199453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94535" cy="6985"/>
                    </a:xfrm>
                    <a:prstGeom prst="rect">
                      <a:avLst/>
                    </a:prstGeom>
                    <a:noFill/>
                  </pic:spPr>
                </pic:pic>
              </a:graphicData>
            </a:graphic>
          </wp:anchor>
        </w:drawing>
      </w:r>
    </w:p>
    <w:p>
      <w:pPr>
        <w:spacing w:after="0" w:line="14" w:lineRule="exact"/>
        <w:rPr>
          <w:sz w:val="20"/>
          <w:szCs w:val="20"/>
          <w:color w:val="auto"/>
        </w:rPr>
      </w:pPr>
    </w:p>
    <w:p>
      <w:pPr>
        <w:ind w:left="5540"/>
        <w:spacing w:after="0"/>
        <w:tabs>
          <w:tab w:leader="none" w:pos="7140" w:val="left"/>
        </w:tabs>
        <w:rPr>
          <w:sz w:val="20"/>
          <w:szCs w:val="20"/>
          <w:color w:val="auto"/>
        </w:rPr>
      </w:pPr>
      <w:r>
        <w:rPr>
          <w:rFonts w:ascii="Arial" w:cs="Arial" w:eastAsia="Arial" w:hAnsi="Arial"/>
          <w:sz w:val="9"/>
          <w:szCs w:val="9"/>
          <w:b w:val="1"/>
          <w:bCs w:val="1"/>
          <w:color w:val="auto"/>
        </w:rPr>
        <w:t>2026</w:t>
      </w:r>
      <w:r>
        <w:rPr>
          <w:sz w:val="20"/>
          <w:szCs w:val="20"/>
          <w:color w:val="auto"/>
        </w:rPr>
        <w:tab/>
      </w:r>
      <w:r>
        <w:rPr>
          <w:rFonts w:ascii="Arial" w:cs="Arial" w:eastAsia="Arial" w:hAnsi="Arial"/>
          <w:sz w:val="9"/>
          <w:szCs w:val="9"/>
          <w:b w:val="1"/>
          <w:bCs w:val="1"/>
          <w:color w:val="auto"/>
        </w:rPr>
        <w:t>2025</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99453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94535" cy="6985"/>
                    </a:xfrm>
                    <a:prstGeom prst="rect">
                      <a:avLst/>
                    </a:prstGeom>
                    <a:noFill/>
                  </pic:spPr>
                </pic:pic>
              </a:graphicData>
            </a:graphic>
          </wp:anchor>
        </w:drawing>
      </w:r>
    </w:p>
    <w:p>
      <w:pPr>
        <w:spacing w:after="0" w:line="14" w:lineRule="exact"/>
        <w:rPr>
          <w:sz w:val="20"/>
          <w:szCs w:val="20"/>
          <w:color w:val="auto"/>
        </w:rPr>
      </w:pPr>
    </w:p>
    <w:p>
      <w:pPr>
        <w:spacing w:after="0"/>
        <w:tabs>
          <w:tab w:leader="none" w:pos="1600" w:val="left"/>
        </w:tabs>
        <w:rPr>
          <w:sz w:val="20"/>
          <w:szCs w:val="20"/>
          <w:color w:val="auto"/>
        </w:rPr>
      </w:pPr>
      <w:r>
        <w:rPr>
          <w:rFonts w:ascii="Arial" w:cs="Arial" w:eastAsia="Arial" w:hAnsi="Arial"/>
          <w:sz w:val="9"/>
          <w:szCs w:val="9"/>
          <w:b w:val="1"/>
          <w:bCs w:val="1"/>
          <w:color w:val="auto"/>
        </w:rPr>
        <w:t>2026</w:t>
      </w:r>
      <w:r>
        <w:rPr>
          <w:sz w:val="20"/>
          <w:szCs w:val="20"/>
          <w:color w:val="auto"/>
        </w:rPr>
        <w:tab/>
      </w:r>
      <w:r>
        <w:rPr>
          <w:rFonts w:ascii="Arial" w:cs="Arial" w:eastAsia="Arial" w:hAnsi="Arial"/>
          <w:sz w:val="9"/>
          <w:szCs w:val="9"/>
          <w:b w:val="1"/>
          <w:bCs w:val="1"/>
          <w:color w:val="auto"/>
        </w:rPr>
        <w:t>2025</w:t>
      </w:r>
    </w:p>
    <w:p>
      <w:pPr>
        <w:spacing w:after="0" w:line="32" w:lineRule="exact"/>
        <w:rPr>
          <w:sz w:val="20"/>
          <w:szCs w:val="20"/>
          <w:color w:val="auto"/>
        </w:rPr>
      </w:pPr>
    </w:p>
    <w:p>
      <w:pPr>
        <w:sectPr>
          <w:pgSz w:w="11900" w:h="16838" w:orient="portrait"/>
          <w:cols w:equalWidth="0" w:num="2">
            <w:col w:w="8080" w:space="720"/>
            <w:col w:w="2480"/>
          </w:cols>
          <w:pgMar w:left="300" w:top="126" w:right="3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Components of net periodic benefit cost</w:t>
            </w:r>
          </w:p>
        </w:tc>
        <w:tc>
          <w:tcPr>
            <w:tcW w:w="6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9"/>
        </w:trPr>
        <w:tc>
          <w:tcPr>
            <w:tcW w:w="4900" w:type="dxa"/>
            <w:vAlign w:val="bottom"/>
          </w:tcPr>
          <w:p>
            <w:pPr>
              <w:ind w:left="20"/>
              <w:spacing w:after="0"/>
              <w:rPr>
                <w:sz w:val="20"/>
                <w:szCs w:val="20"/>
                <w:color w:val="auto"/>
              </w:rPr>
            </w:pPr>
            <w:r>
              <w:rPr>
                <w:rFonts w:ascii="Arial" w:cs="Arial" w:eastAsia="Arial" w:hAnsi="Arial"/>
                <w:sz w:val="13"/>
                <w:szCs w:val="13"/>
                <w:color w:val="auto"/>
              </w:rPr>
              <w:t>Service cost</w:t>
            </w:r>
          </w:p>
        </w:tc>
        <w:tc>
          <w:tcPr>
            <w:tcW w:w="640" w:type="dxa"/>
            <w:vAlign w:val="bottom"/>
          </w:tcPr>
          <w:p>
            <w:pPr>
              <w:jc w:val="right"/>
              <w:ind w:right="49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640" w:type="dxa"/>
            <w:vAlign w:val="bottom"/>
          </w:tcPr>
          <w:p>
            <w:pPr>
              <w:jc w:val="right"/>
              <w:ind w:right="49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680" w:type="dxa"/>
            <w:vAlign w:val="bottom"/>
          </w:tcPr>
          <w:p>
            <w:pPr>
              <w:jc w:val="right"/>
              <w:ind w:right="51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1"/>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cost</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4900" w:type="dxa"/>
            <w:vAlign w:val="bottom"/>
          </w:tcPr>
          <w:p>
            <w:pPr>
              <w:ind w:left="20"/>
              <w:spacing w:after="0"/>
              <w:rPr>
                <w:sz w:val="20"/>
                <w:szCs w:val="20"/>
                <w:color w:val="auto"/>
              </w:rPr>
            </w:pPr>
            <w:r>
              <w:rPr>
                <w:rFonts w:ascii="Arial" w:cs="Arial" w:eastAsia="Arial" w:hAnsi="Arial"/>
                <w:sz w:val="13"/>
                <w:szCs w:val="13"/>
                <w:color w:val="auto"/>
              </w:rPr>
              <w:t>Expected return on assets</w:t>
            </w: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1"/>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9"/>
        </w:trPr>
        <w:tc>
          <w:tcPr>
            <w:tcW w:w="4900" w:type="dxa"/>
            <w:vAlign w:val="bottom"/>
          </w:tcPr>
          <w:p>
            <w:pPr>
              <w:ind w:left="280"/>
              <w:spacing w:after="0"/>
              <w:rPr>
                <w:sz w:val="20"/>
                <w:szCs w:val="20"/>
                <w:color w:val="auto"/>
              </w:rPr>
            </w:pPr>
            <w:r>
              <w:rPr>
                <w:rFonts w:ascii="Arial" w:cs="Arial" w:eastAsia="Arial" w:hAnsi="Arial"/>
                <w:sz w:val="13"/>
                <w:szCs w:val="13"/>
                <w:color w:val="auto"/>
              </w:rPr>
              <w:t>Prior service cost (credit)</w:t>
            </w: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4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Actuarial loss</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4900" w:type="dxa"/>
            <w:vAlign w:val="bottom"/>
          </w:tcPr>
          <w:p>
            <w:pPr>
              <w:ind w:left="20"/>
              <w:spacing w:after="0"/>
              <w:rPr>
                <w:sz w:val="20"/>
                <w:szCs w:val="20"/>
                <w:color w:val="auto"/>
              </w:rPr>
            </w:pPr>
            <w:r>
              <w:rPr>
                <w:rFonts w:ascii="Arial" w:cs="Arial" w:eastAsia="Arial" w:hAnsi="Arial"/>
                <w:sz w:val="13"/>
                <w:szCs w:val="13"/>
                <w:b w:val="1"/>
                <w:bCs w:val="1"/>
                <w:color w:val="auto"/>
              </w:rPr>
              <w:t>Net periodic benefit cost</w:t>
            </w: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4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amounts below represent the Registrants' allocated pension and OPEB costs. For Exelon, the service cost component is included in Operating and maintenance expense and Property, plant, and equipment, net while the non-service cost components are included in Other, net and Regulatory assets. For PHI and each of the Utility Registrants, which apply multi-employer accounting, the service cost and non-service cost components are included in Operating and maintenance expense and Property, plant, and equipment, net in their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1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4"/>
          </w:tcPr>
          <w:p>
            <w:pPr>
              <w:jc w:val="right"/>
              <w:ind w:right="778"/>
              <w:spacing w:after="0"/>
              <w:rPr>
                <w:sz w:val="20"/>
                <w:szCs w:val="20"/>
                <w:color w:val="auto"/>
              </w:rPr>
            </w:pPr>
            <w:r>
              <w:rPr>
                <w:rFonts w:ascii="Arial" w:cs="Arial" w:eastAsia="Arial" w:hAnsi="Arial"/>
                <w:sz w:val="10"/>
                <w:szCs w:val="10"/>
                <w:b w:val="1"/>
                <w:bCs w:val="1"/>
                <w:color w:val="auto"/>
              </w:rPr>
              <w:t>Three Months Ended March 31,</w:t>
            </w:r>
          </w:p>
        </w:tc>
      </w:tr>
      <w:tr>
        <w:trPr>
          <w:trHeight w:val="142"/>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Pension and OPEB Costs</w:t>
            </w: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8"/>
              <w:spacing w:after="0"/>
              <w:rPr>
                <w:sz w:val="20"/>
                <w:szCs w:val="20"/>
                <w:color w:val="auto"/>
              </w:rPr>
            </w:pPr>
            <w:r>
              <w:rPr>
                <w:rFonts w:ascii="Arial" w:cs="Arial" w:eastAsia="Arial" w:hAnsi="Arial"/>
                <w:sz w:val="10"/>
                <w:szCs w:val="10"/>
                <w:b w:val="1"/>
                <w:bCs w:val="1"/>
                <w:color w:val="auto"/>
              </w:rPr>
              <w:t>2025</w:t>
            </w:r>
          </w:p>
        </w:tc>
      </w:tr>
      <w:tr>
        <w:trPr>
          <w:trHeight w:val="164"/>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Exelon</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9"/>
        </w:trPr>
        <w:tc>
          <w:tcPr>
            <w:tcW w:w="8140" w:type="dxa"/>
            <w:vAlign w:val="bottom"/>
          </w:tcPr>
          <w:p>
            <w:pPr>
              <w:ind w:left="20"/>
              <w:spacing w:after="0"/>
              <w:rPr>
                <w:sz w:val="20"/>
                <w:szCs w:val="20"/>
                <w:color w:val="auto"/>
              </w:rPr>
            </w:pPr>
            <w:r>
              <w:rPr>
                <w:rFonts w:ascii="Arial" w:cs="Arial" w:eastAsia="Arial" w:hAnsi="Arial"/>
                <w:sz w:val="13"/>
                <w:szCs w:val="13"/>
                <w:color w:val="auto"/>
              </w:rPr>
              <w:t>ComEd</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8140" w:type="dxa"/>
            <w:vAlign w:val="bottom"/>
          </w:tcPr>
          <w:p>
            <w:pPr>
              <w:ind w:left="20"/>
              <w:spacing w:after="0"/>
              <w:rPr>
                <w:sz w:val="20"/>
                <w:szCs w:val="20"/>
                <w:color w:val="auto"/>
              </w:rPr>
            </w:pPr>
            <w:r>
              <w:rPr>
                <w:rFonts w:ascii="Arial" w:cs="Arial" w:eastAsia="Arial" w:hAnsi="Arial"/>
                <w:sz w:val="13"/>
                <w:szCs w:val="13"/>
                <w:color w:val="auto"/>
              </w:rPr>
              <w:t>BGE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8140" w:type="dxa"/>
            <w:vAlign w:val="bottom"/>
          </w:tcPr>
          <w:p>
            <w:pPr>
              <w:ind w:left="20"/>
              <w:spacing w:after="0"/>
              <w:rPr>
                <w:sz w:val="20"/>
                <w:szCs w:val="20"/>
                <w:color w:val="auto"/>
              </w:rPr>
            </w:pPr>
            <w:r>
              <w:rPr>
                <w:rFonts w:ascii="Arial" w:cs="Arial" w:eastAsia="Arial" w:hAnsi="Arial"/>
                <w:sz w:val="13"/>
                <w:szCs w:val="13"/>
                <w:color w:val="auto"/>
              </w:rPr>
              <w:t>Pepco</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DPL</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7"/>
        </w:trPr>
        <w:tc>
          <w:tcPr>
            <w:tcW w:w="8140" w:type="dxa"/>
            <w:vAlign w:val="bottom"/>
          </w:tcPr>
          <w:p>
            <w:pPr>
              <w:ind w:left="20"/>
              <w:spacing w:after="0"/>
              <w:rPr>
                <w:sz w:val="20"/>
                <w:szCs w:val="20"/>
                <w:color w:val="auto"/>
              </w:rPr>
            </w:pPr>
            <w:r>
              <w:rPr>
                <w:rFonts w:ascii="Arial" w:cs="Arial" w:eastAsia="Arial" w:hAnsi="Arial"/>
                <w:sz w:val="13"/>
                <w:szCs w:val="13"/>
                <w:color w:val="auto"/>
              </w:rPr>
              <w:t>ACE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Defined Contribution Savings Plan</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Registrants participate in a 401(k) defined contribution savings plan that is sponsored by Exelon. The plan is qualified under applicable sections of the IRC and allows employees to contribute a portion of their pre-tax and/or after-tax income in accordance with specified guidelines. All Registrants match a percentage of the employee contributions up to certain limits. The following table presents the employer contributions and employer matching contributions to the savings plan for the three months ended March 31,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4"/>
          </w:tcPr>
          <w:p>
            <w:pPr>
              <w:jc w:val="right"/>
              <w:ind w:right="778"/>
              <w:spacing w:after="0"/>
              <w:rPr>
                <w:sz w:val="20"/>
                <w:szCs w:val="20"/>
                <w:color w:val="auto"/>
              </w:rPr>
            </w:pPr>
            <w:r>
              <w:rPr>
                <w:rFonts w:ascii="Arial" w:cs="Arial" w:eastAsia="Arial" w:hAnsi="Arial"/>
                <w:sz w:val="10"/>
                <w:szCs w:val="10"/>
                <w:b w:val="1"/>
                <w:bCs w:val="1"/>
                <w:color w:val="auto"/>
              </w:rPr>
              <w:t>Three Months Ended March 31,</w:t>
            </w:r>
          </w:p>
        </w:tc>
      </w:tr>
      <w:tr>
        <w:trPr>
          <w:trHeight w:val="151"/>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Savings Plan Employer Contributions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8"/>
              <w:spacing w:after="0"/>
              <w:rPr>
                <w:sz w:val="20"/>
                <w:szCs w:val="20"/>
                <w:color w:val="auto"/>
              </w:rPr>
            </w:pPr>
            <w:r>
              <w:rPr>
                <w:rFonts w:ascii="Arial" w:cs="Arial" w:eastAsia="Arial" w:hAnsi="Arial"/>
                <w:sz w:val="10"/>
                <w:szCs w:val="10"/>
                <w:b w:val="1"/>
                <w:bCs w:val="1"/>
                <w:color w:val="auto"/>
              </w:rPr>
              <w:t>2025</w:t>
            </w:r>
          </w:p>
        </w:tc>
      </w:tr>
      <w:tr>
        <w:trPr>
          <w:trHeight w:val="169"/>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Exelon</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9"/>
        </w:trPr>
        <w:tc>
          <w:tcPr>
            <w:tcW w:w="8140" w:type="dxa"/>
            <w:vAlign w:val="bottom"/>
          </w:tcPr>
          <w:p>
            <w:pPr>
              <w:ind w:left="20"/>
              <w:spacing w:after="0"/>
              <w:rPr>
                <w:sz w:val="20"/>
                <w:szCs w:val="20"/>
                <w:color w:val="auto"/>
              </w:rPr>
            </w:pPr>
            <w:r>
              <w:rPr>
                <w:rFonts w:ascii="Arial" w:cs="Arial" w:eastAsia="Arial" w:hAnsi="Arial"/>
                <w:sz w:val="13"/>
                <w:szCs w:val="13"/>
                <w:color w:val="auto"/>
              </w:rPr>
              <w:t>ComEd</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8140" w:type="dxa"/>
            <w:vAlign w:val="bottom"/>
          </w:tcPr>
          <w:p>
            <w:pPr>
              <w:ind w:left="20"/>
              <w:spacing w:after="0"/>
              <w:rPr>
                <w:sz w:val="20"/>
                <w:szCs w:val="20"/>
                <w:color w:val="auto"/>
              </w:rPr>
            </w:pPr>
            <w:r>
              <w:rPr>
                <w:rFonts w:ascii="Arial" w:cs="Arial" w:eastAsia="Arial" w:hAnsi="Arial"/>
                <w:sz w:val="13"/>
                <w:szCs w:val="13"/>
                <w:color w:val="auto"/>
              </w:rPr>
              <w:t>BGE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8140" w:type="dxa"/>
            <w:vAlign w:val="bottom"/>
          </w:tcPr>
          <w:p>
            <w:pPr>
              <w:ind w:left="20"/>
              <w:spacing w:after="0"/>
              <w:rPr>
                <w:sz w:val="20"/>
                <w:szCs w:val="20"/>
                <w:color w:val="auto"/>
              </w:rPr>
            </w:pPr>
            <w:r>
              <w:rPr>
                <w:rFonts w:ascii="Arial" w:cs="Arial" w:eastAsia="Arial" w:hAnsi="Arial"/>
                <w:sz w:val="13"/>
                <w:szCs w:val="13"/>
                <w:color w:val="auto"/>
              </w:rPr>
              <w:t>Pepco</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DPL</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7"/>
        </w:trPr>
        <w:tc>
          <w:tcPr>
            <w:tcW w:w="8140" w:type="dxa"/>
            <w:vAlign w:val="bottom"/>
          </w:tcPr>
          <w:p>
            <w:pPr>
              <w:ind w:left="20"/>
              <w:spacing w:after="0"/>
              <w:rPr>
                <w:sz w:val="20"/>
                <w:szCs w:val="20"/>
                <w:color w:val="auto"/>
              </w:rPr>
            </w:pPr>
            <w:r>
              <w:rPr>
                <w:rFonts w:ascii="Arial" w:cs="Arial" w:eastAsia="Arial" w:hAnsi="Arial"/>
                <w:sz w:val="13"/>
                <w:szCs w:val="13"/>
                <w:color w:val="auto"/>
              </w:rPr>
              <w:t>ACE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Note 8 — Derivative Financial Instruments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Derivative Financial Instruments (All Registrants)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Registrants use derivative instruments to manage commodity price risk and interest rate risk related to ongoing business operations. The Registrants do not execute derivatives for speculative or proprietary trading purposes.</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Authoritative guidance requires that derivative instruments be recognized as either assets or liabilities at fair value, with changes in fair value of the derivative recognized in earnings immediately. Other accounting treatments are available through special election and designation, provided they meet specific, restrictive criteria both at the time of designation and on an ongoing basis. These alternative permissible accounting treatments include NPNS, cash flow hedges, and fair value hedges. At ComEd, derivative economic hedges related to commodities are recorded at fair value and offset by a corresponding regulatory asset or liability. For all NPNS derivative instruments, accounts receivable or accounts payable are recorded when derivatives settle and revenue or expense is recognized in earnings as the underlying physical commodity is sold or consumed. At Exelon, derivative hedges that qualify and are designated as cash flow hedges are recorded at fair value and offsets are recorded to AOCI.</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Commodity Price Risk </w:t>
      </w:r>
      <w:r>
        <w:rPr>
          <w:rFonts w:ascii="Arial" w:cs="Arial" w:eastAsia="Arial" w:hAnsi="Arial"/>
          <w:sz w:val="13"/>
          <w:szCs w:val="13"/>
          <w:b w:val="1"/>
          <w:bCs w:val="1"/>
          <w:color w:val="auto"/>
        </w:rPr>
        <w:t>(All Registrants)</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Utility Registrants employ established policies and procedures to manage their risks associated with market fluctuations in commodity prices by entering into physical and financial derivative contracts, which are either determined to be non-derivative or classified as economic hedges. The Utility Registrants procure electric and natural gas supply through a competitive procurement process approved by each of the respective state utility commissions. The Utility Registrants’ hedging programs are intended to reduce exposure to energy and natural gas price volatility and have no direct earnings impact as the costs are fully recovered from customers through regulatory-approved recovery mechanisms. The following table provides a summary of the Utility Registrants’ primary derivative hedging instruments, listed by commodity and accounting treatment.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Registrant</w:t>
            </w: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Commodity</w:t>
            </w:r>
          </w:p>
        </w:tc>
        <w:tc>
          <w:tcPr>
            <w:tcW w:w="3620" w:type="dxa"/>
            <w:vAlign w:val="bottom"/>
            <w:tcBorders>
              <w:bottom w:val="single" w:sz="8" w:color="auto"/>
            </w:tcBorders>
          </w:tcPr>
          <w:p>
            <w:pPr>
              <w:ind w:left="1280"/>
              <w:spacing w:after="0"/>
              <w:rPr>
                <w:sz w:val="20"/>
                <w:szCs w:val="20"/>
                <w:color w:val="auto"/>
              </w:rPr>
            </w:pPr>
            <w:r>
              <w:rPr>
                <w:rFonts w:ascii="Arial" w:cs="Arial" w:eastAsia="Arial" w:hAnsi="Arial"/>
                <w:sz w:val="10"/>
                <w:szCs w:val="10"/>
                <w:b w:val="1"/>
                <w:bCs w:val="1"/>
                <w:color w:val="auto"/>
              </w:rPr>
              <w:t>Accounting Treatment</w:t>
            </w:r>
          </w:p>
        </w:tc>
        <w:tc>
          <w:tcPr>
            <w:tcW w:w="5260" w:type="dxa"/>
            <w:vAlign w:val="bottom"/>
            <w:tcBorders>
              <w:bottom w:val="single" w:sz="8" w:color="auto"/>
            </w:tcBorders>
          </w:tcPr>
          <w:p>
            <w:pPr>
              <w:ind w:left="2160"/>
              <w:spacing w:after="0"/>
              <w:rPr>
                <w:sz w:val="20"/>
                <w:szCs w:val="20"/>
                <w:color w:val="auto"/>
              </w:rPr>
            </w:pPr>
            <w:r>
              <w:rPr>
                <w:rFonts w:ascii="Arial" w:cs="Arial" w:eastAsia="Arial" w:hAnsi="Arial"/>
                <w:sz w:val="10"/>
                <w:szCs w:val="10"/>
                <w:b w:val="1"/>
                <w:bCs w:val="1"/>
                <w:color w:val="auto"/>
              </w:rPr>
              <w:t>Hedging Instrument</w:t>
            </w:r>
          </w:p>
        </w:tc>
      </w:tr>
      <w:tr>
        <w:trPr>
          <w:trHeight w:val="157"/>
        </w:trPr>
        <w:tc>
          <w:tcPr>
            <w:tcW w:w="1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ComEd</w:t>
            </w:r>
          </w:p>
        </w:tc>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Electricity</w:t>
            </w: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NPNS</w:t>
            </w: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price contracts based on all requirements in the IPA procurement plans.</w:t>
            </w:r>
          </w:p>
        </w:tc>
      </w:tr>
      <w:tr>
        <w:trPr>
          <w:trHeight w:val="273"/>
        </w:trPr>
        <w:tc>
          <w:tcPr>
            <w:tcW w:w="1120" w:type="dxa"/>
            <w:vAlign w:val="bottom"/>
            <w:shd w:val="clear" w:color="auto" w:fill="CCEEFF"/>
          </w:tcPr>
          <w:p>
            <w:pPr>
              <w:spacing w:after="0"/>
              <w:rPr>
                <w:sz w:val="23"/>
                <w:szCs w:val="2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Electricity</w:t>
            </w: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Changes in fair value of economic hedge recorded to an offsetting</w:t>
            </w: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20-year floating-to-fixed energy swap contracts beginning June 2012 based on the renewable energy</w:t>
            </w:r>
          </w:p>
        </w:tc>
      </w:tr>
      <w:tr>
        <w:trPr>
          <w:trHeight w:val="130"/>
        </w:trPr>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line="130" w:lineRule="exact"/>
              <w:rPr>
                <w:sz w:val="20"/>
                <w:szCs w:val="20"/>
                <w:color w:val="auto"/>
              </w:rPr>
            </w:pPr>
            <w:r>
              <w:rPr>
                <w:rFonts w:ascii="Arial" w:cs="Arial" w:eastAsia="Arial" w:hAnsi="Arial"/>
                <w:sz w:val="11"/>
                <w:szCs w:val="11"/>
                <w:color w:val="auto"/>
              </w:rPr>
              <w:t>regulatory asset or liability</w:t>
            </w:r>
            <w:r>
              <w:rPr>
                <w:rFonts w:ascii="Arial" w:cs="Arial" w:eastAsia="Arial" w:hAnsi="Arial"/>
                <w:sz w:val="14"/>
                <w:szCs w:val="14"/>
                <w:color w:val="auto"/>
                <w:vertAlign w:val="superscript"/>
              </w:rPr>
              <w:t>(a)</w:t>
            </w: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resource procurement requirements in the Illinois Settlement Legislation of approximately 1.3 million</w:t>
            </w:r>
          </w:p>
        </w:tc>
      </w:tr>
      <w:tr>
        <w:trPr>
          <w:trHeight w:val="148"/>
        </w:trPr>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MWhs per year.</w:t>
            </w:r>
          </w:p>
        </w:tc>
      </w:tr>
      <w:tr>
        <w:trPr>
          <w:trHeight w:val="166"/>
        </w:trPr>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620" w:type="dxa"/>
            <w:vAlign w:val="bottom"/>
            <w:shd w:val="clear" w:color="auto" w:fill="CCEEFF"/>
          </w:tcPr>
          <w:p>
            <w:pPr>
              <w:spacing w:after="0"/>
              <w:rPr>
                <w:sz w:val="14"/>
                <w:szCs w:val="14"/>
                <w:color w:val="auto"/>
              </w:rPr>
            </w:pPr>
          </w:p>
        </w:tc>
        <w:tc>
          <w:tcPr>
            <w:tcW w:w="5260" w:type="dxa"/>
            <w:vAlign w:val="bottom"/>
            <w:shd w:val="clear" w:color="auto" w:fill="CCEEFF"/>
          </w:tcPr>
          <w:p>
            <w:pPr>
              <w:spacing w:after="0"/>
              <w:rPr>
                <w:sz w:val="14"/>
                <w:szCs w:val="14"/>
                <w:color w:val="auto"/>
              </w:rPr>
            </w:pPr>
          </w:p>
        </w:tc>
      </w:tr>
      <w:tr>
        <w:trPr>
          <w:trHeight w:val="163"/>
        </w:trPr>
        <w:tc>
          <w:tcPr>
            <w:tcW w:w="1120" w:type="dxa"/>
            <w:vAlign w:val="bottom"/>
          </w:tcPr>
          <w:p>
            <w:pPr>
              <w:ind w:left="20"/>
              <w:spacing w:after="0"/>
              <w:rPr>
                <w:sz w:val="20"/>
                <w:szCs w:val="20"/>
                <w:color w:val="auto"/>
              </w:rPr>
            </w:pPr>
            <w:r>
              <w:rPr>
                <w:rFonts w:ascii="Arial" w:cs="Arial" w:eastAsia="Arial" w:hAnsi="Arial"/>
                <w:sz w:val="11"/>
                <w:szCs w:val="11"/>
                <w:color w:val="auto"/>
              </w:rPr>
              <w:t>PECO</w:t>
            </w:r>
          </w:p>
        </w:tc>
        <w:tc>
          <w:tcPr>
            <w:tcW w:w="1280" w:type="dxa"/>
            <w:vAlign w:val="bottom"/>
          </w:tcPr>
          <w:p>
            <w:pPr>
              <w:ind w:left="20"/>
              <w:spacing w:after="0"/>
              <w:rPr>
                <w:sz w:val="20"/>
                <w:szCs w:val="20"/>
                <w:color w:val="auto"/>
              </w:rPr>
            </w:pPr>
            <w:r>
              <w:rPr>
                <w:rFonts w:ascii="Arial" w:cs="Arial" w:eastAsia="Arial" w:hAnsi="Arial"/>
                <w:sz w:val="11"/>
                <w:szCs w:val="11"/>
                <w:color w:val="auto"/>
              </w:rPr>
              <w:t>Electricity</w:t>
            </w:r>
          </w:p>
        </w:tc>
        <w:tc>
          <w:tcPr>
            <w:tcW w:w="3620" w:type="dxa"/>
            <w:vAlign w:val="bottom"/>
          </w:tcPr>
          <w:p>
            <w:pPr>
              <w:spacing w:after="0"/>
              <w:rPr>
                <w:sz w:val="20"/>
                <w:szCs w:val="20"/>
                <w:color w:val="auto"/>
              </w:rPr>
            </w:pPr>
            <w:r>
              <w:rPr>
                <w:rFonts w:ascii="Arial" w:cs="Arial" w:eastAsia="Arial" w:hAnsi="Arial"/>
                <w:sz w:val="11"/>
                <w:szCs w:val="11"/>
                <w:color w:val="auto"/>
              </w:rPr>
              <w:t>NPNS</w:t>
            </w:r>
          </w:p>
        </w:tc>
        <w:tc>
          <w:tcPr>
            <w:tcW w:w="5260" w:type="dxa"/>
            <w:vAlign w:val="bottom"/>
          </w:tcPr>
          <w:p>
            <w:pPr>
              <w:ind w:left="20"/>
              <w:spacing w:after="0"/>
              <w:rPr>
                <w:sz w:val="20"/>
                <w:szCs w:val="20"/>
                <w:color w:val="auto"/>
              </w:rPr>
            </w:pPr>
            <w:r>
              <w:rPr>
                <w:rFonts w:ascii="Arial" w:cs="Arial" w:eastAsia="Arial" w:hAnsi="Arial"/>
                <w:sz w:val="11"/>
                <w:szCs w:val="11"/>
                <w:color w:val="auto"/>
              </w:rPr>
              <w:t>Fixed price contracts for default supply requirements through full requirements contracts.</w:t>
            </w:r>
          </w:p>
        </w:tc>
      </w:tr>
      <w:tr>
        <w:trPr>
          <w:trHeight w:val="287"/>
        </w:trPr>
        <w:tc>
          <w:tcPr>
            <w:tcW w:w="11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1"/>
                <w:szCs w:val="11"/>
                <w:color w:val="auto"/>
              </w:rPr>
              <w:t>Gas</w:t>
            </w:r>
          </w:p>
        </w:tc>
        <w:tc>
          <w:tcPr>
            <w:tcW w:w="3620" w:type="dxa"/>
            <w:vAlign w:val="bottom"/>
          </w:tcPr>
          <w:p>
            <w:pPr>
              <w:spacing w:after="0"/>
              <w:rPr>
                <w:sz w:val="20"/>
                <w:szCs w:val="20"/>
                <w:color w:val="auto"/>
              </w:rPr>
            </w:pPr>
            <w:r>
              <w:rPr>
                <w:rFonts w:ascii="Arial" w:cs="Arial" w:eastAsia="Arial" w:hAnsi="Arial"/>
                <w:sz w:val="11"/>
                <w:szCs w:val="11"/>
                <w:color w:val="auto"/>
              </w:rPr>
              <w:t>NPNS</w:t>
            </w:r>
          </w:p>
        </w:tc>
        <w:tc>
          <w:tcPr>
            <w:tcW w:w="5260" w:type="dxa"/>
            <w:vAlign w:val="bottom"/>
          </w:tcPr>
          <w:p>
            <w:pPr>
              <w:ind w:left="20"/>
              <w:spacing w:after="0"/>
              <w:rPr>
                <w:sz w:val="20"/>
                <w:szCs w:val="20"/>
                <w:color w:val="auto"/>
              </w:rPr>
            </w:pPr>
            <w:r>
              <w:rPr>
                <w:rFonts w:ascii="Arial" w:cs="Arial" w:eastAsia="Arial" w:hAnsi="Arial"/>
                <w:sz w:val="11"/>
                <w:szCs w:val="11"/>
                <w:color w:val="auto"/>
              </w:rPr>
              <w:t>Fixed price contracts to cover about 10% of planned natural gas purchases in support of projected firm</w:t>
            </w:r>
          </w:p>
        </w:tc>
      </w:tr>
      <w:tr>
        <w:trPr>
          <w:trHeight w:val="157"/>
        </w:trPr>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260" w:type="dxa"/>
            <w:vAlign w:val="bottom"/>
          </w:tcPr>
          <w:p>
            <w:pPr>
              <w:ind w:left="20"/>
              <w:spacing w:after="0"/>
              <w:rPr>
                <w:sz w:val="20"/>
                <w:szCs w:val="20"/>
                <w:color w:val="auto"/>
              </w:rPr>
            </w:pPr>
            <w:r>
              <w:rPr>
                <w:rFonts w:ascii="Arial" w:cs="Arial" w:eastAsia="Arial" w:hAnsi="Arial"/>
                <w:sz w:val="11"/>
                <w:szCs w:val="11"/>
                <w:color w:val="auto"/>
              </w:rPr>
              <w:t>sales.</w:t>
            </w:r>
          </w:p>
        </w:tc>
      </w:tr>
      <w:tr>
        <w:trPr>
          <w:trHeight w:val="172"/>
        </w:trPr>
        <w:tc>
          <w:tcPr>
            <w:tcW w:w="1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BGE</w:t>
            </w:r>
          </w:p>
        </w:tc>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Electricity</w:t>
            </w: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NPNS</w:t>
            </w: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price contracts for all SOS requirements through full requirements contracts.</w:t>
            </w:r>
          </w:p>
        </w:tc>
      </w:tr>
      <w:tr>
        <w:trPr>
          <w:trHeight w:val="297"/>
        </w:trPr>
        <w:tc>
          <w:tcPr>
            <w:tcW w:w="1120" w:type="dxa"/>
            <w:vAlign w:val="bottom"/>
            <w:shd w:val="clear" w:color="auto" w:fill="CCEEFF"/>
          </w:tcPr>
          <w:p>
            <w:pPr>
              <w:spacing w:after="0"/>
              <w:rPr>
                <w:sz w:val="24"/>
                <w:szCs w:val="24"/>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Gas</w:t>
            </w: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NPNS</w:t>
            </w: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price purchases associated with forecasted gas supply requirements.</w:t>
            </w:r>
          </w:p>
        </w:tc>
      </w:tr>
      <w:tr>
        <w:trPr>
          <w:trHeight w:val="293"/>
        </w:trPr>
        <w:tc>
          <w:tcPr>
            <w:tcW w:w="1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5260" w:type="dxa"/>
            <w:vAlign w:val="bottom"/>
            <w:shd w:val="clear" w:color="auto" w:fill="CCEEFF"/>
          </w:tcPr>
          <w:p>
            <w:pPr>
              <w:spacing w:after="0"/>
              <w:rPr>
                <w:sz w:val="24"/>
                <w:szCs w:val="24"/>
                <w:color w:val="auto"/>
              </w:rPr>
            </w:pPr>
          </w:p>
        </w:tc>
      </w:tr>
      <w:tr>
        <w:trPr>
          <w:trHeight w:val="172"/>
        </w:trPr>
        <w:tc>
          <w:tcPr>
            <w:tcW w:w="1120" w:type="dxa"/>
            <w:vAlign w:val="bottom"/>
          </w:tcPr>
          <w:p>
            <w:pPr>
              <w:ind w:left="20"/>
              <w:spacing w:after="0"/>
              <w:rPr>
                <w:sz w:val="20"/>
                <w:szCs w:val="20"/>
                <w:color w:val="auto"/>
              </w:rPr>
            </w:pPr>
            <w:r>
              <w:rPr>
                <w:rFonts w:ascii="Arial" w:cs="Arial" w:eastAsia="Arial" w:hAnsi="Arial"/>
                <w:sz w:val="11"/>
                <w:szCs w:val="11"/>
                <w:color w:val="auto"/>
              </w:rPr>
              <w:t>Pepco</w:t>
            </w:r>
          </w:p>
        </w:tc>
        <w:tc>
          <w:tcPr>
            <w:tcW w:w="1280" w:type="dxa"/>
            <w:vAlign w:val="bottom"/>
          </w:tcPr>
          <w:p>
            <w:pPr>
              <w:ind w:left="20"/>
              <w:spacing w:after="0"/>
              <w:rPr>
                <w:sz w:val="20"/>
                <w:szCs w:val="20"/>
                <w:color w:val="auto"/>
              </w:rPr>
            </w:pPr>
            <w:r>
              <w:rPr>
                <w:rFonts w:ascii="Arial" w:cs="Arial" w:eastAsia="Arial" w:hAnsi="Arial"/>
                <w:sz w:val="11"/>
                <w:szCs w:val="11"/>
                <w:color w:val="auto"/>
              </w:rPr>
              <w:t>Electricity</w:t>
            </w:r>
          </w:p>
        </w:tc>
        <w:tc>
          <w:tcPr>
            <w:tcW w:w="3620" w:type="dxa"/>
            <w:vAlign w:val="bottom"/>
          </w:tcPr>
          <w:p>
            <w:pPr>
              <w:spacing w:after="0"/>
              <w:rPr>
                <w:sz w:val="20"/>
                <w:szCs w:val="20"/>
                <w:color w:val="auto"/>
              </w:rPr>
            </w:pPr>
            <w:r>
              <w:rPr>
                <w:rFonts w:ascii="Arial" w:cs="Arial" w:eastAsia="Arial" w:hAnsi="Arial"/>
                <w:sz w:val="11"/>
                <w:szCs w:val="11"/>
                <w:color w:val="auto"/>
              </w:rPr>
              <w:t>NPNS</w:t>
            </w:r>
          </w:p>
        </w:tc>
        <w:tc>
          <w:tcPr>
            <w:tcW w:w="5260" w:type="dxa"/>
            <w:vAlign w:val="bottom"/>
          </w:tcPr>
          <w:p>
            <w:pPr>
              <w:ind w:left="20"/>
              <w:spacing w:after="0"/>
              <w:rPr>
                <w:sz w:val="20"/>
                <w:szCs w:val="20"/>
                <w:color w:val="auto"/>
              </w:rPr>
            </w:pPr>
            <w:r>
              <w:rPr>
                <w:rFonts w:ascii="Arial" w:cs="Arial" w:eastAsia="Arial" w:hAnsi="Arial"/>
                <w:sz w:val="11"/>
                <w:szCs w:val="11"/>
                <w:color w:val="auto"/>
              </w:rPr>
              <w:t>Fixed price contracts for all SOS requirements through full requirements contracts.</w:t>
            </w:r>
          </w:p>
        </w:tc>
      </w:tr>
      <w:tr>
        <w:trPr>
          <w:trHeight w:val="172"/>
        </w:trPr>
        <w:tc>
          <w:tcPr>
            <w:tcW w:w="1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DPL</w:t>
            </w:r>
          </w:p>
        </w:tc>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Electricity</w:t>
            </w: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NPNS</w:t>
            </w: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price contracts for all SOS requirements through full requirements contracts.</w:t>
            </w:r>
          </w:p>
        </w:tc>
      </w:tr>
      <w:tr>
        <w:trPr>
          <w:trHeight w:val="297"/>
        </w:trPr>
        <w:tc>
          <w:tcPr>
            <w:tcW w:w="1120" w:type="dxa"/>
            <w:vAlign w:val="bottom"/>
            <w:shd w:val="clear" w:color="auto" w:fill="CCEEFF"/>
          </w:tcPr>
          <w:p>
            <w:pPr>
              <w:spacing w:after="0"/>
              <w:rPr>
                <w:sz w:val="24"/>
                <w:szCs w:val="24"/>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Gas</w:t>
            </w: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NPNS</w:t>
            </w: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and index priced contracts through full requirements contracts.</w:t>
            </w:r>
          </w:p>
        </w:tc>
      </w:tr>
      <w:tr>
        <w:trPr>
          <w:trHeight w:val="284"/>
        </w:trPr>
        <w:tc>
          <w:tcPr>
            <w:tcW w:w="1120" w:type="dxa"/>
            <w:vAlign w:val="bottom"/>
            <w:shd w:val="clear" w:color="auto" w:fill="CCEEFF"/>
          </w:tcPr>
          <w:p>
            <w:pPr>
              <w:spacing w:after="0"/>
              <w:rPr>
                <w:sz w:val="24"/>
                <w:szCs w:val="24"/>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Gas</w:t>
            </w: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Changes in fair value of economic hedge recorded to an offsetting</w:t>
            </w: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Exchange traded future contracts for up to 50% of estimated monthly purchase requirements each</w:t>
            </w:r>
          </w:p>
        </w:tc>
      </w:tr>
      <w:tr>
        <w:trPr>
          <w:trHeight w:val="194"/>
        </w:trPr>
        <w:tc>
          <w:tcPr>
            <w:tcW w:w="1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regulatory asset or liability</w:t>
            </w:r>
            <w:r>
              <w:rPr>
                <w:rFonts w:ascii="Arial" w:cs="Arial" w:eastAsia="Arial" w:hAnsi="Arial"/>
                <w:sz w:val="14"/>
                <w:szCs w:val="14"/>
                <w:color w:val="auto"/>
                <w:vertAlign w:val="superscript"/>
              </w:rPr>
              <w:t>(b)</w:t>
            </w:r>
          </w:p>
        </w:tc>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month, including purchases for storage injections.</w:t>
            </w:r>
          </w:p>
        </w:tc>
      </w:tr>
      <w:tr>
        <w:trPr>
          <w:trHeight w:val="112"/>
        </w:trPr>
        <w:tc>
          <w:tcPr>
            <w:tcW w:w="1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5260" w:type="dxa"/>
            <w:vAlign w:val="bottom"/>
            <w:shd w:val="clear" w:color="auto" w:fill="CCEEFF"/>
          </w:tcPr>
          <w:p>
            <w:pPr>
              <w:spacing w:after="0"/>
              <w:rPr>
                <w:sz w:val="9"/>
                <w:szCs w:val="9"/>
                <w:color w:val="auto"/>
              </w:rPr>
            </w:pPr>
          </w:p>
        </w:tc>
      </w:tr>
      <w:tr>
        <w:trPr>
          <w:trHeight w:val="163"/>
        </w:trPr>
        <w:tc>
          <w:tcPr>
            <w:tcW w:w="1120" w:type="dxa"/>
            <w:vAlign w:val="bottom"/>
          </w:tcPr>
          <w:p>
            <w:pPr>
              <w:ind w:left="20"/>
              <w:spacing w:after="0"/>
              <w:rPr>
                <w:sz w:val="20"/>
                <w:szCs w:val="20"/>
                <w:color w:val="auto"/>
              </w:rPr>
            </w:pPr>
            <w:r>
              <w:rPr>
                <w:rFonts w:ascii="Arial" w:cs="Arial" w:eastAsia="Arial" w:hAnsi="Arial"/>
                <w:sz w:val="11"/>
                <w:szCs w:val="11"/>
                <w:color w:val="auto"/>
              </w:rPr>
              <w:t>ACE</w:t>
            </w:r>
          </w:p>
        </w:tc>
        <w:tc>
          <w:tcPr>
            <w:tcW w:w="1280" w:type="dxa"/>
            <w:vAlign w:val="bottom"/>
          </w:tcPr>
          <w:p>
            <w:pPr>
              <w:ind w:left="20"/>
              <w:spacing w:after="0"/>
              <w:rPr>
                <w:sz w:val="20"/>
                <w:szCs w:val="20"/>
                <w:color w:val="auto"/>
              </w:rPr>
            </w:pPr>
            <w:r>
              <w:rPr>
                <w:rFonts w:ascii="Arial" w:cs="Arial" w:eastAsia="Arial" w:hAnsi="Arial"/>
                <w:sz w:val="11"/>
                <w:szCs w:val="11"/>
                <w:color w:val="auto"/>
              </w:rPr>
              <w:t>Electricity</w:t>
            </w:r>
          </w:p>
        </w:tc>
        <w:tc>
          <w:tcPr>
            <w:tcW w:w="3620" w:type="dxa"/>
            <w:vAlign w:val="bottom"/>
          </w:tcPr>
          <w:p>
            <w:pPr>
              <w:spacing w:after="0"/>
              <w:rPr>
                <w:sz w:val="20"/>
                <w:szCs w:val="20"/>
                <w:color w:val="auto"/>
              </w:rPr>
            </w:pPr>
            <w:r>
              <w:rPr>
                <w:rFonts w:ascii="Arial" w:cs="Arial" w:eastAsia="Arial" w:hAnsi="Arial"/>
                <w:sz w:val="11"/>
                <w:szCs w:val="11"/>
                <w:color w:val="auto"/>
              </w:rPr>
              <w:t>NPNS</w:t>
            </w:r>
          </w:p>
        </w:tc>
        <w:tc>
          <w:tcPr>
            <w:tcW w:w="5260" w:type="dxa"/>
            <w:vAlign w:val="bottom"/>
          </w:tcPr>
          <w:p>
            <w:pPr>
              <w:ind w:left="20"/>
              <w:spacing w:after="0"/>
              <w:rPr>
                <w:sz w:val="20"/>
                <w:szCs w:val="20"/>
                <w:color w:val="auto"/>
              </w:rPr>
            </w:pPr>
            <w:r>
              <w:rPr>
                <w:rFonts w:ascii="Arial" w:cs="Arial" w:eastAsia="Arial" w:hAnsi="Arial"/>
                <w:sz w:val="11"/>
                <w:szCs w:val="11"/>
                <w:color w:val="auto"/>
              </w:rPr>
              <w:t>Fixed price contracts for all BGS requirements through full requirements contracts.</w:t>
            </w:r>
          </w:p>
        </w:tc>
      </w:tr>
      <w:tr>
        <w:trPr>
          <w:trHeight w:val="244"/>
        </w:trPr>
        <w:tc>
          <w:tcPr>
            <w:tcW w:w="1120" w:type="dxa"/>
            <w:vAlign w:val="bottom"/>
          </w:tcPr>
          <w:p>
            <w:pPr>
              <w:spacing w:after="0"/>
              <w:rPr>
                <w:sz w:val="20"/>
                <w:szCs w:val="20"/>
                <w:color w:val="auto"/>
              </w:rPr>
            </w:pPr>
            <w:r>
              <w:rPr>
                <w:rFonts w:ascii="Arial" w:cs="Arial" w:eastAsia="Arial" w:hAnsi="Arial"/>
                <w:sz w:val="13"/>
                <w:szCs w:val="13"/>
                <w:color w:val="auto"/>
              </w:rPr>
              <w:t>__________</w:t>
            </w:r>
          </w:p>
        </w:tc>
        <w:tc>
          <w:tcPr>
            <w:tcW w:w="12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5260" w:type="dxa"/>
            <w:vAlign w:val="bottom"/>
          </w:tcPr>
          <w:p>
            <w:pPr>
              <w:spacing w:after="0"/>
              <w:rPr>
                <w:sz w:val="21"/>
                <w:szCs w:val="21"/>
                <w:color w:val="auto"/>
              </w:rPr>
            </w:pPr>
          </w:p>
        </w:tc>
      </w:tr>
    </w:tbl>
    <w:p>
      <w:pPr>
        <w:spacing w:after="0"/>
        <w:tabs>
          <w:tab w:leader="none" w:pos="220" w:val="left"/>
        </w:tabs>
        <w:rPr>
          <w:sz w:val="20"/>
          <w:szCs w:val="20"/>
          <w:color w:val="auto"/>
        </w:rPr>
      </w:pPr>
      <w:r>
        <w:rPr>
          <w:rFonts w:ascii="Arial" w:cs="Arial" w:eastAsia="Arial" w:hAnsi="Arial"/>
          <w:sz w:val="11"/>
          <w:szCs w:val="11"/>
          <w:color w:val="auto"/>
        </w:rPr>
        <w:t>(a)</w:t>
        <w:tab/>
        <w:t>See Note 2 — Regulatory Matters of the 2025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8 — Derivative Financial Instruments</w:t>
      </w:r>
    </w:p>
    <w:p>
      <w:pPr>
        <w:spacing w:after="0" w:line="29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(b)</w:t>
        <w:tab/>
        <w:t>The fair value of the DPL economic hedge is not material at March 31, 2026 and December 31, 2025.</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fair value of derivative economic hedges is presented in Other current assets and current and noncurrent Mark-to-market derivative liabilities in Exelon's and ComEd's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Risk (Exelon)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Exelon Corporate uses a combination of fixed-rate and variable-rate debt to manage interest rate exposure. Exelon Corporate may utilize interest rate derivatives to lock in rate levels in anticipation of future financings, which are typically designated as cash flow hedges. A hypothetical 50 basis point change in the interest rates associated with Exelon's interest rate swaps as of March 31, 2026 would result in an immaterial impact to Exelon's Consolidated Net income.</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Below is a summary of the interest rate hedge balances at March 31, 2026 and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7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20" w:type="dxa"/>
            <w:vAlign w:val="bottom"/>
            <w:gridSpan w:val="3"/>
          </w:tcPr>
          <w:p>
            <w:pPr>
              <w:jc w:val="right"/>
              <w:ind w:right="16"/>
              <w:spacing w:after="0"/>
              <w:rPr>
                <w:sz w:val="20"/>
                <w:szCs w:val="20"/>
                <w:color w:val="auto"/>
              </w:rPr>
            </w:pPr>
            <w:r>
              <w:rPr>
                <w:rFonts w:ascii="Arial" w:cs="Arial" w:eastAsia="Arial" w:hAnsi="Arial"/>
                <w:sz w:val="10"/>
                <w:szCs w:val="10"/>
                <w:b w:val="1"/>
                <w:bCs w:val="1"/>
                <w:color w:val="auto"/>
              </w:rPr>
              <w:t>Derivatives Designated</w:t>
            </w:r>
          </w:p>
        </w:tc>
        <w:tc>
          <w:tcPr>
            <w:tcW w:w="1640" w:type="dxa"/>
            <w:vAlign w:val="bottom"/>
          </w:tcPr>
          <w:p>
            <w:pPr>
              <w:spacing w:after="0"/>
              <w:rPr>
                <w:sz w:val="10"/>
                <w:szCs w:val="10"/>
                <w:color w:val="auto"/>
              </w:rPr>
            </w:pPr>
          </w:p>
        </w:tc>
      </w:tr>
      <w:tr>
        <w:trPr>
          <w:trHeight w:val="144"/>
        </w:trPr>
        <w:tc>
          <w:tcPr>
            <w:tcW w:w="674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Hedging Instruments</w:t>
            </w:r>
          </w:p>
        </w:tc>
        <w:tc>
          <w:tcPr>
            <w:tcW w:w="1640" w:type="dxa"/>
            <w:vAlign w:val="bottom"/>
            <w:tcBorders>
              <w:bottom w:val="single" w:sz="8" w:color="auto"/>
            </w:tcBorders>
          </w:tcPr>
          <w:p>
            <w:pPr>
              <w:spacing w:after="0"/>
              <w:rPr>
                <w:sz w:val="12"/>
                <w:szCs w:val="12"/>
                <w:color w:val="auto"/>
              </w:rPr>
            </w:pPr>
          </w:p>
        </w:tc>
      </w:tr>
      <w:tr>
        <w:trPr>
          <w:trHeight w:val="150"/>
        </w:trPr>
        <w:tc>
          <w:tcPr>
            <w:tcW w:w="674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March 31, 2026</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598"/>
              <w:spacing w:after="0"/>
              <w:rPr>
                <w:sz w:val="20"/>
                <w:szCs w:val="20"/>
                <w:color w:val="auto"/>
              </w:rPr>
            </w:pPr>
            <w:r>
              <w:rPr>
                <w:rFonts w:ascii="Arial" w:cs="Arial" w:eastAsia="Arial" w:hAnsi="Arial"/>
                <w:sz w:val="10"/>
                <w:szCs w:val="10"/>
                <w:b w:val="1"/>
                <w:bCs w:val="1"/>
                <w:color w:val="auto"/>
              </w:rPr>
              <w:t>December 31, 2025</w:t>
            </w:r>
          </w:p>
        </w:tc>
      </w:tr>
      <w:tr>
        <w:trPr>
          <w:trHeight w:val="180"/>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1580" w:type="dxa"/>
            <w:vAlign w:val="bottom"/>
            <w:shd w:val="clear" w:color="auto" w:fill="CCEEFF"/>
          </w:tcPr>
          <w:p>
            <w:pPr>
              <w:jc w:val="right"/>
              <w:ind w:right="1441"/>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9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deferred debits (noncurrent assets)</w:t>
            </w:r>
          </w:p>
        </w:tc>
        <w:tc>
          <w:tcPr>
            <w:tcW w:w="1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derivative assets</w:t>
            </w:r>
          </w:p>
        </w:tc>
        <w:tc>
          <w:tcPr>
            <w:tcW w:w="15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0"/>
        </w:trPr>
        <w:tc>
          <w:tcPr>
            <w:tcW w:w="6740" w:type="dxa"/>
            <w:vAlign w:val="bottom"/>
          </w:tcPr>
          <w:p>
            <w:pPr>
              <w:ind w:left="20"/>
              <w:spacing w:after="0"/>
              <w:rPr>
                <w:sz w:val="20"/>
                <w:szCs w:val="20"/>
                <w:color w:val="auto"/>
              </w:rPr>
            </w:pPr>
            <w:r>
              <w:rPr>
                <w:rFonts w:ascii="Arial" w:cs="Arial" w:eastAsia="Arial" w:hAnsi="Arial"/>
                <w:sz w:val="13"/>
                <w:szCs w:val="13"/>
                <w:color w:val="auto"/>
              </w:rPr>
              <w:t>Mark-to-market derivative liabilities (current liabilities)</w:t>
            </w:r>
          </w:p>
        </w:tc>
        <w:tc>
          <w:tcPr>
            <w:tcW w:w="15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92"/>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Mark-to-market derivative liabilities (noncurrent liabilities)</w:t>
            </w:r>
          </w:p>
        </w:tc>
        <w:tc>
          <w:tcPr>
            <w:tcW w:w="15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mark-to-market derivative liabilities</w:t>
            </w:r>
          </w:p>
        </w:tc>
        <w:tc>
          <w:tcPr>
            <w:tcW w:w="1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8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mark-to-market derivative net assets (liabilities)</w:t>
            </w:r>
          </w:p>
        </w:tc>
        <w:tc>
          <w:tcPr>
            <w:tcW w:w="1580" w:type="dxa"/>
            <w:vAlign w:val="bottom"/>
            <w:tcBorders>
              <w:bottom w:val="single" w:sz="8" w:color="auto"/>
            </w:tcBorders>
            <w:shd w:val="clear" w:color="auto" w:fill="CCEEFF"/>
          </w:tcPr>
          <w:p>
            <w:pPr>
              <w:jc w:val="right"/>
              <w:ind w:right="1441"/>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Flow Hedges (Interest Rate Risk)</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derivative instruments that qualify and are designated as cash flow hedges, the changes in fair value each period are initially recorded in AOCI and reclassified into earnings when the underlying transaction affects earnings. The gains and losses reclassified out of AOCI for the three months ended March 31, 2026 and 2025 are immaterial.</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February 2026, Exelon terminated the previously issued floating-to-fixed swaps with a total notional of $550 million upon issuance of $775 million of debt. See Note 9 – Debt and Credit Agreements for additional information on the debt issuance. The settlements resulted in a net cash payment of $6 million. The accumulated AOCI loss of $4 million (net of tax) is being amortized into Interest expense in Exelon's Consolidated Statement of Operations and Comprehensive Income over the 5-year and 10-year terms of the swaps. During the first quarter of 2026, Exelon Corporate entered into $30 million notional of 10-year maturity floating-to-fixed swaps designated as cash flow hedges. The following table provides the notional amounts outstanding held by Exelon at March 31, 2026 and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6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March 31, 2026</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December 31, 2025</w:t>
            </w: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5-year maturity floating-to-fixed swaps</w:t>
            </w:r>
          </w:p>
        </w:tc>
        <w:tc>
          <w:tcPr>
            <w:tcW w:w="1440" w:type="dxa"/>
            <w:vAlign w:val="bottom"/>
            <w:shd w:val="clear" w:color="auto" w:fill="CCEEFF"/>
          </w:tcPr>
          <w:p>
            <w:pPr>
              <w:jc w:val="right"/>
              <w:ind w:right="1301"/>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r>
      <w:tr>
        <w:trPr>
          <w:trHeight w:val="19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10-year maturity floating-to-fixed swaps</w:t>
            </w:r>
          </w:p>
        </w:tc>
        <w:tc>
          <w:tcPr>
            <w:tcW w:w="14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w:t>
            </w:r>
          </w:p>
        </w:tc>
      </w:tr>
      <w:tr>
        <w:trPr>
          <w:trHeight w:val="18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auto"/>
            </w:tcBorders>
            <w:shd w:val="clear" w:color="auto" w:fill="CCEEFF"/>
          </w:tcPr>
          <w:p>
            <w:pPr>
              <w:jc w:val="right"/>
              <w:ind w:right="1301"/>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related AOCI derivative gain for the three months ended March 31, 2026 was $1 million (net of tax). The related AOCI derivative loss for the three months ended March 31, 2025 was $9 million (net of tax). See Note 13 – Changes in Accumulated Other Comprehensive Income (Loss)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Credit Risk </w:t>
      </w:r>
      <w:r>
        <w:rPr>
          <w:rFonts w:ascii="Arial" w:cs="Arial" w:eastAsia="Arial" w:hAnsi="Arial"/>
          <w:sz w:val="13"/>
          <w:szCs w:val="13"/>
          <w:b w:val="1"/>
          <w:bCs w:val="1"/>
          <w:color w:val="auto"/>
        </w:rPr>
        <w:t>(All Registrants)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Registrants would be exposed to credit-related losses in the event of non-performance by counterparties on executed derivative instruments. The credit exposure of derivative contracts, before collateral, is represented by the fair value of contracts at the reporting date. The Utility Registrants have contracts to procure electric and natural gas supply that provide suppliers with a certain amount of unsecured credit. If the exposure on the supply contract exceeds the amount of unsecured credit, the suppliers may be required to post collateral. The net credit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8 — Derivative Financial Instruments</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exposure is mitigated primarily by the ability to recover procurement costs through customer rates. The amount of cash collateral received from external counterparties remained relatively consistent as of March 31, 2026. Cash collateral held by ComEd, PECO, BGE, Pepco, DPL, and ACE must be deposited in an unaffiliated major U.S. commercial bank or foreign bank with a U.S. branch office that meets certain qualifications. The following table reflects the Registrants' cash collateral held from external counterparties, which is recorded in Other current liabilities on their respective Consolidated Balance Sheets, at March 31, 2026 and December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2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March 31, 2026</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December 31, 2025</w:t>
            </w:r>
          </w:p>
        </w:tc>
      </w:tr>
      <w:tr>
        <w:trPr>
          <w:trHeight w:val="19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Exelon</w:t>
            </w:r>
          </w:p>
        </w:tc>
        <w:tc>
          <w:tcPr>
            <w:tcW w:w="1460" w:type="dxa"/>
            <w:vAlign w:val="bottom"/>
            <w:shd w:val="clear" w:color="auto" w:fill="CCEEFF"/>
          </w:tcPr>
          <w:p>
            <w:pPr>
              <w:jc w:val="right"/>
              <w:ind w:right="1323"/>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r>
      <w:tr>
        <w:trPr>
          <w:trHeight w:val="190"/>
        </w:trPr>
        <w:tc>
          <w:tcPr>
            <w:tcW w:w="7420" w:type="dxa"/>
            <w:vAlign w:val="bottom"/>
          </w:tcPr>
          <w:p>
            <w:pPr>
              <w:ind w:left="20"/>
              <w:spacing w:after="0"/>
              <w:rPr>
                <w:sz w:val="20"/>
                <w:szCs w:val="20"/>
                <w:color w:val="auto"/>
              </w:rPr>
            </w:pPr>
            <w:r>
              <w:rPr>
                <w:rFonts w:ascii="Arial" w:cs="Arial" w:eastAsia="Arial" w:hAnsi="Arial"/>
                <w:sz w:val="13"/>
                <w:szCs w:val="13"/>
                <w:color w:val="auto"/>
              </w:rPr>
              <w:t>ComEd</w:t>
            </w:r>
          </w:p>
        </w:tc>
        <w:tc>
          <w:tcPr>
            <w:tcW w:w="14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192</w:t>
            </w:r>
          </w:p>
        </w:tc>
      </w:tr>
      <w:tr>
        <w:trPr>
          <w:trHeight w:val="19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w:t>
            </w:r>
          </w:p>
        </w:tc>
        <w:tc>
          <w:tcPr>
            <w:tcW w:w="14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90"/>
        </w:trPr>
        <w:tc>
          <w:tcPr>
            <w:tcW w:w="7420" w:type="dxa"/>
            <w:vAlign w:val="bottom"/>
          </w:tcPr>
          <w:p>
            <w:pPr>
              <w:ind w:left="20"/>
              <w:spacing w:after="0"/>
              <w:rPr>
                <w:sz w:val="20"/>
                <w:szCs w:val="20"/>
                <w:color w:val="auto"/>
              </w:rPr>
            </w:pPr>
            <w:r>
              <w:rPr>
                <w:rFonts w:ascii="Arial" w:cs="Arial" w:eastAsia="Arial" w:hAnsi="Arial"/>
                <w:sz w:val="13"/>
                <w:szCs w:val="13"/>
                <w:color w:val="auto"/>
              </w:rPr>
              <w:t>BGE</w:t>
            </w:r>
          </w:p>
        </w:tc>
        <w:tc>
          <w:tcPr>
            <w:tcW w:w="14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9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w:t>
            </w:r>
          </w:p>
        </w:tc>
        <w:tc>
          <w:tcPr>
            <w:tcW w:w="14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90"/>
        </w:trPr>
        <w:tc>
          <w:tcPr>
            <w:tcW w:w="7420" w:type="dxa"/>
            <w:vAlign w:val="bottom"/>
          </w:tcPr>
          <w:p>
            <w:pPr>
              <w:ind w:left="20"/>
              <w:spacing w:after="0"/>
              <w:rPr>
                <w:sz w:val="20"/>
                <w:szCs w:val="20"/>
                <w:color w:val="auto"/>
              </w:rPr>
            </w:pPr>
            <w:r>
              <w:rPr>
                <w:rFonts w:ascii="Arial" w:cs="Arial" w:eastAsia="Arial" w:hAnsi="Arial"/>
                <w:sz w:val="13"/>
                <w:szCs w:val="13"/>
                <w:color w:val="auto"/>
              </w:rPr>
              <w:t>Pepco</w:t>
            </w:r>
          </w:p>
        </w:tc>
        <w:tc>
          <w:tcPr>
            <w:tcW w:w="14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DPL</w:t>
            </w:r>
          </w:p>
        </w:tc>
        <w:tc>
          <w:tcPr>
            <w:tcW w:w="14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223"/>
        </w:trPr>
        <w:tc>
          <w:tcPr>
            <w:tcW w:w="7420" w:type="dxa"/>
            <w:vAlign w:val="bottom"/>
          </w:tcPr>
          <w:p>
            <w:pPr>
              <w:ind w:left="20"/>
              <w:spacing w:after="0"/>
              <w:rPr>
                <w:sz w:val="20"/>
                <w:szCs w:val="20"/>
                <w:color w:val="auto"/>
              </w:rPr>
            </w:pPr>
            <w:r>
              <w:rPr>
                <w:rFonts w:ascii="Arial" w:cs="Arial" w:eastAsia="Arial" w:hAnsi="Arial"/>
                <w:sz w:val="13"/>
                <w:szCs w:val="13"/>
                <w:color w:val="auto"/>
              </w:rPr>
              <w:t>ACE</w:t>
            </w:r>
            <w:r>
              <w:rPr>
                <w:rFonts w:ascii="Arial" w:cs="Arial" w:eastAsia="Arial" w:hAnsi="Arial"/>
                <w:sz w:val="16"/>
                <w:szCs w:val="16"/>
                <w:color w:val="auto"/>
                <w:vertAlign w:val="superscript"/>
              </w:rPr>
              <w:t>(a)</w:t>
            </w:r>
          </w:p>
        </w:tc>
        <w:tc>
          <w:tcPr>
            <w:tcW w:w="14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1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ACE had less than one million in cash collateral with external parties at March 31, 2026.</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Utility Registrants’ electric supply procurement contracts do not contain provisions that would require them to post collateral. PECO’s, BGE’s, and DPL’s natural gas procurement contracts contain provisions that could require PECO, BGE, and DPL to post collateral in the form of cash or credit support, which vary by contract and counterparty, with thresholds contingent upon PECO's, BGE's, and DPL's credit rating. As of March 31, 2026, PECO, BGE, and DPL were not required to post collateral for any of these agreements. If PECO, BGE, or DPL lost their investment grade credit rating as of March 31, 2026, they could have been required to post collateral to their counterparties of $38 million, $20 million, and $23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Debt and Credit Agreements (All Registrants)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Short-Term Borrowings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Exelon Corporate, ComEd, and BGE meet their short-term liquidity requirements primarily through the issuance of commercial paper. PECO meets its short-term liquidity requirements primarily through the issuance of commercial paper and borrowings from the Exelon intercompany money pool. Pepco, DPL, and ACE meet their short-term liquidity requirements primarily through the issuance of commercial paper and borrowings from the PHI intercompany money pool. PHI Corporate meets its short-term liquidity requirements primarily through the issuance of short-term notes and borrowings from the Exelon intercompany money pool. The Registrants may use their respective credit facilities for general corporate purposes, including meeting short-term funding requirements and the issuance of letters of credit.</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Commercial Paper</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reflects the Registrants' commercial paper programs supported by the revolving credit agreements at March 31, 2026 and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660" w:type="dxa"/>
            <w:vAlign w:val="bottom"/>
          </w:tcPr>
          <w:p>
            <w:pPr>
              <w:spacing w:after="0"/>
              <w:rPr>
                <w:sz w:val="11"/>
                <w:szCs w:val="11"/>
                <w:color w:val="auto"/>
              </w:rPr>
            </w:pPr>
          </w:p>
        </w:tc>
        <w:tc>
          <w:tcPr>
            <w:tcW w:w="3280" w:type="dxa"/>
            <w:vAlign w:val="bottom"/>
            <w:gridSpan w:val="4"/>
          </w:tcPr>
          <w:p>
            <w:pPr>
              <w:jc w:val="right"/>
              <w:ind w:right="818"/>
              <w:spacing w:after="0"/>
              <w:rPr>
                <w:sz w:val="20"/>
                <w:szCs w:val="20"/>
                <w:color w:val="auto"/>
              </w:rPr>
            </w:pPr>
            <w:r>
              <w:rPr>
                <w:rFonts w:ascii="Arial" w:cs="Arial" w:eastAsia="Arial" w:hAnsi="Arial"/>
                <w:sz w:val="10"/>
                <w:szCs w:val="10"/>
                <w:b w:val="1"/>
                <w:bCs w:val="1"/>
                <w:color w:val="auto"/>
              </w:rPr>
              <w:t>Outstanding Commercial</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60" w:type="dxa"/>
            <w:vAlign w:val="bottom"/>
            <w:gridSpan w:val="3"/>
          </w:tcPr>
          <w:p>
            <w:pPr>
              <w:jc w:val="right"/>
              <w:ind w:right="1298"/>
              <w:spacing w:after="0"/>
              <w:rPr>
                <w:sz w:val="20"/>
                <w:szCs w:val="20"/>
                <w:color w:val="auto"/>
              </w:rPr>
            </w:pPr>
            <w:r>
              <w:rPr>
                <w:rFonts w:ascii="Arial" w:cs="Arial" w:eastAsia="Arial" w:hAnsi="Arial"/>
                <w:sz w:val="10"/>
                <w:szCs w:val="10"/>
                <w:b w:val="1"/>
                <w:bCs w:val="1"/>
                <w:color w:val="auto"/>
              </w:rPr>
              <w:t>Average Interest Rate on</w:t>
            </w:r>
          </w:p>
        </w:tc>
      </w:tr>
      <w:tr>
        <w:trPr>
          <w:trHeight w:val="136"/>
        </w:trPr>
        <w:tc>
          <w:tcPr>
            <w:tcW w:w="366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1198"/>
              <w:spacing w:after="0"/>
              <w:rPr>
                <w:sz w:val="20"/>
                <w:szCs w:val="20"/>
                <w:color w:val="auto"/>
              </w:rPr>
            </w:pPr>
            <w:r>
              <w:rPr>
                <w:rFonts w:ascii="Arial" w:cs="Arial" w:eastAsia="Arial" w:hAnsi="Arial"/>
                <w:sz w:val="10"/>
                <w:szCs w:val="10"/>
                <w:b w:val="1"/>
                <w:bCs w:val="1"/>
                <w:color w:val="auto"/>
              </w:rPr>
              <w:t>Paper at</w:t>
            </w: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60" w:type="dxa"/>
            <w:vAlign w:val="bottom"/>
            <w:tcBorders>
              <w:bottom w:val="single" w:sz="8" w:color="auto"/>
            </w:tcBorders>
            <w:gridSpan w:val="3"/>
          </w:tcPr>
          <w:p>
            <w:pPr>
              <w:jc w:val="right"/>
              <w:ind w:right="1098"/>
              <w:spacing w:after="0"/>
              <w:rPr>
                <w:sz w:val="20"/>
                <w:szCs w:val="20"/>
                <w:color w:val="auto"/>
              </w:rPr>
            </w:pPr>
            <w:r>
              <w:rPr>
                <w:rFonts w:ascii="Arial" w:cs="Arial" w:eastAsia="Arial" w:hAnsi="Arial"/>
                <w:sz w:val="10"/>
                <w:szCs w:val="10"/>
                <w:b w:val="1"/>
                <w:bCs w:val="1"/>
                <w:color w:val="auto"/>
              </w:rPr>
              <w:t>Commercial Paper Borrowings at</w:t>
            </w:r>
          </w:p>
        </w:tc>
      </w:tr>
      <w:tr>
        <w:trPr>
          <w:trHeight w:val="148"/>
        </w:trPr>
        <w:tc>
          <w:tcPr>
            <w:tcW w:w="3660" w:type="dxa"/>
            <w:vAlign w:val="bottom"/>
          </w:tcPr>
          <w:p>
            <w:pPr>
              <w:ind w:left="20"/>
              <w:spacing w:after="0"/>
              <w:rPr>
                <w:sz w:val="20"/>
                <w:szCs w:val="20"/>
                <w:color w:val="auto"/>
              </w:rPr>
            </w:pPr>
            <w:r>
              <w:rPr>
                <w:rFonts w:ascii="Arial" w:cs="Arial" w:eastAsia="Arial" w:hAnsi="Arial"/>
                <w:sz w:val="10"/>
                <w:szCs w:val="10"/>
                <w:b w:val="1"/>
                <w:bCs w:val="1"/>
                <w:color w:val="auto"/>
              </w:rPr>
              <w:t>Commercial Paper Issuer</w:t>
            </w:r>
          </w:p>
        </w:tc>
        <w:tc>
          <w:tcPr>
            <w:tcW w:w="1360" w:type="dxa"/>
            <w:vAlign w:val="bottom"/>
          </w:tcPr>
          <w:p>
            <w:pPr>
              <w:jc w:val="right"/>
              <w:ind w:right="59"/>
              <w:spacing w:after="0"/>
              <w:rPr>
                <w:sz w:val="20"/>
                <w:szCs w:val="20"/>
                <w:color w:val="auto"/>
              </w:rPr>
            </w:pPr>
            <w:r>
              <w:rPr>
                <w:rFonts w:ascii="Arial" w:cs="Arial" w:eastAsia="Arial" w:hAnsi="Arial"/>
                <w:sz w:val="10"/>
                <w:szCs w:val="10"/>
                <w:b w:val="1"/>
                <w:bCs w:val="1"/>
                <w:color w:val="auto"/>
              </w:rPr>
              <w:t>March 31, 2026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ind w:right="18"/>
              <w:spacing w:after="0"/>
              <w:rPr>
                <w:sz w:val="20"/>
                <w:szCs w:val="20"/>
                <w:color w:val="auto"/>
              </w:rPr>
            </w:pPr>
            <w:r>
              <w:rPr>
                <w:rFonts w:ascii="Arial" w:cs="Arial" w:eastAsia="Arial" w:hAnsi="Arial"/>
                <w:sz w:val="10"/>
                <w:szCs w:val="10"/>
                <w:b w:val="1"/>
                <w:bCs w:val="1"/>
                <w:color w:val="auto"/>
              </w:rPr>
              <w:t>December 31, 2025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ind w:left="580"/>
              <w:spacing w:after="0"/>
              <w:rPr>
                <w:sz w:val="20"/>
                <w:szCs w:val="20"/>
                <w:color w:val="auto"/>
              </w:rPr>
            </w:pPr>
            <w:r>
              <w:rPr>
                <w:rFonts w:ascii="Arial" w:cs="Arial" w:eastAsia="Arial" w:hAnsi="Arial"/>
                <w:sz w:val="10"/>
                <w:szCs w:val="10"/>
                <w:b w:val="1"/>
                <w:bCs w:val="1"/>
                <w:color w:val="auto"/>
              </w:rPr>
              <w:t>March 31, 2026</w:t>
            </w:r>
          </w:p>
        </w:tc>
        <w:tc>
          <w:tcPr>
            <w:tcW w:w="1880" w:type="dxa"/>
            <w:vAlign w:val="bottom"/>
          </w:tcPr>
          <w:p>
            <w:pPr>
              <w:jc w:val="right"/>
              <w:ind w:right="438"/>
              <w:spacing w:after="0"/>
              <w:rPr>
                <w:sz w:val="20"/>
                <w:szCs w:val="20"/>
                <w:color w:val="auto"/>
              </w:rPr>
            </w:pPr>
            <w:r>
              <w:rPr>
                <w:rFonts w:ascii="Arial" w:cs="Arial" w:eastAsia="Arial" w:hAnsi="Arial"/>
                <w:sz w:val="10"/>
                <w:szCs w:val="10"/>
                <w:b w:val="1"/>
                <w:bCs w:val="1"/>
                <w:color w:val="auto"/>
              </w:rPr>
              <w:t>December 31, 2025</w:t>
            </w:r>
          </w:p>
        </w:tc>
      </w:tr>
      <w:tr>
        <w:trPr>
          <w:trHeight w:val="169"/>
        </w:trPr>
        <w:tc>
          <w:tcPr>
            <w:tcW w:w="36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3"/>
                <w:szCs w:val="13"/>
                <w:color w:val="auto"/>
              </w:rPr>
              <w:t>Exelon</w:t>
            </w:r>
            <w:r>
              <w:rPr>
                <w:rFonts w:ascii="Arial" w:cs="Arial" w:eastAsia="Arial" w:hAnsi="Arial"/>
                <w:sz w:val="16"/>
                <w:szCs w:val="16"/>
                <w:color w:val="auto"/>
                <w:vertAlign w:val="superscript"/>
              </w:rPr>
              <w:t>(a)</w:t>
            </w:r>
          </w:p>
        </w:tc>
        <w:tc>
          <w:tcPr>
            <w:tcW w:w="1360" w:type="dxa"/>
            <w:vAlign w:val="bottom"/>
            <w:tcBorders>
              <w:top w:val="single" w:sz="8" w:color="auto"/>
            </w:tcBorders>
            <w:shd w:val="clear" w:color="auto" w:fill="CCEEFF"/>
          </w:tcPr>
          <w:p>
            <w:pPr>
              <w:jc w:val="right"/>
              <w:ind w:right="1199"/>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ind w:right="1258"/>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2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3.94 %</w:t>
            </w:r>
          </w:p>
        </w:tc>
        <w:tc>
          <w:tcPr>
            <w:tcW w:w="12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3.94 %</w:t>
            </w:r>
          </w:p>
        </w:tc>
      </w:tr>
      <w:tr>
        <w:trPr>
          <w:trHeight w:val="169"/>
        </w:trPr>
        <w:tc>
          <w:tcPr>
            <w:tcW w:w="3660" w:type="dxa"/>
            <w:vAlign w:val="bottom"/>
          </w:tcPr>
          <w:p>
            <w:pPr>
              <w:ind w:left="20"/>
              <w:spacing w:after="0"/>
              <w:rPr>
                <w:sz w:val="20"/>
                <w:szCs w:val="20"/>
                <w:color w:val="auto"/>
              </w:rPr>
            </w:pPr>
            <w:r>
              <w:rPr>
                <w:rFonts w:ascii="Arial" w:cs="Arial" w:eastAsia="Arial" w:hAnsi="Arial"/>
                <w:sz w:val="13"/>
                <w:szCs w:val="13"/>
                <w:color w:val="auto"/>
              </w:rPr>
              <w:t>ComEd</w:t>
            </w:r>
          </w:p>
        </w:tc>
        <w:tc>
          <w:tcPr>
            <w:tcW w:w="1360" w:type="dxa"/>
            <w:vAlign w:val="bottom"/>
          </w:tcPr>
          <w:p>
            <w:pPr>
              <w:jc w:val="right"/>
              <w:ind w:right="1199"/>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1400" w:type="dxa"/>
            <w:vAlign w:val="bottom"/>
          </w:tcPr>
          <w:p>
            <w:pPr>
              <w:jc w:val="right"/>
              <w:ind w:right="1258"/>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60" w:type="dxa"/>
            <w:vAlign w:val="bottom"/>
          </w:tcPr>
          <w:p>
            <w:pPr>
              <w:jc w:val="right"/>
              <w:spacing w:after="0"/>
              <w:rPr>
                <w:sz w:val="20"/>
                <w:szCs w:val="20"/>
                <w:color w:val="auto"/>
              </w:rPr>
            </w:pPr>
            <w:r>
              <w:rPr>
                <w:rFonts w:ascii="Arial" w:cs="Arial" w:eastAsia="Arial" w:hAnsi="Arial"/>
                <w:sz w:val="13"/>
                <w:szCs w:val="13"/>
                <w:color w:val="auto"/>
              </w:rPr>
              <w:t>3.93 %</w:t>
            </w:r>
          </w:p>
        </w:tc>
        <w:tc>
          <w:tcPr>
            <w:tcW w:w="1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1"/>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w:t>
            </w:r>
          </w:p>
        </w:tc>
        <w:tc>
          <w:tcPr>
            <w:tcW w:w="1360" w:type="dxa"/>
            <w:vAlign w:val="bottom"/>
            <w:shd w:val="clear" w:color="auto" w:fill="CCEEFF"/>
          </w:tcPr>
          <w:p>
            <w:pPr>
              <w:jc w:val="right"/>
              <w:ind w:right="1199"/>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1258"/>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3660" w:type="dxa"/>
            <w:vAlign w:val="bottom"/>
          </w:tcPr>
          <w:p>
            <w:pPr>
              <w:ind w:left="20"/>
              <w:spacing w:after="0"/>
              <w:rPr>
                <w:sz w:val="20"/>
                <w:szCs w:val="20"/>
                <w:color w:val="auto"/>
              </w:rPr>
            </w:pPr>
            <w:r>
              <w:rPr>
                <w:rFonts w:ascii="Arial" w:cs="Arial" w:eastAsia="Arial" w:hAnsi="Arial"/>
                <w:sz w:val="13"/>
                <w:szCs w:val="13"/>
                <w:color w:val="auto"/>
              </w:rPr>
              <w:t>BGE</w:t>
            </w:r>
          </w:p>
        </w:tc>
        <w:tc>
          <w:tcPr>
            <w:tcW w:w="1360" w:type="dxa"/>
            <w:vAlign w:val="bottom"/>
          </w:tcPr>
          <w:p>
            <w:pPr>
              <w:jc w:val="right"/>
              <w:ind w:right="1199"/>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258"/>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88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1"/>
        </w:trPr>
        <w:tc>
          <w:tcPr>
            <w:tcW w:w="36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PHI</w:t>
            </w:r>
            <w:r>
              <w:rPr>
                <w:rFonts w:ascii="Arial" w:cs="Arial" w:eastAsia="Arial" w:hAnsi="Arial"/>
                <w:sz w:val="16"/>
                <w:szCs w:val="16"/>
                <w:color w:val="auto"/>
                <w:vertAlign w:val="superscript"/>
              </w:rPr>
              <w:t>(b)</w:t>
            </w:r>
          </w:p>
        </w:tc>
        <w:tc>
          <w:tcPr>
            <w:tcW w:w="1360" w:type="dxa"/>
            <w:vAlign w:val="bottom"/>
            <w:shd w:val="clear" w:color="auto" w:fill="CCEEFF"/>
          </w:tcPr>
          <w:p>
            <w:pPr>
              <w:jc w:val="right"/>
              <w:ind w:right="1199"/>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58"/>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3.95 %</w:t>
            </w:r>
          </w:p>
        </w:tc>
        <w:tc>
          <w:tcPr>
            <w:tcW w:w="12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3.94 %</w:t>
            </w:r>
          </w:p>
        </w:tc>
      </w:tr>
      <w:tr>
        <w:trPr>
          <w:trHeight w:val="169"/>
        </w:trPr>
        <w:tc>
          <w:tcPr>
            <w:tcW w:w="3660" w:type="dxa"/>
            <w:vAlign w:val="bottom"/>
          </w:tcPr>
          <w:p>
            <w:pPr>
              <w:ind w:left="20"/>
              <w:spacing w:after="0"/>
              <w:rPr>
                <w:sz w:val="20"/>
                <w:szCs w:val="20"/>
                <w:color w:val="auto"/>
              </w:rPr>
            </w:pPr>
            <w:r>
              <w:rPr>
                <w:rFonts w:ascii="Arial" w:cs="Arial" w:eastAsia="Arial" w:hAnsi="Arial"/>
                <w:sz w:val="13"/>
                <w:szCs w:val="13"/>
                <w:color w:val="auto"/>
              </w:rPr>
              <w:t>Pepco</w:t>
            </w:r>
          </w:p>
        </w:tc>
        <w:tc>
          <w:tcPr>
            <w:tcW w:w="1360" w:type="dxa"/>
            <w:vAlign w:val="bottom"/>
          </w:tcPr>
          <w:p>
            <w:pPr>
              <w:jc w:val="right"/>
              <w:ind w:right="1199"/>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1400" w:type="dxa"/>
            <w:vAlign w:val="bottom"/>
          </w:tcPr>
          <w:p>
            <w:pPr>
              <w:jc w:val="right"/>
              <w:ind w:right="1258"/>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3.94 %</w:t>
            </w:r>
          </w:p>
        </w:tc>
        <w:tc>
          <w:tcPr>
            <w:tcW w:w="1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3.93 %</w:t>
            </w:r>
          </w:p>
        </w:tc>
      </w:tr>
      <w:tr>
        <w:trPr>
          <w:trHeight w:val="171"/>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DPL</w:t>
            </w:r>
          </w:p>
        </w:tc>
        <w:tc>
          <w:tcPr>
            <w:tcW w:w="1360" w:type="dxa"/>
            <w:vAlign w:val="bottom"/>
            <w:shd w:val="clear" w:color="auto" w:fill="CCEEFF"/>
          </w:tcPr>
          <w:p>
            <w:pPr>
              <w:jc w:val="right"/>
              <w:ind w:right="1199"/>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58"/>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3.96 %</w:t>
            </w:r>
          </w:p>
        </w:tc>
        <w:tc>
          <w:tcPr>
            <w:tcW w:w="12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3.94 %</w:t>
            </w:r>
          </w:p>
        </w:tc>
      </w:tr>
      <w:tr>
        <w:trPr>
          <w:trHeight w:val="167"/>
        </w:trPr>
        <w:tc>
          <w:tcPr>
            <w:tcW w:w="3660" w:type="dxa"/>
            <w:vAlign w:val="bottom"/>
          </w:tcPr>
          <w:p>
            <w:pPr>
              <w:ind w:left="20"/>
              <w:spacing w:after="0"/>
              <w:rPr>
                <w:sz w:val="20"/>
                <w:szCs w:val="20"/>
                <w:color w:val="auto"/>
              </w:rPr>
            </w:pPr>
            <w:r>
              <w:rPr>
                <w:rFonts w:ascii="Arial" w:cs="Arial" w:eastAsia="Arial" w:hAnsi="Arial"/>
                <w:sz w:val="13"/>
                <w:szCs w:val="13"/>
                <w:color w:val="auto"/>
              </w:rPr>
              <w:t>ACE</w:t>
            </w:r>
          </w:p>
        </w:tc>
        <w:tc>
          <w:tcPr>
            <w:tcW w:w="1360" w:type="dxa"/>
            <w:vAlign w:val="bottom"/>
          </w:tcPr>
          <w:p>
            <w:pPr>
              <w:jc w:val="right"/>
              <w:ind w:right="1199"/>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258"/>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4"/>
                <w:szCs w:val="1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880" w:type="dxa"/>
            <w:vAlign w:val="bottom"/>
          </w:tcPr>
          <w:p>
            <w:pPr>
              <w:jc w:val="right"/>
              <w:spacing w:after="0"/>
              <w:rPr>
                <w:sz w:val="20"/>
                <w:szCs w:val="20"/>
                <w:color w:val="auto"/>
              </w:rPr>
            </w:pPr>
            <w:r>
              <w:rPr>
                <w:rFonts w:ascii="Arial" w:cs="Arial" w:eastAsia="Arial" w:hAnsi="Arial"/>
                <w:sz w:val="13"/>
                <w:szCs w:val="13"/>
                <w:color w:val="auto"/>
              </w:rPr>
              <w:t>3.94 %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9 — Debt and Credit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13" w:lineRule="exact"/>
        <w:rPr>
          <w:sz w:val="20"/>
          <w:szCs w:val="20"/>
          <w:color w:val="auto"/>
        </w:rPr>
      </w:pPr>
    </w:p>
    <w:p>
      <w:pPr>
        <w:ind w:left="240" w:hanging="235"/>
        <w:spacing w:after="0"/>
        <w:tabs>
          <w:tab w:leader="none" w:pos="2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Exelon Corporate had no outstanding commercial paper borrowings at March 31, 2026 and no outstanding commercial paper borrowings at December 31, 2025.</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Represents the consolidated amounts of Pepco, DPL, and ACE.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Revolving Credit Agreements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August 29, 2024, Exelon Corporate and each of the Utility Registrants amended and restated their respective syndicated revolving credit facility, extending the maturity date to August 29, 2029. The following table reflects the credit agreements: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020" w:type="dxa"/>
            <w:vAlign w:val="bottom"/>
            <w:tcBorders>
              <w:bottom w:val="single" w:sz="8" w:color="auto"/>
            </w:tcBorders>
          </w:tcPr>
          <w:p>
            <w:pPr>
              <w:ind w:left="1720"/>
              <w:spacing w:after="0"/>
              <w:rPr>
                <w:sz w:val="20"/>
                <w:szCs w:val="20"/>
                <w:color w:val="auto"/>
              </w:rPr>
            </w:pPr>
            <w:r>
              <w:rPr>
                <w:rFonts w:ascii="Arial" w:cs="Arial" w:eastAsia="Arial" w:hAnsi="Arial"/>
                <w:sz w:val="10"/>
                <w:szCs w:val="10"/>
                <w:b w:val="1"/>
                <w:bCs w:val="1"/>
                <w:color w:val="auto"/>
              </w:rPr>
              <w:t>Borrower</w:t>
            </w:r>
          </w:p>
        </w:tc>
        <w:tc>
          <w:tcPr>
            <w:tcW w:w="374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Aggregate Bank Commitment</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60" w:type="dxa"/>
            <w:vAlign w:val="bottom"/>
            <w:tcBorders>
              <w:bottom w:val="single" w:sz="8" w:color="auto"/>
            </w:tcBorders>
          </w:tcPr>
          <w:p>
            <w:pPr>
              <w:ind w:left="1540"/>
              <w:spacing w:after="0"/>
              <w:rPr>
                <w:sz w:val="20"/>
                <w:szCs w:val="20"/>
                <w:color w:val="auto"/>
              </w:rPr>
            </w:pPr>
            <w:r>
              <w:rPr>
                <w:rFonts w:ascii="Arial" w:cs="Arial" w:eastAsia="Arial" w:hAnsi="Arial"/>
                <w:sz w:val="10"/>
                <w:szCs w:val="10"/>
                <w:b w:val="1"/>
                <w:bCs w:val="1"/>
                <w:color w:val="auto"/>
              </w:rPr>
              <w:t>Interest Rate</w:t>
            </w:r>
          </w:p>
        </w:tc>
      </w:tr>
      <w:tr>
        <w:trPr>
          <w:trHeight w:val="164"/>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Exelon Corporate</w:t>
            </w:r>
          </w:p>
        </w:tc>
        <w:tc>
          <w:tcPr>
            <w:tcW w:w="3740" w:type="dxa"/>
            <w:vAlign w:val="bottom"/>
            <w:shd w:val="clear" w:color="auto" w:fill="CCEEFF"/>
          </w:tcPr>
          <w:p>
            <w:pPr>
              <w:jc w:val="right"/>
              <w:ind w:right="275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4"/>
                <w:szCs w:val="14"/>
                <w:color w:val="auto"/>
              </w:rPr>
            </w:pPr>
          </w:p>
        </w:tc>
        <w:tc>
          <w:tcPr>
            <w:tcW w:w="3660" w:type="dxa"/>
            <w:vAlign w:val="bottom"/>
            <w:shd w:val="clear" w:color="auto" w:fill="CCEEFF"/>
          </w:tcPr>
          <w:p>
            <w:pPr>
              <w:ind w:left="2560"/>
              <w:spacing w:after="0"/>
              <w:rPr>
                <w:sz w:val="20"/>
                <w:szCs w:val="20"/>
                <w:color w:val="auto"/>
              </w:rPr>
            </w:pPr>
            <w:r>
              <w:rPr>
                <w:rFonts w:ascii="Arial" w:cs="Arial" w:eastAsia="Arial" w:hAnsi="Arial"/>
                <w:sz w:val="13"/>
                <w:szCs w:val="13"/>
                <w:color w:val="auto"/>
                <w:w w:val="97"/>
              </w:rPr>
              <w:t>SOFR plus 1.075%</w:t>
            </w: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ComEd</w:t>
            </w:r>
          </w:p>
        </w:tc>
        <w:tc>
          <w:tcPr>
            <w:tcW w:w="3740" w:type="dxa"/>
            <w:vAlign w:val="bottom"/>
          </w:tcPr>
          <w:p>
            <w:pPr>
              <w:jc w:val="right"/>
              <w:ind w:right="275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3660" w:type="dxa"/>
            <w:vAlign w:val="bottom"/>
          </w:tcPr>
          <w:p>
            <w:pPr>
              <w:ind w:left="2560"/>
              <w:spacing w:after="0"/>
              <w:rPr>
                <w:sz w:val="20"/>
                <w:szCs w:val="20"/>
                <w:color w:val="auto"/>
              </w:rPr>
            </w:pPr>
            <w:r>
              <w:rPr>
                <w:rFonts w:ascii="Arial" w:cs="Arial" w:eastAsia="Arial" w:hAnsi="Arial"/>
                <w:sz w:val="13"/>
                <w:szCs w:val="13"/>
                <w:color w:val="auto"/>
                <w:w w:val="97"/>
              </w:rPr>
              <w:t>SOFR plus 1.000%</w:t>
            </w: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w:t>
            </w:r>
          </w:p>
        </w:tc>
        <w:tc>
          <w:tcPr>
            <w:tcW w:w="3740" w:type="dxa"/>
            <w:vAlign w:val="bottom"/>
            <w:shd w:val="clear" w:color="auto" w:fill="CCEEFF"/>
          </w:tcPr>
          <w:p>
            <w:pPr>
              <w:jc w:val="right"/>
              <w:ind w:right="275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3660" w:type="dxa"/>
            <w:vAlign w:val="bottom"/>
            <w:shd w:val="clear" w:color="auto" w:fill="CCEEFF"/>
          </w:tcPr>
          <w:p>
            <w:pPr>
              <w:ind w:left="2560"/>
              <w:spacing w:after="0"/>
              <w:rPr>
                <w:sz w:val="20"/>
                <w:szCs w:val="20"/>
                <w:color w:val="auto"/>
              </w:rPr>
            </w:pPr>
            <w:r>
              <w:rPr>
                <w:rFonts w:ascii="Arial" w:cs="Arial" w:eastAsia="Arial" w:hAnsi="Arial"/>
                <w:sz w:val="13"/>
                <w:szCs w:val="13"/>
                <w:color w:val="auto"/>
                <w:w w:val="97"/>
              </w:rPr>
              <w:t>SOFR plus 0.900%</w:t>
            </w: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BGE</w:t>
            </w:r>
          </w:p>
        </w:tc>
        <w:tc>
          <w:tcPr>
            <w:tcW w:w="3740" w:type="dxa"/>
            <w:vAlign w:val="bottom"/>
          </w:tcPr>
          <w:p>
            <w:pPr>
              <w:jc w:val="right"/>
              <w:ind w:right="275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4"/>
                <w:szCs w:val="14"/>
                <w:color w:val="auto"/>
              </w:rPr>
            </w:pPr>
          </w:p>
        </w:tc>
        <w:tc>
          <w:tcPr>
            <w:tcW w:w="3660" w:type="dxa"/>
            <w:vAlign w:val="bottom"/>
          </w:tcPr>
          <w:p>
            <w:pPr>
              <w:ind w:left="2560"/>
              <w:spacing w:after="0"/>
              <w:rPr>
                <w:sz w:val="20"/>
                <w:szCs w:val="20"/>
                <w:color w:val="auto"/>
              </w:rPr>
            </w:pPr>
            <w:r>
              <w:rPr>
                <w:rFonts w:ascii="Arial" w:cs="Arial" w:eastAsia="Arial" w:hAnsi="Arial"/>
                <w:sz w:val="13"/>
                <w:szCs w:val="13"/>
                <w:color w:val="auto"/>
                <w:w w:val="97"/>
              </w:rPr>
              <w:t>SOFR plus 0.900%</w:t>
            </w: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Pepco</w:t>
            </w:r>
          </w:p>
        </w:tc>
        <w:tc>
          <w:tcPr>
            <w:tcW w:w="3740" w:type="dxa"/>
            <w:vAlign w:val="bottom"/>
            <w:shd w:val="clear" w:color="auto" w:fill="CCEEFF"/>
          </w:tcPr>
          <w:p>
            <w:pPr>
              <w:jc w:val="right"/>
              <w:ind w:right="275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4"/>
                <w:szCs w:val="14"/>
                <w:color w:val="auto"/>
              </w:rPr>
            </w:pPr>
          </w:p>
        </w:tc>
        <w:tc>
          <w:tcPr>
            <w:tcW w:w="3660" w:type="dxa"/>
            <w:vAlign w:val="bottom"/>
            <w:shd w:val="clear" w:color="auto" w:fill="CCEEFF"/>
          </w:tcPr>
          <w:p>
            <w:pPr>
              <w:ind w:left="2560"/>
              <w:spacing w:after="0"/>
              <w:rPr>
                <w:sz w:val="20"/>
                <w:szCs w:val="20"/>
                <w:color w:val="auto"/>
              </w:rPr>
            </w:pPr>
            <w:r>
              <w:rPr>
                <w:rFonts w:ascii="Arial" w:cs="Arial" w:eastAsia="Arial" w:hAnsi="Arial"/>
                <w:sz w:val="13"/>
                <w:szCs w:val="13"/>
                <w:color w:val="auto"/>
                <w:w w:val="97"/>
              </w:rPr>
              <w:t>SOFR plus 1.000%</w:t>
            </w: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DPL</w:t>
            </w:r>
          </w:p>
        </w:tc>
        <w:tc>
          <w:tcPr>
            <w:tcW w:w="3740" w:type="dxa"/>
            <w:vAlign w:val="bottom"/>
          </w:tcPr>
          <w:p>
            <w:pPr>
              <w:jc w:val="right"/>
              <w:ind w:right="275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3660" w:type="dxa"/>
            <w:vAlign w:val="bottom"/>
          </w:tcPr>
          <w:p>
            <w:pPr>
              <w:ind w:left="2560"/>
              <w:spacing w:after="0"/>
              <w:rPr>
                <w:sz w:val="20"/>
                <w:szCs w:val="20"/>
                <w:color w:val="auto"/>
              </w:rPr>
            </w:pPr>
            <w:r>
              <w:rPr>
                <w:rFonts w:ascii="Arial" w:cs="Arial" w:eastAsia="Arial" w:hAnsi="Arial"/>
                <w:sz w:val="13"/>
                <w:szCs w:val="13"/>
                <w:color w:val="auto"/>
                <w:w w:val="97"/>
              </w:rPr>
              <w:t>SOFR plus 1.000%</w:t>
            </w: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ACE</w:t>
            </w:r>
          </w:p>
        </w:tc>
        <w:tc>
          <w:tcPr>
            <w:tcW w:w="3740" w:type="dxa"/>
            <w:vAlign w:val="bottom"/>
            <w:shd w:val="clear" w:color="auto" w:fill="CCEEFF"/>
          </w:tcPr>
          <w:p>
            <w:pPr>
              <w:jc w:val="right"/>
              <w:ind w:right="275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4"/>
                <w:szCs w:val="14"/>
                <w:color w:val="auto"/>
              </w:rPr>
            </w:pPr>
          </w:p>
        </w:tc>
        <w:tc>
          <w:tcPr>
            <w:tcW w:w="3660" w:type="dxa"/>
            <w:vAlign w:val="bottom"/>
            <w:shd w:val="clear" w:color="auto" w:fill="CCEEFF"/>
          </w:tcPr>
          <w:p>
            <w:pPr>
              <w:ind w:left="2560"/>
              <w:spacing w:after="0"/>
              <w:rPr>
                <w:sz w:val="20"/>
                <w:szCs w:val="20"/>
                <w:color w:val="auto"/>
              </w:rPr>
            </w:pPr>
            <w:r>
              <w:rPr>
                <w:rFonts w:ascii="Arial" w:cs="Arial" w:eastAsia="Arial" w:hAnsi="Arial"/>
                <w:sz w:val="13"/>
                <w:szCs w:val="13"/>
                <w:color w:val="auto"/>
                <w:w w:val="97"/>
              </w:rPr>
              <w:t>SOFR plus 1.000%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Exelon Corporate and the Utility Registrants had no outstanding amounts on the revolving credit facilities as of March 31, 2026.</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Utility Registrants have credit facility agreements, arranged at community banks, which may be utilized to issue letters of credit. The facility agreements have aggregate commitments of $40 million, $40 million, $15 million, $15 million, $15 million, and $15 million, at ComEd, PECO, BGE, Pepco, DPL, and ACE, respectively. On October 3, 2025, the Utility Registrants amended and extended their credit facilities at community banks. Previously structured as one-year arrangements, the facilities are now two-year terms. These facilities expire on October 1, 2027.</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See Note 14 — Debt and Credit Agreements of the 2025 Form 10-K for additional information on the Registrants' credit facilities.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Short-Term Loan Agreements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March 14, 2024, Exelon Corporate amended and bifurcated the $500 million term loan agreement into two tranches of $350 million and $150 million. The loan agreements were renewed in the first quarter of 2025, extending the expiration date to March 13, 2026. Exelon Corporate repaid the term loans on December 5, 2025.</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March 25, 2026, Exelon Corporate entered into two term loan agreements for $350 million and $150 million. Both agreements mature on March 24, 2027. Pursuant to the loan agreements, loans made thereunder bear interest at a variable rate equal to SOFR plus 0.85% and all indebtedness thereunder is unsecured. The loans are reflected in Exelon's Consolidated Balance Sheet within Short-term borrowings.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Long-Term Debt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Issuance of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ind w:left="1340"/>
              <w:spacing w:after="0"/>
              <w:rPr>
                <w:sz w:val="20"/>
                <w:szCs w:val="20"/>
                <w:color w:val="auto"/>
              </w:rPr>
            </w:pPr>
            <w:r>
              <w:rPr>
                <w:rFonts w:ascii="Arial" w:cs="Arial" w:eastAsia="Arial" w:hAnsi="Arial"/>
                <w:sz w:val="14"/>
                <w:szCs w:val="14"/>
                <w:color w:val="auto"/>
                <w:w w:val="99"/>
              </w:rPr>
              <w:t>Note 9 — Debt and Credit Agreements</w:t>
            </w:r>
          </w:p>
        </w:tc>
      </w:tr>
      <w:tr>
        <w:trPr>
          <w:trHeight w:val="558"/>
        </w:trPr>
        <w:tc>
          <w:tcPr>
            <w:tcW w:w="5180" w:type="dxa"/>
            <w:vAlign w:val="bottom"/>
            <w:gridSpan w:val="6"/>
          </w:tcPr>
          <w:p>
            <w:pPr>
              <w:spacing w:after="0"/>
              <w:rPr>
                <w:sz w:val="20"/>
                <w:szCs w:val="20"/>
                <w:color w:val="auto"/>
              </w:rPr>
            </w:pPr>
            <w:r>
              <w:rPr>
                <w:rFonts w:ascii="Arial" w:cs="Arial" w:eastAsia="Arial" w:hAnsi="Arial"/>
                <w:sz w:val="13"/>
                <w:szCs w:val="13"/>
                <w:color w:val="auto"/>
              </w:rPr>
              <w:t>During the three months ended March 31, 2026, the following long-term debt was issued: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Company</w:t>
            </w:r>
          </w:p>
        </w:tc>
        <w:tc>
          <w:tcPr>
            <w:tcW w:w="120" w:type="dxa"/>
            <w:vAlign w:val="bottom"/>
            <w:tcBorders>
              <w:bottom w:val="single" w:sz="8" w:color="CCEEFF"/>
            </w:tcBorders>
          </w:tcPr>
          <w:p>
            <w:pPr>
              <w:spacing w:after="0"/>
              <w:rPr>
                <w:sz w:val="23"/>
                <w:szCs w:val="23"/>
                <w:color w:val="auto"/>
              </w:rPr>
            </w:pPr>
          </w:p>
        </w:tc>
        <w:tc>
          <w:tcPr>
            <w:tcW w:w="1880" w:type="dxa"/>
            <w:vAlign w:val="bottom"/>
            <w:tcBorders>
              <w:bottom w:val="single" w:sz="8" w:color="auto"/>
            </w:tcBorders>
          </w:tcPr>
          <w:p>
            <w:pPr>
              <w:ind w:left="820"/>
              <w:spacing w:after="0"/>
              <w:rPr>
                <w:sz w:val="20"/>
                <w:szCs w:val="20"/>
                <w:color w:val="auto"/>
              </w:rPr>
            </w:pPr>
            <w:r>
              <w:rPr>
                <w:rFonts w:ascii="Arial" w:cs="Arial" w:eastAsia="Arial" w:hAnsi="Arial"/>
                <w:sz w:val="10"/>
                <w:szCs w:val="10"/>
                <w:b w:val="1"/>
                <w:bCs w:val="1"/>
                <w:color w:val="auto"/>
              </w:rPr>
              <w:t>Type</w:t>
            </w:r>
          </w:p>
        </w:tc>
        <w:tc>
          <w:tcPr>
            <w:tcW w:w="100" w:type="dxa"/>
            <w:vAlign w:val="bottom"/>
            <w:tcBorders>
              <w:bottom w:val="single" w:sz="8" w:color="CCEEFF"/>
            </w:tcBorders>
          </w:tcPr>
          <w:p>
            <w:pPr>
              <w:spacing w:after="0"/>
              <w:rPr>
                <w:sz w:val="23"/>
                <w:szCs w:val="23"/>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Interest Rate</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10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23"/>
                <w:szCs w:val="23"/>
                <w:color w:val="auto"/>
              </w:rPr>
            </w:pPr>
          </w:p>
        </w:tc>
        <w:tc>
          <w:tcPr>
            <w:tcW w:w="3740" w:type="dxa"/>
            <w:vAlign w:val="bottom"/>
            <w:tcBorders>
              <w:bottom w:val="single" w:sz="8" w:color="auto"/>
            </w:tcBorders>
          </w:tcPr>
          <w:p>
            <w:pPr>
              <w:ind w:left="1480"/>
              <w:spacing w:after="0"/>
              <w:rPr>
                <w:sz w:val="20"/>
                <w:szCs w:val="20"/>
                <w:color w:val="auto"/>
              </w:rPr>
            </w:pPr>
            <w:r>
              <w:rPr>
                <w:rFonts w:ascii="Arial" w:cs="Arial" w:eastAsia="Arial" w:hAnsi="Arial"/>
                <w:sz w:val="10"/>
                <w:szCs w:val="10"/>
                <w:b w:val="1"/>
                <w:bCs w:val="1"/>
                <w:color w:val="auto"/>
              </w:rPr>
              <w:t>Use of Proceeds</w:t>
            </w:r>
          </w:p>
        </w:tc>
        <w:tc>
          <w:tcPr>
            <w:tcW w:w="20" w:type="dxa"/>
            <w:vAlign w:val="bottom"/>
          </w:tcPr>
          <w:p>
            <w:pPr>
              <w:spacing w:after="0"/>
              <w:rPr>
                <w:sz w:val="23"/>
                <w:szCs w:val="23"/>
                <w:color w:val="auto"/>
              </w:rPr>
            </w:pPr>
          </w:p>
        </w:tc>
      </w:tr>
      <w:tr>
        <w:trPr>
          <w:trHeight w:val="174"/>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Exelon</w:t>
            </w:r>
          </w:p>
        </w:tc>
        <w:tc>
          <w:tcPr>
            <w:tcW w:w="19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Senior Notes</w:t>
            </w:r>
          </w:p>
        </w:tc>
        <w:tc>
          <w:tcPr>
            <w:tcW w:w="19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4.95%</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March 15, 2036</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$775</w:t>
            </w:r>
          </w:p>
        </w:tc>
        <w:tc>
          <w:tcPr>
            <w:tcW w:w="100" w:type="dxa"/>
            <w:vAlign w:val="bottom"/>
            <w:shd w:val="clear" w:color="auto" w:fill="CCEEFF"/>
          </w:tcPr>
          <w:p>
            <w:pPr>
              <w:spacing w:after="0"/>
              <w:rPr>
                <w:sz w:val="15"/>
                <w:szCs w:val="15"/>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 existing indebtedness and for general corporate purposes.</w:t>
            </w:r>
          </w:p>
        </w:tc>
        <w:tc>
          <w:tcPr>
            <w:tcW w:w="20" w:type="dxa"/>
            <w:vAlign w:val="bottom"/>
          </w:tcPr>
          <w:p>
            <w:pPr>
              <w:spacing w:after="0"/>
              <w:rPr>
                <w:sz w:val="15"/>
                <w:szCs w:val="15"/>
                <w:color w:val="auto"/>
              </w:rPr>
            </w:pPr>
          </w:p>
        </w:tc>
      </w:tr>
      <w:tr>
        <w:trPr>
          <w:trHeight w:val="177"/>
        </w:trPr>
        <w:tc>
          <w:tcPr>
            <w:tcW w:w="1200" w:type="dxa"/>
            <w:vAlign w:val="bottom"/>
            <w:gridSpan w:val="2"/>
          </w:tcPr>
          <w:p>
            <w:pPr>
              <w:ind w:left="20"/>
              <w:spacing w:after="0"/>
              <w:rPr>
                <w:sz w:val="20"/>
                <w:szCs w:val="20"/>
                <w:color w:val="auto"/>
              </w:rPr>
            </w:pPr>
            <w:r>
              <w:rPr>
                <w:rFonts w:ascii="Arial" w:cs="Arial" w:eastAsia="Arial" w:hAnsi="Arial"/>
                <w:sz w:val="11"/>
                <w:szCs w:val="11"/>
                <w:color w:val="auto"/>
              </w:rPr>
              <w:t>Pepco</w:t>
            </w:r>
          </w:p>
        </w:tc>
        <w:tc>
          <w:tcPr>
            <w:tcW w:w="1980" w:type="dxa"/>
            <w:vAlign w:val="bottom"/>
            <w:gridSpan w:val="2"/>
          </w:tcPr>
          <w:p>
            <w:pPr>
              <w:spacing w:after="0"/>
              <w:rPr>
                <w:sz w:val="20"/>
                <w:szCs w:val="20"/>
                <w:color w:val="auto"/>
              </w:rPr>
            </w:pPr>
            <w:r>
              <w:rPr>
                <w:rFonts w:ascii="Arial" w:cs="Arial" w:eastAsia="Arial" w:hAnsi="Arial"/>
                <w:sz w:val="11"/>
                <w:szCs w:val="11"/>
                <w:color w:val="auto"/>
              </w:rPr>
              <w:t>First Mortgage Bonds</w:t>
            </w:r>
          </w:p>
        </w:tc>
        <w:tc>
          <w:tcPr>
            <w:tcW w:w="1900" w:type="dxa"/>
            <w:vAlign w:val="bottom"/>
          </w:tcPr>
          <w:p>
            <w:pPr>
              <w:jc w:val="center"/>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color w:val="auto"/>
              </w:rPr>
              <w:t>March 19, 2036</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110</w:t>
            </w:r>
          </w:p>
        </w:tc>
        <w:tc>
          <w:tcPr>
            <w:tcW w:w="100" w:type="dxa"/>
            <w:vAlign w:val="bottom"/>
          </w:tcPr>
          <w:p>
            <w:pPr>
              <w:spacing w:after="0"/>
              <w:rPr>
                <w:sz w:val="15"/>
                <w:szCs w:val="15"/>
                <w:color w:val="auto"/>
              </w:rPr>
            </w:pPr>
          </w:p>
        </w:tc>
        <w:tc>
          <w:tcPr>
            <w:tcW w:w="3760" w:type="dxa"/>
            <w:vAlign w:val="bottom"/>
            <w:gridSpan w:val="2"/>
          </w:tcPr>
          <w:p>
            <w:pPr>
              <w:ind w:left="20"/>
              <w:spacing w:after="0"/>
              <w:rPr>
                <w:sz w:val="20"/>
                <w:szCs w:val="20"/>
                <w:color w:val="auto"/>
              </w:rPr>
            </w:pPr>
            <w:r>
              <w:rPr>
                <w:rFonts w:ascii="Arial" w:cs="Arial" w:eastAsia="Arial" w:hAnsi="Arial"/>
                <w:sz w:val="11"/>
                <w:szCs w:val="11"/>
                <w:color w:val="auto"/>
              </w:rPr>
              <w:t>Repay existing indebtedness and for general corporate purposes.</w:t>
            </w:r>
          </w:p>
        </w:tc>
      </w:tr>
      <w:tr>
        <w:trPr>
          <w:trHeight w:val="184"/>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Pepco</w:t>
            </w:r>
          </w:p>
        </w:tc>
        <w:tc>
          <w:tcPr>
            <w:tcW w:w="19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First Mortgage Bonds</w:t>
            </w:r>
          </w:p>
        </w:tc>
        <w:tc>
          <w:tcPr>
            <w:tcW w:w="19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5.30%</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March 19, 2041</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60</w:t>
            </w:r>
          </w:p>
        </w:tc>
        <w:tc>
          <w:tcPr>
            <w:tcW w:w="100" w:type="dxa"/>
            <w:vAlign w:val="bottom"/>
            <w:shd w:val="clear" w:color="auto" w:fill="CCEEFF"/>
          </w:tcPr>
          <w:p>
            <w:pPr>
              <w:spacing w:after="0"/>
              <w:rPr>
                <w:sz w:val="15"/>
                <w:szCs w:val="15"/>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 existing indebtedness and for general corporate purposes.</w:t>
            </w:r>
          </w:p>
        </w:tc>
        <w:tc>
          <w:tcPr>
            <w:tcW w:w="20" w:type="dxa"/>
            <w:vAlign w:val="bottom"/>
          </w:tcPr>
          <w:p>
            <w:pPr>
              <w:spacing w:after="0"/>
              <w:rPr>
                <w:sz w:val="15"/>
                <w:szCs w:val="15"/>
                <w:color w:val="auto"/>
              </w:rPr>
            </w:pPr>
          </w:p>
        </w:tc>
      </w:tr>
      <w:tr>
        <w:trPr>
          <w:trHeight w:val="177"/>
        </w:trPr>
        <w:tc>
          <w:tcPr>
            <w:tcW w:w="1200" w:type="dxa"/>
            <w:vAlign w:val="bottom"/>
            <w:gridSpan w:val="2"/>
          </w:tcPr>
          <w:p>
            <w:pPr>
              <w:ind w:left="20"/>
              <w:spacing w:after="0"/>
              <w:rPr>
                <w:sz w:val="20"/>
                <w:szCs w:val="20"/>
                <w:color w:val="auto"/>
              </w:rPr>
            </w:pPr>
            <w:r>
              <w:rPr>
                <w:rFonts w:ascii="Arial" w:cs="Arial" w:eastAsia="Arial" w:hAnsi="Arial"/>
                <w:sz w:val="11"/>
                <w:szCs w:val="11"/>
                <w:color w:val="auto"/>
              </w:rPr>
              <w:t>DPL</w:t>
            </w:r>
          </w:p>
        </w:tc>
        <w:tc>
          <w:tcPr>
            <w:tcW w:w="1980" w:type="dxa"/>
            <w:vAlign w:val="bottom"/>
            <w:gridSpan w:val="2"/>
          </w:tcPr>
          <w:p>
            <w:pPr>
              <w:spacing w:after="0"/>
              <w:rPr>
                <w:sz w:val="20"/>
                <w:szCs w:val="20"/>
                <w:color w:val="auto"/>
              </w:rPr>
            </w:pPr>
            <w:r>
              <w:rPr>
                <w:rFonts w:ascii="Arial" w:cs="Arial" w:eastAsia="Arial" w:hAnsi="Arial"/>
                <w:sz w:val="11"/>
                <w:szCs w:val="11"/>
                <w:color w:val="auto"/>
              </w:rPr>
              <w:t>First Mortgage Bonds</w:t>
            </w:r>
          </w:p>
        </w:tc>
        <w:tc>
          <w:tcPr>
            <w:tcW w:w="1900" w:type="dxa"/>
            <w:vAlign w:val="bottom"/>
          </w:tcPr>
          <w:p>
            <w:pPr>
              <w:jc w:val="center"/>
              <w:spacing w:after="0"/>
              <w:rPr>
                <w:sz w:val="20"/>
                <w:szCs w:val="20"/>
                <w:color w:val="auto"/>
              </w:rPr>
            </w:pPr>
            <w:r>
              <w:rPr>
                <w:rFonts w:ascii="Arial" w:cs="Arial" w:eastAsia="Arial" w:hAnsi="Arial"/>
                <w:sz w:val="11"/>
                <w:szCs w:val="11"/>
                <w:color w:val="auto"/>
              </w:rPr>
              <w:t>5.74%</w:t>
            </w: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color w:val="auto"/>
              </w:rPr>
              <w:t>March 19, 2056</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75</w:t>
            </w:r>
          </w:p>
        </w:tc>
        <w:tc>
          <w:tcPr>
            <w:tcW w:w="100" w:type="dxa"/>
            <w:vAlign w:val="bottom"/>
          </w:tcPr>
          <w:p>
            <w:pPr>
              <w:spacing w:after="0"/>
              <w:rPr>
                <w:sz w:val="15"/>
                <w:szCs w:val="15"/>
                <w:color w:val="auto"/>
              </w:rPr>
            </w:pPr>
          </w:p>
        </w:tc>
        <w:tc>
          <w:tcPr>
            <w:tcW w:w="3760" w:type="dxa"/>
            <w:vAlign w:val="bottom"/>
            <w:gridSpan w:val="2"/>
          </w:tcPr>
          <w:p>
            <w:pPr>
              <w:ind w:left="20"/>
              <w:spacing w:after="0"/>
              <w:rPr>
                <w:sz w:val="20"/>
                <w:szCs w:val="20"/>
                <w:color w:val="auto"/>
              </w:rPr>
            </w:pPr>
            <w:r>
              <w:rPr>
                <w:rFonts w:ascii="Arial" w:cs="Arial" w:eastAsia="Arial" w:hAnsi="Arial"/>
                <w:sz w:val="11"/>
                <w:szCs w:val="11"/>
                <w:color w:val="auto"/>
              </w:rPr>
              <w:t>Repay existing indebtedness and for general corporate purposes.</w:t>
            </w:r>
          </w:p>
        </w:tc>
      </w:tr>
      <w:tr>
        <w:trPr>
          <w:trHeight w:val="184"/>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ACE</w:t>
            </w:r>
          </w:p>
        </w:tc>
        <w:tc>
          <w:tcPr>
            <w:tcW w:w="19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First Mortgage Bonds</w:t>
            </w:r>
          </w:p>
        </w:tc>
        <w:tc>
          <w:tcPr>
            <w:tcW w:w="19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4.95%</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March 19, 2036</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5"/>
                <w:szCs w:val="15"/>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 existing indebtedness and for general corporate purposes.</w:t>
            </w:r>
          </w:p>
        </w:tc>
        <w:tc>
          <w:tcPr>
            <w:tcW w:w="20" w:type="dxa"/>
            <w:vAlign w:val="bottom"/>
          </w:tcPr>
          <w:p>
            <w:pPr>
              <w:spacing w:after="0"/>
              <w:rPr>
                <w:sz w:val="15"/>
                <w:szCs w:val="15"/>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Senior Notes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December 4, 2025, Exelon Corporation issued $1 billion aggregate principal amount of 3.25% Convertible Senior Notes due 2029 (Convertible Senior Notes). The Convertible Senior Notes are reflected as Long-term debt on Exelon’s Consolidated Balance Sheet.</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Convertible Senior Notes are senior, unsecured notes that bear interest at a fixed rate of 3.25% per year, payable semiannually in arrears on March 15 and September 15 of each year, beginning on September 15, 2026. The Convertible Senior Notes will mature on March 15, 2029, unless earlier converted or repurchased in accordance with their terms.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Under the following circumstances, holders may convert the Convertible Senior Notes at their option prior to the close of business on the business day preceding December 15, 2028:</w:t>
      </w:r>
    </w:p>
    <w:p>
      <w:pPr>
        <w:spacing w:after="0" w:line="11" w:lineRule="exact"/>
        <w:rPr>
          <w:sz w:val="20"/>
          <w:szCs w:val="20"/>
          <w:color w:val="auto"/>
        </w:rPr>
      </w:pPr>
    </w:p>
    <w:p>
      <w:pPr>
        <w:jc w:val="both"/>
        <w:ind w:left="520" w:hanging="260"/>
        <w:spacing w:after="0" w:line="244"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during any calendar quarter beginning after the quarter ending on March 31, 2026, if the last reported sale price of Exelon’s common stock for at least 20 trading days (whether consecutive or not) during the period of 30 consecutive trading days ending on, and including, the last trading day of the immediately preceding calendar quarter is greater than or equal the stock was trading at greater than or equal to 130% of the conversion price on each applicable trading day as determined by Exelon;</w:t>
      </w:r>
    </w:p>
    <w:p>
      <w:pPr>
        <w:ind w:left="520" w:hanging="260"/>
        <w:spacing w:after="0" w:line="238"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during the five business day period after any ten consecutive trading day period (measurement period) in which the applicable trading price per $1,000 principal amount of notes for each trading day of the measurement period was less than 98% of the product of the last reported sale price of the common stock and the conversion rate on each such trading day;</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upon the occurrence of certain corporate events specified in the respective supplemental indentures governing the Convertible Senior Notes.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or after December 15, 2028, a holder may convert for all, or any portion of its Convertible Senior Notes at any time prior to the close of business on the business day immediately preceding the applicable maturity date regardless of the foregoing conditions.</w:t>
      </w:r>
    </w:p>
    <w:p>
      <w:pPr>
        <w:spacing w:after="0" w:line="146"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Exelon will settle conversions of the Convertible Senior Notes by paying cash up to the aggregate principal amount to be converted and paying or delivering, as the case may be, cash, shares of common stock, or a combination of cash and shares of common stock, at Exelon’s discretion, in respect of the remainder, if any, of Exelon's conversion obligation in excess of the aggregate principal amount of the Convertible Senior Notes being converted. The Convertible Senior Notes are initially convertible at 17.5093 shares per $1,000 principal amount, which is equivalent to an initial conversion price of approximately 57.11 per share of common stock. The initial conversion price of the Convertible Senior Notes represents a premium of approximately 25% over the last reported sale price of Exelon’s common stock on the Nasdaq Global Select Market on December 1, 2025. These conversions will be subject to adjustment upon the occurrence of certain specified events but will not be adjusted for accrued and unpaid interest. In addition, upon the occurrence of a make-whole fundamental change (as defined in the indenture) Exelon will, in certain circumstances, increase the applicable conversion rate by a number of additional shares of common stock for conversions in connection with the make-whole fundamental change.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2026, no shares of the Convertible Senior Notes have been converted.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9 — Debt and Credit Agreements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EPS Impact</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Diluted earnings per common shares will also reflect the dilutive effect of potential common shares from share-based awards and convertible notes. The dilutive effect of the Convertible Senior Notes is computed using the if-converted method. For the period ended March 31, 2026, no incremental shares were assumed converted or included in the diluted earnings per common share resulting from the Convertible Senior Notes.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Tax-Exempt Bonds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March 31, 2026, DPL had $78.4 million outstanding of its 3.60% Delaware Economic Development Authority's Gas Facilities Refunding Revenue Bonds, maturing on January 1, 2031. The bonds were previously reoffered in July 2025. There have been no material changes to the terms since December 31, 2025. See Note 14 — Debt and Credit Agreements of the 2025 Form 10-K for additional information on the DPL reoffering of tax-exempt bonds.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Covenants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2026, the Registrants are in compliance with debt covenants.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Fair Value of Financial Assets and Liabilities (All Registrants)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Exelon measures and classifies fair value measurements in accordance with the hierarchy as defined by GAAP. The hierarchy prioritizes the inputs to valuation techniques used to measure fair value into three levels as follows:</w:t>
      </w:r>
    </w:p>
    <w:p>
      <w:pPr>
        <w:spacing w:after="0" w:line="93" w:lineRule="exact"/>
        <w:rPr>
          <w:sz w:val="20"/>
          <w:szCs w:val="20"/>
          <w:color w:val="auto"/>
        </w:rPr>
      </w:pPr>
    </w:p>
    <w:p>
      <w:pPr>
        <w:ind w:left="760" w:hanging="246"/>
        <w:spacing w:after="0"/>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Level 1 — quoted prices (unadjusted) in active markets for identical assets or liabilities that the Registrants have the ability to liquidate as of the reporting date.</w:t>
      </w:r>
    </w:p>
    <w:p>
      <w:pPr>
        <w:spacing w:after="0" w:line="136" w:lineRule="exact"/>
        <w:rPr>
          <w:rFonts w:ascii="Arial" w:cs="Arial" w:eastAsia="Arial" w:hAnsi="Arial"/>
          <w:sz w:val="13"/>
          <w:szCs w:val="13"/>
          <w:color w:val="auto"/>
        </w:rPr>
      </w:pPr>
    </w:p>
    <w:p>
      <w:pPr>
        <w:ind w:left="760" w:hanging="246"/>
        <w:spacing w:after="0" w:line="266" w:lineRule="auto"/>
        <w:tabs>
          <w:tab w:leader="none" w:pos="751"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Level 2 — inputs other than quoted prices included within Level 1 that are directly observable for the asset or liability or indirectly observable through corroboration with observable market data.</w:t>
      </w:r>
    </w:p>
    <w:p>
      <w:pPr>
        <w:spacing w:after="0" w:line="103" w:lineRule="exact"/>
        <w:rPr>
          <w:rFonts w:ascii="Arial" w:cs="Arial" w:eastAsia="Arial" w:hAnsi="Arial"/>
          <w:sz w:val="13"/>
          <w:szCs w:val="13"/>
          <w:color w:val="auto"/>
        </w:rPr>
      </w:pPr>
    </w:p>
    <w:p>
      <w:pPr>
        <w:ind w:left="760" w:hanging="246"/>
        <w:spacing w:after="0"/>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Level 3 — unobservable inputs, such as internally developed pricing models or third-party valuations for the asset or liability due to little or no market activity for the asset or liability.</w:t>
      </w:r>
    </w:p>
    <w:p>
      <w:pPr>
        <w:spacing w:after="0" w:line="12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Exelon’s valuation techniques used to measure the fair value of the assets and liabilities shown in the tables below are in accordance with the policies discussed in Note 15 — Fair Value of Financial Assets and Liabilities of the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10 — Fair Value of Financial Assets and Liabilities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Financial Liabilities Recorded at Amortized Cost</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following tables present the carrying amounts and fair values of the Registrants’ short-term liabilities, long-term debt, and trust preferred securities (long-term debt to financing trusts or junior subordinated debentures) as of March 31, 2026 and December 31, 2025. The Registrants have no financial liabilities measured using the NAV practical expedient.</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carrying amounts of the Registrants’ short-term liabilities as presented in their Consolidated Balance Sheets are representative of their fair value (Level 2) because of the short-term nature of these instruments.</w:t>
      </w:r>
    </w:p>
    <w:p>
      <w:pPr>
        <w:spacing w:after="0" w:line="121" w:lineRule="exact"/>
        <w:rPr>
          <w:sz w:val="20"/>
          <w:szCs w:val="20"/>
          <w:color w:val="auto"/>
        </w:rPr>
      </w:pPr>
    </w:p>
    <w:tbl>
      <w:tblPr>
        <w:tblLayout w:type="fixed"/>
        <w:tblInd w:w="1340" w:type="dxa"/>
        <w:tblCellMar>
          <w:top w:w="0" w:type="dxa"/>
          <w:left w:w="0" w:type="dxa"/>
          <w:bottom w:w="0" w:type="dxa"/>
          <w:right w:w="0" w:type="dxa"/>
        </w:tblCellMar>
      </w:tblPr>
      <w:tr>
        <w:trPr>
          <w:trHeight w:val="144"/>
        </w:trPr>
        <w:tc>
          <w:tcPr>
            <w:tcW w:w="9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March 31, 2026</w:t>
            </w: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w w:val="97"/>
              </w:rPr>
              <w:t>December 31, 2025</w:t>
            </w:r>
          </w:p>
        </w:tc>
        <w:tc>
          <w:tcPr>
            <w:tcW w:w="7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9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Fair Value</w:t>
            </w: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ind w:left="920"/>
              <w:spacing w:after="0"/>
              <w:rPr>
                <w:sz w:val="20"/>
                <w:szCs w:val="20"/>
                <w:color w:val="auto"/>
              </w:rPr>
            </w:pPr>
            <w:r>
              <w:rPr>
                <w:rFonts w:ascii="Arial" w:cs="Arial" w:eastAsia="Arial" w:hAnsi="Arial"/>
                <w:sz w:val="10"/>
                <w:szCs w:val="10"/>
                <w:b w:val="1"/>
                <w:bCs w:val="1"/>
                <w:color w:val="auto"/>
              </w:rPr>
              <w:t>Fair Value</w:t>
            </w:r>
          </w:p>
        </w:tc>
        <w:tc>
          <w:tcPr>
            <w:tcW w:w="7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2"/>
        </w:trPr>
        <w:tc>
          <w:tcPr>
            <w:tcW w:w="980" w:type="dxa"/>
            <w:vAlign w:val="bottom"/>
          </w:tcPr>
          <w:p>
            <w:pPr>
              <w:ind w:left="40"/>
              <w:spacing w:after="0"/>
              <w:rPr>
                <w:sz w:val="20"/>
                <w:szCs w:val="20"/>
                <w:color w:val="auto"/>
              </w:rPr>
            </w:pPr>
            <w:r>
              <w:rPr>
                <w:rFonts w:ascii="Arial" w:cs="Arial" w:eastAsia="Arial" w:hAnsi="Arial"/>
                <w:sz w:val="10"/>
                <w:szCs w:val="10"/>
                <w:b w:val="1"/>
                <w:bCs w:val="1"/>
                <w:color w:val="auto"/>
              </w:rPr>
              <w:t>Carrying Amount</w:t>
            </w:r>
          </w:p>
        </w:tc>
        <w:tc>
          <w:tcPr>
            <w:tcW w:w="860" w:type="dxa"/>
            <w:vAlign w:val="bottom"/>
          </w:tcPr>
          <w:p>
            <w:pPr>
              <w:ind w:left="280"/>
              <w:spacing w:after="0"/>
              <w:rPr>
                <w:sz w:val="20"/>
                <w:szCs w:val="20"/>
                <w:color w:val="auto"/>
              </w:rPr>
            </w:pPr>
            <w:r>
              <w:rPr>
                <w:rFonts w:ascii="Arial" w:cs="Arial" w:eastAsia="Arial" w:hAnsi="Arial"/>
                <w:sz w:val="10"/>
                <w:szCs w:val="10"/>
                <w:b w:val="1"/>
                <w:bCs w:val="1"/>
                <w:color w:val="auto"/>
              </w:rPr>
              <w:t>Level 1</w:t>
            </w:r>
          </w:p>
        </w:tc>
        <w:tc>
          <w:tcPr>
            <w:tcW w:w="1380" w:type="dxa"/>
            <w:vAlign w:val="bottom"/>
          </w:tcPr>
          <w:p>
            <w:pPr>
              <w:ind w:left="420"/>
              <w:spacing w:after="0"/>
              <w:rPr>
                <w:sz w:val="20"/>
                <w:szCs w:val="20"/>
                <w:color w:val="auto"/>
              </w:rPr>
            </w:pPr>
            <w:r>
              <w:rPr>
                <w:rFonts w:ascii="Arial" w:cs="Arial" w:eastAsia="Arial" w:hAnsi="Arial"/>
                <w:sz w:val="10"/>
                <w:szCs w:val="10"/>
                <w:b w:val="1"/>
                <w:bCs w:val="1"/>
                <w:color w:val="auto"/>
              </w:rPr>
              <w:t>Level 2</w:t>
            </w:r>
          </w:p>
        </w:tc>
        <w:tc>
          <w:tcPr>
            <w:tcW w:w="740" w:type="dxa"/>
            <w:vAlign w:val="bottom"/>
          </w:tcPr>
          <w:p>
            <w:pPr>
              <w:ind w:left="40"/>
              <w:spacing w:after="0"/>
              <w:rPr>
                <w:sz w:val="20"/>
                <w:szCs w:val="20"/>
                <w:color w:val="auto"/>
              </w:rPr>
            </w:pPr>
            <w:r>
              <w:rPr>
                <w:rFonts w:ascii="Arial" w:cs="Arial" w:eastAsia="Arial" w:hAnsi="Arial"/>
                <w:sz w:val="10"/>
                <w:szCs w:val="10"/>
                <w:b w:val="1"/>
                <w:bCs w:val="1"/>
                <w:color w:val="auto"/>
              </w:rPr>
              <w:t>Level 3</w:t>
            </w: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2"/>
                <w:szCs w:val="12"/>
                <w:color w:val="auto"/>
              </w:rPr>
            </w:pPr>
          </w:p>
        </w:tc>
        <w:tc>
          <w:tcPr>
            <w:tcW w:w="1000" w:type="dxa"/>
            <w:vAlign w:val="bottom"/>
          </w:tcPr>
          <w:p>
            <w:pPr>
              <w:ind w:left="40"/>
              <w:spacing w:after="0"/>
              <w:rPr>
                <w:sz w:val="20"/>
                <w:szCs w:val="20"/>
                <w:color w:val="auto"/>
              </w:rPr>
            </w:pPr>
            <w:r>
              <w:rPr>
                <w:rFonts w:ascii="Arial" w:cs="Arial" w:eastAsia="Arial" w:hAnsi="Arial"/>
                <w:sz w:val="10"/>
                <w:szCs w:val="10"/>
                <w:b w:val="1"/>
                <w:bCs w:val="1"/>
                <w:color w:val="auto"/>
              </w:rPr>
              <w:t>Carrying Amount</w:t>
            </w:r>
          </w:p>
        </w:tc>
        <w:tc>
          <w:tcPr>
            <w:tcW w:w="820" w:type="dxa"/>
            <w:vAlign w:val="bottom"/>
          </w:tcPr>
          <w:p>
            <w:pPr>
              <w:ind w:left="280"/>
              <w:spacing w:after="0"/>
              <w:rPr>
                <w:sz w:val="20"/>
                <w:szCs w:val="20"/>
                <w:color w:val="auto"/>
              </w:rPr>
            </w:pPr>
            <w:r>
              <w:rPr>
                <w:rFonts w:ascii="Arial" w:cs="Arial" w:eastAsia="Arial" w:hAnsi="Arial"/>
                <w:sz w:val="10"/>
                <w:szCs w:val="10"/>
                <w:b w:val="1"/>
                <w:bCs w:val="1"/>
                <w:color w:val="auto"/>
              </w:rPr>
              <w:t>Level 1</w:t>
            </w:r>
          </w:p>
        </w:tc>
        <w:tc>
          <w:tcPr>
            <w:tcW w:w="1420" w:type="dxa"/>
            <w:vAlign w:val="bottom"/>
          </w:tcPr>
          <w:p>
            <w:pPr>
              <w:jc w:val="center"/>
              <w:ind w:right="111"/>
              <w:spacing w:after="0"/>
              <w:rPr>
                <w:sz w:val="20"/>
                <w:szCs w:val="20"/>
                <w:color w:val="auto"/>
              </w:rPr>
            </w:pPr>
            <w:r>
              <w:rPr>
                <w:rFonts w:ascii="Arial" w:cs="Arial" w:eastAsia="Arial" w:hAnsi="Arial"/>
                <w:sz w:val="10"/>
                <w:szCs w:val="10"/>
                <w:b w:val="1"/>
                <w:bCs w:val="1"/>
                <w:color w:val="auto"/>
              </w:rPr>
              <w:t>Level 2</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Level 3</w:t>
            </w:r>
          </w:p>
        </w:tc>
        <w:tc>
          <w:tcPr>
            <w:tcW w:w="920" w:type="dxa"/>
            <w:vAlign w:val="bottom"/>
          </w:tcPr>
          <w:p>
            <w:pPr>
              <w:ind w:left="360"/>
              <w:spacing w:after="0"/>
              <w:rPr>
                <w:sz w:val="20"/>
                <w:szCs w:val="20"/>
                <w:color w:val="auto"/>
              </w:rPr>
            </w:pPr>
            <w:r>
              <w:rPr>
                <w:rFonts w:ascii="Arial" w:cs="Arial" w:eastAsia="Arial" w:hAnsi="Arial"/>
                <w:sz w:val="10"/>
                <w:szCs w:val="10"/>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61530" cy="121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Long-Term Debt, including amounts due within one year</w:t>
      </w:r>
      <w:r>
        <w:rPr>
          <w:rFonts w:ascii="Arial" w:cs="Arial" w:eastAsia="Arial" w:hAnsi="Arial"/>
          <w:sz w:val="16"/>
          <w:szCs w:val="16"/>
          <w:b w:val="1"/>
          <w:bCs w:val="1"/>
          <w:color w:val="auto"/>
          <w:vertAlign w:val="superscript"/>
        </w:rPr>
        <w: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ind w:left="20"/>
              <w:spacing w:after="0"/>
              <w:rPr>
                <w:sz w:val="20"/>
                <w:szCs w:val="20"/>
                <w:color w:val="auto"/>
              </w:rPr>
            </w:pPr>
            <w:r>
              <w:rPr>
                <w:rFonts w:ascii="Arial" w:cs="Arial" w:eastAsia="Arial" w:hAnsi="Arial"/>
                <w:sz w:val="13"/>
                <w:szCs w:val="13"/>
                <w:color w:val="auto"/>
              </w:rPr>
              <w:t xml:space="preserve">Exelon </w:t>
            </w:r>
            <w:r>
              <w:rPr>
                <w:rFonts w:ascii="Arial" w:cs="Arial" w:eastAsia="Arial" w:hAnsi="Arial"/>
                <w:sz w:val="16"/>
                <w:szCs w:val="16"/>
                <w:color w:val="auto"/>
                <w:vertAlign w:val="superscript"/>
              </w:rPr>
              <w:t>(b)</w:t>
            </w: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50,185</w:t>
            </w:r>
          </w:p>
        </w:tc>
        <w:tc>
          <w:tcPr>
            <w:tcW w:w="44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520" w:type="dxa"/>
            <w:vAlign w:val="bottom"/>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40,580</w:t>
            </w:r>
          </w:p>
        </w:tc>
        <w:tc>
          <w:tcPr>
            <w:tcW w:w="3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4,558</w:t>
            </w:r>
          </w:p>
        </w:tc>
        <w:tc>
          <w:tcPr>
            <w:tcW w:w="3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45,138</w:t>
            </w:r>
          </w:p>
        </w:tc>
        <w:tc>
          <w:tcPr>
            <w:tcW w:w="3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49,078</w:t>
            </w:r>
          </w:p>
        </w:tc>
        <w:tc>
          <w:tcPr>
            <w:tcW w:w="46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540" w:type="dxa"/>
            <w:vAlign w:val="bottom"/>
          </w:tcPr>
          <w:p>
            <w:pPr>
              <w:ind w:left="3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40,637</w:t>
            </w:r>
          </w:p>
        </w:tc>
        <w:tc>
          <w:tcPr>
            <w:tcW w:w="38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4,318</w:t>
            </w:r>
          </w:p>
        </w:tc>
        <w:tc>
          <w:tcPr>
            <w:tcW w:w="3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44,955</w:t>
            </w:r>
          </w:p>
        </w:tc>
      </w:tr>
      <w:tr>
        <w:trPr>
          <w:trHeight w:val="191"/>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ComEd</w:t>
            </w:r>
          </w:p>
        </w:tc>
        <w:tc>
          <w:tcPr>
            <w:tcW w:w="6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12,755</w:t>
            </w: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11,019</w:t>
            </w: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11,019</w:t>
            </w: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12,753</w:t>
            </w: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11,291</w:t>
            </w: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11,291</w:t>
            </w:r>
          </w:p>
        </w:tc>
      </w:tr>
      <w:tr>
        <w:trPr>
          <w:trHeight w:val="184"/>
        </w:trPr>
        <w:tc>
          <w:tcPr>
            <w:tcW w:w="940" w:type="dxa"/>
            <w:vAlign w:val="bottom"/>
          </w:tcPr>
          <w:p>
            <w:pPr>
              <w:ind w:left="20"/>
              <w:spacing w:after="0"/>
              <w:rPr>
                <w:sz w:val="20"/>
                <w:szCs w:val="20"/>
                <w:color w:val="auto"/>
              </w:rPr>
            </w:pPr>
            <w:r>
              <w:rPr>
                <w:rFonts w:ascii="Arial" w:cs="Arial" w:eastAsia="Arial" w:hAnsi="Arial"/>
                <w:sz w:val="13"/>
                <w:szCs w:val="13"/>
                <w:color w:val="auto"/>
              </w:rPr>
              <w:t>PECO</w:t>
            </w:r>
          </w:p>
        </w:tc>
        <w:tc>
          <w:tcPr>
            <w:tcW w:w="660" w:type="dxa"/>
            <w:vAlign w:val="bottom"/>
          </w:tcPr>
          <w:p>
            <w:pPr>
              <w:spacing w:after="0"/>
              <w:rPr>
                <w:sz w:val="16"/>
                <w:szCs w:val="16"/>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6,397</w:t>
            </w:r>
          </w:p>
        </w:tc>
        <w:tc>
          <w:tcPr>
            <w:tcW w:w="440" w:type="dxa"/>
            <w:vAlign w:val="bottom"/>
          </w:tcPr>
          <w:p>
            <w:pPr>
              <w:spacing w:after="0"/>
              <w:rPr>
                <w:sz w:val="16"/>
                <w:szCs w:val="16"/>
                <w:color w:val="auto"/>
              </w:rPr>
            </w:pPr>
          </w:p>
        </w:tc>
        <w:tc>
          <w:tcPr>
            <w:tcW w:w="520" w:type="dxa"/>
            <w:vAlign w:val="bottom"/>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5,471</w:t>
            </w:r>
          </w:p>
        </w:tc>
        <w:tc>
          <w:tcPr>
            <w:tcW w:w="380" w:type="dxa"/>
            <w:vAlign w:val="bottom"/>
          </w:tcPr>
          <w:p>
            <w:pPr>
              <w:spacing w:after="0"/>
              <w:rPr>
                <w:sz w:val="16"/>
                <w:szCs w:val="16"/>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5,471</w:t>
            </w:r>
          </w:p>
        </w:tc>
        <w:tc>
          <w:tcPr>
            <w:tcW w:w="36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6,396</w:t>
            </w:r>
          </w:p>
        </w:tc>
        <w:tc>
          <w:tcPr>
            <w:tcW w:w="46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5,593</w:t>
            </w:r>
          </w:p>
        </w:tc>
        <w:tc>
          <w:tcPr>
            <w:tcW w:w="38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5,593</w:t>
            </w:r>
          </w:p>
        </w:tc>
      </w:tr>
      <w:tr>
        <w:trPr>
          <w:trHeight w:val="198"/>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BGE</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6,042</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5,390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5,390</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6,041</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5,510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5,510</w:t>
            </w:r>
          </w:p>
        </w:tc>
      </w:tr>
      <w:tr>
        <w:trPr>
          <w:trHeight w:val="184"/>
        </w:trPr>
        <w:tc>
          <w:tcPr>
            <w:tcW w:w="940" w:type="dxa"/>
            <w:vAlign w:val="bottom"/>
          </w:tcPr>
          <w:p>
            <w:pPr>
              <w:ind w:left="20"/>
              <w:spacing w:after="0"/>
              <w:rPr>
                <w:sz w:val="20"/>
                <w:szCs w:val="20"/>
                <w:color w:val="auto"/>
              </w:rPr>
            </w:pPr>
            <w:r>
              <w:rPr>
                <w:rFonts w:ascii="Arial" w:cs="Arial" w:eastAsia="Arial" w:hAnsi="Arial"/>
                <w:sz w:val="13"/>
                <w:szCs w:val="13"/>
                <w:color w:val="auto"/>
              </w:rPr>
              <w:t>PHI</w:t>
            </w:r>
          </w:p>
        </w:tc>
        <w:tc>
          <w:tcPr>
            <w:tcW w:w="660" w:type="dxa"/>
            <w:vAlign w:val="bottom"/>
          </w:tcPr>
          <w:p>
            <w:pPr>
              <w:spacing w:after="0"/>
              <w:rPr>
                <w:sz w:val="16"/>
                <w:szCs w:val="16"/>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9,928</w:t>
            </w:r>
          </w:p>
        </w:tc>
        <w:tc>
          <w:tcPr>
            <w:tcW w:w="440" w:type="dxa"/>
            <w:vAlign w:val="bottom"/>
          </w:tcPr>
          <w:p>
            <w:pPr>
              <w:spacing w:after="0"/>
              <w:rPr>
                <w:sz w:val="16"/>
                <w:szCs w:val="16"/>
                <w:color w:val="auto"/>
              </w:rPr>
            </w:pPr>
          </w:p>
        </w:tc>
        <w:tc>
          <w:tcPr>
            <w:tcW w:w="520" w:type="dxa"/>
            <w:vAlign w:val="bottom"/>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4,151</w:t>
            </w:r>
          </w:p>
        </w:tc>
        <w:tc>
          <w:tcPr>
            <w:tcW w:w="380" w:type="dxa"/>
            <w:vAlign w:val="bottom"/>
          </w:tcPr>
          <w:p>
            <w:pPr>
              <w:spacing w:after="0"/>
              <w:rPr>
                <w:sz w:val="16"/>
                <w:szCs w:val="16"/>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4,558</w:t>
            </w:r>
          </w:p>
        </w:tc>
        <w:tc>
          <w:tcPr>
            <w:tcW w:w="36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8,709</w:t>
            </w:r>
          </w:p>
        </w:tc>
        <w:tc>
          <w:tcPr>
            <w:tcW w:w="36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9,590</w:t>
            </w:r>
          </w:p>
        </w:tc>
        <w:tc>
          <w:tcPr>
            <w:tcW w:w="46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4,236</w:t>
            </w:r>
          </w:p>
        </w:tc>
        <w:tc>
          <w:tcPr>
            <w:tcW w:w="38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4,318</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8,554</w:t>
            </w:r>
          </w:p>
        </w:tc>
      </w:tr>
      <w:tr>
        <w:trPr>
          <w:trHeight w:val="198"/>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Pepco</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4,802</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2,484</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1,990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4,474</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4,632</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2,546</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1,861</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4,407</w:t>
            </w:r>
          </w:p>
        </w:tc>
      </w:tr>
      <w:tr>
        <w:trPr>
          <w:trHeight w:val="184"/>
        </w:trPr>
        <w:tc>
          <w:tcPr>
            <w:tcW w:w="940" w:type="dxa"/>
            <w:vAlign w:val="bottom"/>
          </w:tcPr>
          <w:p>
            <w:pPr>
              <w:ind w:left="20"/>
              <w:spacing w:after="0"/>
              <w:rPr>
                <w:sz w:val="20"/>
                <w:szCs w:val="20"/>
                <w:color w:val="auto"/>
              </w:rPr>
            </w:pPr>
            <w:r>
              <w:rPr>
                <w:rFonts w:ascii="Arial" w:cs="Arial" w:eastAsia="Arial" w:hAnsi="Arial"/>
                <w:sz w:val="13"/>
                <w:szCs w:val="13"/>
                <w:color w:val="auto"/>
              </w:rPr>
              <w:t>DPL</w:t>
            </w:r>
          </w:p>
        </w:tc>
        <w:tc>
          <w:tcPr>
            <w:tcW w:w="660" w:type="dxa"/>
            <w:vAlign w:val="bottom"/>
          </w:tcPr>
          <w:p>
            <w:pPr>
              <w:spacing w:after="0"/>
              <w:rPr>
                <w:sz w:val="16"/>
                <w:szCs w:val="16"/>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2,421</w:t>
            </w:r>
          </w:p>
        </w:tc>
        <w:tc>
          <w:tcPr>
            <w:tcW w:w="440" w:type="dxa"/>
            <w:vAlign w:val="bottom"/>
          </w:tcPr>
          <w:p>
            <w:pPr>
              <w:spacing w:after="0"/>
              <w:rPr>
                <w:sz w:val="16"/>
                <w:szCs w:val="16"/>
                <w:color w:val="auto"/>
              </w:rPr>
            </w:pPr>
          </w:p>
        </w:tc>
        <w:tc>
          <w:tcPr>
            <w:tcW w:w="520" w:type="dxa"/>
            <w:vAlign w:val="bottom"/>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644</w:t>
            </w:r>
          </w:p>
        </w:tc>
        <w:tc>
          <w:tcPr>
            <w:tcW w:w="380" w:type="dxa"/>
            <w:vAlign w:val="bottom"/>
          </w:tcPr>
          <w:p>
            <w:pPr>
              <w:spacing w:after="0"/>
              <w:rPr>
                <w:sz w:val="16"/>
                <w:szCs w:val="16"/>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1,446</w:t>
            </w:r>
          </w:p>
        </w:tc>
        <w:tc>
          <w:tcPr>
            <w:tcW w:w="36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2,090</w:t>
            </w:r>
          </w:p>
        </w:tc>
        <w:tc>
          <w:tcPr>
            <w:tcW w:w="36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2,344</w:t>
            </w:r>
          </w:p>
        </w:tc>
        <w:tc>
          <w:tcPr>
            <w:tcW w:w="46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657</w:t>
            </w:r>
          </w:p>
        </w:tc>
        <w:tc>
          <w:tcPr>
            <w:tcW w:w="38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1,410</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2,067</w:t>
            </w:r>
          </w:p>
        </w:tc>
      </w:tr>
      <w:tr>
        <w:trPr>
          <w:trHeight w:val="198"/>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ACE</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2,133</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812</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1,123</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1,935</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2,033</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819</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1,047</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1,866</w:t>
            </w:r>
          </w:p>
        </w:tc>
      </w:tr>
      <w:tr>
        <w:trPr>
          <w:trHeight w:val="187"/>
        </w:trPr>
        <w:tc>
          <w:tcPr>
            <w:tcW w:w="228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Long-Term Debt to Financing Trusts</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5"/>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Exelon</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390</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398</w:t>
            </w:r>
          </w:p>
        </w:tc>
        <w:tc>
          <w:tcPr>
            <w:tcW w:w="3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398</w:t>
            </w:r>
          </w:p>
        </w:tc>
        <w:tc>
          <w:tcPr>
            <w:tcW w:w="3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390</w:t>
            </w:r>
          </w:p>
        </w:tc>
        <w:tc>
          <w:tcPr>
            <w:tcW w:w="4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403</w:t>
            </w:r>
          </w:p>
        </w:tc>
        <w:tc>
          <w:tcPr>
            <w:tcW w:w="3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r>
      <w:tr>
        <w:trPr>
          <w:trHeight w:val="184"/>
        </w:trPr>
        <w:tc>
          <w:tcPr>
            <w:tcW w:w="940" w:type="dxa"/>
            <w:vAlign w:val="bottom"/>
          </w:tcPr>
          <w:p>
            <w:pPr>
              <w:ind w:left="20"/>
              <w:spacing w:after="0"/>
              <w:rPr>
                <w:sz w:val="20"/>
                <w:szCs w:val="20"/>
                <w:color w:val="auto"/>
              </w:rPr>
            </w:pPr>
            <w:r>
              <w:rPr>
                <w:rFonts w:ascii="Arial" w:cs="Arial" w:eastAsia="Arial" w:hAnsi="Arial"/>
                <w:sz w:val="13"/>
                <w:szCs w:val="13"/>
                <w:color w:val="auto"/>
              </w:rPr>
              <w:t>ComEd</w:t>
            </w:r>
          </w:p>
        </w:tc>
        <w:tc>
          <w:tcPr>
            <w:tcW w:w="660" w:type="dxa"/>
            <w:vAlign w:val="bottom"/>
          </w:tcPr>
          <w:p>
            <w:pPr>
              <w:spacing w:after="0"/>
              <w:rPr>
                <w:sz w:val="16"/>
                <w:szCs w:val="16"/>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206</w:t>
            </w:r>
          </w:p>
        </w:tc>
        <w:tc>
          <w:tcPr>
            <w:tcW w:w="440" w:type="dxa"/>
            <w:vAlign w:val="bottom"/>
          </w:tcPr>
          <w:p>
            <w:pPr>
              <w:spacing w:after="0"/>
              <w:rPr>
                <w:sz w:val="16"/>
                <w:szCs w:val="16"/>
                <w:color w:val="auto"/>
              </w:rPr>
            </w:pPr>
          </w:p>
        </w:tc>
        <w:tc>
          <w:tcPr>
            <w:tcW w:w="520" w:type="dxa"/>
            <w:vAlign w:val="bottom"/>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212</w:t>
            </w:r>
          </w:p>
        </w:tc>
        <w:tc>
          <w:tcPr>
            <w:tcW w:w="36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212</w:t>
            </w:r>
          </w:p>
        </w:tc>
        <w:tc>
          <w:tcPr>
            <w:tcW w:w="36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206</w:t>
            </w:r>
          </w:p>
        </w:tc>
        <w:tc>
          <w:tcPr>
            <w:tcW w:w="460" w:type="dxa"/>
            <w:vAlign w:val="bottom"/>
          </w:tcPr>
          <w:p>
            <w:pPr>
              <w:spacing w:after="0"/>
              <w:rPr>
                <w:sz w:val="16"/>
                <w:szCs w:val="16"/>
                <w:color w:val="auto"/>
              </w:rPr>
            </w:pPr>
          </w:p>
        </w:tc>
        <w:tc>
          <w:tcPr>
            <w:tcW w:w="540" w:type="dxa"/>
            <w:vAlign w:val="bottom"/>
          </w:tcPr>
          <w:p>
            <w:pPr>
              <w:ind w:left="3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216</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216</w:t>
            </w:r>
          </w:p>
        </w:tc>
      </w:tr>
      <w:tr>
        <w:trPr>
          <w:trHeight w:val="198"/>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184</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186</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186</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184</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187</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jc w:val="both"/>
        <w:ind w:left="260" w:hanging="255"/>
        <w:spacing w:after="0" w:line="256" w:lineRule="auto"/>
        <w:tabs>
          <w:tab w:leader="none" w:pos="249"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Includes unamortized debt issuance costs, unamortized debt discount and premium, net, purchase accounting fair value adjustments, and finance lease liabilities which are not fair valued. Refer to Note 14 — Debt and Credit Agreements of the 2025 Form 10-K for unamortized debt issuance costs, unamortized debt discount and premium, net, and purchase accounting fair value adjustments and Note 9 — Leases of the 2025 Form 10-K for finance lease liabilities.</w:t>
      </w:r>
    </w:p>
    <w:p>
      <w:pPr>
        <w:ind w:left="240" w:hanging="235"/>
        <w:spacing w:after="0"/>
        <w:tabs>
          <w:tab w:leader="none" w:pos="2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Includes the net carrying amount and the estimated fair value (Level 2) of the Convertible Senior Notes $1 billion and $1 billion for the year ended March 31,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10 — Fair Value of Financial Assets and Liabilities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Recurring Fair Value Measurements</w:t>
      </w:r>
    </w:p>
    <w:p>
      <w:pPr>
        <w:spacing w:after="0" w:line="126" w:lineRule="exact"/>
        <w:rPr>
          <w:sz w:val="20"/>
          <w:szCs w:val="20"/>
          <w:color w:val="auto"/>
        </w:rPr>
      </w:pPr>
    </w:p>
    <w:p>
      <w:pPr>
        <w:spacing w:after="0" w:line="327" w:lineRule="auto"/>
        <w:rPr>
          <w:sz w:val="20"/>
          <w:szCs w:val="20"/>
          <w:color w:val="auto"/>
        </w:rPr>
      </w:pPr>
      <w:r>
        <w:rPr>
          <w:rFonts w:ascii="Arial" w:cs="Arial" w:eastAsia="Arial" w:hAnsi="Arial"/>
          <w:sz w:val="12"/>
          <w:szCs w:val="12"/>
          <w:color w:val="auto"/>
        </w:rPr>
        <w:t>The following tables present assets and liabilities measured and recorded at fair value in the Registrants' Consolidated Balance Sheets on a recurring basis and their level within the fair value hierarchy at March 31, 2026 and December 31, 2025. Exelon and the Utility Registrants have immaterial and no financial assets or liabilities measured using the NAV practical expedient,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Exelon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ind w:left="340"/>
              <w:spacing w:after="0"/>
              <w:rPr>
                <w:sz w:val="20"/>
                <w:szCs w:val="20"/>
                <w:color w:val="auto"/>
              </w:rPr>
            </w:pPr>
            <w:r>
              <w:rPr>
                <w:rFonts w:ascii="Arial" w:cs="Arial" w:eastAsia="Arial" w:hAnsi="Arial"/>
                <w:sz w:val="10"/>
                <w:szCs w:val="10"/>
                <w:b w:val="1"/>
                <w:bCs w:val="1"/>
                <w:color w:val="auto"/>
              </w:rPr>
              <w:t>At March 31, 2026</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At December 31, 2025</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50"/>
        </w:trPr>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1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0"/>
                <w:szCs w:val="10"/>
                <w:b w:val="1"/>
                <w:bCs w:val="1"/>
                <w:color w:val="auto"/>
              </w:rPr>
              <w:t>Level 2</w:t>
            </w:r>
          </w:p>
        </w:tc>
        <w:tc>
          <w:tcPr>
            <w:tcW w:w="16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0"/>
                <w:szCs w:val="10"/>
                <w:b w:val="1"/>
                <w:bCs w:val="1"/>
                <w:color w:val="auto"/>
              </w:rPr>
              <w:t>Level 3</w:t>
            </w: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Total</w:t>
            </w:r>
          </w:p>
        </w:tc>
        <w:tc>
          <w:tcPr>
            <w:tcW w:w="1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0"/>
                <w:szCs w:val="10"/>
                <w:b w:val="1"/>
                <w:bCs w:val="1"/>
                <w:color w:val="auto"/>
              </w:rPr>
              <w:t>Level 1</w:t>
            </w:r>
          </w:p>
        </w:tc>
        <w:tc>
          <w:tcPr>
            <w:tcW w:w="16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0"/>
                <w:szCs w:val="10"/>
                <w:b w:val="1"/>
                <w:bCs w:val="1"/>
                <w:color w:val="auto"/>
              </w:rPr>
              <w:t>Level 2</w:t>
            </w: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3</w:t>
            </w:r>
          </w:p>
        </w:tc>
        <w:tc>
          <w:tcPr>
            <w:tcW w:w="200" w:type="dxa"/>
            <w:vAlign w:val="bottom"/>
          </w:tcPr>
          <w:p>
            <w:pPr>
              <w:spacing w:after="0"/>
              <w:rPr>
                <w:sz w:val="13"/>
                <w:szCs w:val="13"/>
                <w:color w:val="auto"/>
              </w:rPr>
            </w:pPr>
          </w:p>
        </w:tc>
        <w:tc>
          <w:tcPr>
            <w:tcW w:w="680" w:type="dxa"/>
            <w:vAlign w:val="bottom"/>
          </w:tcPr>
          <w:p>
            <w:pPr>
              <w:jc w:val="right"/>
              <w:ind w:right="257"/>
              <w:spacing w:after="0"/>
              <w:rPr>
                <w:sz w:val="20"/>
                <w:szCs w:val="20"/>
                <w:color w:val="auto"/>
              </w:rPr>
            </w:pPr>
            <w:r>
              <w:rPr>
                <w:rFonts w:ascii="Arial" w:cs="Arial" w:eastAsia="Arial" w:hAnsi="Arial"/>
                <w:sz w:val="10"/>
                <w:szCs w:val="10"/>
                <w:b w:val="1"/>
                <w:bCs w:val="1"/>
                <w:color w:val="auto"/>
              </w:rPr>
              <w:t>Total</w:t>
            </w:r>
          </w:p>
        </w:tc>
      </w:tr>
      <w:tr>
        <w:trPr>
          <w:trHeight w:val="18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r>
      <w:tr>
        <w:trPr>
          <w:trHeight w:val="191"/>
        </w:trPr>
        <w:tc>
          <w:tcPr>
            <w:tcW w:w="3520" w:type="dxa"/>
            <w:vAlign w:val="bottom"/>
          </w:tcPr>
          <w:p>
            <w:pPr>
              <w:ind w:left="20"/>
              <w:spacing w:after="0"/>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(a)</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945</w:t>
            </w:r>
          </w:p>
        </w:tc>
        <w:tc>
          <w:tcPr>
            <w:tcW w:w="10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945</w:t>
            </w:r>
          </w:p>
        </w:tc>
        <w:tc>
          <w:tcPr>
            <w:tcW w:w="10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825</w:t>
            </w:r>
          </w:p>
        </w:tc>
        <w:tc>
          <w:tcPr>
            <w:tcW w:w="1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825</w:t>
            </w:r>
          </w:p>
        </w:tc>
      </w:tr>
      <w:tr>
        <w:trPr>
          <w:trHeight w:val="191"/>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Rabbi trust investments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4"/>
        </w:trPr>
        <w:tc>
          <w:tcPr>
            <w:tcW w:w="3520" w:type="dxa"/>
            <w:vAlign w:val="bottom"/>
          </w:tcPr>
          <w:p>
            <w:pPr>
              <w:ind w:left="180"/>
              <w:spacing w:after="0"/>
              <w:rPr>
                <w:sz w:val="20"/>
                <w:szCs w:val="20"/>
                <w:color w:val="auto"/>
              </w:rPr>
            </w:pPr>
            <w:r>
              <w:rPr>
                <w:rFonts w:ascii="Arial" w:cs="Arial" w:eastAsia="Arial" w:hAnsi="Arial"/>
                <w:sz w:val="13"/>
                <w:szCs w:val="13"/>
                <w:color w:val="auto"/>
              </w:rPr>
              <w:t>Cash equivalents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198"/>
        </w:trPr>
        <w:tc>
          <w:tcPr>
            <w:tcW w:w="3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Mutual funds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84"/>
        </w:trPr>
        <w:tc>
          <w:tcPr>
            <w:tcW w:w="3520" w:type="dxa"/>
            <w:vAlign w:val="bottom"/>
          </w:tcPr>
          <w:p>
            <w:pPr>
              <w:ind w:left="180"/>
              <w:spacing w:after="0"/>
              <w:rPr>
                <w:sz w:val="20"/>
                <w:szCs w:val="20"/>
                <w:color w:val="auto"/>
              </w:rPr>
            </w:pPr>
            <w:r>
              <w:rPr>
                <w:rFonts w:ascii="Arial" w:cs="Arial" w:eastAsia="Arial" w:hAnsi="Arial"/>
                <w:sz w:val="13"/>
                <w:szCs w:val="13"/>
                <w:color w:val="auto"/>
              </w:rPr>
              <w:t>Fixed income</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91"/>
        </w:trPr>
        <w:tc>
          <w:tcPr>
            <w:tcW w:w="3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Life insurance contracts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82"/>
        </w:trPr>
        <w:tc>
          <w:tcPr>
            <w:tcW w:w="3520" w:type="dxa"/>
            <w:vAlign w:val="bottom"/>
          </w:tcPr>
          <w:p>
            <w:pPr>
              <w:ind w:left="360"/>
              <w:spacing w:after="0"/>
              <w:rPr>
                <w:sz w:val="20"/>
                <w:szCs w:val="20"/>
                <w:color w:val="auto"/>
              </w:rPr>
            </w:pPr>
            <w:r>
              <w:rPr>
                <w:rFonts w:ascii="Arial" w:cs="Arial" w:eastAsia="Arial" w:hAnsi="Arial"/>
                <w:sz w:val="13"/>
                <w:szCs w:val="13"/>
                <w:color w:val="auto"/>
              </w:rPr>
              <w:t>Rabbi trust investments subtotal</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278</w:t>
            </w:r>
          </w:p>
        </w:tc>
      </w:tr>
      <w:tr>
        <w:trPr>
          <w:trHeight w:val="198"/>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derivative assets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84"/>
        </w:trPr>
        <w:tc>
          <w:tcPr>
            <w:tcW w:w="3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Derivatives designated as hedging instruments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88"/>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derivative assets subtotal</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8"/>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997</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1,106</w:t>
            </w:r>
          </w:p>
        </w:tc>
      </w:tr>
      <w:tr>
        <w:trPr>
          <w:trHeight w:val="175"/>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4"/>
        </w:trPr>
        <w:tc>
          <w:tcPr>
            <w:tcW w:w="3520" w:type="dxa"/>
            <w:vAlign w:val="bottom"/>
          </w:tcPr>
          <w:p>
            <w:pPr>
              <w:ind w:left="20"/>
              <w:spacing w:after="0"/>
              <w:rPr>
                <w:sz w:val="20"/>
                <w:szCs w:val="20"/>
                <w:color w:val="auto"/>
              </w:rPr>
            </w:pPr>
            <w:r>
              <w:rPr>
                <w:rFonts w:ascii="Arial" w:cs="Arial" w:eastAsia="Arial" w:hAnsi="Arial"/>
                <w:sz w:val="13"/>
                <w:szCs w:val="13"/>
                <w:color w:val="auto"/>
              </w:rPr>
              <w:t>Commodity derivative liabilities</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w:t>
            </w:r>
          </w:p>
        </w:tc>
      </w:tr>
      <w:tr>
        <w:trPr>
          <w:trHeight w:val="198"/>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derivative liabilities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84"/>
        </w:trPr>
        <w:tc>
          <w:tcPr>
            <w:tcW w:w="3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Derivatives designated as hedging instruments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82"/>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derivative liabilities subtotal</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82"/>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compensation obligation</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r>
      <w:tr>
        <w:trPr>
          <w:trHeight w:val="185"/>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r>
      <w:tr>
        <w:trPr>
          <w:trHeight w:val="185"/>
        </w:trPr>
        <w:tc>
          <w:tcPr>
            <w:tcW w:w="3520" w:type="dxa"/>
            <w:vAlign w:val="bottom"/>
          </w:tcPr>
          <w:p>
            <w:pPr>
              <w:ind w:left="20"/>
              <w:spacing w:after="0"/>
              <w:rPr>
                <w:sz w:val="20"/>
                <w:szCs w:val="20"/>
                <w:color w:val="auto"/>
              </w:rPr>
            </w:pPr>
            <w:r>
              <w:rPr>
                <w:rFonts w:ascii="Arial" w:cs="Arial" w:eastAsia="Arial" w:hAnsi="Arial"/>
                <w:sz w:val="13"/>
                <w:szCs w:val="13"/>
                <w:b w:val="1"/>
                <w:bCs w:val="1"/>
                <w:color w:val="auto"/>
              </w:rPr>
              <w:t>Total net assets (liabilities)</w:t>
            </w: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900</w:t>
            </w: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jc w:val="both"/>
        <w:ind w:left="260" w:hanging="255"/>
        <w:spacing w:after="0" w:line="286" w:lineRule="auto"/>
        <w:tabs>
          <w:tab w:leader="none" w:pos="249" w:val="left"/>
        </w:tabs>
        <w:numPr>
          <w:ilvl w:val="0"/>
          <w:numId w:val="18"/>
        </w:numPr>
        <w:rPr>
          <w:rFonts w:ascii="Arial" w:cs="Arial" w:eastAsia="Arial" w:hAnsi="Arial"/>
          <w:sz w:val="11"/>
          <w:szCs w:val="11"/>
          <w:color w:val="auto"/>
        </w:rPr>
      </w:pPr>
      <w:r>
        <w:rPr>
          <w:rFonts w:ascii="Arial" w:cs="Arial" w:eastAsia="Arial" w:hAnsi="Arial"/>
          <w:sz w:val="11"/>
          <w:szCs w:val="11"/>
          <w:color w:val="auto"/>
        </w:rPr>
        <w:t>Exelon excludes cash of $157 million and $180 million at March 31, 2026 and December 31, 2025, respectively, and restricted cash of $195 million and $196 million at March 31, 2026 and December 31, 2025, respectively, and includes long-term restricted cash of $24 million and $50 million at March 31, 2026 and December 31, 2025, respectively, which is reported in Other deferred debits and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10 — Fair Value of Financial Assets and Liabilities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ComEd, PECO, and BGE</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18"/>
        </w:trPr>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5"/>
          </w:tcPr>
          <w:p>
            <w:pPr>
              <w:ind w:left="460"/>
              <w:spacing w:after="0"/>
              <w:rPr>
                <w:sz w:val="20"/>
                <w:szCs w:val="20"/>
                <w:color w:val="auto"/>
              </w:rPr>
            </w:pPr>
            <w:r>
              <w:rPr>
                <w:rFonts w:ascii="Arial" w:cs="Arial" w:eastAsia="Arial" w:hAnsi="Arial"/>
                <w:sz w:val="8"/>
                <w:szCs w:val="8"/>
                <w:b w:val="1"/>
                <w:bCs w:val="1"/>
                <w:color w:val="auto"/>
              </w:rPr>
              <w:t>ComEd</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8"/>
                <w:szCs w:val="8"/>
                <w:b w:val="1"/>
                <w:bCs w:val="1"/>
                <w:color w:val="auto"/>
              </w:rPr>
              <w:t>PECO</w:t>
            </w: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ind w:left="500"/>
              <w:spacing w:after="0"/>
              <w:rPr>
                <w:sz w:val="20"/>
                <w:szCs w:val="20"/>
                <w:color w:val="auto"/>
              </w:rPr>
            </w:pPr>
            <w:r>
              <w:rPr>
                <w:rFonts w:ascii="Arial" w:cs="Arial" w:eastAsia="Arial" w:hAnsi="Arial"/>
                <w:sz w:val="8"/>
                <w:szCs w:val="8"/>
                <w:b w:val="1"/>
                <w:bCs w:val="1"/>
                <w:color w:val="auto"/>
              </w:rPr>
              <w:t>BGE</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40" w:type="dxa"/>
            <w:vAlign w:val="bottom"/>
            <w:gridSpan w:val="2"/>
          </w:tcPr>
          <w:p>
            <w:pPr>
              <w:ind w:left="20"/>
              <w:spacing w:after="0"/>
              <w:rPr>
                <w:sz w:val="20"/>
                <w:szCs w:val="20"/>
                <w:color w:val="auto"/>
              </w:rPr>
            </w:pPr>
            <w:r>
              <w:rPr>
                <w:rFonts w:ascii="Arial" w:cs="Arial" w:eastAsia="Arial" w:hAnsi="Arial"/>
                <w:sz w:val="8"/>
                <w:szCs w:val="8"/>
                <w:b w:val="1"/>
                <w:bCs w:val="1"/>
                <w:color w:val="auto"/>
              </w:rPr>
              <w:t>At March 31, 2026</w:t>
            </w:r>
          </w:p>
        </w:tc>
        <w:tc>
          <w:tcPr>
            <w:tcW w:w="120" w:type="dxa"/>
            <w:vAlign w:val="bottom"/>
          </w:tcPr>
          <w:p>
            <w:pPr>
              <w:spacing w:after="0"/>
              <w:rPr>
                <w:sz w:val="10"/>
                <w:szCs w:val="10"/>
                <w:color w:val="auto"/>
              </w:rPr>
            </w:pPr>
          </w:p>
        </w:tc>
        <w:tc>
          <w:tcPr>
            <w:tcW w:w="640" w:type="dxa"/>
            <w:vAlign w:val="bottom"/>
            <w:gridSpan w:val="4"/>
          </w:tcPr>
          <w:p>
            <w:pPr>
              <w:ind w:left="60"/>
              <w:spacing w:after="0"/>
              <w:rPr>
                <w:sz w:val="20"/>
                <w:szCs w:val="20"/>
                <w:color w:val="auto"/>
              </w:rPr>
            </w:pPr>
            <w:r>
              <w:rPr>
                <w:rFonts w:ascii="Arial" w:cs="Arial" w:eastAsia="Arial" w:hAnsi="Arial"/>
                <w:sz w:val="8"/>
                <w:szCs w:val="8"/>
                <w:b w:val="1"/>
                <w:bCs w:val="1"/>
                <w:color w:val="auto"/>
              </w:rPr>
              <w:t>Level 1</w:t>
            </w:r>
          </w:p>
        </w:tc>
        <w:tc>
          <w:tcPr>
            <w:tcW w:w="1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8"/>
                <w:szCs w:val="8"/>
                <w:b w:val="1"/>
                <w:bCs w:val="1"/>
                <w:color w:val="auto"/>
              </w:rPr>
              <w:t>Level 2</w:t>
            </w:r>
          </w:p>
        </w:tc>
        <w:tc>
          <w:tcPr>
            <w:tcW w:w="140" w:type="dxa"/>
            <w:vAlign w:val="bottom"/>
          </w:tcPr>
          <w:p>
            <w:pPr>
              <w:spacing w:after="0"/>
              <w:rPr>
                <w:sz w:val="10"/>
                <w:szCs w:val="10"/>
                <w:color w:val="auto"/>
              </w:rPr>
            </w:pPr>
          </w:p>
        </w:tc>
        <w:tc>
          <w:tcPr>
            <w:tcW w:w="640" w:type="dxa"/>
            <w:vAlign w:val="bottom"/>
            <w:gridSpan w:val="2"/>
          </w:tcPr>
          <w:p>
            <w:pPr>
              <w:ind w:left="40"/>
              <w:spacing w:after="0"/>
              <w:rPr>
                <w:sz w:val="20"/>
                <w:szCs w:val="20"/>
                <w:color w:val="auto"/>
              </w:rPr>
            </w:pPr>
            <w:r>
              <w:rPr>
                <w:rFonts w:ascii="Arial" w:cs="Arial" w:eastAsia="Arial" w:hAnsi="Arial"/>
                <w:sz w:val="8"/>
                <w:szCs w:val="8"/>
                <w:b w:val="1"/>
                <w:bCs w:val="1"/>
                <w:color w:val="auto"/>
              </w:rPr>
              <w:t>Level 3</w:t>
            </w:r>
          </w:p>
        </w:tc>
        <w:tc>
          <w:tcPr>
            <w:tcW w:w="160" w:type="dxa"/>
            <w:vAlign w:val="bottom"/>
          </w:tcPr>
          <w:p>
            <w:pPr>
              <w:spacing w:after="0"/>
              <w:rPr>
                <w:sz w:val="10"/>
                <w:szCs w:val="10"/>
                <w:color w:val="auto"/>
              </w:rPr>
            </w:pPr>
          </w:p>
        </w:tc>
        <w:tc>
          <w:tcPr>
            <w:tcW w:w="620" w:type="dxa"/>
            <w:vAlign w:val="bottom"/>
            <w:gridSpan w:val="3"/>
          </w:tcPr>
          <w:p>
            <w:pPr>
              <w:ind w:left="8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Arial" w:cs="Arial" w:eastAsia="Arial" w:hAnsi="Arial"/>
                <w:sz w:val="8"/>
                <w:szCs w:val="8"/>
                <w:b w:val="1"/>
                <w:bCs w:val="1"/>
                <w:color w:val="auto"/>
              </w:rPr>
              <w:t>Level 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3</w:t>
            </w:r>
          </w:p>
        </w:tc>
        <w:tc>
          <w:tcPr>
            <w:tcW w:w="160" w:type="dxa"/>
            <w:vAlign w:val="bottom"/>
          </w:tcPr>
          <w:p>
            <w:pPr>
              <w:spacing w:after="0"/>
              <w:rPr>
                <w:sz w:val="10"/>
                <w:szCs w:val="10"/>
                <w:color w:val="auto"/>
              </w:rPr>
            </w:pPr>
          </w:p>
        </w:tc>
        <w:tc>
          <w:tcPr>
            <w:tcW w:w="600" w:type="dxa"/>
            <w:vAlign w:val="bottom"/>
            <w:gridSpan w:val="2"/>
          </w:tcPr>
          <w:p>
            <w:pPr>
              <w:ind w:left="8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1</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2</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3</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178"/>
              <w:spacing w:after="0"/>
              <w:rPr>
                <w:sz w:val="20"/>
                <w:szCs w:val="20"/>
                <w:color w:val="auto"/>
              </w:rPr>
            </w:pPr>
            <w:r>
              <w:rPr>
                <w:rFonts w:ascii="Arial" w:cs="Arial" w:eastAsia="Arial" w:hAnsi="Arial"/>
                <w:sz w:val="8"/>
                <w:szCs w:val="8"/>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4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(a)</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4"/>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343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Rabbi trust investments</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80"/>
              <w:spacing w:after="0"/>
              <w:rPr>
                <w:sz w:val="20"/>
                <w:szCs w:val="20"/>
                <w:color w:val="auto"/>
              </w:rPr>
            </w:pPr>
            <w:r>
              <w:rPr>
                <w:rFonts w:ascii="Arial" w:cs="Arial" w:eastAsia="Arial" w:hAnsi="Arial"/>
                <w:sz w:val="13"/>
                <w:szCs w:val="13"/>
                <w:color w:val="auto"/>
              </w:rPr>
              <w:t>Mutual funds</w:t>
            </w:r>
          </w:p>
        </w:tc>
        <w:tc>
          <w:tcPr>
            <w:tcW w:w="120" w:type="dxa"/>
            <w:vAlign w:val="bottom"/>
          </w:tcPr>
          <w:p>
            <w:pPr>
              <w:spacing w:after="0"/>
              <w:rPr>
                <w:sz w:val="14"/>
                <w:szCs w:val="14"/>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4"/>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Life insurance contracts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40" w:type="dxa"/>
            <w:vAlign w:val="bottom"/>
            <w:gridSpan w:val="2"/>
          </w:tcPr>
          <w:p>
            <w:pPr>
              <w:ind w:left="380"/>
              <w:spacing w:after="0" w:line="107" w:lineRule="exact"/>
              <w:rPr>
                <w:sz w:val="20"/>
                <w:szCs w:val="20"/>
                <w:color w:val="auto"/>
              </w:rPr>
            </w:pPr>
            <w:r>
              <w:rPr>
                <w:rFonts w:ascii="Arial" w:cs="Arial" w:eastAsia="Arial" w:hAnsi="Arial"/>
                <w:sz w:val="12"/>
                <w:szCs w:val="12"/>
                <w:color w:val="auto"/>
              </w:rPr>
              <w:t>Rabbi trust investments</w:t>
            </w:r>
          </w:p>
        </w:tc>
        <w:tc>
          <w:tcPr>
            <w:tcW w:w="120" w:type="dxa"/>
            <w:vAlign w:val="bottom"/>
          </w:tcPr>
          <w:p>
            <w:pPr>
              <w:spacing w:after="0"/>
              <w:rPr>
                <w:sz w:val="9"/>
                <w:szCs w:val="9"/>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gridSpan w:val="2"/>
            <w:vMerge w:val="restart"/>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gridSpan w:val="2"/>
            <w:vMerge w:val="restart"/>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vMerge w:val="restart"/>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ind w:left="3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40" w:type="dxa"/>
            <w:vAlign w:val="bottom"/>
            <w:tcBorders>
              <w:bottom w:val="single" w:sz="8" w:color="CCEEFF"/>
            </w:tcBorders>
            <w:gridSpan w:val="2"/>
          </w:tcPr>
          <w:p>
            <w:pPr>
              <w:ind w:left="380"/>
              <w:spacing w:after="0"/>
              <w:rPr>
                <w:sz w:val="20"/>
                <w:szCs w:val="20"/>
                <w:color w:val="auto"/>
              </w:rPr>
            </w:pPr>
            <w:r>
              <w:rPr>
                <w:rFonts w:ascii="Arial" w:cs="Arial" w:eastAsia="Arial" w:hAnsi="Arial"/>
                <w:sz w:val="13"/>
                <w:szCs w:val="13"/>
                <w:color w:val="auto"/>
              </w:rPr>
              <w:t>subtotal</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4"/>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4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4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color w:val="auto"/>
              </w:rPr>
              <w:t>Commodity derivative liabilities</w:t>
            </w:r>
            <w:r>
              <w:rPr>
                <w:rFonts w:ascii="Arial" w:cs="Arial" w:eastAsia="Arial" w:hAnsi="Arial"/>
                <w:sz w:val="16"/>
                <w:szCs w:val="16"/>
                <w:color w:val="auto"/>
                <w:vertAlign w:val="superscript"/>
              </w:rPr>
              <w:t>(b)</w:t>
            </w:r>
          </w:p>
        </w:tc>
        <w:tc>
          <w:tcPr>
            <w:tcW w:w="120" w:type="dxa"/>
            <w:vAlign w:val="bottom"/>
            <w:shd w:val="clear" w:color="auto" w:fill="CCEEFF"/>
          </w:tcPr>
          <w:p>
            <w:pPr>
              <w:spacing w:after="0"/>
              <w:rPr>
                <w:sz w:val="14"/>
                <w:szCs w:val="14"/>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4"/>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Deferred compensation obligation</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4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net assets (liabilities)</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5"/>
          </w:tcPr>
          <w:p>
            <w:pPr>
              <w:ind w:left="460"/>
              <w:spacing w:after="0"/>
              <w:rPr>
                <w:sz w:val="20"/>
                <w:szCs w:val="20"/>
                <w:color w:val="auto"/>
              </w:rPr>
            </w:pPr>
            <w:r>
              <w:rPr>
                <w:rFonts w:ascii="Arial" w:cs="Arial" w:eastAsia="Arial" w:hAnsi="Arial"/>
                <w:sz w:val="8"/>
                <w:szCs w:val="8"/>
                <w:b w:val="1"/>
                <w:bCs w:val="1"/>
                <w:color w:val="auto"/>
              </w:rPr>
              <w:t>ComEd</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8"/>
                <w:szCs w:val="8"/>
                <w:b w:val="1"/>
                <w:bCs w:val="1"/>
                <w:color w:val="auto"/>
              </w:rPr>
              <w:t>PECO</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ind w:left="500"/>
              <w:spacing w:after="0"/>
              <w:rPr>
                <w:sz w:val="20"/>
                <w:szCs w:val="20"/>
                <w:color w:val="auto"/>
              </w:rPr>
            </w:pPr>
            <w:r>
              <w:rPr>
                <w:rFonts w:ascii="Arial" w:cs="Arial" w:eastAsia="Arial" w:hAnsi="Arial"/>
                <w:sz w:val="8"/>
                <w:szCs w:val="8"/>
                <w:b w:val="1"/>
                <w:bCs w:val="1"/>
                <w:color w:val="auto"/>
              </w:rPr>
              <w:t>BGE</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40" w:type="dxa"/>
            <w:vAlign w:val="bottom"/>
            <w:gridSpan w:val="2"/>
          </w:tcPr>
          <w:p>
            <w:pPr>
              <w:spacing w:after="0"/>
              <w:rPr>
                <w:sz w:val="20"/>
                <w:szCs w:val="20"/>
                <w:color w:val="auto"/>
              </w:rPr>
            </w:pPr>
            <w:r>
              <w:rPr>
                <w:rFonts w:ascii="Arial" w:cs="Arial" w:eastAsia="Arial" w:hAnsi="Arial"/>
                <w:sz w:val="8"/>
                <w:szCs w:val="8"/>
                <w:b w:val="1"/>
                <w:bCs w:val="1"/>
                <w:color w:val="auto"/>
              </w:rPr>
              <w:t>At December 31, 2025</w:t>
            </w:r>
          </w:p>
        </w:tc>
        <w:tc>
          <w:tcPr>
            <w:tcW w:w="120" w:type="dxa"/>
            <w:vAlign w:val="bottom"/>
          </w:tcPr>
          <w:p>
            <w:pPr>
              <w:spacing w:after="0"/>
              <w:rPr>
                <w:sz w:val="10"/>
                <w:szCs w:val="10"/>
                <w:color w:val="auto"/>
              </w:rPr>
            </w:pPr>
          </w:p>
        </w:tc>
        <w:tc>
          <w:tcPr>
            <w:tcW w:w="640" w:type="dxa"/>
            <w:vAlign w:val="bottom"/>
            <w:gridSpan w:val="4"/>
          </w:tcPr>
          <w:p>
            <w:pPr>
              <w:ind w:left="40"/>
              <w:spacing w:after="0"/>
              <w:rPr>
                <w:sz w:val="20"/>
                <w:szCs w:val="20"/>
                <w:color w:val="auto"/>
              </w:rPr>
            </w:pPr>
            <w:r>
              <w:rPr>
                <w:rFonts w:ascii="Arial" w:cs="Arial" w:eastAsia="Arial" w:hAnsi="Arial"/>
                <w:sz w:val="8"/>
                <w:szCs w:val="8"/>
                <w:b w:val="1"/>
                <w:bCs w:val="1"/>
                <w:color w:val="auto"/>
              </w:rPr>
              <w:t>Level 1</w:t>
            </w:r>
          </w:p>
        </w:tc>
        <w:tc>
          <w:tcPr>
            <w:tcW w:w="1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8"/>
                <w:szCs w:val="8"/>
                <w:b w:val="1"/>
                <w:bCs w:val="1"/>
                <w:color w:val="auto"/>
              </w:rPr>
              <w:t>Level 2</w:t>
            </w:r>
          </w:p>
        </w:tc>
        <w:tc>
          <w:tcPr>
            <w:tcW w:w="140" w:type="dxa"/>
            <w:vAlign w:val="bottom"/>
          </w:tcPr>
          <w:p>
            <w:pPr>
              <w:spacing w:after="0"/>
              <w:rPr>
                <w:sz w:val="10"/>
                <w:szCs w:val="10"/>
                <w:color w:val="auto"/>
              </w:rPr>
            </w:pPr>
          </w:p>
        </w:tc>
        <w:tc>
          <w:tcPr>
            <w:tcW w:w="640" w:type="dxa"/>
            <w:vAlign w:val="bottom"/>
            <w:gridSpan w:val="2"/>
          </w:tcPr>
          <w:p>
            <w:pPr>
              <w:ind w:left="40"/>
              <w:spacing w:after="0"/>
              <w:rPr>
                <w:sz w:val="20"/>
                <w:szCs w:val="20"/>
                <w:color w:val="auto"/>
              </w:rPr>
            </w:pPr>
            <w:r>
              <w:rPr>
                <w:rFonts w:ascii="Arial" w:cs="Arial" w:eastAsia="Arial" w:hAnsi="Arial"/>
                <w:sz w:val="8"/>
                <w:szCs w:val="8"/>
                <w:b w:val="1"/>
                <w:bCs w:val="1"/>
                <w:color w:val="auto"/>
              </w:rPr>
              <w:t>Level 3</w:t>
            </w:r>
          </w:p>
        </w:tc>
        <w:tc>
          <w:tcPr>
            <w:tcW w:w="160" w:type="dxa"/>
            <w:vAlign w:val="bottom"/>
          </w:tcPr>
          <w:p>
            <w:pPr>
              <w:spacing w:after="0"/>
              <w:rPr>
                <w:sz w:val="10"/>
                <w:szCs w:val="10"/>
                <w:color w:val="auto"/>
              </w:rPr>
            </w:pPr>
          </w:p>
        </w:tc>
        <w:tc>
          <w:tcPr>
            <w:tcW w:w="620" w:type="dxa"/>
            <w:vAlign w:val="bottom"/>
            <w:gridSpan w:val="3"/>
          </w:tcPr>
          <w:p>
            <w:pPr>
              <w:ind w:left="8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3</w:t>
            </w:r>
          </w:p>
        </w:tc>
        <w:tc>
          <w:tcPr>
            <w:tcW w:w="160" w:type="dxa"/>
            <w:vAlign w:val="bottom"/>
          </w:tcPr>
          <w:p>
            <w:pPr>
              <w:spacing w:after="0"/>
              <w:rPr>
                <w:sz w:val="10"/>
                <w:szCs w:val="10"/>
                <w:color w:val="auto"/>
              </w:rPr>
            </w:pPr>
          </w:p>
        </w:tc>
        <w:tc>
          <w:tcPr>
            <w:tcW w:w="600" w:type="dxa"/>
            <w:vAlign w:val="bottom"/>
            <w:gridSpan w:val="2"/>
          </w:tcPr>
          <w:p>
            <w:pPr>
              <w:ind w:left="8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1</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2</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3</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158"/>
              <w:spacing w:after="0"/>
              <w:rPr>
                <w:sz w:val="20"/>
                <w:szCs w:val="20"/>
                <w:color w:val="auto"/>
              </w:rPr>
            </w:pPr>
            <w:r>
              <w:rPr>
                <w:rFonts w:ascii="Arial" w:cs="Arial" w:eastAsia="Arial" w:hAnsi="Arial"/>
                <w:sz w:val="8"/>
                <w:szCs w:val="8"/>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40" w:type="dxa"/>
            <w:vAlign w:val="bottom"/>
            <w:gridSpan w:val="2"/>
          </w:tcPr>
          <w:p>
            <w:pPr>
              <w:spacing w:after="0" w:line="170"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(a)</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393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Rabbi trust investments</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60"/>
              <w:spacing w:after="0"/>
              <w:rPr>
                <w:sz w:val="20"/>
                <w:szCs w:val="20"/>
                <w:color w:val="auto"/>
              </w:rPr>
            </w:pPr>
            <w:r>
              <w:rPr>
                <w:rFonts w:ascii="Arial" w:cs="Arial" w:eastAsia="Arial" w:hAnsi="Arial"/>
                <w:sz w:val="13"/>
                <w:szCs w:val="13"/>
                <w:color w:val="auto"/>
              </w:rPr>
              <w:t>Mutual funds</w:t>
            </w:r>
          </w:p>
        </w:tc>
        <w:tc>
          <w:tcPr>
            <w:tcW w:w="120" w:type="dxa"/>
            <w:vAlign w:val="bottom"/>
          </w:tcPr>
          <w:p>
            <w:pPr>
              <w:spacing w:after="0"/>
              <w:rPr>
                <w:sz w:val="14"/>
                <w:szCs w:val="14"/>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Life insurance contracts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20" w:type="dxa"/>
            <w:vAlign w:val="bottom"/>
          </w:tcPr>
          <w:p>
            <w:pPr>
              <w:ind w:left="420"/>
              <w:spacing w:after="0" w:line="107" w:lineRule="exact"/>
              <w:rPr>
                <w:sz w:val="20"/>
                <w:szCs w:val="20"/>
                <w:color w:val="auto"/>
              </w:rPr>
            </w:pPr>
            <w:r>
              <w:rPr>
                <w:rFonts w:ascii="Arial" w:cs="Arial" w:eastAsia="Arial" w:hAnsi="Arial"/>
                <w:sz w:val="12"/>
                <w:szCs w:val="12"/>
                <w:color w:val="auto"/>
              </w:rPr>
              <w:t>Rabbi trust investments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ind w:left="3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2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subtotal</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2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40" w:type="dxa"/>
            <w:vAlign w:val="bottom"/>
            <w:gridSpan w:val="2"/>
            <w:shd w:val="clear" w:color="auto" w:fill="CCEEFF"/>
          </w:tcPr>
          <w:p>
            <w:pPr>
              <w:spacing w:after="0" w:line="170" w:lineRule="exact"/>
              <w:rPr>
                <w:sz w:val="20"/>
                <w:szCs w:val="20"/>
                <w:color w:val="auto"/>
              </w:rPr>
            </w:pPr>
            <w:r>
              <w:rPr>
                <w:rFonts w:ascii="Arial" w:cs="Arial" w:eastAsia="Arial" w:hAnsi="Arial"/>
                <w:sz w:val="13"/>
                <w:szCs w:val="13"/>
                <w:color w:val="auto"/>
              </w:rPr>
              <w:t>Commodity derivative liabilities</w:t>
            </w:r>
            <w:r>
              <w:rPr>
                <w:rFonts w:ascii="Arial" w:cs="Arial" w:eastAsia="Arial" w:hAnsi="Arial"/>
                <w:sz w:val="16"/>
                <w:szCs w:val="16"/>
                <w:color w:val="auto"/>
                <w:vertAlign w:val="superscript"/>
              </w:rPr>
              <w:t>(b)</w:t>
            </w:r>
          </w:p>
        </w:tc>
        <w:tc>
          <w:tcPr>
            <w:tcW w:w="120" w:type="dxa"/>
            <w:vAlign w:val="bottom"/>
            <w:shd w:val="clear" w:color="auto" w:fill="CCEEFF"/>
          </w:tcPr>
          <w:p>
            <w:pPr>
              <w:spacing w:after="0"/>
              <w:rPr>
                <w:sz w:val="14"/>
                <w:szCs w:val="14"/>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Deferred compensation obligation</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40" w:type="dxa"/>
            <w:vAlign w:val="bottom"/>
            <w:gridSpan w:val="2"/>
          </w:tcPr>
          <w:p>
            <w:pPr>
              <w:spacing w:after="0"/>
              <w:rPr>
                <w:sz w:val="20"/>
                <w:szCs w:val="20"/>
                <w:color w:val="auto"/>
              </w:rPr>
            </w:pPr>
            <w:r>
              <w:rPr>
                <w:rFonts w:ascii="Arial" w:cs="Arial" w:eastAsia="Arial" w:hAnsi="Arial"/>
                <w:sz w:val="13"/>
                <w:szCs w:val="13"/>
                <w:b w:val="1"/>
                <w:bCs w:val="1"/>
                <w:color w:val="auto"/>
              </w:rPr>
              <w:t>Total net assets (liabilities)</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ind w:left="360"/>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253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3"/>
                <w:szCs w:val="13"/>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jc w:val="both"/>
        <w:ind w:left="260" w:hanging="255"/>
        <w:spacing w:after="0" w:line="275" w:lineRule="auto"/>
        <w:tabs>
          <w:tab w:leader="none" w:pos="249" w:val="left"/>
        </w:tabs>
        <w:numPr>
          <w:ilvl w:val="0"/>
          <w:numId w:val="19"/>
        </w:numPr>
        <w:rPr>
          <w:rFonts w:ascii="Arial" w:cs="Arial" w:eastAsia="Arial" w:hAnsi="Arial"/>
          <w:sz w:val="11"/>
          <w:szCs w:val="11"/>
          <w:color w:val="auto"/>
        </w:rPr>
      </w:pPr>
      <w:r>
        <w:rPr>
          <w:rFonts w:ascii="Arial" w:cs="Arial" w:eastAsia="Arial" w:hAnsi="Arial"/>
          <w:sz w:val="11"/>
          <w:szCs w:val="11"/>
          <w:color w:val="auto"/>
        </w:rPr>
        <w:t>ComEd excludes cash of $69 million and $77 million at March 31, 2026 and December 31, 2025, respectively, and restricted cash of $194 million and $193 million at March 31, 2026 and December 31, 2025, respectively. Additionally, ComEd includes long-term restricted cash of $24 million and $50 million at March 31, 2026 and December 31, 2025, respectively, which is reported in Other deferred debits and other assets in the Consolidated Balance Sheets. PECO</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10 — Fair Value of Financial Assets and Liabilities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1"/>
          <w:szCs w:val="11"/>
          <w:color w:val="auto"/>
        </w:rPr>
        <w:t>excludes cash of $26 million and $23 million at March 31, 2026 and December 31, 2025, respectively. BGE excludes cash of $8 million and $15 million at March 31, 2026 and December 31, 2025, respectively.</w:t>
      </w:r>
    </w:p>
    <w:p>
      <w:pPr>
        <w:spacing w:after="0" w:line="21" w:lineRule="exact"/>
        <w:rPr>
          <w:sz w:val="20"/>
          <w:szCs w:val="20"/>
          <w:color w:val="auto"/>
        </w:rPr>
      </w:pPr>
    </w:p>
    <w:p>
      <w:pPr>
        <w:ind w:left="260" w:hanging="255"/>
        <w:spacing w:after="0" w:line="284" w:lineRule="auto"/>
        <w:tabs>
          <w:tab w:leader="none" w:pos="249"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Level 3 balance consists of the current and noncurrent liability of $22 million and $111 million, respectively, at March 31, 2026 and $25 million and $106 million, respectively, at December 31, 2025 related to floating-to-fixed energy swap contracts with unaffiliated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10 — Fair Value of Financial Assets and Liabilities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PHI, Pepco, DPL, and ACE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rPr>
              <w:t>At March 31, 2026</w:t>
            </w: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0"/>
                <w:szCs w:val="10"/>
                <w:b w:val="1"/>
                <w:bCs w:val="1"/>
                <w:color w:val="auto"/>
              </w:rPr>
              <w:t>At December 31, 2025</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PHI</w:t>
            </w: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1</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0"/>
                <w:szCs w:val="10"/>
                <w:b w:val="1"/>
                <w:bCs w:val="1"/>
                <w:color w:val="auto"/>
              </w:rPr>
              <w:t>Level 2</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Level 3</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4"/>
          </w:tcPr>
          <w:p>
            <w:pPr>
              <w:jc w:val="center"/>
              <w:ind w:right="78"/>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Level 2</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4"/>
          </w:tcPr>
          <w:p>
            <w:pPr>
              <w:ind w:left="320"/>
              <w:spacing w:after="0"/>
              <w:rPr>
                <w:sz w:val="20"/>
                <w:szCs w:val="20"/>
                <w:color w:val="auto"/>
              </w:rPr>
            </w:pPr>
            <w:r>
              <w:rPr>
                <w:rFonts w:ascii="Arial" w:cs="Arial" w:eastAsia="Arial" w:hAnsi="Arial"/>
                <w:sz w:val="10"/>
                <w:szCs w:val="10"/>
                <w:b w:val="1"/>
                <w:bCs w:val="1"/>
                <w:color w:val="auto"/>
              </w:rPr>
              <w:t>Level 3</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line="170"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(a)</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3"/>
                <w:szCs w:val="13"/>
                <w:color w:val="auto"/>
                <w:w w:val="82"/>
              </w:rPr>
              <w:t>$</w:t>
            </w:r>
          </w:p>
        </w:tc>
        <w:tc>
          <w:tcPr>
            <w:tcW w:w="480" w:type="dxa"/>
            <w:vAlign w:val="bottom"/>
          </w:tcPr>
          <w:p>
            <w:pPr>
              <w:spacing w:after="0"/>
              <w:rPr>
                <w:sz w:val="14"/>
                <w:szCs w:val="14"/>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3"/>
                <w:szCs w:val="13"/>
                <w:color w:val="auto"/>
              </w:rPr>
              <w:t>35</w:t>
            </w:r>
          </w:p>
        </w:tc>
        <w:tc>
          <w:tcPr>
            <w:tcW w:w="560" w:type="dxa"/>
            <w:vAlign w:val="bottom"/>
            <w:gridSpan w:val="2"/>
          </w:tcPr>
          <w:p>
            <w:pPr>
              <w:jc w:val="right"/>
              <w:ind w:right="29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400" w:type="dxa"/>
            <w:vAlign w:val="bottom"/>
            <w:gridSpan w:val="3"/>
          </w:tcPr>
          <w:p>
            <w:pPr>
              <w:jc w:val="right"/>
              <w:ind w:right="18"/>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Rabbi trust investments</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60" w:type="dxa"/>
            <w:vAlign w:val="bottom"/>
          </w:tcPr>
          <w:p>
            <w:pPr>
              <w:ind w:left="280"/>
              <w:spacing w:after="0"/>
              <w:rPr>
                <w:sz w:val="20"/>
                <w:szCs w:val="20"/>
                <w:color w:val="auto"/>
              </w:rPr>
            </w:pPr>
            <w:r>
              <w:rPr>
                <w:rFonts w:ascii="Arial" w:cs="Arial" w:eastAsia="Arial" w:hAnsi="Arial"/>
                <w:sz w:val="13"/>
                <w:szCs w:val="13"/>
                <w:color w:val="auto"/>
              </w:rPr>
              <w:t>Cash equivalents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3"/>
                <w:szCs w:val="13"/>
                <w:color w:val="auto"/>
                <w:w w:val="92"/>
              </w:rPr>
              <w:t>101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gridSpan w:val="3"/>
          </w:tcPr>
          <w:p>
            <w:pPr>
              <w:jc w:val="right"/>
              <w:ind w:right="18"/>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Mutual funds</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9"/>
        </w:trPr>
        <w:tc>
          <w:tcPr>
            <w:tcW w:w="2060" w:type="dxa"/>
            <w:vAlign w:val="bottom"/>
          </w:tcPr>
          <w:p>
            <w:pPr>
              <w:ind w:left="280"/>
              <w:spacing w:after="0"/>
              <w:rPr>
                <w:sz w:val="20"/>
                <w:szCs w:val="20"/>
                <w:color w:val="auto"/>
              </w:rPr>
            </w:pPr>
            <w:r>
              <w:rPr>
                <w:rFonts w:ascii="Arial" w:cs="Arial" w:eastAsia="Arial" w:hAnsi="Arial"/>
                <w:sz w:val="13"/>
                <w:szCs w:val="13"/>
                <w:color w:val="auto"/>
              </w:rPr>
              <w:t>Fixed income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gridSpan w:val="3"/>
          </w:tcPr>
          <w:p>
            <w:pPr>
              <w:jc w:val="right"/>
              <w:ind w:right="18"/>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Life insurance contracts</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6"/>
              </w:rPr>
              <w:t>23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9"/>
        </w:trPr>
        <w:tc>
          <w:tcPr>
            <w:tcW w:w="2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3"/>
                <w:szCs w:val="13"/>
                <w:color w:val="auto"/>
                <w:w w:val="99"/>
              </w:rPr>
              <w:t>Rabbi trust investments subtotal</w:t>
            </w:r>
          </w:p>
        </w:tc>
        <w:tc>
          <w:tcPr>
            <w:tcW w:w="5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w w:val="92"/>
              </w:rPr>
              <w:t>110</w:t>
            </w:r>
          </w:p>
        </w:tc>
        <w:tc>
          <w:tcPr>
            <w:tcW w:w="12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gridSpan w:val="3"/>
          </w:tcPr>
          <w:p>
            <w:pPr>
              <w:jc w:val="right"/>
              <w:ind w:right="18"/>
              <w:spacing w:after="0"/>
              <w:rPr>
                <w:sz w:val="20"/>
                <w:szCs w:val="20"/>
                <w:color w:val="auto"/>
              </w:rPr>
            </w:pPr>
            <w:r>
              <w:rPr>
                <w:rFonts w:ascii="Arial" w:cs="Arial" w:eastAsia="Arial" w:hAnsi="Arial"/>
                <w:sz w:val="13"/>
                <w:szCs w:val="13"/>
                <w:color w:val="auto"/>
              </w:rPr>
              <w:t>159</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w w:val="96"/>
              </w:rPr>
              <w:t>29</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2"/>
              </w:rPr>
              <w:t>145</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6"/>
              </w:rPr>
              <w:t>29</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50"/>
        </w:trPr>
        <w:tc>
          <w:tcPr>
            <w:tcW w:w="2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compensation obligation</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87"/>
              </w:rPr>
              <w:t>(9)</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16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w w:val="87"/>
              </w:rPr>
              <w:t>(9)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net assets</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2"/>
              </w:rPr>
              <w:t>145</w:t>
            </w:r>
          </w:p>
        </w:tc>
        <w:tc>
          <w:tcPr>
            <w:tcW w:w="560" w:type="dxa"/>
            <w:vAlign w:val="bottom"/>
            <w:gridSpan w:val="2"/>
            <w:shd w:val="clear" w:color="auto" w:fill="CCEEFF"/>
          </w:tcPr>
          <w:p>
            <w:pPr>
              <w:jc w:val="right"/>
              <w:ind w:right="29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6"/>
              </w:rPr>
              <w:t>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9"/>
                <w:szCs w:val="9"/>
                <w:b w:val="1"/>
                <w:bCs w:val="1"/>
                <w:color w:val="auto"/>
              </w:rPr>
              <w:t>Pepco</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4"/>
          </w:tcPr>
          <w:p>
            <w:pPr>
              <w:spacing w:after="0"/>
              <w:rPr>
                <w:sz w:val="20"/>
                <w:szCs w:val="20"/>
                <w:color w:val="auto"/>
              </w:rPr>
            </w:pPr>
            <w:r>
              <w:rPr>
                <w:rFonts w:ascii="Arial" w:cs="Arial" w:eastAsia="Arial" w:hAnsi="Arial"/>
                <w:sz w:val="9"/>
                <w:szCs w:val="9"/>
                <w:b w:val="1"/>
                <w:bCs w:val="1"/>
                <w:color w:val="auto"/>
              </w:rPr>
              <w:t>DPL</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9"/>
                <w:szCs w:val="9"/>
                <w:b w:val="1"/>
                <w:bCs w:val="1"/>
                <w:color w:val="auto"/>
                <w:w w:val="83"/>
              </w:rPr>
              <w:t>ACE</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60" w:type="dxa"/>
            <w:vAlign w:val="bottom"/>
          </w:tcPr>
          <w:p>
            <w:pPr>
              <w:ind w:left="20"/>
              <w:spacing w:after="0"/>
              <w:rPr>
                <w:sz w:val="20"/>
                <w:szCs w:val="20"/>
                <w:color w:val="auto"/>
              </w:rPr>
            </w:pPr>
            <w:r>
              <w:rPr>
                <w:rFonts w:ascii="Arial" w:cs="Arial" w:eastAsia="Arial" w:hAnsi="Arial"/>
                <w:sz w:val="9"/>
                <w:szCs w:val="9"/>
                <w:b w:val="1"/>
                <w:bCs w:val="1"/>
                <w:color w:val="auto"/>
              </w:rPr>
              <w:t>At March 31, 2026</w:t>
            </w:r>
          </w:p>
        </w:tc>
        <w:tc>
          <w:tcPr>
            <w:tcW w:w="16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Arial" w:cs="Arial" w:eastAsia="Arial" w:hAnsi="Arial"/>
                <w:sz w:val="8"/>
                <w:szCs w:val="8"/>
                <w:b w:val="1"/>
                <w:bCs w:val="1"/>
                <w:color w:val="auto"/>
              </w:rPr>
              <w:t>Level 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81"/>
              <w:spacing w:after="0"/>
              <w:rPr>
                <w:sz w:val="20"/>
                <w:szCs w:val="20"/>
                <w:color w:val="auto"/>
              </w:rPr>
            </w:pPr>
            <w:r>
              <w:rPr>
                <w:rFonts w:ascii="Arial" w:cs="Arial" w:eastAsia="Arial" w:hAnsi="Arial"/>
                <w:sz w:val="8"/>
                <w:szCs w:val="8"/>
                <w:b w:val="1"/>
                <w:bCs w:val="1"/>
                <w:color w:val="auto"/>
              </w:rPr>
              <w:t>Level 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80"/>
              <w:spacing w:after="0"/>
              <w:rPr>
                <w:sz w:val="20"/>
                <w:szCs w:val="20"/>
                <w:color w:val="auto"/>
              </w:rPr>
            </w:pPr>
            <w:r>
              <w:rPr>
                <w:rFonts w:ascii="Arial" w:cs="Arial" w:eastAsia="Arial" w:hAnsi="Arial"/>
                <w:sz w:val="8"/>
                <w:szCs w:val="8"/>
                <w:b w:val="1"/>
                <w:bCs w:val="1"/>
                <w:color w:val="auto"/>
              </w:rPr>
              <w:t>Level 3</w:t>
            </w:r>
          </w:p>
        </w:tc>
        <w:tc>
          <w:tcPr>
            <w:tcW w:w="780" w:type="dxa"/>
            <w:vAlign w:val="bottom"/>
            <w:gridSpan w:val="5"/>
          </w:tcPr>
          <w:p>
            <w:pPr>
              <w:ind w:left="240"/>
              <w:spacing w:after="0"/>
              <w:rPr>
                <w:sz w:val="20"/>
                <w:szCs w:val="20"/>
                <w:color w:val="auto"/>
              </w:rPr>
            </w:pPr>
            <w:r>
              <w:rPr>
                <w:rFonts w:ascii="Arial" w:cs="Arial" w:eastAsia="Arial" w:hAnsi="Arial"/>
                <w:sz w:val="8"/>
                <w:szCs w:val="8"/>
                <w:b w:val="1"/>
                <w:bCs w:val="1"/>
                <w:color w:val="auto"/>
              </w:rPr>
              <w:t>Total</w:t>
            </w:r>
          </w:p>
        </w:tc>
        <w:tc>
          <w:tcPr>
            <w:tcW w:w="160" w:type="dxa"/>
            <w:vAlign w:val="bottom"/>
          </w:tcPr>
          <w:p>
            <w:pPr>
              <w:spacing w:after="0"/>
              <w:rPr>
                <w:sz w:val="10"/>
                <w:szCs w:val="1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Level 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8"/>
                <w:szCs w:val="8"/>
                <w:b w:val="1"/>
                <w:bCs w:val="1"/>
                <w:color w:val="auto"/>
              </w:rPr>
              <w:t>Level 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tcPr>
          <w:p>
            <w:pPr>
              <w:jc w:val="right"/>
              <w:spacing w:after="0"/>
              <w:rPr>
                <w:sz w:val="20"/>
                <w:szCs w:val="20"/>
                <w:color w:val="auto"/>
              </w:rPr>
            </w:pPr>
            <w:r>
              <w:rPr>
                <w:rFonts w:ascii="Arial" w:cs="Arial" w:eastAsia="Arial" w:hAnsi="Arial"/>
                <w:sz w:val="8"/>
                <w:szCs w:val="8"/>
                <w:b w:val="1"/>
                <w:bCs w:val="1"/>
                <w:color w:val="auto"/>
              </w:rPr>
              <w:t>Level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8"/>
                <w:szCs w:val="8"/>
                <w:b w:val="1"/>
                <w:bCs w:val="1"/>
                <w:color w:val="auto"/>
                <w:w w:val="93"/>
              </w:rPr>
              <w:t>Total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101"/>
              <w:spacing w:after="0"/>
              <w:rPr>
                <w:sz w:val="20"/>
                <w:szCs w:val="20"/>
                <w:color w:val="auto"/>
              </w:rPr>
            </w:pPr>
            <w:r>
              <w:rPr>
                <w:rFonts w:ascii="Arial" w:cs="Arial" w:eastAsia="Arial" w:hAnsi="Arial"/>
                <w:sz w:val="8"/>
                <w:szCs w:val="8"/>
                <w:b w:val="1"/>
                <w:bCs w:val="1"/>
                <w:color w:val="auto"/>
              </w:rPr>
              <w:t>Level 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8"/>
                <w:szCs w:val="8"/>
                <w:b w:val="1"/>
                <w:bCs w:val="1"/>
                <w:color w:val="auto"/>
              </w:rPr>
              <w:t>Level 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3"/>
          </w:tcPr>
          <w:p>
            <w:pPr>
              <w:ind w:left="60"/>
              <w:spacing w:after="0"/>
              <w:rPr>
                <w:sz w:val="20"/>
                <w:szCs w:val="20"/>
                <w:color w:val="auto"/>
              </w:rPr>
            </w:pPr>
            <w:r>
              <w:rPr>
                <w:rFonts w:ascii="Arial" w:cs="Arial" w:eastAsia="Arial" w:hAnsi="Arial"/>
                <w:sz w:val="8"/>
                <w:szCs w:val="8"/>
                <w:b w:val="1"/>
                <w:bCs w:val="1"/>
                <w:color w:val="auto"/>
              </w:rPr>
              <w:t>Level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177"/>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54"/>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line="170"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(a)</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39"/>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60" w:type="dxa"/>
            <w:vAlign w:val="bottom"/>
          </w:tcPr>
          <w:p>
            <w:pPr>
              <w:jc w:val="right"/>
              <w:ind w:right="21"/>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4"/>
                <w:szCs w:val="14"/>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jc w:val="center"/>
              <w:ind w:left="240"/>
              <w:spacing w:after="0"/>
              <w:rPr>
                <w:sz w:val="20"/>
                <w:szCs w:val="20"/>
                <w:color w:val="auto"/>
              </w:rPr>
            </w:pPr>
            <w:r>
              <w:rPr>
                <w:rFonts w:ascii="Arial" w:cs="Arial" w:eastAsia="Arial" w:hAnsi="Arial"/>
                <w:sz w:val="13"/>
                <w:szCs w:val="13"/>
                <w:color w:val="auto"/>
                <w:w w:val="91"/>
              </w:rPr>
              <w:t>—</w:t>
            </w:r>
          </w:p>
        </w:tc>
        <w:tc>
          <w:tcPr>
            <w:tcW w:w="400" w:type="dxa"/>
            <w:vAlign w:val="bottom"/>
            <w:gridSpan w:val="3"/>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center"/>
              <w:ind w:right="40"/>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2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w:t>
            </w:r>
          </w:p>
        </w:tc>
        <w:tc>
          <w:tcPr>
            <w:tcW w:w="320" w:type="dxa"/>
            <w:vAlign w:val="bottom"/>
            <w:gridSpan w:val="4"/>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tcPr>
          <w:p>
            <w:pPr>
              <w:ind w:left="320"/>
              <w:spacing w:after="0"/>
              <w:rPr>
                <w:sz w:val="20"/>
                <w:szCs w:val="20"/>
                <w:color w:val="auto"/>
              </w:rPr>
            </w:pPr>
            <w:r>
              <w:rPr>
                <w:rFonts w:ascii="Arial" w:cs="Arial" w:eastAsia="Arial" w:hAnsi="Arial"/>
                <w:sz w:val="13"/>
                <w:szCs w:val="13"/>
                <w:color w:val="auto"/>
                <w:w w:val="91"/>
              </w:rPr>
              <w:t>—</w:t>
            </w:r>
          </w:p>
        </w:tc>
        <w:tc>
          <w:tcPr>
            <w:tcW w:w="2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21"/>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Rabbi trust investments</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60" w:type="dxa"/>
            <w:vAlign w:val="bottom"/>
          </w:tcPr>
          <w:p>
            <w:pPr>
              <w:ind w:left="280"/>
              <w:spacing w:after="0"/>
              <w:rPr>
                <w:sz w:val="20"/>
                <w:szCs w:val="20"/>
                <w:color w:val="auto"/>
              </w:rPr>
            </w:pPr>
            <w:r>
              <w:rPr>
                <w:rFonts w:ascii="Arial" w:cs="Arial" w:eastAsia="Arial" w:hAnsi="Arial"/>
                <w:sz w:val="13"/>
                <w:szCs w:val="13"/>
                <w:color w:val="auto"/>
              </w:rPr>
              <w:t>Cash equivalents</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w w:val="92"/>
              </w:rPr>
              <w:t>100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left="24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Life insurance contracts</w:t>
            </w: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center"/>
              <w:ind w:left="24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7"/>
        </w:trPr>
        <w:tc>
          <w:tcPr>
            <w:tcW w:w="2060" w:type="dxa"/>
            <w:vAlign w:val="bottom"/>
          </w:tcPr>
          <w:p>
            <w:pPr>
              <w:ind w:left="360"/>
              <w:spacing w:after="0" w:line="107" w:lineRule="exact"/>
              <w:rPr>
                <w:sz w:val="20"/>
                <w:szCs w:val="20"/>
                <w:color w:val="auto"/>
              </w:rPr>
            </w:pPr>
            <w:r>
              <w:rPr>
                <w:rFonts w:ascii="Arial" w:cs="Arial" w:eastAsia="Arial" w:hAnsi="Arial"/>
                <w:sz w:val="12"/>
                <w:szCs w:val="12"/>
                <w:color w:val="auto"/>
              </w:rPr>
              <w:t>Rabbi trust investments</w:t>
            </w:r>
          </w:p>
        </w:tc>
        <w:tc>
          <w:tcPr>
            <w:tcW w:w="1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w w:val="92"/>
              </w:rPr>
              <w:t>143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center"/>
              <w:ind w:left="24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ind w:left="3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subtotal</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2"/>
              </w:rPr>
              <w:t>163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24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0"/>
        </w:trPr>
        <w:tc>
          <w:tcPr>
            <w:tcW w:w="2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compensation obligation</w:t>
            </w: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center"/>
              <w:ind w:left="24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left="24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net assets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2"/>
              </w:rPr>
              <w:t>162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center"/>
              <w:ind w:left="240"/>
              <w:spacing w:after="0"/>
              <w:rPr>
                <w:sz w:val="20"/>
                <w:szCs w:val="20"/>
                <w:color w:val="auto"/>
              </w:rPr>
            </w:pPr>
            <w:r>
              <w:rPr>
                <w:rFonts w:ascii="Arial" w:cs="Arial" w:eastAsia="Arial" w:hAnsi="Arial"/>
                <w:sz w:val="13"/>
                <w:szCs w:val="13"/>
                <w:color w:val="auto"/>
                <w:w w:val="91"/>
              </w:rPr>
              <w:t>—</w:t>
            </w:r>
          </w:p>
        </w:tc>
        <w:tc>
          <w:tcPr>
            <w:tcW w:w="400" w:type="dxa"/>
            <w:vAlign w:val="bottom"/>
            <w:gridSpan w:val="3"/>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1"/>
              </w:rPr>
              <w:t>—</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10 — Fair Value of Financial Assets and Liabilities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Pepco</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9"/>
                <w:szCs w:val="9"/>
                <w:b w:val="1"/>
                <w:bCs w:val="1"/>
                <w:color w:val="auto"/>
                <w:w w:val="88"/>
              </w:rPr>
              <w:t>DPL</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9"/>
                <w:szCs w:val="9"/>
                <w:b w:val="1"/>
                <w:bCs w:val="1"/>
                <w:color w:val="auto"/>
                <w:w w:val="83"/>
              </w:rPr>
              <w:t>ACE</w:t>
            </w: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tcPr>
          <w:p>
            <w:pPr>
              <w:ind w:left="20"/>
              <w:spacing w:after="0"/>
              <w:rPr>
                <w:sz w:val="20"/>
                <w:szCs w:val="20"/>
                <w:color w:val="auto"/>
              </w:rPr>
            </w:pPr>
            <w:r>
              <w:rPr>
                <w:rFonts w:ascii="Arial" w:cs="Arial" w:eastAsia="Arial" w:hAnsi="Arial"/>
                <w:sz w:val="9"/>
                <w:szCs w:val="9"/>
                <w:b w:val="1"/>
                <w:bCs w:val="1"/>
                <w:color w:val="auto"/>
              </w:rPr>
              <w:t>At December 31, 2025</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1</w:t>
            </w:r>
          </w:p>
        </w:tc>
        <w:tc>
          <w:tcPr>
            <w:tcW w:w="140" w:type="dxa"/>
            <w:vAlign w:val="bottom"/>
          </w:tcPr>
          <w:p>
            <w:pPr>
              <w:spacing w:after="0"/>
              <w:rPr>
                <w:sz w:val="10"/>
                <w:szCs w:val="10"/>
                <w:color w:val="auto"/>
              </w:rPr>
            </w:pPr>
          </w:p>
        </w:tc>
        <w:tc>
          <w:tcPr>
            <w:tcW w:w="640" w:type="dxa"/>
            <w:vAlign w:val="bottom"/>
            <w:gridSpan w:val="2"/>
          </w:tcPr>
          <w:p>
            <w:pPr>
              <w:ind w:left="40"/>
              <w:spacing w:after="0"/>
              <w:rPr>
                <w:sz w:val="20"/>
                <w:szCs w:val="20"/>
                <w:color w:val="auto"/>
              </w:rPr>
            </w:pPr>
            <w:r>
              <w:rPr>
                <w:rFonts w:ascii="Arial" w:cs="Arial" w:eastAsia="Arial" w:hAnsi="Arial"/>
                <w:sz w:val="8"/>
                <w:szCs w:val="8"/>
                <w:b w:val="1"/>
                <w:bCs w:val="1"/>
                <w:color w:val="auto"/>
              </w:rPr>
              <w:t>Level 2</w:t>
            </w:r>
          </w:p>
        </w:tc>
        <w:tc>
          <w:tcPr>
            <w:tcW w:w="12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3</w:t>
            </w:r>
          </w:p>
        </w:tc>
        <w:tc>
          <w:tcPr>
            <w:tcW w:w="160" w:type="dxa"/>
            <w:vAlign w:val="bottom"/>
          </w:tcPr>
          <w:p>
            <w:pPr>
              <w:spacing w:after="0"/>
              <w:rPr>
                <w:sz w:val="10"/>
                <w:szCs w:val="10"/>
                <w:color w:val="auto"/>
              </w:rPr>
            </w:pPr>
          </w:p>
        </w:tc>
        <w:tc>
          <w:tcPr>
            <w:tcW w:w="620" w:type="dxa"/>
            <w:vAlign w:val="bottom"/>
            <w:gridSpan w:val="2"/>
          </w:tcPr>
          <w:p>
            <w:pPr>
              <w:ind w:left="8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1</w:t>
            </w:r>
          </w:p>
        </w:tc>
        <w:tc>
          <w:tcPr>
            <w:tcW w:w="140" w:type="dxa"/>
            <w:vAlign w:val="bottom"/>
          </w:tcPr>
          <w:p>
            <w:pPr>
              <w:spacing w:after="0"/>
              <w:rPr>
                <w:sz w:val="10"/>
                <w:szCs w:val="10"/>
                <w:color w:val="auto"/>
              </w:rPr>
            </w:pPr>
          </w:p>
        </w:tc>
        <w:tc>
          <w:tcPr>
            <w:tcW w:w="480" w:type="dxa"/>
            <w:vAlign w:val="bottom"/>
          </w:tcPr>
          <w:p>
            <w:pPr>
              <w:ind w:left="40"/>
              <w:spacing w:after="0"/>
              <w:rPr>
                <w:sz w:val="20"/>
                <w:szCs w:val="20"/>
                <w:color w:val="auto"/>
              </w:rPr>
            </w:pPr>
            <w:r>
              <w:rPr>
                <w:rFonts w:ascii="Arial" w:cs="Arial" w:eastAsia="Arial" w:hAnsi="Arial"/>
                <w:sz w:val="8"/>
                <w:szCs w:val="8"/>
                <w:b w:val="1"/>
                <w:bCs w:val="1"/>
                <w:color w:val="auto"/>
              </w:rPr>
              <w:t>Level 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3</w:t>
            </w:r>
          </w:p>
        </w:tc>
        <w:tc>
          <w:tcPr>
            <w:tcW w:w="160" w:type="dxa"/>
            <w:vAlign w:val="bottom"/>
          </w:tcPr>
          <w:p>
            <w:pPr>
              <w:spacing w:after="0"/>
              <w:rPr>
                <w:sz w:val="10"/>
                <w:szCs w:val="10"/>
                <w:color w:val="auto"/>
              </w:rPr>
            </w:pPr>
          </w:p>
        </w:tc>
        <w:tc>
          <w:tcPr>
            <w:tcW w:w="620" w:type="dxa"/>
            <w:vAlign w:val="bottom"/>
            <w:gridSpan w:val="2"/>
          </w:tcPr>
          <w:p>
            <w:pPr>
              <w:ind w:left="8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1</w:t>
            </w:r>
          </w:p>
        </w:tc>
        <w:tc>
          <w:tcPr>
            <w:tcW w:w="140" w:type="dxa"/>
            <w:vAlign w:val="bottom"/>
          </w:tcPr>
          <w:p>
            <w:pPr>
              <w:spacing w:after="0"/>
              <w:rPr>
                <w:sz w:val="10"/>
                <w:szCs w:val="10"/>
                <w:color w:val="auto"/>
              </w:rPr>
            </w:pP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Level 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8"/>
                <w:szCs w:val="8"/>
                <w:b w:val="1"/>
                <w:bCs w:val="1"/>
                <w:color w:val="auto"/>
              </w:rPr>
              <w:t>Level 3</w:t>
            </w:r>
          </w:p>
        </w:tc>
        <w:tc>
          <w:tcPr>
            <w:tcW w:w="16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54"/>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line="170"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ind w:left="340"/>
              <w:spacing w:after="0"/>
              <w:rPr>
                <w:sz w:val="20"/>
                <w:szCs w:val="20"/>
                <w:color w:val="auto"/>
              </w:rPr>
            </w:pPr>
            <w:r>
              <w:rPr>
                <w:rFonts w:ascii="Arial" w:cs="Arial" w:eastAsia="Arial" w:hAnsi="Arial"/>
                <w:sz w:val="13"/>
                <w:szCs w:val="13"/>
                <w:color w:val="auto"/>
                <w:w w:val="91"/>
              </w:rPr>
              <w:t>—</w:t>
            </w:r>
          </w:p>
        </w:tc>
        <w:tc>
          <w:tcPr>
            <w:tcW w:w="2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00" w:type="dxa"/>
            <w:vAlign w:val="bottom"/>
          </w:tcPr>
          <w:p>
            <w:pPr>
              <w:ind w:lef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Rabbi trust investments</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60" w:type="dxa"/>
            <w:vAlign w:val="bottom"/>
          </w:tcPr>
          <w:p>
            <w:pPr>
              <w:ind w:left="280"/>
              <w:spacing w:after="0"/>
              <w:rPr>
                <w:sz w:val="20"/>
                <w:szCs w:val="20"/>
                <w:color w:val="auto"/>
              </w:rPr>
            </w:pPr>
            <w:r>
              <w:rPr>
                <w:rFonts w:ascii="Arial" w:cs="Arial" w:eastAsia="Arial" w:hAnsi="Arial"/>
                <w:sz w:val="13"/>
                <w:szCs w:val="13"/>
                <w:color w:val="auto"/>
              </w:rPr>
              <w:t>Cash equivalents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Life insurance contracts</w:t>
            </w: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7"/>
        </w:trPr>
        <w:tc>
          <w:tcPr>
            <w:tcW w:w="2060" w:type="dxa"/>
            <w:vAlign w:val="bottom"/>
          </w:tcPr>
          <w:p>
            <w:pPr>
              <w:ind w:left="360"/>
              <w:spacing w:after="0" w:line="107" w:lineRule="exact"/>
              <w:rPr>
                <w:sz w:val="20"/>
                <w:szCs w:val="20"/>
                <w:color w:val="auto"/>
              </w:rPr>
            </w:pPr>
            <w:r>
              <w:rPr>
                <w:rFonts w:ascii="Arial" w:cs="Arial" w:eastAsia="Arial" w:hAnsi="Arial"/>
                <w:sz w:val="12"/>
                <w:szCs w:val="12"/>
                <w:color w:val="auto"/>
              </w:rPr>
              <w:t>Rabbi trust investments</w:t>
            </w: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restart"/>
          </w:tcPr>
          <w:p>
            <w:pPr>
              <w:ind w:left="34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restart"/>
          </w:tcPr>
          <w:p>
            <w:pPr>
              <w:ind w:left="3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subtotal</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compensation obligation</w:t>
            </w: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ind w:left="340"/>
              <w:spacing w:after="0"/>
              <w:rPr>
                <w:sz w:val="20"/>
                <w:szCs w:val="20"/>
                <w:color w:val="auto"/>
              </w:rPr>
            </w:pPr>
            <w:r>
              <w:rPr>
                <w:rFonts w:ascii="Arial" w:cs="Arial" w:eastAsia="Arial" w:hAnsi="Arial"/>
                <w:sz w:val="13"/>
                <w:szCs w:val="13"/>
                <w:color w:val="auto"/>
                <w:w w:val="91"/>
              </w:rPr>
              <w:t>—</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jc w:val="both"/>
        <w:ind w:left="260" w:hanging="255"/>
        <w:spacing w:after="0" w:line="274" w:lineRule="auto"/>
        <w:tabs>
          <w:tab w:leader="none" w:pos="258" w:val="left"/>
        </w:tabs>
        <w:numPr>
          <w:ilvl w:val="0"/>
          <w:numId w:val="21"/>
        </w:numPr>
        <w:rPr>
          <w:rFonts w:ascii="Times New Roman" w:cs="Times New Roman" w:eastAsia="Times New Roman" w:hAnsi="Times New Roman"/>
          <w:sz w:val="11"/>
          <w:szCs w:val="11"/>
          <w:color w:val="auto"/>
        </w:rPr>
      </w:pPr>
      <w:r>
        <w:rPr>
          <w:rFonts w:ascii="Arial" w:cs="Arial" w:eastAsia="Arial" w:hAnsi="Arial"/>
          <w:sz w:val="11"/>
          <w:szCs w:val="11"/>
          <w:color w:val="auto"/>
        </w:rPr>
        <w:t>PHI excludes cash of $44 million and $56 million at March 31, 2026 and December 31, 2025, respectively, and restricted cash of $1 million and $2 million at March 31, 2026 and December 31, 2025. Pepco excludes cash of $20 million and $22 million at March 31, 2026 and December 31, 2025, respectively. DPL excludes cash of $12 million and $9 million at March 31, 2026 and December 31, 2025, respectively. ACE excludes cash of $7 million and $22 million at March 31, 2026 and December 31, 2025, respectively and restricted cash of $1 million and $2 million at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10 — Fair Value of Financial Assets and Liabilities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Reconciliation of Level 3 Assets and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the fair value reconciliation of Level 3 assets and liabilities measured at fair value on a recurring basis during the three months ended March 31, 2026 and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60" w:type="dxa"/>
            <w:vAlign w:val="bottom"/>
          </w:tcPr>
          <w:p>
            <w:pPr>
              <w:spacing w:after="0"/>
              <w:rPr>
                <w:sz w:val="12"/>
                <w:szCs w:val="12"/>
                <w:color w:val="auto"/>
              </w:rPr>
            </w:pPr>
          </w:p>
        </w:tc>
        <w:tc>
          <w:tcPr>
            <w:tcW w:w="1160" w:type="dxa"/>
            <w:vAlign w:val="bottom"/>
            <w:tcBorders>
              <w:bottom w:val="single" w:sz="8" w:color="auto"/>
            </w:tcBorders>
          </w:tcPr>
          <w:p>
            <w:pPr>
              <w:jc w:val="center"/>
              <w:ind w:left="422"/>
              <w:spacing w:after="0"/>
              <w:rPr>
                <w:sz w:val="20"/>
                <w:szCs w:val="20"/>
                <w:color w:val="auto"/>
              </w:rPr>
            </w:pPr>
            <w:r>
              <w:rPr>
                <w:rFonts w:ascii="Arial" w:cs="Arial" w:eastAsia="Arial" w:hAnsi="Arial"/>
                <w:sz w:val="10"/>
                <w:szCs w:val="10"/>
                <w:b w:val="1"/>
                <w:bCs w:val="1"/>
                <w:color w:val="auto"/>
                <w:w w:val="97"/>
              </w:rPr>
              <w:t>Exelon</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242"/>
              <w:spacing w:after="0"/>
              <w:rPr>
                <w:sz w:val="20"/>
                <w:szCs w:val="20"/>
                <w:color w:val="auto"/>
              </w:rPr>
            </w:pPr>
            <w:r>
              <w:rPr>
                <w:rFonts w:ascii="Arial" w:cs="Arial" w:eastAsia="Arial" w:hAnsi="Arial"/>
                <w:sz w:val="10"/>
                <w:szCs w:val="10"/>
                <w:b w:val="1"/>
                <w:bCs w:val="1"/>
                <w:color w:val="auto"/>
                <w:w w:val="97"/>
              </w:rPr>
              <w:t>ComEd</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99"/>
              </w:rPr>
              <w:t>PHI and Pepco</w:t>
            </w:r>
          </w:p>
        </w:tc>
        <w:tc>
          <w:tcPr>
            <w:tcW w:w="0" w:type="dxa"/>
            <w:vAlign w:val="bottom"/>
          </w:tcPr>
          <w:p>
            <w:pPr>
              <w:spacing w:after="0"/>
              <w:rPr>
                <w:sz w:val="1"/>
                <w:szCs w:val="1"/>
                <w:color w:val="auto"/>
              </w:rPr>
            </w:pPr>
          </w:p>
        </w:tc>
      </w:tr>
      <w:tr>
        <w:trPr>
          <w:trHeight w:val="122"/>
        </w:trPr>
        <w:tc>
          <w:tcPr>
            <w:tcW w:w="6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Commodity</w:t>
            </w: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160" w:type="dxa"/>
            <w:vAlign w:val="bottom"/>
          </w:tcPr>
          <w:p>
            <w:pPr>
              <w:ind w:left="20"/>
              <w:spacing w:after="0"/>
              <w:rPr>
                <w:sz w:val="20"/>
                <w:szCs w:val="20"/>
                <w:color w:val="auto"/>
              </w:rPr>
            </w:pPr>
            <w:r>
              <w:rPr>
                <w:rFonts w:ascii="Arial" w:cs="Arial" w:eastAsia="Arial" w:hAnsi="Arial"/>
                <w:sz w:val="10"/>
                <w:szCs w:val="10"/>
                <w:b w:val="1"/>
                <w:bCs w:val="1"/>
                <w:color w:val="auto"/>
              </w:rPr>
              <w:t>Three Months Ended March 31, 2026</w:t>
            </w:r>
          </w:p>
        </w:tc>
        <w:tc>
          <w:tcPr>
            <w:tcW w:w="1160" w:type="dxa"/>
            <w:vAlign w:val="bottom"/>
          </w:tcPr>
          <w:p>
            <w:pPr>
              <w:jc w:val="center"/>
              <w:ind w:left="442"/>
              <w:spacing w:after="0"/>
              <w:rPr>
                <w:sz w:val="20"/>
                <w:szCs w:val="20"/>
                <w:color w:val="auto"/>
              </w:rPr>
            </w:pPr>
            <w:r>
              <w:rPr>
                <w:rFonts w:ascii="Arial" w:cs="Arial" w:eastAsia="Arial" w:hAnsi="Arial"/>
                <w:sz w:val="10"/>
                <w:szCs w:val="10"/>
                <w:b w:val="1"/>
                <w:bCs w:val="1"/>
                <w:color w:val="auto"/>
                <w:w w:val="91"/>
              </w:rPr>
              <w:t>Total</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Derivatives</w:t>
            </w:r>
          </w:p>
        </w:tc>
        <w:tc>
          <w:tcPr>
            <w:tcW w:w="180" w:type="dxa"/>
            <w:vAlign w:val="bottom"/>
          </w:tcPr>
          <w:p>
            <w:pPr>
              <w:spacing w:after="0"/>
              <w:rPr>
                <w:sz w:val="12"/>
                <w:szCs w:val="12"/>
                <w:color w:val="auto"/>
              </w:rPr>
            </w:pPr>
          </w:p>
        </w:tc>
        <w:tc>
          <w:tcPr>
            <w:tcW w:w="1460" w:type="dxa"/>
            <w:vAlign w:val="bottom"/>
          </w:tcPr>
          <w:p>
            <w:pPr>
              <w:jc w:val="center"/>
              <w:ind w:right="120"/>
              <w:spacing w:after="0"/>
              <w:rPr>
                <w:sz w:val="20"/>
                <w:szCs w:val="20"/>
                <w:color w:val="auto"/>
              </w:rPr>
            </w:pPr>
            <w:r>
              <w:rPr>
                <w:rFonts w:ascii="Arial" w:cs="Arial" w:eastAsia="Arial" w:hAnsi="Arial"/>
                <w:sz w:val="10"/>
                <w:szCs w:val="10"/>
                <w:b w:val="1"/>
                <w:bCs w:val="1"/>
                <w:color w:val="auto"/>
                <w:w w:val="98"/>
              </w:rPr>
              <w:t>Life Insurance Contracts</w:t>
            </w:r>
          </w:p>
        </w:tc>
        <w:tc>
          <w:tcPr>
            <w:tcW w:w="0" w:type="dxa"/>
            <w:vAlign w:val="bottom"/>
          </w:tcPr>
          <w:p>
            <w:pPr>
              <w:spacing w:after="0"/>
              <w:rPr>
                <w:sz w:val="1"/>
                <w:szCs w:val="1"/>
                <w:color w:val="auto"/>
              </w:rPr>
            </w:pPr>
          </w:p>
        </w:tc>
      </w:tr>
      <w:tr>
        <w:trPr>
          <w:trHeight w:val="16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2025</w:t>
            </w:r>
          </w:p>
        </w:tc>
        <w:tc>
          <w:tcPr>
            <w:tcW w:w="1160" w:type="dxa"/>
            <w:vAlign w:val="bottom"/>
            <w:tcBorders>
              <w:top w:val="single" w:sz="8" w:color="auto"/>
            </w:tcBorders>
            <w:shd w:val="clear" w:color="auto" w:fill="CCEEFF"/>
          </w:tcPr>
          <w:p>
            <w:pPr>
              <w:jc w:val="right"/>
              <w:ind w:right="1002"/>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Total realized / unrealized gains (losses)</w:t>
            </w: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shd w:val="clear" w:color="auto" w:fill="CCEEFF"/>
          </w:tcPr>
          <w:p>
            <w:pPr>
              <w:ind w:left="280"/>
              <w:spacing w:after="0" w:line="171" w:lineRule="exact"/>
              <w:rPr>
                <w:sz w:val="20"/>
                <w:szCs w:val="20"/>
                <w:color w:val="auto"/>
              </w:rPr>
            </w:pPr>
            <w:r>
              <w:rPr>
                <w:rFonts w:ascii="Arial" w:cs="Arial" w:eastAsia="Arial" w:hAnsi="Arial"/>
                <w:sz w:val="13"/>
                <w:szCs w:val="13"/>
                <w:color w:val="auto"/>
              </w:rPr>
              <w:t>Included in net income</w:t>
            </w:r>
            <w:r>
              <w:rPr>
                <w:rFonts w:ascii="Arial" w:cs="Arial" w:eastAsia="Arial" w:hAnsi="Arial"/>
                <w:sz w:val="16"/>
                <w:szCs w:val="16"/>
                <w:color w:val="auto"/>
                <w:vertAlign w:val="superscript"/>
              </w:rPr>
              <w:t>(a)</w:t>
            </w:r>
          </w:p>
        </w:tc>
        <w:tc>
          <w:tcPr>
            <w:tcW w:w="1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160" w:type="dxa"/>
            <w:vAlign w:val="bottom"/>
            <w:tcBorders>
              <w:bottom w:val="single" w:sz="8" w:color="CCEEFF"/>
            </w:tcBorders>
          </w:tcPr>
          <w:p>
            <w:pPr>
              <w:ind w:left="280"/>
              <w:spacing w:after="0" w:line="170" w:lineRule="exact"/>
              <w:rPr>
                <w:sz w:val="20"/>
                <w:szCs w:val="20"/>
                <w:color w:val="auto"/>
              </w:rPr>
            </w:pPr>
            <w:r>
              <w:rPr>
                <w:rFonts w:ascii="Arial" w:cs="Arial" w:eastAsia="Arial" w:hAnsi="Arial"/>
                <w:sz w:val="13"/>
                <w:szCs w:val="13"/>
                <w:color w:val="auto"/>
              </w:rPr>
              <w:t>Included in regulatory assets/liabilities</w:t>
            </w:r>
            <w:r>
              <w:rPr>
                <w:rFonts w:ascii="Arial" w:cs="Arial" w:eastAsia="Arial" w:hAnsi="Arial"/>
                <w:sz w:val="16"/>
                <w:szCs w:val="16"/>
                <w:color w:val="auto"/>
                <w:vertAlign w:val="superscript"/>
              </w:rPr>
              <w:t>(b)</w:t>
            </w: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Balance at March 31, 2026</w:t>
            </w:r>
            <w:r>
              <w:rPr>
                <w:rFonts w:ascii="Arial" w:cs="Arial" w:eastAsia="Arial" w:hAnsi="Arial"/>
                <w:sz w:val="16"/>
                <w:szCs w:val="16"/>
                <w:color w:val="auto"/>
                <w:vertAlign w:val="superscript"/>
              </w:rPr>
              <w:t>(c)</w:t>
            </w:r>
          </w:p>
        </w:tc>
        <w:tc>
          <w:tcPr>
            <w:tcW w:w="116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2"/>
                <w:szCs w:val="12"/>
                <w:color w:val="auto"/>
              </w:rPr>
              <w:t>The amount of total gains included in income attributed to the change in unrealized gains related to assets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160" w:type="dxa"/>
            <w:vAlign w:val="bottom"/>
            <w:vMerge w:val="continue"/>
          </w:tcPr>
          <w:p>
            <w:pPr>
              <w:spacing w:after="0"/>
              <w:rPr>
                <w:sz w:val="5"/>
                <w:szCs w:val="5"/>
                <w:color w:val="auto"/>
              </w:rPr>
            </w:pPr>
          </w:p>
        </w:tc>
        <w:tc>
          <w:tcPr>
            <w:tcW w:w="1160" w:type="dxa"/>
            <w:vAlign w:val="bottom"/>
            <w:vMerge w:val="restart"/>
          </w:tcPr>
          <w:p>
            <w:pPr>
              <w:jc w:val="right"/>
              <w:ind w:right="1002"/>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jc w:val="right"/>
              <w:ind w:right="156"/>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ind w:left="11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6160" w:type="dxa"/>
            <w:vAlign w:val="bottom"/>
          </w:tcPr>
          <w:p>
            <w:pPr>
              <w:ind w:left="20"/>
              <w:spacing w:after="0"/>
              <w:rPr>
                <w:sz w:val="20"/>
                <w:szCs w:val="20"/>
                <w:color w:val="auto"/>
              </w:rPr>
            </w:pPr>
            <w:r>
              <w:rPr>
                <w:rFonts w:ascii="Arial" w:cs="Arial" w:eastAsia="Arial" w:hAnsi="Arial"/>
                <w:sz w:val="13"/>
                <w:szCs w:val="13"/>
                <w:color w:val="auto"/>
              </w:rPr>
              <w:t>and liabilities at March 31, 2026</w:t>
            </w:r>
          </w:p>
        </w:tc>
        <w:tc>
          <w:tcPr>
            <w:tcW w:w="11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6160" w:type="dxa"/>
            <w:vAlign w:val="bottom"/>
          </w:tcPr>
          <w:p>
            <w:pPr>
              <w:spacing w:after="0"/>
              <w:rPr>
                <w:sz w:val="24"/>
                <w:szCs w:val="24"/>
                <w:color w:val="auto"/>
              </w:rPr>
            </w:pPr>
          </w:p>
        </w:tc>
        <w:tc>
          <w:tcPr>
            <w:tcW w:w="1160" w:type="dxa"/>
            <w:vAlign w:val="bottom"/>
            <w:tcBorders>
              <w:bottom w:val="single" w:sz="8" w:color="auto"/>
            </w:tcBorders>
          </w:tcPr>
          <w:p>
            <w:pPr>
              <w:jc w:val="center"/>
              <w:ind w:left="422"/>
              <w:spacing w:after="0"/>
              <w:rPr>
                <w:sz w:val="20"/>
                <w:szCs w:val="20"/>
                <w:color w:val="auto"/>
              </w:rPr>
            </w:pPr>
            <w:r>
              <w:rPr>
                <w:rFonts w:ascii="Arial" w:cs="Arial" w:eastAsia="Arial" w:hAnsi="Arial"/>
                <w:sz w:val="10"/>
                <w:szCs w:val="10"/>
                <w:b w:val="1"/>
                <w:bCs w:val="1"/>
                <w:color w:val="auto"/>
                <w:w w:val="97"/>
              </w:rPr>
              <w:t>Exelon</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242"/>
              <w:spacing w:after="0"/>
              <w:rPr>
                <w:sz w:val="20"/>
                <w:szCs w:val="20"/>
                <w:color w:val="auto"/>
              </w:rPr>
            </w:pPr>
            <w:r>
              <w:rPr>
                <w:rFonts w:ascii="Arial" w:cs="Arial" w:eastAsia="Arial" w:hAnsi="Arial"/>
                <w:sz w:val="10"/>
                <w:szCs w:val="10"/>
                <w:b w:val="1"/>
                <w:bCs w:val="1"/>
                <w:color w:val="auto"/>
                <w:w w:val="97"/>
              </w:rPr>
              <w:t>ComEd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99"/>
              </w:rPr>
              <w:t>PHI and Pepco</w:t>
            </w:r>
          </w:p>
        </w:tc>
        <w:tc>
          <w:tcPr>
            <w:tcW w:w="0" w:type="dxa"/>
            <w:vAlign w:val="bottom"/>
          </w:tcPr>
          <w:p>
            <w:pPr>
              <w:spacing w:after="0"/>
              <w:rPr>
                <w:sz w:val="1"/>
                <w:szCs w:val="1"/>
                <w:color w:val="auto"/>
              </w:rPr>
            </w:pPr>
          </w:p>
        </w:tc>
      </w:tr>
      <w:tr>
        <w:trPr>
          <w:trHeight w:val="133"/>
        </w:trPr>
        <w:tc>
          <w:tcPr>
            <w:tcW w:w="61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Three Months Ended March 31, 2025</w:t>
            </w:r>
          </w:p>
        </w:tc>
        <w:tc>
          <w:tcPr>
            <w:tcW w:w="1160" w:type="dxa"/>
            <w:vAlign w:val="bottom"/>
            <w:vMerge w:val="restart"/>
          </w:tcPr>
          <w:p>
            <w:pPr>
              <w:jc w:val="center"/>
              <w:ind w:left="442"/>
              <w:spacing w:after="0"/>
              <w:rPr>
                <w:sz w:val="20"/>
                <w:szCs w:val="20"/>
                <w:color w:val="auto"/>
              </w:rPr>
            </w:pPr>
            <w:r>
              <w:rPr>
                <w:rFonts w:ascii="Arial" w:cs="Arial" w:eastAsia="Arial" w:hAnsi="Arial"/>
                <w:sz w:val="10"/>
                <w:szCs w:val="10"/>
                <w:b w:val="1"/>
                <w:bCs w:val="1"/>
                <w:color w:val="auto"/>
                <w:w w:val="91"/>
              </w:rPr>
              <w:t>Total</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Commodity</w:t>
            </w:r>
          </w:p>
        </w:tc>
        <w:tc>
          <w:tcPr>
            <w:tcW w:w="180" w:type="dxa"/>
            <w:vAlign w:val="bottom"/>
          </w:tcPr>
          <w:p>
            <w:pPr>
              <w:spacing w:after="0"/>
              <w:rPr>
                <w:sz w:val="11"/>
                <w:szCs w:val="11"/>
                <w:color w:val="auto"/>
              </w:rPr>
            </w:pPr>
          </w:p>
        </w:tc>
        <w:tc>
          <w:tcPr>
            <w:tcW w:w="1460" w:type="dxa"/>
            <w:vAlign w:val="bottom"/>
            <w:vMerge w:val="restart"/>
          </w:tcPr>
          <w:p>
            <w:pPr>
              <w:jc w:val="center"/>
              <w:ind w:right="120"/>
              <w:spacing w:after="0"/>
              <w:rPr>
                <w:sz w:val="20"/>
                <w:szCs w:val="20"/>
                <w:color w:val="auto"/>
              </w:rPr>
            </w:pPr>
            <w:r>
              <w:rPr>
                <w:rFonts w:ascii="Arial" w:cs="Arial" w:eastAsia="Arial" w:hAnsi="Arial"/>
                <w:sz w:val="10"/>
                <w:szCs w:val="10"/>
                <w:b w:val="1"/>
                <w:bCs w:val="1"/>
                <w:color w:val="auto"/>
                <w:w w:val="98"/>
              </w:rPr>
              <w:t>Life Insurance Contracts</w:t>
            </w:r>
          </w:p>
        </w:tc>
        <w:tc>
          <w:tcPr>
            <w:tcW w:w="0" w:type="dxa"/>
            <w:vAlign w:val="bottom"/>
          </w:tcPr>
          <w:p>
            <w:pPr>
              <w:spacing w:after="0"/>
              <w:rPr>
                <w:sz w:val="1"/>
                <w:szCs w:val="1"/>
                <w:color w:val="auto"/>
              </w:rPr>
            </w:pPr>
          </w:p>
        </w:tc>
      </w:tr>
      <w:tr>
        <w:trPr>
          <w:trHeight w:val="139"/>
        </w:trPr>
        <w:tc>
          <w:tcPr>
            <w:tcW w:w="6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Derivatives</w:t>
            </w: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2024</w:t>
            </w:r>
          </w:p>
        </w:tc>
        <w:tc>
          <w:tcPr>
            <w:tcW w:w="1160" w:type="dxa"/>
            <w:vAlign w:val="bottom"/>
            <w:tcBorders>
              <w:top w:val="single" w:sz="8" w:color="auto"/>
            </w:tcBorders>
            <w:shd w:val="clear" w:color="auto" w:fill="CCEEFF"/>
          </w:tcPr>
          <w:p>
            <w:pPr>
              <w:jc w:val="right"/>
              <w:ind w:right="1002"/>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3"/>
                <w:szCs w:val="13"/>
                <w:color w:val="auto"/>
              </w:rPr>
              <w:t>Total realized / unrealized gains (losses)</w:t>
            </w: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shd w:val="clear" w:color="auto" w:fill="CCEEFF"/>
          </w:tcPr>
          <w:p>
            <w:pPr>
              <w:ind w:left="280"/>
              <w:spacing w:after="0" w:line="171" w:lineRule="exact"/>
              <w:rPr>
                <w:sz w:val="20"/>
                <w:szCs w:val="20"/>
                <w:color w:val="auto"/>
              </w:rPr>
            </w:pPr>
            <w:r>
              <w:rPr>
                <w:rFonts w:ascii="Arial" w:cs="Arial" w:eastAsia="Arial" w:hAnsi="Arial"/>
                <w:sz w:val="13"/>
                <w:szCs w:val="13"/>
                <w:color w:val="auto"/>
              </w:rPr>
              <w:t>Included in net income</w:t>
            </w:r>
            <w:r>
              <w:rPr>
                <w:rFonts w:ascii="Arial" w:cs="Arial" w:eastAsia="Arial" w:hAnsi="Arial"/>
                <w:sz w:val="16"/>
                <w:szCs w:val="16"/>
                <w:color w:val="auto"/>
                <w:vertAlign w:val="superscript"/>
              </w:rPr>
              <w:t>(a)</w:t>
            </w:r>
          </w:p>
        </w:tc>
        <w:tc>
          <w:tcPr>
            <w:tcW w:w="1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160" w:type="dxa"/>
            <w:vAlign w:val="bottom"/>
            <w:tcBorders>
              <w:bottom w:val="single" w:sz="8" w:color="CCEEFF"/>
            </w:tcBorders>
          </w:tcPr>
          <w:p>
            <w:pPr>
              <w:ind w:left="280"/>
              <w:spacing w:after="0" w:line="170" w:lineRule="exact"/>
              <w:rPr>
                <w:sz w:val="20"/>
                <w:szCs w:val="20"/>
                <w:color w:val="auto"/>
              </w:rPr>
            </w:pPr>
            <w:r>
              <w:rPr>
                <w:rFonts w:ascii="Arial" w:cs="Arial" w:eastAsia="Arial" w:hAnsi="Arial"/>
                <w:sz w:val="13"/>
                <w:szCs w:val="13"/>
                <w:color w:val="auto"/>
              </w:rPr>
              <w:t>Included in regulatory assets/liabilities</w:t>
            </w:r>
            <w:r>
              <w:rPr>
                <w:rFonts w:ascii="Arial" w:cs="Arial" w:eastAsia="Arial" w:hAnsi="Arial"/>
                <w:sz w:val="16"/>
                <w:szCs w:val="16"/>
                <w:color w:val="auto"/>
                <w:vertAlign w:val="superscript"/>
              </w:rPr>
              <w:t>(b)</w:t>
            </w: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Balance at March 31, 2025</w:t>
            </w:r>
            <w:r>
              <w:rPr>
                <w:rFonts w:ascii="Arial" w:cs="Arial" w:eastAsia="Arial" w:hAnsi="Arial"/>
                <w:sz w:val="16"/>
                <w:szCs w:val="16"/>
                <w:color w:val="auto"/>
                <w:vertAlign w:val="superscript"/>
              </w:rPr>
              <w:t>(c)</w:t>
            </w:r>
          </w:p>
        </w:tc>
        <w:tc>
          <w:tcPr>
            <w:tcW w:w="116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2"/>
                <w:szCs w:val="12"/>
                <w:color w:val="auto"/>
              </w:rPr>
              <w:t>The amount of total gains included in income attributed to the change in unrealized gains related to assets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160" w:type="dxa"/>
            <w:vAlign w:val="bottom"/>
            <w:vMerge w:val="continue"/>
          </w:tcPr>
          <w:p>
            <w:pPr>
              <w:spacing w:after="0"/>
              <w:rPr>
                <w:sz w:val="5"/>
                <w:szCs w:val="5"/>
                <w:color w:val="auto"/>
              </w:rPr>
            </w:pPr>
          </w:p>
        </w:tc>
        <w:tc>
          <w:tcPr>
            <w:tcW w:w="1160" w:type="dxa"/>
            <w:vAlign w:val="bottom"/>
            <w:vMerge w:val="restart"/>
          </w:tcPr>
          <w:p>
            <w:pPr>
              <w:jc w:val="right"/>
              <w:ind w:right="1002"/>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jc w:val="right"/>
              <w:ind w:right="156"/>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ind w:left="11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6160" w:type="dxa"/>
            <w:vAlign w:val="bottom"/>
          </w:tcPr>
          <w:p>
            <w:pPr>
              <w:ind w:left="20"/>
              <w:spacing w:after="0"/>
              <w:rPr>
                <w:sz w:val="20"/>
                <w:szCs w:val="20"/>
                <w:color w:val="auto"/>
              </w:rPr>
            </w:pPr>
            <w:r>
              <w:rPr>
                <w:rFonts w:ascii="Arial" w:cs="Arial" w:eastAsia="Arial" w:hAnsi="Arial"/>
                <w:sz w:val="13"/>
                <w:szCs w:val="13"/>
                <w:color w:val="auto"/>
              </w:rPr>
              <w:t>and liabilities at March 31, 2025</w:t>
            </w:r>
          </w:p>
        </w:tc>
        <w:tc>
          <w:tcPr>
            <w:tcW w:w="11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Classified in Operating and maintenance expense in the Consolidated Statements of Operations and Comprehensive Income.</w:t>
      </w:r>
    </w:p>
    <w:p>
      <w:pPr>
        <w:spacing w:after="0" w:line="13" w:lineRule="exact"/>
        <w:rPr>
          <w:rFonts w:ascii="Arial" w:cs="Arial" w:eastAsia="Arial" w:hAnsi="Arial"/>
          <w:sz w:val="11"/>
          <w:szCs w:val="11"/>
          <w:color w:val="auto"/>
        </w:rPr>
      </w:pPr>
    </w:p>
    <w:p>
      <w:pPr>
        <w:jc w:val="both"/>
        <w:ind w:left="260" w:hanging="255"/>
        <w:spacing w:after="0" w:line="255" w:lineRule="auto"/>
        <w:tabs>
          <w:tab w:leader="none" w:pos="249" w:val="left"/>
        </w:tabs>
        <w:numPr>
          <w:ilvl w:val="0"/>
          <w:numId w:val="22"/>
        </w:numPr>
        <w:rPr>
          <w:rFonts w:ascii="Arial" w:cs="Arial" w:eastAsia="Arial" w:hAnsi="Arial"/>
          <w:sz w:val="11"/>
          <w:szCs w:val="11"/>
          <w:color w:val="auto"/>
        </w:rPr>
      </w:pPr>
      <w:r>
        <w:rPr>
          <w:rFonts w:ascii="Arial" w:cs="Arial" w:eastAsia="Arial" w:hAnsi="Arial"/>
          <w:sz w:val="11"/>
          <w:szCs w:val="11"/>
          <w:color w:val="auto"/>
        </w:rPr>
        <w:t>For ComEd, this includes $10 million of decreases in fair value and an increase for realized gains due to settlements of $8 million recorded in Purchased power expense associated with floating-to-fixed energy swap contracts with unaffiliated suppliers for the three months ended March 31, 2026. Includes $30 million of decreases in fair value and an increase for realized gains due to settlements of $11 million recorded in Purchased power expense associated with floating-to-fixed energy swap contracts with unaffiliated suppliers for the three months ended March 31, 2025.</w:t>
      </w:r>
    </w:p>
    <w:p>
      <w:pPr>
        <w:ind w:left="260" w:hanging="255"/>
        <w:spacing w:after="0"/>
        <w:tabs>
          <w:tab w:leader="none" w:pos="2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For ComEd, the balance of the current and noncurrent asset was zero as of March 31, 2026. The balance consists of a current and noncurrent liability of $22 million and $111 million, respectively, as of March 31, 2026.</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Commodity Derivatives (Exelon and ComEd)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discloses the significant unobservable inputs to the forward curve used to value mark-to-market derivatives.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Type of trade</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Fair Value at</w:t>
            </w:r>
          </w:p>
        </w:tc>
        <w:tc>
          <w:tcPr>
            <w:tcW w:w="14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Fair Value at</w:t>
            </w:r>
          </w:p>
        </w:tc>
        <w:tc>
          <w:tcPr>
            <w:tcW w:w="13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Valuation</w:t>
            </w:r>
          </w:p>
        </w:tc>
        <w:tc>
          <w:tcPr>
            <w:tcW w:w="13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Unobservable</w:t>
            </w:r>
          </w:p>
        </w:tc>
        <w:tc>
          <w:tcPr>
            <w:tcW w:w="2580" w:type="dxa"/>
            <w:vAlign w:val="bottom"/>
            <w:gridSpan w:val="4"/>
            <w:vMerge w:val="restart"/>
          </w:tcPr>
          <w:p>
            <w:pPr>
              <w:jc w:val="right"/>
              <w:ind w:right="436"/>
              <w:spacing w:after="0"/>
              <w:rPr>
                <w:sz w:val="20"/>
                <w:szCs w:val="20"/>
                <w:color w:val="auto"/>
              </w:rPr>
            </w:pPr>
            <w:r>
              <w:rPr>
                <w:rFonts w:ascii="Arial" w:cs="Arial" w:eastAsia="Arial" w:hAnsi="Arial"/>
                <w:sz w:val="10"/>
                <w:szCs w:val="10"/>
                <w:b w:val="1"/>
                <w:bCs w:val="1"/>
                <w:color w:val="auto"/>
              </w:rPr>
              <w:t>2026 Range &amp; Arithmetic Average</w:t>
            </w:r>
          </w:p>
        </w:tc>
        <w:tc>
          <w:tcPr>
            <w:tcW w:w="120" w:type="dxa"/>
            <w:vAlign w:val="bottom"/>
            <w:vMerge w:val="restart"/>
          </w:tcPr>
          <w:p>
            <w:pPr>
              <w:spacing w:after="0"/>
              <w:rPr>
                <w:sz w:val="10"/>
                <w:szCs w:val="10"/>
                <w:color w:val="auto"/>
              </w:rPr>
            </w:pPr>
          </w:p>
        </w:tc>
        <w:tc>
          <w:tcPr>
            <w:tcW w:w="2580" w:type="dxa"/>
            <w:vAlign w:val="bottom"/>
            <w:gridSpan w:val="4"/>
            <w:vMerge w:val="restart"/>
          </w:tcPr>
          <w:p>
            <w:pPr>
              <w:jc w:val="right"/>
              <w:ind w:right="436"/>
              <w:spacing w:after="0"/>
              <w:rPr>
                <w:sz w:val="20"/>
                <w:szCs w:val="20"/>
                <w:color w:val="auto"/>
              </w:rPr>
            </w:pPr>
            <w:r>
              <w:rPr>
                <w:rFonts w:ascii="Arial" w:cs="Arial" w:eastAsia="Arial" w:hAnsi="Arial"/>
                <w:sz w:val="10"/>
                <w:szCs w:val="10"/>
                <w:b w:val="1"/>
                <w:bCs w:val="1"/>
                <w:color w:val="auto"/>
              </w:rPr>
              <w:t>2025 Range &amp; Arithmetic Average</w:t>
            </w:r>
          </w:p>
        </w:tc>
        <w:tc>
          <w:tcPr>
            <w:tcW w:w="0" w:type="dxa"/>
            <w:vAlign w:val="bottom"/>
          </w:tcPr>
          <w:p>
            <w:pPr>
              <w:spacing w:after="0"/>
              <w:rPr>
                <w:sz w:val="1"/>
                <w:szCs w:val="1"/>
                <w:color w:val="auto"/>
              </w:rPr>
            </w:pPr>
          </w:p>
        </w:tc>
      </w:tr>
      <w:tr>
        <w:trPr>
          <w:trHeight w:val="145"/>
        </w:trPr>
        <w:tc>
          <w:tcPr>
            <w:tcW w:w="12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March 31, 2026</w:t>
            </w:r>
          </w:p>
        </w:tc>
        <w:tc>
          <w:tcPr>
            <w:tcW w:w="1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December 31, 2025</w:t>
            </w:r>
          </w:p>
        </w:tc>
        <w:tc>
          <w:tcPr>
            <w:tcW w:w="1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Technique</w:t>
            </w: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Input</w:t>
            </w:r>
          </w:p>
        </w:tc>
        <w:tc>
          <w:tcPr>
            <w:tcW w:w="100" w:type="dxa"/>
            <w:vAlign w:val="bottom"/>
            <w:tcBorders>
              <w:bottom w:val="single" w:sz="8" w:color="CCEEFF"/>
            </w:tcBorders>
          </w:tcPr>
          <w:p>
            <w:pPr>
              <w:spacing w:after="0"/>
              <w:rPr>
                <w:sz w:val="12"/>
                <w:szCs w:val="12"/>
                <w:color w:val="auto"/>
              </w:rPr>
            </w:pPr>
          </w:p>
        </w:tc>
        <w:tc>
          <w:tcPr>
            <w:tcW w:w="258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58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2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Commodity</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Discounted</w:t>
            </w:r>
          </w:p>
        </w:tc>
        <w:tc>
          <w:tcPr>
            <w:tcW w:w="136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Forward power</w:t>
            </w:r>
          </w:p>
        </w:tc>
        <w:tc>
          <w:tcPr>
            <w:tcW w:w="740" w:type="dxa"/>
            <w:vAlign w:val="bottom"/>
            <w:vMerge w:val="restart"/>
            <w:shd w:val="clear" w:color="auto" w:fill="CCEEFF"/>
          </w:tcPr>
          <w:p>
            <w:pPr>
              <w:jc w:val="right"/>
              <w:ind w:right="103"/>
              <w:spacing w:after="0"/>
              <w:rPr>
                <w:sz w:val="20"/>
                <w:szCs w:val="20"/>
                <w:color w:val="auto"/>
              </w:rPr>
            </w:pPr>
            <w:r>
              <w:rPr>
                <w:rFonts w:ascii="Arial" w:cs="Arial" w:eastAsia="Arial" w:hAnsi="Arial"/>
                <w:sz w:val="13"/>
                <w:szCs w:val="13"/>
                <w:color w:val="auto"/>
              </w:rPr>
              <w:t>$26.72</w:t>
            </w:r>
          </w:p>
        </w:tc>
        <w:tc>
          <w:tcPr>
            <w:tcW w:w="3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color w:val="auto"/>
              </w:rPr>
              <w:t>$57.33</w:t>
            </w:r>
          </w:p>
        </w:tc>
        <w:tc>
          <w:tcPr>
            <w:tcW w:w="78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$40.28</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83"/>
              <w:spacing w:after="0"/>
              <w:rPr>
                <w:sz w:val="20"/>
                <w:szCs w:val="20"/>
                <w:color w:val="auto"/>
              </w:rPr>
            </w:pPr>
            <w:r>
              <w:rPr>
                <w:rFonts w:ascii="Arial" w:cs="Arial" w:eastAsia="Arial" w:hAnsi="Arial"/>
                <w:sz w:val="13"/>
                <w:szCs w:val="13"/>
                <w:color w:val="auto"/>
              </w:rPr>
              <w:t>$28.45</w:t>
            </w:r>
          </w:p>
        </w:tc>
        <w:tc>
          <w:tcPr>
            <w:tcW w:w="34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color w:val="auto"/>
              </w:rPr>
              <w:t>$62.87</w:t>
            </w:r>
          </w:p>
        </w:tc>
        <w:tc>
          <w:tcPr>
            <w:tcW w:w="78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color w:val="auto"/>
              </w:rPr>
              <w:t>$38.62</w:t>
            </w:r>
          </w:p>
        </w:tc>
        <w:tc>
          <w:tcPr>
            <w:tcW w:w="0" w:type="dxa"/>
            <w:vAlign w:val="bottom"/>
          </w:tcPr>
          <w:p>
            <w:pPr>
              <w:spacing w:after="0"/>
              <w:rPr>
                <w:sz w:val="1"/>
                <w:szCs w:val="1"/>
                <w:color w:val="auto"/>
              </w:rPr>
            </w:pPr>
          </w:p>
        </w:tc>
      </w:tr>
      <w:tr>
        <w:trPr>
          <w:trHeight w:val="170"/>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derivatives</w:t>
            </w:r>
          </w:p>
        </w:tc>
        <w:tc>
          <w:tcPr>
            <w:tcW w:w="1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Flow</w:t>
            </w:r>
          </w:p>
        </w:tc>
        <w:tc>
          <w:tcPr>
            <w:tcW w:w="136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color w:val="auto"/>
              </w:rPr>
              <w:t>price</w:t>
            </w:r>
            <w:r>
              <w:rPr>
                <w:rFonts w:ascii="Arial" w:cs="Arial" w:eastAsia="Arial" w:hAnsi="Arial"/>
                <w:sz w:val="16"/>
                <w:szCs w:val="16"/>
                <w:color w:val="auto"/>
                <w:vertAlign w:val="superscript"/>
              </w:rPr>
              <w:t>(a)</w:t>
            </w:r>
          </w:p>
        </w:tc>
        <w:tc>
          <w:tcPr>
            <w:tcW w:w="74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An increase to the forward power price would increase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11 — Commitments and Contingencies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Commitments and Contingencies (All Registrants)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update to the current status of commitments and contingencies set forth in Note 16 — Commitments and Contingencies of the 2025 Form 10-K.</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Commitments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PHI Merger Commitments (Exelon, PHI, Pepco, DPL, and ACE). </w:t>
      </w:r>
      <w:r>
        <w:rPr>
          <w:rFonts w:ascii="Arial" w:cs="Arial" w:eastAsia="Arial" w:hAnsi="Arial"/>
          <w:sz w:val="13"/>
          <w:szCs w:val="13"/>
          <w:color w:val="auto"/>
        </w:rPr>
        <w:t>Approval of the PHI Merger in Delaware, New Jersey, Maryland, and the District of Columbia was conditioned upon Exelon and PHI</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agreeing to certain commitments. The following amounts represent total commitment costs that have been recorded since the acquisition date and the total remaining obligations for Exelon, PHI, Pepco, DPL, and ACE at March 31,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Description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Exelon</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PHI</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Pepco</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DPL</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ACE</w:t>
            </w:r>
          </w:p>
        </w:tc>
      </w:tr>
      <w:tr>
        <w:trPr>
          <w:trHeight w:val="19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commitments</w:t>
            </w:r>
          </w:p>
        </w:tc>
        <w:tc>
          <w:tcPr>
            <w:tcW w:w="680" w:type="dxa"/>
            <w:vAlign w:val="bottom"/>
            <w:shd w:val="clear" w:color="auto" w:fill="CCEEFF"/>
          </w:tcPr>
          <w:p>
            <w:pPr>
              <w:jc w:val="right"/>
              <w:ind w:right="543"/>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43"/>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63"/>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111</w:t>
            </w:r>
          </w:p>
        </w:tc>
      </w:tr>
      <w:tr>
        <w:trPr>
          <w:trHeight w:val="234"/>
        </w:trPr>
        <w:tc>
          <w:tcPr>
            <w:tcW w:w="5880" w:type="dxa"/>
            <w:vAlign w:val="bottom"/>
          </w:tcPr>
          <w:p>
            <w:pPr>
              <w:ind w:left="20"/>
              <w:spacing w:after="0"/>
              <w:rPr>
                <w:sz w:val="20"/>
                <w:szCs w:val="20"/>
                <w:color w:val="auto"/>
              </w:rPr>
            </w:pPr>
            <w:r>
              <w:rPr>
                <w:rFonts w:ascii="Arial" w:cs="Arial" w:eastAsia="Arial" w:hAnsi="Arial"/>
                <w:sz w:val="13"/>
                <w:szCs w:val="13"/>
                <w:color w:val="auto"/>
              </w:rPr>
              <w:t>Remaining commitments</w:t>
            </w:r>
            <w:r>
              <w:rPr>
                <w:rFonts w:ascii="Arial" w:cs="Arial" w:eastAsia="Arial" w:hAnsi="Arial"/>
                <w:sz w:val="16"/>
                <w:szCs w:val="16"/>
                <w:color w:val="auto"/>
                <w:vertAlign w:val="superscript"/>
              </w:rPr>
              <w:t>(a)</w:t>
            </w:r>
          </w:p>
        </w:tc>
        <w:tc>
          <w:tcPr>
            <w:tcW w:w="6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color w:val="auto"/>
              </w:rPr>
              <w:t>—</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Remaining commitments extend through 2026 and include escrow funds and rate credits.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11 — Commitments and Contingencies</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Commercial Commitments (All Registrants). </w:t>
      </w:r>
      <w:r>
        <w:rPr>
          <w:rFonts w:ascii="Arial" w:cs="Arial" w:eastAsia="Arial" w:hAnsi="Arial"/>
          <w:sz w:val="13"/>
          <w:szCs w:val="13"/>
          <w:color w:val="auto"/>
        </w:rPr>
        <w:t>The Registrants’ commercial commitments at March 31, 2026, representing commitments potentially triggered by future events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ind w:left="340"/>
              <w:spacing w:after="0"/>
              <w:rPr>
                <w:sz w:val="20"/>
                <w:szCs w:val="20"/>
                <w:color w:val="auto"/>
              </w:rPr>
            </w:pPr>
            <w:r>
              <w:rPr>
                <w:rFonts w:ascii="Arial" w:cs="Arial" w:eastAsia="Arial" w:hAnsi="Arial"/>
                <w:sz w:val="10"/>
                <w:szCs w:val="10"/>
                <w:b w:val="1"/>
                <w:bCs w:val="1"/>
                <w:color w:val="auto"/>
              </w:rPr>
              <w:t>Expiration within</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r>
      <w:tr>
        <w:trPr>
          <w:trHeight w:val="151"/>
        </w:trPr>
        <w:tc>
          <w:tcPr>
            <w:tcW w:w="44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7"/>
              <w:spacing w:after="0"/>
              <w:rPr>
                <w:sz w:val="20"/>
                <w:szCs w:val="20"/>
                <w:color w:val="auto"/>
              </w:rPr>
            </w:pPr>
            <w:r>
              <w:rPr>
                <w:rFonts w:ascii="Arial" w:cs="Arial" w:eastAsia="Arial" w:hAnsi="Arial"/>
                <w:sz w:val="10"/>
                <w:szCs w:val="10"/>
                <w:b w:val="1"/>
                <w:bCs w:val="1"/>
                <w:color w:val="auto"/>
              </w:rPr>
              <w:t>2026</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2027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0"/>
                <w:szCs w:val="10"/>
                <w:b w:val="1"/>
                <w:bCs w:val="1"/>
                <w:color w:val="auto"/>
              </w:rPr>
              <w:t>2028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7"/>
              <w:spacing w:after="0"/>
              <w:rPr>
                <w:sz w:val="20"/>
                <w:szCs w:val="20"/>
                <w:color w:val="auto"/>
              </w:rPr>
            </w:pPr>
            <w:r>
              <w:rPr>
                <w:rFonts w:ascii="Arial" w:cs="Arial" w:eastAsia="Arial" w:hAnsi="Arial"/>
                <w:sz w:val="10"/>
                <w:szCs w:val="10"/>
                <w:b w:val="1"/>
                <w:bCs w:val="1"/>
                <w:color w:val="auto"/>
              </w:rPr>
              <w:t>2029</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2030</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2031 and beyond</w:t>
            </w: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Exelon</w:t>
            </w: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Letters of credit</w:t>
            </w:r>
            <w:r>
              <w:rPr>
                <w:rFonts w:ascii="Arial" w:cs="Arial" w:eastAsia="Arial" w:hAnsi="Arial"/>
                <w:sz w:val="16"/>
                <w:szCs w:val="16"/>
                <w:color w:val="auto"/>
                <w:vertAlign w:val="superscript"/>
              </w:rPr>
              <w:t>(a)</w:t>
            </w: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(b)</w:t>
            </w: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Financing trust guarantees</w:t>
            </w:r>
            <w:r>
              <w:rPr>
                <w:rFonts w:ascii="Arial" w:cs="Arial" w:eastAsia="Arial" w:hAnsi="Arial"/>
                <w:sz w:val="16"/>
                <w:szCs w:val="16"/>
                <w:color w:val="auto"/>
                <w:vertAlign w:val="superscript"/>
              </w:rPr>
              <w:t>(c)</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300</w:t>
            </w:r>
          </w:p>
        </w:tc>
      </w:tr>
      <w:tr>
        <w:trPr>
          <w:trHeight w:val="170"/>
        </w:trPr>
        <w:tc>
          <w:tcPr>
            <w:tcW w:w="44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Guaranteed lease residual values</w:t>
            </w:r>
            <w:r>
              <w:rPr>
                <w:rFonts w:ascii="Arial" w:cs="Arial" w:eastAsia="Arial" w:hAnsi="Arial"/>
                <w:sz w:val="16"/>
                <w:szCs w:val="16"/>
                <w:color w:val="auto"/>
                <w:vertAlign w:val="superscript"/>
              </w:rPr>
              <w:t>(d)</w:t>
            </w: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0"/>
        </w:trPr>
        <w:tc>
          <w:tcPr>
            <w:tcW w:w="4480" w:type="dxa"/>
            <w:vAlign w:val="bottom"/>
          </w:tcPr>
          <w:p>
            <w:pPr>
              <w:ind w:left="20"/>
              <w:spacing w:after="0"/>
              <w:rPr>
                <w:sz w:val="20"/>
                <w:szCs w:val="20"/>
                <w:color w:val="auto"/>
              </w:rPr>
            </w:pPr>
            <w:r>
              <w:rPr>
                <w:rFonts w:ascii="Arial" w:cs="Arial" w:eastAsia="Arial" w:hAnsi="Arial"/>
                <w:sz w:val="13"/>
                <w:szCs w:val="13"/>
                <w:color w:val="auto"/>
              </w:rPr>
              <w:t>Total commercial commitments</w:t>
            </w:r>
          </w:p>
        </w:tc>
        <w:tc>
          <w:tcPr>
            <w:tcW w:w="5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923</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307</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89"/>
        </w:trPr>
        <w:tc>
          <w:tcPr>
            <w:tcW w:w="44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187"/>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ComEd</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73"/>
        </w:trPr>
        <w:tc>
          <w:tcPr>
            <w:tcW w:w="448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Letters of credit</w:t>
            </w:r>
            <w:r>
              <w:rPr>
                <w:rFonts w:ascii="Arial" w:cs="Arial" w:eastAsia="Arial" w:hAnsi="Arial"/>
                <w:sz w:val="16"/>
                <w:szCs w:val="16"/>
                <w:color w:val="auto"/>
                <w:vertAlign w:val="superscript"/>
              </w:rPr>
              <w:t>(a)</w:t>
            </w:r>
          </w:p>
        </w:tc>
        <w:tc>
          <w:tcPr>
            <w:tcW w:w="5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(b)</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Financing trust guarantees</w:t>
            </w:r>
            <w:r>
              <w:rPr>
                <w:rFonts w:ascii="Arial" w:cs="Arial" w:eastAsia="Arial" w:hAnsi="Arial"/>
                <w:sz w:val="16"/>
                <w:szCs w:val="16"/>
                <w:color w:val="auto"/>
                <w:vertAlign w:val="superscript"/>
              </w:rPr>
              <w:t>(c)</w:t>
            </w:r>
          </w:p>
        </w:tc>
        <w:tc>
          <w:tcPr>
            <w:tcW w:w="5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60"/>
        </w:trPr>
        <w:tc>
          <w:tcPr>
            <w:tcW w:w="4480" w:type="dxa"/>
            <w:vAlign w:val="bottom"/>
          </w:tcPr>
          <w:p>
            <w:pPr>
              <w:ind w:left="20"/>
              <w:spacing w:after="0"/>
              <w:rPr>
                <w:sz w:val="20"/>
                <w:szCs w:val="20"/>
                <w:color w:val="auto"/>
              </w:rPr>
            </w:pPr>
            <w:r>
              <w:rPr>
                <w:rFonts w:ascii="Arial" w:cs="Arial" w:eastAsia="Arial" w:hAnsi="Arial"/>
                <w:sz w:val="13"/>
                <w:szCs w:val="13"/>
                <w:color w:val="auto"/>
              </w:rPr>
              <w:t>Total commercial commitments</w:t>
            </w: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3"/>
                <w:szCs w:val="13"/>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44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187"/>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PECO</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73"/>
        </w:trPr>
        <w:tc>
          <w:tcPr>
            <w:tcW w:w="448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Letters of credit</w:t>
            </w:r>
            <w:r>
              <w:rPr>
                <w:rFonts w:ascii="Arial" w:cs="Arial" w:eastAsia="Arial" w:hAnsi="Arial"/>
                <w:sz w:val="16"/>
                <w:szCs w:val="16"/>
                <w:color w:val="auto"/>
                <w:vertAlign w:val="superscript"/>
              </w:rPr>
              <w:t>(a)</w:t>
            </w:r>
          </w:p>
        </w:tc>
        <w:tc>
          <w:tcPr>
            <w:tcW w:w="5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(b)</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Financing trust guarantees</w:t>
            </w:r>
            <w:r>
              <w:rPr>
                <w:rFonts w:ascii="Arial" w:cs="Arial" w:eastAsia="Arial" w:hAnsi="Arial"/>
                <w:sz w:val="16"/>
                <w:szCs w:val="16"/>
                <w:color w:val="auto"/>
                <w:vertAlign w:val="superscript"/>
              </w:rPr>
              <w:t>(c)</w:t>
            </w:r>
          </w:p>
        </w:tc>
        <w:tc>
          <w:tcPr>
            <w:tcW w:w="5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0"/>
        </w:trPr>
        <w:tc>
          <w:tcPr>
            <w:tcW w:w="4480" w:type="dxa"/>
            <w:vAlign w:val="bottom"/>
          </w:tcPr>
          <w:p>
            <w:pPr>
              <w:ind w:left="20"/>
              <w:spacing w:after="0"/>
              <w:rPr>
                <w:sz w:val="20"/>
                <w:szCs w:val="20"/>
                <w:color w:val="auto"/>
              </w:rPr>
            </w:pPr>
            <w:r>
              <w:rPr>
                <w:rFonts w:ascii="Arial" w:cs="Arial" w:eastAsia="Arial" w:hAnsi="Arial"/>
                <w:sz w:val="13"/>
                <w:szCs w:val="13"/>
                <w:color w:val="auto"/>
              </w:rPr>
              <w:t>Total commercial commitments</w:t>
            </w: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3"/>
                <w:szCs w:val="13"/>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3"/>
                <w:szCs w:val="13"/>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44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187"/>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BGE</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73"/>
        </w:trPr>
        <w:tc>
          <w:tcPr>
            <w:tcW w:w="448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Letters of credit</w:t>
            </w:r>
            <w:r>
              <w:rPr>
                <w:rFonts w:ascii="Arial" w:cs="Arial" w:eastAsia="Arial" w:hAnsi="Arial"/>
                <w:sz w:val="16"/>
                <w:szCs w:val="16"/>
                <w:color w:val="auto"/>
                <w:vertAlign w:val="superscript"/>
              </w:rPr>
              <w:t>(a)</w:t>
            </w:r>
          </w:p>
        </w:tc>
        <w:tc>
          <w:tcPr>
            <w:tcW w:w="5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(b)</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commercial commitments</w:t>
            </w:r>
          </w:p>
        </w:tc>
        <w:tc>
          <w:tcPr>
            <w:tcW w:w="5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69"/>
        </w:trPr>
        <w:tc>
          <w:tcPr>
            <w:tcW w:w="4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9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PHI</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Letters of credit</w:t>
            </w:r>
            <w:r>
              <w:rPr>
                <w:rFonts w:ascii="Arial" w:cs="Arial" w:eastAsia="Arial" w:hAnsi="Arial"/>
                <w:sz w:val="16"/>
                <w:szCs w:val="16"/>
                <w:color w:val="auto"/>
                <w:vertAlign w:val="superscript"/>
              </w:rPr>
              <w:t>(a)</w:t>
            </w: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(b)</w:t>
            </w: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Guaranteed lease residual values</w:t>
            </w:r>
            <w:r>
              <w:rPr>
                <w:rFonts w:ascii="Arial" w:cs="Arial" w:eastAsia="Arial" w:hAnsi="Arial"/>
                <w:sz w:val="16"/>
                <w:szCs w:val="16"/>
                <w:color w:val="auto"/>
                <w:vertAlign w:val="superscript"/>
              </w:rPr>
              <w:t>(d)</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85"/>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commercial commitments</w:t>
            </w:r>
          </w:p>
        </w:tc>
        <w:tc>
          <w:tcPr>
            <w:tcW w:w="580" w:type="dxa"/>
            <w:vAlign w:val="bottom"/>
            <w:tcBorders>
              <w:top w:val="single" w:sz="8" w:color="auto"/>
              <w:bottom w:val="single" w:sz="8" w:color="auto"/>
            </w:tcBorders>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4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9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Pepco</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Letters of credit</w:t>
            </w:r>
            <w:r>
              <w:rPr>
                <w:rFonts w:ascii="Arial" w:cs="Arial" w:eastAsia="Arial" w:hAnsi="Arial"/>
                <w:sz w:val="16"/>
                <w:szCs w:val="16"/>
                <w:color w:val="auto"/>
                <w:vertAlign w:val="superscript"/>
              </w:rPr>
              <w:t>(a)</w:t>
            </w: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(b)</w:t>
            </w: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Guaranteed lease residual values</w:t>
            </w:r>
            <w:r>
              <w:rPr>
                <w:rFonts w:ascii="Arial" w:cs="Arial" w:eastAsia="Arial" w:hAnsi="Arial"/>
                <w:sz w:val="16"/>
                <w:szCs w:val="16"/>
                <w:color w:val="auto"/>
                <w:vertAlign w:val="superscript"/>
              </w:rPr>
              <w:t>(d)</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5"/>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commercial commitments</w:t>
            </w:r>
          </w:p>
        </w:tc>
        <w:tc>
          <w:tcPr>
            <w:tcW w:w="580" w:type="dxa"/>
            <w:vAlign w:val="bottom"/>
            <w:tcBorders>
              <w:top w:val="single" w:sz="8" w:color="auto"/>
              <w:bottom w:val="single" w:sz="8" w:color="auto"/>
            </w:tcBorders>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4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9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DPL</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Letters of credit</w:t>
            </w:r>
            <w:r>
              <w:rPr>
                <w:rFonts w:ascii="Arial" w:cs="Arial" w:eastAsia="Arial" w:hAnsi="Arial"/>
                <w:sz w:val="16"/>
                <w:szCs w:val="16"/>
                <w:color w:val="auto"/>
                <w:vertAlign w:val="superscript"/>
              </w:rPr>
              <w:t>(a)</w:t>
            </w: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(b)</w:t>
            </w: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Guaranteed lease residual values</w:t>
            </w:r>
            <w:r>
              <w:rPr>
                <w:rFonts w:ascii="Arial" w:cs="Arial" w:eastAsia="Arial" w:hAnsi="Arial"/>
                <w:sz w:val="16"/>
                <w:szCs w:val="16"/>
                <w:color w:val="auto"/>
                <w:vertAlign w:val="superscript"/>
              </w:rPr>
              <w:t>(d)</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85"/>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commercial commitments</w:t>
            </w:r>
          </w:p>
        </w:tc>
        <w:tc>
          <w:tcPr>
            <w:tcW w:w="580" w:type="dxa"/>
            <w:vAlign w:val="bottom"/>
            <w:tcBorders>
              <w:top w:val="single" w:sz="8" w:color="auto"/>
              <w:bottom w:val="single" w:sz="8" w:color="auto"/>
            </w:tcBorders>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4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9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ACE</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Letters of credit</w:t>
            </w:r>
            <w:r>
              <w:rPr>
                <w:rFonts w:ascii="Arial" w:cs="Arial" w:eastAsia="Arial" w:hAnsi="Arial"/>
                <w:sz w:val="16"/>
                <w:szCs w:val="16"/>
                <w:color w:val="auto"/>
                <w:vertAlign w:val="superscript"/>
              </w:rPr>
              <w:t>(a)</w:t>
            </w:r>
          </w:p>
        </w:tc>
        <w:tc>
          <w:tcPr>
            <w:tcW w:w="580" w:type="dxa"/>
            <w:vAlign w:val="bottom"/>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(b)</w:t>
            </w: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480" w:type="dxa"/>
            <w:vAlign w:val="bottom"/>
          </w:tcPr>
          <w:p>
            <w:pPr>
              <w:ind w:left="20"/>
              <w:spacing w:after="0" w:line="170" w:lineRule="exact"/>
              <w:rPr>
                <w:sz w:val="20"/>
                <w:szCs w:val="20"/>
                <w:color w:val="auto"/>
              </w:rPr>
            </w:pPr>
            <w:r>
              <w:rPr>
                <w:rFonts w:ascii="Arial" w:cs="Arial" w:eastAsia="Arial" w:hAnsi="Arial"/>
                <w:sz w:val="13"/>
                <w:szCs w:val="13"/>
                <w:color w:val="auto"/>
              </w:rPr>
              <w:t>Guaranteed lease residual values</w:t>
            </w:r>
            <w:r>
              <w:rPr>
                <w:rFonts w:ascii="Arial" w:cs="Arial" w:eastAsia="Arial" w:hAnsi="Arial"/>
                <w:sz w:val="16"/>
                <w:szCs w:val="16"/>
                <w:color w:val="auto"/>
                <w:vertAlign w:val="superscript"/>
              </w:rPr>
              <w:t>(d)</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5"/>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commercial commitments</w:t>
            </w:r>
          </w:p>
        </w:tc>
        <w:tc>
          <w:tcPr>
            <w:tcW w:w="580" w:type="dxa"/>
            <w:vAlign w:val="bottom"/>
            <w:tcBorders>
              <w:top w:val="single" w:sz="8" w:color="auto"/>
              <w:bottom w:val="single" w:sz="8" w:color="auto"/>
            </w:tcBorders>
            <w:shd w:val="clear" w:color="auto" w:fill="CCEEFF"/>
          </w:tcPr>
          <w:p>
            <w:pPr>
              <w:jc w:val="right"/>
              <w:ind w:right="4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11 — Commitments and Contingencies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Exelon and certain of its subsidiaries maintain non-debt letters of credit to provide credit support for certain transactions as requested by third parties.</w:t>
      </w:r>
    </w:p>
    <w:p>
      <w:pPr>
        <w:spacing w:after="0" w:line="13" w:lineRule="exact"/>
        <w:rPr>
          <w:rFonts w:ascii="Arial" w:cs="Arial" w:eastAsia="Arial" w:hAnsi="Arial"/>
          <w:sz w:val="11"/>
          <w:szCs w:val="11"/>
          <w:color w:val="auto"/>
        </w:rPr>
      </w:pPr>
    </w:p>
    <w:p>
      <w:pPr>
        <w:ind w:left="260" w:hanging="255"/>
        <w:spacing w:after="0" w:line="251" w:lineRule="auto"/>
        <w:tabs>
          <w:tab w:leader="none" w:pos="249" w:val="left"/>
        </w:tabs>
        <w:numPr>
          <w:ilvl w:val="0"/>
          <w:numId w:val="23"/>
        </w:numPr>
        <w:rPr>
          <w:rFonts w:ascii="Arial" w:cs="Arial" w:eastAsia="Arial" w:hAnsi="Arial"/>
          <w:sz w:val="11"/>
          <w:szCs w:val="11"/>
          <w:color w:val="auto"/>
        </w:rPr>
      </w:pPr>
      <w:r>
        <w:rPr>
          <w:rFonts w:ascii="Arial" w:cs="Arial" w:eastAsia="Arial" w:hAnsi="Arial"/>
          <w:sz w:val="11"/>
          <w:szCs w:val="11"/>
          <w:color w:val="auto"/>
        </w:rPr>
        <w:t>Surety bonds—Guarantees issued related to contract and commercial agreements, excluding bid bonds. Historically, payments under the guarantees have not been made and the likelihood of payments being required is remote.</w:t>
      </w:r>
    </w:p>
    <w:p>
      <w:pPr>
        <w:ind w:left="260" w:hanging="255"/>
        <w:spacing w:after="0"/>
        <w:tabs>
          <w:tab w:leader="none" w:pos="2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Reflects guarantee of ComEd and PECO securities held by ComEd Financing III, PECO Trust III, and PECO Trust IV.</w:t>
      </w:r>
    </w:p>
    <w:p>
      <w:pPr>
        <w:spacing w:after="0" w:line="11" w:lineRule="exact"/>
        <w:rPr>
          <w:rFonts w:ascii="Arial" w:cs="Arial" w:eastAsia="Arial" w:hAnsi="Arial"/>
          <w:sz w:val="11"/>
          <w:szCs w:val="11"/>
          <w:color w:val="auto"/>
        </w:rPr>
      </w:pPr>
    </w:p>
    <w:p>
      <w:pPr>
        <w:jc w:val="both"/>
        <w:ind w:left="260" w:hanging="255"/>
        <w:spacing w:after="0" w:line="272" w:lineRule="auto"/>
        <w:tabs>
          <w:tab w:leader="none" w:pos="249"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Represents the maximum potential obligation in the event the fair value of certain leased equipment and fleet vehicles is zero at the end of the maximum lease term. The lease term associated with these assets ranges from 1 to 9 years. The maximum potential obligation at the end of the minimum lease term would be $53 million guaranteed by Exelon and PHI, of which $17 million, $20 million, and $16 million is guaranteed by Pepco, DPL, and ACE, respectively. Historically, payments under the guarantees have not been made and PHI believes the likelihood of payments being required under the guarantees is remote.</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 Remediation Matters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General (All Registrants). </w:t>
      </w:r>
      <w:r>
        <w:rPr>
          <w:rFonts w:ascii="Arial" w:cs="Arial" w:eastAsia="Arial" w:hAnsi="Arial"/>
          <w:sz w:val="13"/>
          <w:szCs w:val="13"/>
          <w:color w:val="auto"/>
        </w:rPr>
        <w:t>The Registrants’ operations have in the past, and may in the future, require substantial expenditures to comply with environmental laws. Additionally, under federal and state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environmental laws, the Registrants are generally liable for the costs of remediating environmental contamination of property now or formerly owned by them and of property contaminated by hazardous substances generated by them. The Registrants own or lease a number of real estate parcels, including parcels on which their operations or the operations of others may have resulted in contamination by substances that are considered hazardous under environmental laws. In addition, the Registrants are currently involved in a number of proceedings relating to sites where hazardous substances have been deposited and may be subject to additional proceedings in the future. Unless otherwise disclosed, the Registrants cannot reasonably estimate whether they will incur significant liabilities for additional investigation and remediation costs at these or additional sites identified by the Registrants, environmental agencies, or others, or whether such costs will be recoverable from third parties, including customers. Additional costs could have a material, unfavorable impact on the Registrants' financial statements.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MGP Sites (All Registrants). </w:t>
      </w:r>
      <w:r>
        <w:rPr>
          <w:rFonts w:ascii="Arial" w:cs="Arial" w:eastAsia="Arial" w:hAnsi="Arial"/>
          <w:sz w:val="13"/>
          <w:szCs w:val="13"/>
          <w:color w:val="auto"/>
        </w:rPr>
        <w:t>ComEd, PECO, BGE, and DPL have identified sites where former MGP or gas purification activities have or may have resulted in actual site contamination. For some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sites, there are additional PRPs that may share responsibility for the ultimate remediation of each location.</w:t>
      </w:r>
    </w:p>
    <w:p>
      <w:pPr>
        <w:spacing w:after="0" w:line="93" w:lineRule="exact"/>
        <w:rPr>
          <w:sz w:val="20"/>
          <w:szCs w:val="20"/>
          <w:color w:val="auto"/>
        </w:rPr>
      </w:pPr>
    </w:p>
    <w:p>
      <w:pPr>
        <w:ind w:left="760" w:hanging="246"/>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ComEd has 16 sites currently under some degree of active study and/or remediation. ComEd expects the majority of the remediation at these sites to continue through at least 2033.</w:t>
      </w:r>
    </w:p>
    <w:p>
      <w:pPr>
        <w:spacing w:after="0" w:line="136" w:lineRule="exact"/>
        <w:rPr>
          <w:rFonts w:ascii="Arial" w:cs="Arial" w:eastAsia="Arial" w:hAnsi="Arial"/>
          <w:sz w:val="13"/>
          <w:szCs w:val="13"/>
          <w:color w:val="auto"/>
        </w:rPr>
      </w:pPr>
    </w:p>
    <w:p>
      <w:pPr>
        <w:ind w:left="760" w:hanging="246"/>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PECO has 5 sites currently under some degree of active study and/or remediation. PECO expects the majority of the remediation at these sites to continue through at least 2030.</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BGE has 4 sites currently requiring some level of remediation and/or ongoing activity. BGE expects the majority of the remediation at these sites to continue through at least 2026.</w:t>
      </w:r>
    </w:p>
    <w:p>
      <w:pPr>
        <w:spacing w:after="0" w:line="136" w:lineRule="exact"/>
        <w:rPr>
          <w:rFonts w:ascii="Arial" w:cs="Arial" w:eastAsia="Arial" w:hAnsi="Arial"/>
          <w:sz w:val="13"/>
          <w:szCs w:val="13"/>
          <w:color w:val="auto"/>
        </w:rPr>
      </w:pPr>
    </w:p>
    <w:p>
      <w:pPr>
        <w:ind w:left="760" w:hanging="246"/>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DPL has 1 site currently under study and the required cost at the site is not expected to be material.</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historical nature of the MGP and gas purification sites, and the fact that many of the sites have been buried and built over, impacts the ability to determine a precise estimate of the ultimate costs prior to initial sampling and determination of the exact scope and method of remedial activity. Management determines its best estimate of remediation costs using all available information at the time of each study, including probabilistic and deterministic modeling for ComEd and PECO, and the remediation standards currently required by the applicable state environmental agency. Prior to performing any significant clean up, each site remediation plan is approved by the appropriate state environmental agency.</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ComEd, pursuant to an ICC order, and PECO, pursuant to a PAPUC order, are currently recovering environmental remediation costs of former MGP facility sites through customer rates. While BGE and DPL do not have riders for MGP clean-up costs, they have historically received recovery of actual clean-up costs in distribution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11 — Commitments and Contingencies</w:t>
      </w: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At March 31, 2026 and December 31, 2025, the Registrants had accrued the following undiscounted amounts for environmental liabilities in Accrued expenses, Other current liabilities, and Other deferred credits and other liabilities in their respective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2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3"/>
          </w:tcPr>
          <w:p>
            <w:pPr>
              <w:jc w:val="right"/>
              <w:ind w:right="1607"/>
              <w:spacing w:after="0"/>
              <w:rPr>
                <w:sz w:val="20"/>
                <w:szCs w:val="20"/>
                <w:color w:val="auto"/>
              </w:rPr>
            </w:pPr>
            <w:r>
              <w:rPr>
                <w:rFonts w:ascii="Arial" w:cs="Arial" w:eastAsia="Arial" w:hAnsi="Arial"/>
                <w:sz w:val="10"/>
                <w:szCs w:val="10"/>
                <w:b w:val="1"/>
                <w:bCs w:val="1"/>
                <w:color w:val="auto"/>
              </w:rPr>
              <w:t>March 31, 2026</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0"/>
                <w:szCs w:val="10"/>
                <w:b w:val="1"/>
                <w:bCs w:val="1"/>
                <w:color w:val="auto"/>
              </w:rPr>
              <w:t>December 31, 2025</w:t>
            </w:r>
          </w:p>
        </w:tc>
        <w:tc>
          <w:tcPr>
            <w:tcW w:w="1900" w:type="dxa"/>
            <w:vAlign w:val="bottom"/>
            <w:tcBorders>
              <w:bottom w:val="single" w:sz="8" w:color="auto"/>
            </w:tcBorders>
          </w:tcPr>
          <w:p>
            <w:pPr>
              <w:spacing w:after="0"/>
              <w:rPr>
                <w:sz w:val="12"/>
                <w:szCs w:val="12"/>
                <w:color w:val="auto"/>
              </w:rPr>
            </w:pPr>
          </w:p>
        </w:tc>
      </w:tr>
      <w:tr>
        <w:trPr>
          <w:trHeight w:val="122"/>
        </w:trPr>
        <w:tc>
          <w:tcPr>
            <w:tcW w:w="1420" w:type="dxa"/>
            <w:vAlign w:val="bottom"/>
          </w:tcPr>
          <w:p>
            <w:pPr>
              <w:spacing w:after="0"/>
              <w:rPr>
                <w:sz w:val="10"/>
                <w:szCs w:val="10"/>
                <w:color w:val="auto"/>
              </w:rPr>
            </w:pPr>
          </w:p>
        </w:tc>
        <w:tc>
          <w:tcPr>
            <w:tcW w:w="1920" w:type="dxa"/>
            <w:vAlign w:val="bottom"/>
          </w:tcPr>
          <w:p>
            <w:pPr>
              <w:jc w:val="center"/>
              <w:ind w:left="407"/>
              <w:spacing w:after="0"/>
              <w:rPr>
                <w:sz w:val="20"/>
                <w:szCs w:val="20"/>
                <w:color w:val="auto"/>
              </w:rPr>
            </w:pPr>
            <w:r>
              <w:rPr>
                <w:rFonts w:ascii="Arial" w:cs="Arial" w:eastAsia="Arial" w:hAnsi="Arial"/>
                <w:sz w:val="10"/>
                <w:szCs w:val="10"/>
                <w:b w:val="1"/>
                <w:bCs w:val="1"/>
                <w:color w:val="auto"/>
                <w:w w:val="97"/>
              </w:rPr>
              <w:t>Total Environmental</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tcPr>
          <w:p>
            <w:pPr>
              <w:jc w:val="center"/>
              <w:ind w:left="367"/>
              <w:spacing w:after="0"/>
              <w:rPr>
                <w:sz w:val="20"/>
                <w:szCs w:val="20"/>
                <w:color w:val="auto"/>
              </w:rPr>
            </w:pPr>
            <w:r>
              <w:rPr>
                <w:rFonts w:ascii="Arial" w:cs="Arial" w:eastAsia="Arial" w:hAnsi="Arial"/>
                <w:sz w:val="10"/>
                <w:szCs w:val="10"/>
                <w:b w:val="1"/>
                <w:bCs w:val="1"/>
                <w:color w:val="auto"/>
                <w:w w:val="99"/>
              </w:rPr>
              <w:t>Portion of Total Related to</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jc w:val="center"/>
              <w:ind w:left="467"/>
              <w:spacing w:after="0"/>
              <w:rPr>
                <w:sz w:val="20"/>
                <w:szCs w:val="20"/>
                <w:color w:val="auto"/>
              </w:rPr>
            </w:pPr>
            <w:r>
              <w:rPr>
                <w:rFonts w:ascii="Arial" w:cs="Arial" w:eastAsia="Arial" w:hAnsi="Arial"/>
                <w:sz w:val="10"/>
                <w:szCs w:val="10"/>
                <w:b w:val="1"/>
                <w:bCs w:val="1"/>
                <w:color w:val="auto"/>
                <w:w w:val="97"/>
              </w:rPr>
              <w:t>Total Environmental</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00" w:type="dxa"/>
            <w:vAlign w:val="bottom"/>
          </w:tcPr>
          <w:p>
            <w:pPr>
              <w:jc w:val="center"/>
              <w:ind w:right="420"/>
              <w:spacing w:after="0"/>
              <w:rPr>
                <w:sz w:val="20"/>
                <w:szCs w:val="20"/>
                <w:color w:val="auto"/>
              </w:rPr>
            </w:pPr>
            <w:r>
              <w:rPr>
                <w:rFonts w:ascii="Arial" w:cs="Arial" w:eastAsia="Arial" w:hAnsi="Arial"/>
                <w:sz w:val="10"/>
                <w:szCs w:val="10"/>
                <w:b w:val="1"/>
                <w:bCs w:val="1"/>
                <w:color w:val="auto"/>
                <w:w w:val="97"/>
              </w:rPr>
              <w:t>Portion of Total Related to</w:t>
            </w:r>
          </w:p>
        </w:tc>
      </w:tr>
      <w:tr>
        <w:trPr>
          <w:trHeight w:val="117"/>
        </w:trPr>
        <w:tc>
          <w:tcPr>
            <w:tcW w:w="1420" w:type="dxa"/>
            <w:vAlign w:val="bottom"/>
          </w:tcPr>
          <w:p>
            <w:pPr>
              <w:spacing w:after="0"/>
              <w:rPr>
                <w:sz w:val="10"/>
                <w:szCs w:val="10"/>
                <w:color w:val="auto"/>
              </w:rPr>
            </w:pPr>
          </w:p>
        </w:tc>
        <w:tc>
          <w:tcPr>
            <w:tcW w:w="1920" w:type="dxa"/>
            <w:vAlign w:val="bottom"/>
          </w:tcPr>
          <w:p>
            <w:pPr>
              <w:jc w:val="center"/>
              <w:ind w:left="407"/>
              <w:spacing w:after="0"/>
              <w:rPr>
                <w:sz w:val="20"/>
                <w:szCs w:val="20"/>
                <w:color w:val="auto"/>
              </w:rPr>
            </w:pPr>
            <w:r>
              <w:rPr>
                <w:rFonts w:ascii="Arial" w:cs="Arial" w:eastAsia="Arial" w:hAnsi="Arial"/>
                <w:sz w:val="10"/>
                <w:szCs w:val="10"/>
                <w:b w:val="1"/>
                <w:bCs w:val="1"/>
                <w:color w:val="auto"/>
                <w:w w:val="99"/>
              </w:rPr>
              <w:t>Investigation and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tcPr>
          <w:p>
            <w:pPr>
              <w:jc w:val="center"/>
              <w:ind w:left="367"/>
              <w:spacing w:after="0"/>
              <w:rPr>
                <w:sz w:val="20"/>
                <w:szCs w:val="20"/>
                <w:color w:val="auto"/>
              </w:rPr>
            </w:pPr>
            <w:r>
              <w:rPr>
                <w:rFonts w:ascii="Arial" w:cs="Arial" w:eastAsia="Arial" w:hAnsi="Arial"/>
                <w:sz w:val="10"/>
                <w:szCs w:val="10"/>
                <w:b w:val="1"/>
                <w:bCs w:val="1"/>
                <w:color w:val="auto"/>
              </w:rPr>
              <w:t>MGP Investigation and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jc w:val="center"/>
              <w:ind w:left="467"/>
              <w:spacing w:after="0"/>
              <w:rPr>
                <w:sz w:val="20"/>
                <w:szCs w:val="20"/>
                <w:color w:val="auto"/>
              </w:rPr>
            </w:pPr>
            <w:r>
              <w:rPr>
                <w:rFonts w:ascii="Arial" w:cs="Arial" w:eastAsia="Arial" w:hAnsi="Arial"/>
                <w:sz w:val="10"/>
                <w:szCs w:val="10"/>
                <w:b w:val="1"/>
                <w:bCs w:val="1"/>
                <w:color w:val="auto"/>
                <w:w w:val="99"/>
              </w:rPr>
              <w:t>Investigation and</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00" w:type="dxa"/>
            <w:vAlign w:val="bottom"/>
          </w:tcPr>
          <w:p>
            <w:pPr>
              <w:jc w:val="center"/>
              <w:ind w:right="420"/>
              <w:spacing w:after="0"/>
              <w:rPr>
                <w:sz w:val="20"/>
                <w:szCs w:val="20"/>
                <w:color w:val="auto"/>
              </w:rPr>
            </w:pPr>
            <w:r>
              <w:rPr>
                <w:rFonts w:ascii="Arial" w:cs="Arial" w:eastAsia="Arial" w:hAnsi="Arial"/>
                <w:sz w:val="10"/>
                <w:szCs w:val="10"/>
                <w:b w:val="1"/>
                <w:bCs w:val="1"/>
                <w:color w:val="auto"/>
                <w:w w:val="98"/>
              </w:rPr>
              <w:t>MGP Investigation and</w:t>
            </w:r>
          </w:p>
        </w:tc>
      </w:tr>
      <w:tr>
        <w:trPr>
          <w:trHeight w:val="136"/>
        </w:trPr>
        <w:tc>
          <w:tcPr>
            <w:tcW w:w="1420" w:type="dxa"/>
            <w:vAlign w:val="bottom"/>
          </w:tcPr>
          <w:p>
            <w:pPr>
              <w:spacing w:after="0"/>
              <w:rPr>
                <w:sz w:val="11"/>
                <w:szCs w:val="11"/>
                <w:color w:val="auto"/>
              </w:rPr>
            </w:pPr>
          </w:p>
        </w:tc>
        <w:tc>
          <w:tcPr>
            <w:tcW w:w="1920" w:type="dxa"/>
            <w:vAlign w:val="bottom"/>
          </w:tcPr>
          <w:p>
            <w:pPr>
              <w:jc w:val="center"/>
              <w:ind w:left="427"/>
              <w:spacing w:after="0"/>
              <w:rPr>
                <w:sz w:val="20"/>
                <w:szCs w:val="20"/>
                <w:color w:val="auto"/>
              </w:rPr>
            </w:pPr>
            <w:r>
              <w:rPr>
                <w:rFonts w:ascii="Arial" w:cs="Arial" w:eastAsia="Arial" w:hAnsi="Arial"/>
                <w:sz w:val="10"/>
                <w:szCs w:val="10"/>
                <w:b w:val="1"/>
                <w:bCs w:val="1"/>
                <w:color w:val="auto"/>
                <w:w w:val="99"/>
              </w:rPr>
              <w:t>Remediation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ind w:left="367"/>
              <w:spacing w:after="0"/>
              <w:rPr>
                <w:sz w:val="20"/>
                <w:szCs w:val="20"/>
                <w:color w:val="auto"/>
              </w:rPr>
            </w:pPr>
            <w:r>
              <w:rPr>
                <w:rFonts w:ascii="Arial" w:cs="Arial" w:eastAsia="Arial" w:hAnsi="Arial"/>
                <w:sz w:val="10"/>
                <w:szCs w:val="10"/>
                <w:b w:val="1"/>
                <w:bCs w:val="1"/>
                <w:color w:val="auto"/>
                <w:w w:val="99"/>
              </w:rPr>
              <w:t>Remediation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ind w:left="487"/>
              <w:spacing w:after="0"/>
              <w:rPr>
                <w:sz w:val="20"/>
                <w:szCs w:val="20"/>
                <w:color w:val="auto"/>
              </w:rPr>
            </w:pPr>
            <w:r>
              <w:rPr>
                <w:rFonts w:ascii="Arial" w:cs="Arial" w:eastAsia="Arial" w:hAnsi="Arial"/>
                <w:sz w:val="10"/>
                <w:szCs w:val="10"/>
                <w:b w:val="1"/>
                <w:bCs w:val="1"/>
                <w:color w:val="auto"/>
                <w:w w:val="99"/>
              </w:rPr>
              <w:t>Remediation Liabilities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tcPr>
          <w:p>
            <w:pPr>
              <w:jc w:val="center"/>
              <w:ind w:right="420"/>
              <w:spacing w:after="0"/>
              <w:rPr>
                <w:sz w:val="20"/>
                <w:szCs w:val="20"/>
                <w:color w:val="auto"/>
              </w:rPr>
            </w:pPr>
            <w:r>
              <w:rPr>
                <w:rFonts w:ascii="Arial" w:cs="Arial" w:eastAsia="Arial" w:hAnsi="Arial"/>
                <w:sz w:val="10"/>
                <w:szCs w:val="10"/>
                <w:b w:val="1"/>
                <w:bCs w:val="1"/>
                <w:color w:val="auto"/>
                <w:w w:val="96"/>
              </w:rPr>
              <w:t>Remediation</w:t>
            </w:r>
          </w:p>
        </w:tc>
      </w:tr>
      <w:tr>
        <w:trPr>
          <w:trHeight w:val="28"/>
        </w:trPr>
        <w:tc>
          <w:tcPr>
            <w:tcW w:w="14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82"/>
        </w:trPr>
        <w:tc>
          <w:tcPr>
            <w:tcW w:w="1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Exelon</w:t>
            </w:r>
          </w:p>
        </w:tc>
        <w:tc>
          <w:tcPr>
            <w:tcW w:w="1920" w:type="dxa"/>
            <w:vAlign w:val="bottom"/>
            <w:shd w:val="clear" w:color="auto" w:fill="CCEEFF"/>
          </w:tcPr>
          <w:p>
            <w:pPr>
              <w:jc w:val="right"/>
              <w:ind w:right="1767"/>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182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172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r>
      <w:tr>
        <w:trPr>
          <w:trHeight w:val="184"/>
        </w:trPr>
        <w:tc>
          <w:tcPr>
            <w:tcW w:w="1420" w:type="dxa"/>
            <w:vAlign w:val="bottom"/>
          </w:tcPr>
          <w:p>
            <w:pPr>
              <w:ind w:left="20"/>
              <w:spacing w:after="0"/>
              <w:rPr>
                <w:sz w:val="20"/>
                <w:szCs w:val="20"/>
                <w:color w:val="auto"/>
              </w:rPr>
            </w:pPr>
            <w:r>
              <w:rPr>
                <w:rFonts w:ascii="Arial" w:cs="Arial" w:eastAsia="Arial" w:hAnsi="Arial"/>
                <w:sz w:val="13"/>
                <w:szCs w:val="13"/>
                <w:color w:val="auto"/>
              </w:rPr>
              <w:t>ComEd</w:t>
            </w:r>
          </w:p>
        </w:tc>
        <w:tc>
          <w:tcPr>
            <w:tcW w:w="1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289</w:t>
            </w:r>
          </w:p>
        </w:tc>
      </w:tr>
      <w:tr>
        <w:trPr>
          <w:trHeight w:val="198"/>
        </w:trPr>
        <w:tc>
          <w:tcPr>
            <w:tcW w:w="1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w:t>
            </w:r>
          </w:p>
        </w:tc>
        <w:tc>
          <w:tcPr>
            <w:tcW w:w="19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84"/>
        </w:trPr>
        <w:tc>
          <w:tcPr>
            <w:tcW w:w="1420" w:type="dxa"/>
            <w:vAlign w:val="bottom"/>
          </w:tcPr>
          <w:p>
            <w:pPr>
              <w:ind w:left="20"/>
              <w:spacing w:after="0"/>
              <w:rPr>
                <w:sz w:val="20"/>
                <w:szCs w:val="20"/>
                <w:color w:val="auto"/>
              </w:rPr>
            </w:pPr>
            <w:r>
              <w:rPr>
                <w:rFonts w:ascii="Arial" w:cs="Arial" w:eastAsia="Arial" w:hAnsi="Arial"/>
                <w:sz w:val="13"/>
                <w:szCs w:val="13"/>
                <w:color w:val="auto"/>
              </w:rPr>
              <w:t>BGE</w:t>
            </w:r>
          </w:p>
        </w:tc>
        <w:tc>
          <w:tcPr>
            <w:tcW w:w="1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8"/>
        </w:trPr>
        <w:tc>
          <w:tcPr>
            <w:tcW w:w="1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w:t>
            </w:r>
          </w:p>
        </w:tc>
        <w:tc>
          <w:tcPr>
            <w:tcW w:w="19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1420" w:type="dxa"/>
            <w:vAlign w:val="bottom"/>
          </w:tcPr>
          <w:p>
            <w:pPr>
              <w:ind w:left="20"/>
              <w:spacing w:after="0"/>
              <w:rPr>
                <w:sz w:val="20"/>
                <w:szCs w:val="20"/>
                <w:color w:val="auto"/>
              </w:rPr>
            </w:pPr>
            <w:r>
              <w:rPr>
                <w:rFonts w:ascii="Arial" w:cs="Arial" w:eastAsia="Arial" w:hAnsi="Arial"/>
                <w:sz w:val="13"/>
                <w:szCs w:val="13"/>
                <w:color w:val="auto"/>
              </w:rPr>
              <w:t>Pepco</w:t>
            </w:r>
          </w:p>
        </w:tc>
        <w:tc>
          <w:tcPr>
            <w:tcW w:w="1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1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DPL</w:t>
            </w:r>
          </w:p>
        </w:tc>
        <w:tc>
          <w:tcPr>
            <w:tcW w:w="19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1420" w:type="dxa"/>
            <w:vAlign w:val="bottom"/>
          </w:tcPr>
          <w:p>
            <w:pPr>
              <w:ind w:left="20"/>
              <w:spacing w:after="0"/>
              <w:rPr>
                <w:sz w:val="20"/>
                <w:szCs w:val="20"/>
                <w:color w:val="auto"/>
              </w:rPr>
            </w:pPr>
            <w:r>
              <w:rPr>
                <w:rFonts w:ascii="Arial" w:cs="Arial" w:eastAsia="Arial" w:hAnsi="Arial"/>
                <w:sz w:val="13"/>
                <w:szCs w:val="13"/>
                <w:color w:val="auto"/>
              </w:rPr>
              <w:t>ACE</w:t>
            </w:r>
          </w:p>
        </w:tc>
        <w:tc>
          <w:tcPr>
            <w:tcW w:w="1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b w:val="1"/>
          <w:bCs w:val="1"/>
          <w:i w:val="1"/>
          <w:iCs w:val="1"/>
          <w:color w:val="auto"/>
        </w:rPr>
        <w:t>Benning Road Site (Exelon, PHI, and Pepco)</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September 2010, PHI received a letter from the EPA identifying the Benning Road site as one of six land-based sites potentially contributing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contamination of the lower Anacostia River. A portion of the site, which is owned by Pepco, was formerly the location of an electric generating facility owned by Pepco subsidiary, Pepco Energy Services (PES), which became a part of Constellation following the 2016 merger between PHI and Exelon. This generating facility was deactivated in June 2012. The remaining portion of the site consists of a Pepco transmission and distribution service center that remains in operation. In December 2011, the U.S. District Court for the District of Columbia approved a Consent Decree entered into by Pepco and Pepco Energy Services (hereinafter "Pepco Entities") with the DOEE, which requires the Pepco Entities to conduct a Remedial Investigation and Feasibility Study (RI/FS) for the Benning Road site and an approximately 10 to 15-acre portion of the adjacent Anacostia River. The purpose of this RI/FS is to define the nature and extent of contamination from the Benning Road site and to evaluate remedial alternatives.</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Pursuant to an internal agreement between the Pepco Entities, since 2013, Pepco has performed the work required by the Consent Decree and has been reimbursed for that work by an agreed upon allocation of costs between the Pepco Entities. In September 2019, the Pepco Entities issued a draft “final” RI report which the DOEE approved on February 3, 2020. In October 2022, the DOEE approved dividing the work to complete the landside portion of the FS from the waterside portion to expedite the overall schedule for completion of the project. The landside FS was approved by the DOEE on March 15th, 2024, and the waterside FS was approved by the DOEE on December 16, 2024. The DOEE and Pepco entered into an addendum to the Benning Consent Decree pursuant to which Pepco has agreed to fund or perform the remedial actions to be selected by the DOEE for the landside and waterside areas. This addendum to the Benning Consent Decree was entered by the Court on February 27, 2024 and became effective on that date. Pepco drafted separate proposed plans for the landside and waterside areas, which were approved and issued by the DOEE for public comment on December 16, 2024 and September 4, 2025, respectively. The public comment period for the landside and waterside areas closed on April 18, 2025 and October 31, 2025, respectively. Pepco submitted a matrix of proposed responses to the public comments and a proposed Record of Decision (ROD) to the DOEE for the landside area on August 15, 2025. Following the close of the waterside area comment period, Pepco will submit a matrix of proposed responses to the public comments and a proposed ROD to the DOEE for the waterside area. The DOEE will issue RODs identifying the remedial actions determined to be necessary for the landside and waterside areas, which will be implemented by Pepco in accordance with the Benning Consent Decree.</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part of the separation between Exelon and Constellation in February 2022, the internal agreement between the Pepco Entities for completion and payment for the remaining Consent Decree work was memorialized in a formal agreement for post-separation activities. A second post-separation assumption agreement between Exelon and Constellation transferred any of the potential remaining remediation liability, if any, of PES/Constellation to a non-utility subsidiary of Exelon which going forward will be responsible for those liabilities. Exelon, PHI, and Pepco have determined that a loss associated with this matter is probable and have accrued an estimated liability, which is included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11 — Commitments and Contingencies</w:t>
      </w:r>
    </w:p>
    <w:p>
      <w:pPr>
        <w:spacing w:after="0" w:line="200" w:lineRule="exact"/>
        <w:rPr>
          <w:sz w:val="20"/>
          <w:szCs w:val="20"/>
          <w:color w:val="auto"/>
        </w:rPr>
      </w:pP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Anacostia River Tidal Reach (Exelon, PHI, and Pepco)</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Contemporaneous with the Benning Road site RI/FS being performed by the Pepco Entities, the DOEE and NPS have been conducting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separate RI/FS focused on the entire tidal reach of the Anacostia River extending from just north of the Maryland-District of Columbia boundary line to the confluence of the Anacostia and Potomac Rivers. The riverwide RI incorporated the results of the river sampling performed by the Pepco Entities as part of the Benning RI/FS, as well as similar sampling efforts conducted by owners of other sites adjacent to this segment of the river and supplemental river sampling conducted by the DOEE’s contractor.</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September 30, 2020, the DOEE released its Interim ROD for the Anacostia River sediments. The Interim ROD reflects an adaptive management approach which will require several identified “hot spots” in the river to be addressed first while continuing to conduct studies and to monitor the river to evaluate improvements and determine potential future remediation plans. The adaptive management process chosen by the DOEE is less intrusive, provides more long-term environmental certainty, is less costly, and allows for site specific remediation plans already underway, including the plan for the Benning Road site to proceed to conclusion.</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July 15, 2022, Pepco received a letter from the District of Columbia's Office of the Attorney General (D.C. OAG) on behalf of the DOEE conveying a settlement offer to resolve all PRPs' liability to the District of Columbia (District) for their past costs and their anticipated future costs to complete the work for the Interim ROD. Pepco responded on July 27, 2022 agreeing to enter into settlement discussions. Pepco and the District entered into another consent decree (the “Anacostia River Consent Decree”) pursuant to which Pepco agreed to pay $47 million to resolve its liability to the District for all past costs to perform the riverwide RI/FS and all future costs to complete the work required by the Interim ROD. This amount was agreed to be paid in four equal annual installments beginning a year after the effective date of the Anacostia River Consent Decree. Pepco paid the first installment of $12 million on April 9, 2025, and the second installment of $12 million on April 7, 2026. The funds were deposited into the DOEE’s Clean Land Fund for the District’s costs of the Interim ROD work. The Anacostia River Consent Decree caps Pepco’s liability for these costs and provides Pepco with the right to seek contributions from other PRPs. The Anacostia River Consent Decree was signed by the judge for the U.S. District Court for the District of Columbia and became effective on April 11, 2024. Exelon, PHI, and Pepco have accrued a liability for Pepco’s payment obligations under the Anacostia Consent Decree and management's best estimate of its share of any other future Anacostia River response costs. Pepco has concluded that incremental exposure remains reasonably possible, but management cannot reasonably estimate a range of loss beyond the amounts recorded, which are included in the table above.</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addition to the activities associated with the remedial process outlined above, CERCLA separately requires federal and state (here including Washington, D.C.) Natural Resource Trustees (federal or state agencies designated by the President or the relevant state, respectively, or Indian tribes) to conduct an assessment of any damages to natural resources within their jurisdiction as a result of the contamination that is being remediated. The Trustees can seek compensation from responsible parties for such damages, including restoration costs. During the second quarter of 2018, Pepco became aware that the Trustees are in the beginning stages of a NRD assessment, a process that often takes many years beyond the remedial decision to complete. Pepco has concluded that a loss associated with the eventual NRD assessment is reasonably possible. Due to the early stage of the NRD process, Pepco cannot reasonably estimate the final range of loss potentially resulting from this process. Pepco has become aware, however, that the District is pursuing claims against other parties. Specifically, in January 2025, D.C. OAG filed a lawsuit against the United States seeking to declare the United States liable under CERCLA and the District of Columbia’s Brownfield Revitalization Act of 2000 and to recover the District’s response costs associated with its investigation and remediation of Anacostia River sediment contamination and for future NRDs. Pepco is not a party to this suit, but Pepco, the United States, and the District of Columbia have entered mediation discussions to resolve their respective claims against one another under CERCLA and the Brownfield Revitalization Act with respect to the river. The court has put the case on hold pending the outcome of the mediation.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noted in the Benning Road Site disclosure above, as part of the separation of Exelon and Constellation in February 2022, an assumption agreement was executed transferring any potential future remediation liabilities associated with the Benning Site remediation to a non-utility subsidiary of Exelon. Similarly, any potential future liability associated with the Anacostia River Sediment Project was also assumed by this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11 — Commitments and Contingencies</w:t>
      </w:r>
    </w:p>
    <w:p>
      <w:pPr>
        <w:spacing w:after="0" w:line="200" w:lineRule="exact"/>
        <w:rPr>
          <w:sz w:val="20"/>
          <w:szCs w:val="20"/>
          <w:color w:val="auto"/>
        </w:rPr>
      </w:pP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Buzzard Point Site (Exelon, PHI, and Pepco). </w:t>
      </w:r>
      <w:r>
        <w:rPr>
          <w:rFonts w:ascii="Arial" w:cs="Arial" w:eastAsia="Arial" w:hAnsi="Arial"/>
          <w:sz w:val="13"/>
          <w:szCs w:val="13"/>
          <w:color w:val="auto"/>
        </w:rPr>
        <w:t>On December 8, 2022, Pepco received a letter from the D.C. OAG, alleging wholly past violations of the District's stormwater discharge and waste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disposal requirements related to operations at the Buzzard Point facility, a 9-acre parcel of waterfront property in Washington, D.C. occupied by an active substation and former steam plant building. The letter also alleged wholly past violations by Pepco of stormwater discharge requirements related to its district-wide system of underground vaults. Pepco entered into a Consent Order with the District of Columbia to resolve the alleged violations without any admission of liability. The Consent Order requires Pepco to pay a civil penalty of $10 million. In addition, Pepco has agreed to assess the environmental conditions at its Buzzard Point facility and conduct any remedial actions deemed necessary as a result of the assessment, and also to assess potential environmental impacts associated with the operation of its underground vaults. The Superior Court for the District of Columbia signed and entered the Consent Order, and it became effective on February 2, 2024. Pepco is proceeding through the multi-step environmental investigation and response as outlined in the consent order. Specifically, the DOEE approved Pepco's Preliminary Site Assessment in July 2025. In September 2025, Pepco timely submitted its work plan for the second stage, the Supplemental Investigation Plan, which the DOEE approved in November 2025. Pepco also submitted an environmental assessment to the DOEE of the vault system pursuant to the Consent Order in July 2024. In response to the DOEE's comments, Pepco made revised submissions in May 2025, September 2025, and January 2026. The DOEE approved Pepco's vault system report on February 2, 2026. Exelon, PHI, and Pepco have accrued a liability for the projected costs for the required environmental assessments and remediation. In January 2025, Pepco paid the last installment of the civil penalty. Pepco has concluded that incremental exposure remains reasonably possible, but management cannot reasonably estimate a range of loss beyond the amounts recorded, which are included in the table above.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Litigation and Regulatory Matters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DPA and Related Matters (Exelon and ComEd). </w:t>
      </w:r>
      <w:r>
        <w:rPr>
          <w:rFonts w:ascii="Arial" w:cs="Arial" w:eastAsia="Arial" w:hAnsi="Arial"/>
          <w:sz w:val="13"/>
          <w:szCs w:val="13"/>
          <w:color w:val="auto"/>
        </w:rPr>
        <w:t>Exelon and ComEd received a grand jury subpoena in the second quarter of 2019 from the U.S. Attorney’s Office for the Northern District of Illinois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(USAO) requiring production of information concerning their lobbying activities in the State of Illinois. On October 4, 2019, Exelon and ComEd received a second grand jury subpoena from the USAO requiring production of records of any communications with certain individuals and entities. The Companies cooperated fully with the USAO and any government requests or inquiries. On July 17, 2020, ComEd entered into a DPA with the USAO to resolve the USAO investigation into its historical state legislative lobbying and related practices in Illinois. The agreement resolved the Department of Justice investigation into both ComEd and Exelon, which included a payment to the U.S. Treasury of $200 million, which was paid in November 2020. The three-year term of the DPA ended on July 17, 2023, and on that same date the court granted the USAO’s motion to dismiss the pending charge against ComEd that had been deferred by the DPA.</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Subsequent to Exelon announcing the receipt of the USAO subpoenas, various lawsuits were filed related to the subject of the subpoenas and the conduct described in the DPA. Several putative class actions were brought in federal and state court by ComEd customers. These actions were dismissed prior to discovery or trial and those dismissals were affirmed on appeal. A putative class action alleging misrepresentations and omissions in Exelon's SEC filings related to ComEd's lobbying activities and the related investigations was also brought in federal court against Exelon and ComEd, which was subsequently settled.</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addition, subsequent to Exelon announcing the receipt of the USAO subpoenas, several shareholders sent letters to the Exelon Board of Directors demanding, among other things, that the Exelon Board of Directors investigate and address alleged breaches of fiduciary duties and other alleged violations by Exelon and ComEd officers and directors related to the conduct described in the DPA. In the first quarter of 2021, the Exelon Board of Directors appointed a Special Litigation Committee (SLC) consisting of disinterested and independent parties to investigate and address these shareholders’ allegations and make recommendations to the Exelon Board of Directors based on the outcome of the SLC’s investigation. In July 2021, one of the demand letter shareholders filed a derivative action against current and former Exelon and ComEd officers and directors, and against Exelon, as nominal defendant, asserting the same claims made in its demand letter. Since that date, multiple parties have filed separate derivative lawsuits that were subsequently consolidated. On October 12, 2021, the parties filed an agreed motion to stay the litigation for 120 days in order to allow the SLC to continue its investigation, which the court granted. The stay was extended several times. Through mediation efforts, a settlement of the derivative claims was reached by the SLC, the Independent Review Committee of the Board (which had been formed in the third quarter of 2022, to ensure the Board’s consideration of any SLC recommendations would be independent and objective), the Board, and certain of the derivative shareholders. On June 16, 2023, the SLC filed a motion for preliminary approval of the settlement, attaching the Stipulation and Agreement of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11 — Commitments and Contingencies</w:t>
      </w:r>
    </w:p>
    <w:p>
      <w:pPr>
        <w:spacing w:after="0" w:line="200" w:lineRule="exact"/>
        <w:rPr>
          <w:sz w:val="20"/>
          <w:szCs w:val="20"/>
          <w:color w:val="auto"/>
        </w:rPr>
      </w:pP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(Stipulation), which contained the terms of the proposed settlement. The proposed settlement terms include but are not limited to: a payment of $40 million to Exelon by Exelon’s insurers of which $10 million constitutes the attorneys’ fee award to be paid to the Settling Shareholders’ counsel; various compliance and disclosure-related reforms; and certain changes in Board and Committee composition. The non-settling shareholders objected to the settlement and opposed preliminary approval. On September 20, 2024, the court denied without prejudice the SLC’s motion for preliminary approval. The court’s order provided that if the SLC can substantiate or otherwise revise the attorneys’ fees aspect of the settlement, then the SLC could renew its motion for preliminary approval by October 21, 2024. On October 21, 2024, the SLC filed its second renewed motion for preliminary approval, and the Settling Shareholders filed a brief in support of the SLC's second renewed motion for preliminary approval. On November 20, 2024, the non-settling plaintiffs filed an opposition to the renewed motion for preliminary approval. On December 18, 2024, the SLC and Settling Shareholders filed replies in support of the renewed motion for preliminary approval. The court granted the renewed motion for preliminary approval on November 17, 2025, and the final settlement hearing was held on May 5, 2026.</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Maryland Sales and Use Tax Refund Claim (Exelon, BGE, PHI, Pepco, and DPL). </w:t>
      </w:r>
      <w:r>
        <w:rPr>
          <w:rFonts w:ascii="Arial" w:cs="Arial" w:eastAsia="Arial" w:hAnsi="Arial"/>
          <w:sz w:val="13"/>
          <w:szCs w:val="13"/>
          <w:color w:val="auto"/>
        </w:rPr>
        <w:t>Maryland imposes a 6% sales and use tax on the purchase of most goods and services. BGE, Pepco, and DPL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have filed or plan to file protective refund claims, totaling an estimated $100 million, treating electric transmission and distribution machinery and equipment as nontaxable pursuant to the manufacturing exemption available under the Maryland sales and use tax law. The Maryland Comptroller has initially denied the refund claim and litigation is pending.</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November 22, 2024, the Appellate Court of Maryland, in a case involving a regulated electric utility operating in Maryland, ruled the purchase of certain transmission and distribution equipment qualify for the sales tax manufacturing exemption. On December 20, 2024, the Maryland Attorney General, on behalf of the Maryland Comptroller, filed a motion for reconsideration with the Appellate Court of Maryland of its ruling. The motion for reconsideration was denied on February 3, 2025.</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February 18, 2025, the Maryland Attorney General, on behalf of the Maryland Comptroller, filed a petition with the Maryland Supreme Court requesting review of the Appellate Court of Maryland’s ruling. On April 24, 2025, the Maryland Supreme Court granted the petition to review the ruling. On October 1, 2025, the Maryland Supreme Court heard oral arguments in the case.</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the event transmission and distribution equipment is determined to be exempt, Exelon, BGE, PHI, Pepco, and DPL will record estimated receivables of $100 million, $65 million, $35 million, $25 million, and $10 million, respectively. The sales tax payments were primarily capitalized; therefore, the refund would be recorded as a reduction to PP&amp;E included in rate base.</w:t>
      </w:r>
    </w:p>
    <w:p>
      <w:pPr>
        <w:spacing w:after="0" w:line="82" w:lineRule="exact"/>
        <w:rPr>
          <w:sz w:val="20"/>
          <w:szCs w:val="20"/>
          <w:color w:val="auto"/>
        </w:rPr>
      </w:pPr>
    </w:p>
    <w:p>
      <w:pPr>
        <w:jc w:val="both"/>
        <w:spacing w:after="0" w:line="280" w:lineRule="auto"/>
        <w:rPr>
          <w:sz w:val="20"/>
          <w:szCs w:val="20"/>
          <w:color w:val="auto"/>
        </w:rPr>
      </w:pPr>
      <w:r>
        <w:rPr>
          <w:rFonts w:ascii="Arial" w:cs="Arial" w:eastAsia="Arial" w:hAnsi="Arial"/>
          <w:sz w:val="12"/>
          <w:szCs w:val="12"/>
          <w:b w:val="1"/>
          <w:bCs w:val="1"/>
          <w:i w:val="1"/>
          <w:iCs w:val="1"/>
          <w:color w:val="auto"/>
        </w:rPr>
        <w:t xml:space="preserve">General (All Registrants). </w:t>
      </w:r>
      <w:r>
        <w:rPr>
          <w:rFonts w:ascii="Arial" w:cs="Arial" w:eastAsia="Arial" w:hAnsi="Arial"/>
          <w:sz w:val="12"/>
          <w:szCs w:val="12"/>
          <w:color w:val="auto"/>
        </w:rPr>
        <w:t>The Registrants are involved in various other litigation matters that are being defended and handled in the ordinary course of business. The Registrants are also from time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time subject to audits and investigations by the FERC and other regulators. The assessment of whether a loss is probable or reasonably possible, and whether the loss or a range of loss is estimable, often involves a series of complex judgments about future events. The Registrants maintain accruals for such losses that are probable of being incurred and subject to reasonable estimation. Management is sometimes unable to estimate an amount or range of reasonably possible loss, particularly where (1) the damages sought are indeterminate, (2) the proceedings are in the early stages, or (3) the matters involve novel or unsettled legal theories. In such cases, there is considerable uncertainty regarding the timing or ultimate resolution of such matters, including a possible eventual loss.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Shareholders' Equity (Exelon)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At-the-Market Program</w:t>
      </w:r>
    </w:p>
    <w:p>
      <w:pPr>
        <w:spacing w:after="0" w:line="137"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On May 2, 2025, Exelon executed an equity distribution agreement ("2025 Equity Distribution Agreement"), with certain sales agents and forward sellers and certain forward purchasers, establishing an ATM equity distribution program which it may offer and sell shares of its Common stock, having an aggregate gross sales price of up to $2.5 billion through May 2, 2028. Exelon has no obligation to offer or sell any shares of Common stock under the 2025 Equity Distribution Agreement and may, at any time, suspend or terminate offers and sales under the 2025 Equity Distribution Agreement.</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the first quarter of 2026, Exelon entered into various forward sale agreements under the 2025 ATM program. The forward sale agreements require Exelon to, at its election prior to the maturity date, either (i) physically settle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12 — Shareholders' Equity</w:t>
      </w: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transactions by issuing shares of its Common stock to the forward counterparties in exchange for net proceeds at the then-applicable forward sale price specified by the agreements or (ii) net settle the transactions in whole or in part through the delivery to the forward counterparties or receipt from the forward counterparties of cash or shares in accordance with the provisions of the agreements. The following forward sale agreements were entered into under Exelon’s ATM program in the first quarter of 2026: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2"/>
          </w:tcPr>
          <w:p>
            <w:pPr>
              <w:ind w:left="1000"/>
              <w:spacing w:after="0"/>
              <w:rPr>
                <w:sz w:val="20"/>
                <w:szCs w:val="20"/>
                <w:color w:val="auto"/>
              </w:rPr>
            </w:pPr>
            <w:r>
              <w:rPr>
                <w:rFonts w:ascii="Arial" w:cs="Arial" w:eastAsia="Arial" w:hAnsi="Arial"/>
                <w:sz w:val="10"/>
                <w:szCs w:val="10"/>
                <w:b w:val="1"/>
                <w:bCs w:val="1"/>
                <w:color w:val="auto"/>
              </w:rPr>
              <w:t>Shares Available</w:t>
            </w:r>
          </w:p>
        </w:tc>
        <w:tc>
          <w:tcPr>
            <w:tcW w:w="4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39"/>
        </w:trPr>
        <w:tc>
          <w:tcPr>
            <w:tcW w:w="250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Effective Period</w:t>
            </w:r>
          </w:p>
        </w:tc>
        <w:tc>
          <w:tcPr>
            <w:tcW w:w="120" w:type="dxa"/>
            <w:vAlign w:val="bottom"/>
            <w:tcBorders>
              <w:bottom w:val="single" w:sz="8" w:color="CCEEFF"/>
            </w:tcBorders>
          </w:tcPr>
          <w:p>
            <w:pPr>
              <w:spacing w:after="0"/>
              <w:rPr>
                <w:sz w:val="12"/>
                <w:szCs w:val="12"/>
                <w:color w:val="auto"/>
              </w:rPr>
            </w:pPr>
          </w:p>
        </w:tc>
        <w:tc>
          <w:tcPr>
            <w:tcW w:w="2800" w:type="dxa"/>
            <w:vAlign w:val="bottom"/>
            <w:tcBorders>
              <w:bottom w:val="single" w:sz="8" w:color="auto"/>
            </w:tcBorders>
          </w:tcPr>
          <w:p>
            <w:pPr>
              <w:jc w:val="right"/>
              <w:ind w:right="1063"/>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rPr>
              <w:t>Weighted-Average Net Price</w:t>
            </w:r>
          </w:p>
        </w:tc>
        <w:tc>
          <w:tcPr>
            <w:tcW w:w="2920" w:type="dxa"/>
            <w:vAlign w:val="bottom"/>
            <w:tcBorders>
              <w:bottom w:val="single" w:sz="8" w:color="auto"/>
            </w:tcBorders>
          </w:tcPr>
          <w:p>
            <w:pPr>
              <w:ind w:left="1180"/>
              <w:spacing w:after="0"/>
              <w:rPr>
                <w:sz w:val="20"/>
                <w:szCs w:val="20"/>
                <w:color w:val="auto"/>
              </w:rPr>
            </w:pPr>
            <w:r>
              <w:rPr>
                <w:rFonts w:ascii="Arial" w:cs="Arial" w:eastAsia="Arial" w:hAnsi="Arial"/>
                <w:sz w:val="10"/>
                <w:szCs w:val="10"/>
                <w:b w:val="1"/>
                <w:bCs w:val="1"/>
                <w:color w:val="auto"/>
              </w:rPr>
              <w:t>Maturity Date</w:t>
            </w:r>
          </w:p>
        </w:tc>
      </w:tr>
      <w:tr>
        <w:trPr>
          <w:trHeight w:val="17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Q1 2026</w:t>
            </w:r>
          </w:p>
        </w:tc>
        <w:tc>
          <w:tcPr>
            <w:tcW w:w="2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4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47.67</w:t>
            </w:r>
          </w:p>
        </w:tc>
        <w:tc>
          <w:tcPr>
            <w:tcW w:w="2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July 30, 2027</w:t>
            </w:r>
          </w:p>
        </w:tc>
      </w:tr>
      <w:tr>
        <w:trPr>
          <w:trHeight w:val="167"/>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Q1 2026</w:t>
            </w:r>
          </w:p>
        </w:tc>
        <w:tc>
          <w:tcPr>
            <w:tcW w:w="280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420" w:type="dxa"/>
            <w:vAlign w:val="bottom"/>
          </w:tcPr>
          <w:p>
            <w:pPr>
              <w:jc w:val="right"/>
              <w:ind w:right="41"/>
              <w:spacing w:after="0"/>
              <w:rPr>
                <w:sz w:val="20"/>
                <w:szCs w:val="20"/>
                <w:color w:val="auto"/>
              </w:rPr>
            </w:pPr>
            <w:r>
              <w:rPr>
                <w:rFonts w:ascii="Arial" w:cs="Arial" w:eastAsia="Arial" w:hAnsi="Arial"/>
                <w:sz w:val="13"/>
                <w:szCs w:val="13"/>
                <w:color w:val="auto"/>
              </w:rPr>
              <w:t>48.68</w:t>
            </w:r>
          </w:p>
        </w:tc>
        <w:tc>
          <w:tcPr>
            <w:tcW w:w="2920" w:type="dxa"/>
            <w:vAlign w:val="bottom"/>
          </w:tcPr>
          <w:p>
            <w:pPr>
              <w:ind w:left="80"/>
              <w:spacing w:after="0"/>
              <w:rPr>
                <w:sz w:val="20"/>
                <w:szCs w:val="20"/>
                <w:color w:val="auto"/>
              </w:rPr>
            </w:pPr>
            <w:r>
              <w:rPr>
                <w:rFonts w:ascii="Arial" w:cs="Arial" w:eastAsia="Arial" w:hAnsi="Arial"/>
                <w:sz w:val="13"/>
                <w:szCs w:val="13"/>
                <w:color w:val="auto"/>
              </w:rPr>
              <w:t>September 2, 2027</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Additionally, the following forward sale agreements were entered into during the twelve months ended 2025 under Exelon’s ATM program and were not settled as of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2"/>
          </w:tcPr>
          <w:p>
            <w:pPr>
              <w:ind w:left="1000"/>
              <w:spacing w:after="0"/>
              <w:rPr>
                <w:sz w:val="20"/>
                <w:szCs w:val="20"/>
                <w:color w:val="auto"/>
              </w:rPr>
            </w:pPr>
            <w:r>
              <w:rPr>
                <w:rFonts w:ascii="Arial" w:cs="Arial" w:eastAsia="Arial" w:hAnsi="Arial"/>
                <w:sz w:val="10"/>
                <w:szCs w:val="10"/>
                <w:b w:val="1"/>
                <w:bCs w:val="1"/>
                <w:color w:val="auto"/>
              </w:rPr>
              <w:t>Shares Available</w:t>
            </w:r>
          </w:p>
        </w:tc>
        <w:tc>
          <w:tcPr>
            <w:tcW w:w="4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39"/>
        </w:trPr>
        <w:tc>
          <w:tcPr>
            <w:tcW w:w="250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Effective Period</w:t>
            </w:r>
          </w:p>
        </w:tc>
        <w:tc>
          <w:tcPr>
            <w:tcW w:w="120" w:type="dxa"/>
            <w:vAlign w:val="bottom"/>
            <w:tcBorders>
              <w:bottom w:val="single" w:sz="8" w:color="CCEEFF"/>
            </w:tcBorders>
          </w:tcPr>
          <w:p>
            <w:pPr>
              <w:spacing w:after="0"/>
              <w:rPr>
                <w:sz w:val="12"/>
                <w:szCs w:val="12"/>
                <w:color w:val="auto"/>
              </w:rPr>
            </w:pPr>
          </w:p>
        </w:tc>
        <w:tc>
          <w:tcPr>
            <w:tcW w:w="2800" w:type="dxa"/>
            <w:vAlign w:val="bottom"/>
            <w:tcBorders>
              <w:bottom w:val="single" w:sz="8" w:color="auto"/>
            </w:tcBorders>
          </w:tcPr>
          <w:p>
            <w:pPr>
              <w:jc w:val="right"/>
              <w:ind w:right="1062"/>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jc w:val="right"/>
              <w:ind w:right="680"/>
              <w:spacing w:after="0"/>
              <w:rPr>
                <w:sz w:val="20"/>
                <w:szCs w:val="20"/>
                <w:color w:val="auto"/>
              </w:rPr>
            </w:pPr>
            <w:r>
              <w:rPr>
                <w:rFonts w:ascii="Arial" w:cs="Arial" w:eastAsia="Arial" w:hAnsi="Arial"/>
                <w:sz w:val="10"/>
                <w:szCs w:val="10"/>
                <w:b w:val="1"/>
                <w:bCs w:val="1"/>
                <w:color w:val="auto"/>
              </w:rPr>
              <w:t>Weighted-Average Net Price</w:t>
            </w:r>
          </w:p>
        </w:tc>
        <w:tc>
          <w:tcPr>
            <w:tcW w:w="100" w:type="dxa"/>
            <w:vAlign w:val="bottom"/>
            <w:tcBorders>
              <w:bottom w:val="single" w:sz="8" w:color="CCEEFF"/>
            </w:tcBorders>
          </w:tcPr>
          <w:p>
            <w:pPr>
              <w:spacing w:after="0"/>
              <w:rPr>
                <w:sz w:val="12"/>
                <w:szCs w:val="12"/>
                <w:color w:val="auto"/>
              </w:rPr>
            </w:pPr>
          </w:p>
        </w:tc>
        <w:tc>
          <w:tcPr>
            <w:tcW w:w="2860" w:type="dxa"/>
            <w:vAlign w:val="bottom"/>
            <w:tcBorders>
              <w:bottom w:val="single" w:sz="8" w:color="auto"/>
            </w:tcBorders>
          </w:tcPr>
          <w:p>
            <w:pPr>
              <w:ind w:left="1120"/>
              <w:spacing w:after="0"/>
              <w:rPr>
                <w:sz w:val="20"/>
                <w:szCs w:val="20"/>
                <w:color w:val="auto"/>
              </w:rPr>
            </w:pPr>
            <w:r>
              <w:rPr>
                <w:rFonts w:ascii="Arial" w:cs="Arial" w:eastAsia="Arial" w:hAnsi="Arial"/>
                <w:sz w:val="10"/>
                <w:szCs w:val="10"/>
                <w:b w:val="1"/>
                <w:bCs w:val="1"/>
                <w:color w:val="auto"/>
              </w:rPr>
              <w:t>Maturity Date</w:t>
            </w:r>
          </w:p>
        </w:tc>
      </w:tr>
      <w:tr>
        <w:trPr>
          <w:trHeight w:val="17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Q2 2025</w:t>
            </w:r>
          </w:p>
        </w:tc>
        <w:tc>
          <w:tcPr>
            <w:tcW w:w="2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43.17</w:t>
            </w:r>
          </w:p>
        </w:tc>
        <w:tc>
          <w:tcPr>
            <w:tcW w:w="100" w:type="dxa"/>
            <w:vAlign w:val="bottom"/>
            <w:shd w:val="clear" w:color="auto" w:fill="CCEEFF"/>
          </w:tcPr>
          <w:p>
            <w:pPr>
              <w:spacing w:after="0"/>
              <w:rPr>
                <w:sz w:val="15"/>
                <w:szCs w:val="15"/>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November 16, 2026</w:t>
            </w:r>
          </w:p>
        </w:tc>
      </w:tr>
      <w:tr>
        <w:trPr>
          <w:trHeight w:val="174"/>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Q3 2025</w:t>
            </w:r>
          </w:p>
        </w:tc>
        <w:tc>
          <w:tcPr>
            <w:tcW w:w="2800" w:type="dxa"/>
            <w:vAlign w:val="bottom"/>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5"/>
                <w:szCs w:val="15"/>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380" w:type="dxa"/>
            <w:vAlign w:val="bottom"/>
          </w:tcPr>
          <w:p>
            <w:pPr>
              <w:jc w:val="right"/>
              <w:spacing w:after="0"/>
              <w:rPr>
                <w:sz w:val="20"/>
                <w:szCs w:val="20"/>
                <w:color w:val="auto"/>
              </w:rPr>
            </w:pPr>
            <w:r>
              <w:rPr>
                <w:rFonts w:ascii="Arial" w:cs="Arial" w:eastAsia="Arial" w:hAnsi="Arial"/>
                <w:sz w:val="13"/>
                <w:szCs w:val="13"/>
                <w:color w:val="auto"/>
              </w:rPr>
              <w:t>43.73</w:t>
            </w:r>
          </w:p>
        </w:tc>
        <w:tc>
          <w:tcPr>
            <w:tcW w:w="100" w:type="dxa"/>
            <w:vAlign w:val="bottom"/>
          </w:tcPr>
          <w:p>
            <w:pPr>
              <w:spacing w:after="0"/>
              <w:rPr>
                <w:sz w:val="15"/>
                <w:szCs w:val="15"/>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December 15, 2026</w:t>
            </w:r>
          </w:p>
        </w:tc>
      </w:tr>
      <w:tr>
        <w:trPr>
          <w:trHeight w:val="187"/>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Q4 2025</w:t>
            </w:r>
          </w:p>
        </w:tc>
        <w:tc>
          <w:tcPr>
            <w:tcW w:w="2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w:t>
            </w:r>
          </w:p>
        </w:tc>
        <w:tc>
          <w:tcPr>
            <w:tcW w:w="100" w:type="dxa"/>
            <w:vAlign w:val="bottom"/>
            <w:shd w:val="clear" w:color="auto" w:fill="CCEEFF"/>
          </w:tcPr>
          <w:p>
            <w:pPr>
              <w:spacing w:after="0"/>
              <w:rPr>
                <w:sz w:val="16"/>
                <w:szCs w:val="16"/>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15, 2026</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No amounts have been or will be recorded on Exelon's balance sheet with respect to the equity offerings until the equity forward sale agreements have been settled. Each initial forward sale price is subject to adjustment on a daily basis based on a floating interest rate factor and will decrease by other fixed amounts specified in the agreements. Until settlement of the equity forward, earnings per share dilution resulting from the agreement, if any, will be determined under the treasury stock method. For the three months ended March 31, 2026, approximately 26.5 million shares under the forward sale agreements were not included in the calculation of diluted earnings per share because their effect would have been antidilutive.</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Inclusive of the impact of the forward sale agreements, $1.0 billion of Common stock remained available for sale pursuant to the ATM program as of March 31, 2026.</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Changes in Accumulated Other Comprehensive Income (Loss) (Exelon)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changes in Exelon's AOCI, net of tax, by component: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Three Months Ended March 31, 2026</w:t>
            </w:r>
          </w:p>
        </w:tc>
        <w:tc>
          <w:tcPr>
            <w:tcW w:w="320" w:type="dxa"/>
            <w:vAlign w:val="bottom"/>
          </w:tcPr>
          <w:p>
            <w:pPr>
              <w:spacing w:after="0"/>
              <w:rPr>
                <w:sz w:val="10"/>
                <w:szCs w:val="10"/>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Cash Flow Hedges</w:t>
            </w:r>
          </w:p>
        </w:tc>
        <w:tc>
          <w:tcPr>
            <w:tcW w:w="100" w:type="dxa"/>
            <w:vAlign w:val="bottom"/>
          </w:tcPr>
          <w:p>
            <w:pPr>
              <w:spacing w:after="0"/>
              <w:rPr>
                <w:sz w:val="10"/>
                <w:szCs w:val="10"/>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Pension and Non-Pension</w:t>
            </w:r>
          </w:p>
        </w:tc>
        <w:tc>
          <w:tcPr>
            <w:tcW w:w="460" w:type="dxa"/>
            <w:vAlign w:val="bottom"/>
          </w:tcPr>
          <w:p>
            <w:pPr>
              <w:spacing w:after="0"/>
              <w:rPr>
                <w:sz w:val="10"/>
                <w:szCs w:val="10"/>
                <w:color w:val="auto"/>
              </w:rPr>
            </w:pPr>
          </w:p>
        </w:tc>
        <w:tc>
          <w:tcPr>
            <w:tcW w:w="1480" w:type="dxa"/>
            <w:vAlign w:val="bottom"/>
            <w:vMerge w:val="restart"/>
          </w:tcPr>
          <w:p>
            <w:pPr>
              <w:jc w:val="right"/>
              <w:ind w:right="79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9"/>
        </w:trPr>
        <w:tc>
          <w:tcPr>
            <w:tcW w:w="52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Postretirement Benefit Plan Items</w:t>
            </w:r>
            <w:r>
              <w:rPr>
                <w:rFonts w:ascii="Arial" w:cs="Arial" w:eastAsia="Arial" w:hAnsi="Arial"/>
                <w:sz w:val="12"/>
                <w:szCs w:val="12"/>
                <w:b w:val="1"/>
                <w:bCs w:val="1"/>
                <w:color w:val="auto"/>
                <w:w w:val="97"/>
                <w:vertAlign w:val="superscript"/>
              </w:rPr>
              <w:t>(a)</w:t>
            </w:r>
          </w:p>
        </w:tc>
        <w:tc>
          <w:tcPr>
            <w:tcW w:w="4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2025</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(795)</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3"/>
                <w:szCs w:val="13"/>
                <w:color w:val="auto"/>
              </w:rPr>
              <w:t>OCI before reclassifications</w:t>
            </w:r>
          </w:p>
        </w:tc>
        <w:tc>
          <w:tcPr>
            <w:tcW w:w="3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1"/>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reclassified from AOCI</w:t>
            </w:r>
          </w:p>
        </w:tc>
        <w:tc>
          <w:tcPr>
            <w:tcW w:w="3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current-period OCI</w:t>
            </w: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2026</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Three Months Ended March 31, 2025</w:t>
            </w:r>
          </w:p>
        </w:tc>
        <w:tc>
          <w:tcPr>
            <w:tcW w:w="320" w:type="dxa"/>
            <w:vAlign w:val="bottom"/>
          </w:tcPr>
          <w:p>
            <w:pPr>
              <w:spacing w:after="0"/>
              <w:rPr>
                <w:sz w:val="23"/>
                <w:szCs w:val="23"/>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Cash Flow Hedges</w:t>
            </w:r>
          </w:p>
        </w:tc>
        <w:tc>
          <w:tcPr>
            <w:tcW w:w="100" w:type="dxa"/>
            <w:vAlign w:val="bottom"/>
          </w:tcPr>
          <w:p>
            <w:pPr>
              <w:spacing w:after="0"/>
              <w:rPr>
                <w:sz w:val="23"/>
                <w:szCs w:val="23"/>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Pension and Non-Pension</w:t>
            </w:r>
          </w:p>
        </w:tc>
        <w:tc>
          <w:tcPr>
            <w:tcW w:w="460" w:type="dxa"/>
            <w:vAlign w:val="bottom"/>
          </w:tcPr>
          <w:p>
            <w:pPr>
              <w:spacing w:after="0"/>
              <w:rPr>
                <w:sz w:val="23"/>
                <w:szCs w:val="23"/>
                <w:color w:val="auto"/>
              </w:rPr>
            </w:pPr>
          </w:p>
        </w:tc>
        <w:tc>
          <w:tcPr>
            <w:tcW w:w="1480" w:type="dxa"/>
            <w:vAlign w:val="bottom"/>
            <w:vMerge w:val="restart"/>
          </w:tcPr>
          <w:p>
            <w:pPr>
              <w:jc w:val="right"/>
              <w:ind w:right="79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9"/>
        </w:trPr>
        <w:tc>
          <w:tcPr>
            <w:tcW w:w="52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Postretirement Benefit Plan Items</w:t>
            </w:r>
            <w:r>
              <w:rPr>
                <w:rFonts w:ascii="Arial" w:cs="Arial" w:eastAsia="Arial" w:hAnsi="Arial"/>
                <w:sz w:val="12"/>
                <w:szCs w:val="12"/>
                <w:b w:val="1"/>
                <w:bCs w:val="1"/>
                <w:color w:val="auto"/>
                <w:w w:val="97"/>
                <w:vertAlign w:val="superscript"/>
              </w:rPr>
              <w:t>(a)</w:t>
            </w:r>
          </w:p>
        </w:tc>
        <w:tc>
          <w:tcPr>
            <w:tcW w:w="4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2024</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3"/>
                <w:szCs w:val="13"/>
                <w:color w:val="auto"/>
              </w:rPr>
              <w:t>OCI before reclassifications</w:t>
            </w:r>
          </w:p>
        </w:tc>
        <w:tc>
          <w:tcPr>
            <w:tcW w:w="3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1"/>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reclassified from AOCI</w:t>
            </w:r>
          </w:p>
        </w:tc>
        <w:tc>
          <w:tcPr>
            <w:tcW w:w="3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current-period OCI</w:t>
            </w: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2025</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right="120" w:hanging="255"/>
        <w:spacing w:after="0" w:line="288" w:lineRule="auto"/>
        <w:tabs>
          <w:tab w:leader="none" w:pos="249"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This AOCI component is included in the computation of net periodic pension and OPEB cost. See Note 12 — Retirement Benefits of the 2025 Form 10-K and Note 7 — Retirement Benefits for additional information. See Exelon's Statements of Operations and Comprehensive Income for individual components of AOCI.</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13 — Changes in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Income tax benefit (expense) allocated to each component of Exelon's Other comprehensive income (loss):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640" w:type="dxa"/>
            <w:vAlign w:val="bottom"/>
          </w:tcPr>
          <w:p>
            <w:pPr>
              <w:spacing w:after="0"/>
              <w:rPr>
                <w:sz w:val="12"/>
                <w:szCs w:val="12"/>
                <w:color w:val="auto"/>
              </w:rPr>
            </w:pPr>
          </w:p>
        </w:tc>
        <w:tc>
          <w:tcPr>
            <w:tcW w:w="230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0"/>
                <w:szCs w:val="10"/>
                <w:b w:val="1"/>
                <w:bCs w:val="1"/>
                <w:color w:val="auto"/>
              </w:rPr>
              <w:t>Three Months Ended March 31,</w:t>
            </w:r>
          </w:p>
        </w:tc>
        <w:tc>
          <w:tcPr>
            <w:tcW w:w="340" w:type="dxa"/>
            <w:vAlign w:val="bottom"/>
            <w:tcBorders>
              <w:bottom w:val="single" w:sz="8" w:color="auto"/>
            </w:tcBorders>
          </w:tcPr>
          <w:p>
            <w:pPr>
              <w:spacing w:after="0"/>
              <w:rPr>
                <w:sz w:val="12"/>
                <w:szCs w:val="12"/>
                <w:color w:val="auto"/>
              </w:rPr>
            </w:pPr>
          </w:p>
        </w:tc>
      </w:tr>
      <w:tr>
        <w:trPr>
          <w:trHeight w:val="150"/>
        </w:trPr>
        <w:tc>
          <w:tcPr>
            <w:tcW w:w="86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2026</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2025</w:t>
            </w:r>
          </w:p>
        </w:tc>
        <w:tc>
          <w:tcPr>
            <w:tcW w:w="340" w:type="dxa"/>
            <w:vAlign w:val="bottom"/>
            <w:tcBorders>
              <w:bottom w:val="single" w:sz="8" w:color="auto"/>
            </w:tcBorders>
          </w:tcPr>
          <w:p>
            <w:pPr>
              <w:spacing w:after="0"/>
              <w:rPr>
                <w:sz w:val="13"/>
                <w:szCs w:val="13"/>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non-pension postretirement benefit plans:</w:t>
            </w: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184"/>
        </w:trPr>
        <w:tc>
          <w:tcPr>
            <w:tcW w:w="8640" w:type="dxa"/>
            <w:vAlign w:val="bottom"/>
          </w:tcPr>
          <w:p>
            <w:pPr>
              <w:ind w:left="100"/>
              <w:spacing w:after="0"/>
              <w:rPr>
                <w:sz w:val="20"/>
                <w:szCs w:val="20"/>
                <w:color w:val="auto"/>
              </w:rPr>
            </w:pPr>
            <w:r>
              <w:rPr>
                <w:rFonts w:ascii="Arial" w:cs="Arial" w:eastAsia="Arial" w:hAnsi="Arial"/>
                <w:sz w:val="13"/>
                <w:szCs w:val="13"/>
                <w:color w:val="auto"/>
              </w:rPr>
              <w:t>Actuarial losses reclassified to periodic benefit cost</w:t>
            </w:r>
          </w:p>
        </w:tc>
        <w:tc>
          <w:tcPr>
            <w:tcW w:w="920" w:type="dxa"/>
            <w:vAlign w:val="bottom"/>
          </w:tcPr>
          <w:p>
            <w:pPr>
              <w:jc w:val="right"/>
              <w:ind w:right="786"/>
              <w:spacing w:after="0"/>
              <w:rPr>
                <w:sz w:val="20"/>
                <w:szCs w:val="20"/>
                <w:color w:val="auto"/>
              </w:rPr>
            </w:pPr>
            <w:r>
              <w:rPr>
                <w:rFonts w:ascii="Arial" w:cs="Arial" w:eastAsia="Arial" w:hAnsi="Arial"/>
                <w:sz w:val="13"/>
                <w:szCs w:val="13"/>
                <w:color w:val="auto"/>
                <w:w w:val="82"/>
              </w:rPr>
              <w:t>$</w:t>
            </w:r>
          </w:p>
        </w:tc>
        <w:tc>
          <w:tcPr>
            <w:tcW w:w="340" w:type="dxa"/>
            <w:vAlign w:val="bottom"/>
          </w:tcPr>
          <w:p>
            <w:pPr>
              <w:jc w:val="center"/>
              <w:ind w:left="7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940" w:type="dxa"/>
            <w:vAlign w:val="bottom"/>
          </w:tcPr>
          <w:p>
            <w:pPr>
              <w:jc w:val="right"/>
              <w:ind w:right="783"/>
              <w:spacing w:after="0"/>
              <w:rPr>
                <w:sz w:val="20"/>
                <w:szCs w:val="20"/>
                <w:color w:val="auto"/>
              </w:rPr>
            </w:pPr>
            <w:r>
              <w:rPr>
                <w:rFonts w:ascii="Arial" w:cs="Arial" w:eastAsia="Arial" w:hAnsi="Arial"/>
                <w:sz w:val="13"/>
                <w:szCs w:val="13"/>
                <w:color w:val="auto"/>
              </w:rPr>
              <w:t>$</w:t>
            </w:r>
          </w:p>
        </w:tc>
        <w:tc>
          <w:tcPr>
            <w:tcW w:w="340" w:type="dxa"/>
            <w:vAlign w:val="bottom"/>
          </w:tcPr>
          <w:p>
            <w:pPr>
              <w:jc w:val="center"/>
              <w:ind w:left="76"/>
              <w:spacing w:after="0"/>
              <w:rPr>
                <w:sz w:val="20"/>
                <w:szCs w:val="20"/>
                <w:color w:val="auto"/>
              </w:rPr>
            </w:pPr>
            <w:r>
              <w:rPr>
                <w:rFonts w:ascii="Arial" w:cs="Arial" w:eastAsia="Arial" w:hAnsi="Arial"/>
                <w:sz w:val="13"/>
                <w:szCs w:val="13"/>
                <w:color w:val="auto"/>
              </w:rPr>
              <w:t>(2)</w:t>
            </w:r>
          </w:p>
        </w:tc>
      </w:tr>
      <w:tr>
        <w:trPr>
          <w:trHeight w:val="198"/>
        </w:trPr>
        <w:tc>
          <w:tcPr>
            <w:tcW w:w="8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Pension and non-pension postretirement benefit plans valuation adjustments</w:t>
            </w: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jc w:val="center"/>
              <w:ind w:lef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jc w:val="center"/>
              <w:ind w:left="76"/>
              <w:spacing w:after="0"/>
              <w:rPr>
                <w:sz w:val="20"/>
                <w:szCs w:val="20"/>
                <w:color w:val="auto"/>
              </w:rPr>
            </w:pPr>
            <w:r>
              <w:rPr>
                <w:rFonts w:ascii="Arial" w:cs="Arial" w:eastAsia="Arial" w:hAnsi="Arial"/>
                <w:sz w:val="13"/>
                <w:szCs w:val="13"/>
                <w:color w:val="auto"/>
              </w:rPr>
              <w:t>(2)</w:t>
            </w:r>
          </w:p>
        </w:tc>
      </w:tr>
      <w:tr>
        <w:trPr>
          <w:trHeight w:val="178"/>
        </w:trPr>
        <w:tc>
          <w:tcPr>
            <w:tcW w:w="8640" w:type="dxa"/>
            <w:vAlign w:val="bottom"/>
          </w:tcPr>
          <w:p>
            <w:pPr>
              <w:ind w:left="100"/>
              <w:spacing w:after="0"/>
              <w:rPr>
                <w:sz w:val="20"/>
                <w:szCs w:val="20"/>
                <w:color w:val="auto"/>
              </w:rPr>
            </w:pPr>
            <w:r>
              <w:rPr>
                <w:rFonts w:ascii="Arial" w:cs="Arial" w:eastAsia="Arial" w:hAnsi="Arial"/>
                <w:sz w:val="13"/>
                <w:szCs w:val="13"/>
                <w:color w:val="auto"/>
              </w:rPr>
              <w:t>Unrealized gains on cash flow hedges</w:t>
            </w:r>
          </w:p>
        </w:tc>
        <w:tc>
          <w:tcPr>
            <w:tcW w:w="920" w:type="dxa"/>
            <w:vAlign w:val="bottom"/>
          </w:tcPr>
          <w:p>
            <w:pPr>
              <w:spacing w:after="0"/>
              <w:rPr>
                <w:sz w:val="15"/>
                <w:szCs w:val="15"/>
                <w:color w:val="auto"/>
              </w:rPr>
            </w:pPr>
          </w:p>
        </w:tc>
        <w:tc>
          <w:tcPr>
            <w:tcW w:w="340" w:type="dxa"/>
            <w:vAlign w:val="bottom"/>
          </w:tcPr>
          <w:p>
            <w:pPr>
              <w:jc w:val="center"/>
              <w:ind w:left="96"/>
              <w:spacing w:after="0"/>
              <w:rPr>
                <w:sz w:val="20"/>
                <w:szCs w:val="20"/>
                <w:color w:val="auto"/>
              </w:rPr>
            </w:pPr>
            <w:r>
              <w:rPr>
                <w:rFonts w:ascii="Arial" w:cs="Arial" w:eastAsia="Arial" w:hAnsi="Arial"/>
                <w:sz w:val="13"/>
                <w:szCs w:val="13"/>
                <w:color w:val="auto"/>
                <w:w w:val="82"/>
              </w:rPr>
              <w:t>1</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jc w:val="center"/>
              <w:ind w:left="96"/>
              <w:spacing w:after="0"/>
              <w:rPr>
                <w:sz w:val="20"/>
                <w:szCs w:val="20"/>
                <w:color w:val="auto"/>
              </w:rPr>
            </w:pPr>
            <w:r>
              <w:rPr>
                <w:rFonts w:ascii="Arial" w:cs="Arial" w:eastAsia="Arial" w:hAnsi="Arial"/>
                <w:sz w:val="13"/>
                <w:szCs w:val="13"/>
                <w:color w:val="auto"/>
                <w:w w:val="82"/>
              </w:rPr>
              <w:t>3</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Supplemental Financial Information (All Registrants)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Supplemental Statement of Operations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additional information about material items recorded in the Registrants' Consolidated Statements of Operations and Comprehensive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Taxes other than income taxes</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Exelon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ComEd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
              <w:spacing w:after="0"/>
              <w:rPr>
                <w:sz w:val="20"/>
                <w:szCs w:val="20"/>
                <w:color w:val="auto"/>
              </w:rPr>
            </w:pPr>
            <w:r>
              <w:rPr>
                <w:rFonts w:ascii="Arial" w:cs="Arial" w:eastAsia="Arial" w:hAnsi="Arial"/>
                <w:sz w:val="10"/>
                <w:szCs w:val="10"/>
                <w:b w:val="1"/>
                <w:bCs w:val="1"/>
                <w:color w:val="auto"/>
              </w:rPr>
              <w:t>PECO</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23"/>
              <w:spacing w:after="0"/>
              <w:rPr>
                <w:sz w:val="20"/>
                <w:szCs w:val="20"/>
                <w:color w:val="auto"/>
              </w:rPr>
            </w:pPr>
            <w:r>
              <w:rPr>
                <w:rFonts w:ascii="Arial" w:cs="Arial" w:eastAsia="Arial" w:hAnsi="Arial"/>
                <w:sz w:val="10"/>
                <w:szCs w:val="10"/>
                <w:b w:val="1"/>
                <w:bCs w:val="1"/>
                <w:color w:val="auto"/>
              </w:rPr>
              <w:t>BGE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01"/>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DPL</w:t>
            </w:r>
          </w:p>
        </w:tc>
        <w:tc>
          <w:tcPr>
            <w:tcW w:w="220" w:type="dxa"/>
            <w:vAlign w:val="bottom"/>
          </w:tcPr>
          <w:p>
            <w:pPr>
              <w:spacing w:after="0"/>
              <w:rPr>
                <w:sz w:val="12"/>
                <w:szCs w:val="12"/>
                <w:color w:val="auto"/>
              </w:rPr>
            </w:pPr>
          </w:p>
        </w:tc>
        <w:tc>
          <w:tcPr>
            <w:tcW w:w="660" w:type="dxa"/>
            <w:vAlign w:val="bottom"/>
          </w:tcPr>
          <w:p>
            <w:pPr>
              <w:jc w:val="right"/>
              <w:ind w:right="278"/>
              <w:spacing w:after="0"/>
              <w:rPr>
                <w:sz w:val="20"/>
                <w:szCs w:val="20"/>
                <w:color w:val="auto"/>
              </w:rPr>
            </w:pPr>
            <w:r>
              <w:rPr>
                <w:rFonts w:ascii="Arial" w:cs="Arial" w:eastAsia="Arial" w:hAnsi="Arial"/>
                <w:sz w:val="10"/>
                <w:szCs w:val="10"/>
                <w:b w:val="1"/>
                <w:bCs w:val="1"/>
                <w:color w:val="auto"/>
              </w:rPr>
              <w:t>ACE</w:t>
            </w:r>
          </w:p>
        </w:tc>
      </w:tr>
      <w:tr>
        <w:trPr>
          <w:trHeight w:val="124"/>
        </w:trPr>
        <w:tc>
          <w:tcPr>
            <w:tcW w:w="3500" w:type="dxa"/>
            <w:vAlign w:val="bottom"/>
          </w:tcPr>
          <w:p>
            <w:pPr>
              <w:ind w:left="20"/>
              <w:spacing w:after="0"/>
              <w:rPr>
                <w:sz w:val="20"/>
                <w:szCs w:val="20"/>
                <w:color w:val="auto"/>
              </w:rPr>
            </w:pPr>
            <w:r>
              <w:rPr>
                <w:rFonts w:ascii="Arial" w:cs="Arial" w:eastAsia="Arial" w:hAnsi="Arial"/>
                <w:sz w:val="10"/>
                <w:szCs w:val="10"/>
                <w:b w:val="1"/>
                <w:bCs w:val="1"/>
                <w:color w:val="auto"/>
              </w:rPr>
              <w:t>Three Months Ended March 31, 2026</w:t>
            </w: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r>
      <w:tr>
        <w:trPr>
          <w:trHeight w:val="173"/>
        </w:trPr>
        <w:tc>
          <w:tcPr>
            <w:tcW w:w="3500" w:type="dxa"/>
            <w:vAlign w:val="bottom"/>
            <w:shd w:val="clear" w:color="auto" w:fill="CCEEFF"/>
          </w:tcPr>
          <w:p>
            <w:pPr>
              <w:ind w:left="20"/>
              <w:spacing w:after="0" w:line="173" w:lineRule="exact"/>
              <w:rPr>
                <w:sz w:val="20"/>
                <w:szCs w:val="20"/>
                <w:color w:val="auto"/>
              </w:rPr>
            </w:pPr>
            <w:r>
              <w:rPr>
                <w:rFonts w:ascii="Arial" w:cs="Arial" w:eastAsia="Arial" w:hAnsi="Arial"/>
                <w:sz w:val="13"/>
                <w:szCs w:val="13"/>
                <w:color w:val="auto"/>
              </w:rPr>
              <w:t>Utility taxes</w:t>
            </w:r>
            <w:r>
              <w:rPr>
                <w:rFonts w:ascii="Arial" w:cs="Arial" w:eastAsia="Arial" w:hAnsi="Arial"/>
                <w:sz w:val="16"/>
                <w:szCs w:val="16"/>
                <w:color w:val="auto"/>
                <w:vertAlign w:val="superscript"/>
              </w:rPr>
              <w:t>(a)</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275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21"/>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86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1"/>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3"/>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3500" w:type="dxa"/>
            <w:vAlign w:val="bottom"/>
          </w:tcPr>
          <w:p>
            <w:pPr>
              <w:ind w:left="20"/>
              <w:spacing w:after="0"/>
              <w:rPr>
                <w:sz w:val="20"/>
                <w:szCs w:val="20"/>
                <w:color w:val="auto"/>
              </w:rPr>
            </w:pPr>
            <w:r>
              <w:rPr>
                <w:rFonts w:ascii="Arial" w:cs="Arial" w:eastAsia="Arial" w:hAnsi="Arial"/>
                <w:sz w:val="13"/>
                <w:szCs w:val="13"/>
                <w:color w:val="auto"/>
              </w:rPr>
              <w:t>Property</w:t>
            </w:r>
          </w:p>
        </w:tc>
        <w:tc>
          <w:tcPr>
            <w:tcW w:w="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125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6"/>
              </w:rPr>
              <w:t>10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Payroll</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94"/>
        </w:trPr>
        <w:tc>
          <w:tcPr>
            <w:tcW w:w="3500" w:type="dxa"/>
            <w:vAlign w:val="bottom"/>
          </w:tcPr>
          <w:p>
            <w:pPr>
              <w:ind w:left="20"/>
              <w:spacing w:after="0"/>
              <w:rPr>
                <w:sz w:val="20"/>
                <w:szCs w:val="20"/>
                <w:color w:val="auto"/>
              </w:rPr>
            </w:pPr>
            <w:r>
              <w:rPr>
                <w:rFonts w:ascii="Arial" w:cs="Arial" w:eastAsia="Arial" w:hAnsi="Arial"/>
                <w:sz w:val="10"/>
                <w:szCs w:val="10"/>
                <w:b w:val="1"/>
                <w:bCs w:val="1"/>
                <w:color w:val="auto"/>
              </w:rPr>
              <w:t>Three Months Ended March 31, 2025</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3"/>
        </w:trPr>
        <w:tc>
          <w:tcPr>
            <w:tcW w:w="3500" w:type="dxa"/>
            <w:vAlign w:val="bottom"/>
            <w:shd w:val="clear" w:color="auto" w:fill="CCEEFF"/>
          </w:tcPr>
          <w:p>
            <w:pPr>
              <w:ind w:left="20"/>
              <w:spacing w:after="0" w:line="173" w:lineRule="exact"/>
              <w:rPr>
                <w:sz w:val="20"/>
                <w:szCs w:val="20"/>
                <w:color w:val="auto"/>
              </w:rPr>
            </w:pPr>
            <w:r>
              <w:rPr>
                <w:rFonts w:ascii="Arial" w:cs="Arial" w:eastAsia="Arial" w:hAnsi="Arial"/>
                <w:sz w:val="13"/>
                <w:szCs w:val="13"/>
                <w:color w:val="auto"/>
              </w:rPr>
              <w:t>Utility taxes</w:t>
            </w:r>
            <w:r>
              <w:rPr>
                <w:rFonts w:ascii="Arial" w:cs="Arial" w:eastAsia="Arial" w:hAnsi="Arial"/>
                <w:sz w:val="16"/>
                <w:szCs w:val="16"/>
                <w:color w:val="auto"/>
                <w:vertAlign w:val="superscript"/>
              </w:rPr>
              <w:t>(a)</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258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21"/>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81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1"/>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3"/>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93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3500" w:type="dxa"/>
            <w:vAlign w:val="bottom"/>
          </w:tcPr>
          <w:p>
            <w:pPr>
              <w:ind w:left="20"/>
              <w:spacing w:after="0"/>
              <w:rPr>
                <w:sz w:val="20"/>
                <w:szCs w:val="20"/>
                <w:color w:val="auto"/>
              </w:rPr>
            </w:pPr>
            <w:r>
              <w:rPr>
                <w:rFonts w:ascii="Arial" w:cs="Arial" w:eastAsia="Arial" w:hAnsi="Arial"/>
                <w:sz w:val="13"/>
                <w:szCs w:val="13"/>
                <w:color w:val="auto"/>
              </w:rPr>
              <w:t>Property</w:t>
            </w:r>
          </w:p>
        </w:tc>
        <w:tc>
          <w:tcPr>
            <w:tcW w:w="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111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Payroll</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5" w:lineRule="exact"/>
        <w:rPr>
          <w:sz w:val="20"/>
          <w:szCs w:val="20"/>
          <w:color w:val="auto"/>
        </w:rPr>
      </w:pPr>
    </w:p>
    <w:p>
      <w:pPr>
        <w:ind w:left="260" w:right="220" w:hanging="255"/>
        <w:spacing w:after="0" w:line="288" w:lineRule="auto"/>
        <w:tabs>
          <w:tab w:leader="none" w:pos="249"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Registrants' utility taxes represent municipal and state utility taxes and gross receipts taxes related to their operating revenues. The offsetting collection of utility taxes from customers is recorded in revenues in the Registrants’ Consolidated Statements of Operations and Comprehensive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0"/>
                <w:szCs w:val="10"/>
                <w:b w:val="1"/>
                <w:bCs w:val="1"/>
                <w:color w:val="auto"/>
              </w:rPr>
              <w:t>Other, net</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Exelon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1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200" w:type="dxa"/>
            <w:vAlign w:val="bottom"/>
          </w:tcPr>
          <w:p>
            <w:pPr>
              <w:spacing w:after="0"/>
              <w:rPr>
                <w:sz w:val="12"/>
                <w:szCs w:val="12"/>
                <w:color w:val="auto"/>
              </w:rPr>
            </w:pPr>
          </w:p>
        </w:tc>
        <w:tc>
          <w:tcPr>
            <w:tcW w:w="74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8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Arial" w:cs="Arial" w:eastAsia="Arial" w:hAnsi="Arial"/>
                <w:sz w:val="10"/>
                <w:szCs w:val="10"/>
                <w:b w:val="1"/>
                <w:bCs w:val="1"/>
                <w:color w:val="auto"/>
              </w:rPr>
              <w:t>PHI</w:t>
            </w:r>
          </w:p>
        </w:tc>
        <w:tc>
          <w:tcPr>
            <w:tcW w:w="18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0"/>
                <w:szCs w:val="10"/>
                <w:b w:val="1"/>
                <w:bCs w:val="1"/>
                <w:color w:val="auto"/>
              </w:rPr>
              <w:t>DPL</w:t>
            </w:r>
          </w:p>
        </w:tc>
        <w:tc>
          <w:tcPr>
            <w:tcW w:w="200" w:type="dxa"/>
            <w:vAlign w:val="bottom"/>
          </w:tcPr>
          <w:p>
            <w:pPr>
              <w:spacing w:after="0"/>
              <w:rPr>
                <w:sz w:val="12"/>
                <w:szCs w:val="12"/>
                <w:color w:val="auto"/>
              </w:rPr>
            </w:pPr>
          </w:p>
        </w:tc>
        <w:tc>
          <w:tcPr>
            <w:tcW w:w="640" w:type="dxa"/>
            <w:vAlign w:val="bottom"/>
          </w:tcPr>
          <w:p>
            <w:pPr>
              <w:jc w:val="right"/>
              <w:ind w:right="259"/>
              <w:spacing w:after="0"/>
              <w:rPr>
                <w:sz w:val="20"/>
                <w:szCs w:val="20"/>
                <w:color w:val="auto"/>
              </w:rPr>
            </w:pPr>
            <w:r>
              <w:rPr>
                <w:rFonts w:ascii="Arial" w:cs="Arial" w:eastAsia="Arial" w:hAnsi="Arial"/>
                <w:sz w:val="10"/>
                <w:szCs w:val="10"/>
                <w:b w:val="1"/>
                <w:bCs w:val="1"/>
                <w:color w:val="auto"/>
              </w:rPr>
              <w:t>ACE</w:t>
            </w:r>
          </w:p>
        </w:tc>
      </w:tr>
      <w:tr>
        <w:trPr>
          <w:trHeight w:val="124"/>
        </w:trPr>
        <w:tc>
          <w:tcPr>
            <w:tcW w:w="3760" w:type="dxa"/>
            <w:vAlign w:val="bottom"/>
          </w:tcPr>
          <w:p>
            <w:pPr>
              <w:ind w:left="20"/>
              <w:spacing w:after="0"/>
              <w:rPr>
                <w:sz w:val="20"/>
                <w:szCs w:val="20"/>
                <w:color w:val="auto"/>
              </w:rPr>
            </w:pPr>
            <w:r>
              <w:rPr>
                <w:rFonts w:ascii="Arial" w:cs="Arial" w:eastAsia="Arial" w:hAnsi="Arial"/>
                <w:sz w:val="10"/>
                <w:szCs w:val="10"/>
                <w:b w:val="1"/>
                <w:bCs w:val="1"/>
                <w:color w:val="auto"/>
              </w:rPr>
              <w:t>Three Months Ended March 31, 2026</w:t>
            </w: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r>
      <w:tr>
        <w:trPr>
          <w:trHeight w:val="194"/>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AFUDC — Equity</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89"/>
        </w:trPr>
        <w:tc>
          <w:tcPr>
            <w:tcW w:w="3760" w:type="dxa"/>
            <w:vAlign w:val="bottom"/>
          </w:tcPr>
          <w:p>
            <w:pPr>
              <w:ind w:left="20"/>
              <w:spacing w:after="0"/>
              <w:rPr>
                <w:sz w:val="20"/>
                <w:szCs w:val="20"/>
                <w:color w:val="auto"/>
              </w:rPr>
            </w:pPr>
            <w:r>
              <w:rPr>
                <w:rFonts w:ascii="Arial" w:cs="Arial" w:eastAsia="Arial" w:hAnsi="Arial"/>
                <w:sz w:val="13"/>
                <w:szCs w:val="13"/>
                <w:color w:val="auto"/>
              </w:rPr>
              <w:t>Non-service net periodic benefit cost</w:t>
            </w:r>
          </w:p>
        </w:tc>
        <w:tc>
          <w:tcPr>
            <w:tcW w:w="6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7"/>
        </w:trPr>
        <w:tc>
          <w:tcPr>
            <w:tcW w:w="3760" w:type="dxa"/>
            <w:vAlign w:val="bottom"/>
          </w:tcPr>
          <w:p>
            <w:pPr>
              <w:ind w:left="20"/>
              <w:spacing w:after="0"/>
              <w:rPr>
                <w:sz w:val="20"/>
                <w:szCs w:val="20"/>
                <w:color w:val="auto"/>
              </w:rPr>
            </w:pPr>
            <w:r>
              <w:rPr>
                <w:rFonts w:ascii="Arial" w:cs="Arial" w:eastAsia="Arial" w:hAnsi="Arial"/>
                <w:sz w:val="10"/>
                <w:szCs w:val="10"/>
                <w:b w:val="1"/>
                <w:bCs w:val="1"/>
                <w:color w:val="auto"/>
              </w:rPr>
              <w:t>Three Months Ended March 31, 2025</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4"/>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AFUDC — Equity</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90"/>
        </w:trPr>
        <w:tc>
          <w:tcPr>
            <w:tcW w:w="3760" w:type="dxa"/>
            <w:vAlign w:val="bottom"/>
          </w:tcPr>
          <w:p>
            <w:pPr>
              <w:ind w:left="20"/>
              <w:spacing w:after="0"/>
              <w:rPr>
                <w:sz w:val="20"/>
                <w:szCs w:val="20"/>
                <w:color w:val="auto"/>
              </w:rPr>
            </w:pPr>
            <w:r>
              <w:rPr>
                <w:rFonts w:ascii="Arial" w:cs="Arial" w:eastAsia="Arial" w:hAnsi="Arial"/>
                <w:sz w:val="13"/>
                <w:szCs w:val="13"/>
                <w:color w:val="auto"/>
              </w:rPr>
              <w:t>Non-service net periodic benefit cost</w:t>
            </w:r>
          </w:p>
        </w:tc>
        <w:tc>
          <w:tcPr>
            <w:tcW w:w="6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Supplemental Cash Flow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additional information about material items recorded in the Registrants'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14 — Supplemental Financial Information</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4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7"/>
          </w:tcPr>
          <w:p>
            <w:pPr>
              <w:ind w:left="60"/>
              <w:spacing w:after="0"/>
              <w:rPr>
                <w:sz w:val="20"/>
                <w:szCs w:val="20"/>
                <w:color w:val="auto"/>
              </w:rPr>
            </w:pPr>
            <w:r>
              <w:rPr>
                <w:rFonts w:ascii="Arial" w:cs="Arial" w:eastAsia="Arial" w:hAnsi="Arial"/>
                <w:sz w:val="10"/>
                <w:szCs w:val="10"/>
                <w:b w:val="1"/>
                <w:bCs w:val="1"/>
                <w:color w:val="auto"/>
              </w:rPr>
              <w:t>Depreciation, amortization, and accretion</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Exelon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200" w:type="dxa"/>
            <w:vAlign w:val="bottom"/>
          </w:tcPr>
          <w:p>
            <w:pPr>
              <w:spacing w:after="0"/>
              <w:rPr>
                <w:sz w:val="12"/>
                <w:szCs w:val="12"/>
                <w:color w:val="auto"/>
              </w:rPr>
            </w:pPr>
          </w:p>
        </w:tc>
        <w:tc>
          <w:tcPr>
            <w:tcW w:w="680" w:type="dxa"/>
            <w:vAlign w:val="bottom"/>
          </w:tcPr>
          <w:p>
            <w:pPr>
              <w:jc w:val="right"/>
              <w:ind w:right="238"/>
              <w:spacing w:after="0"/>
              <w:rPr>
                <w:sz w:val="20"/>
                <w:szCs w:val="20"/>
                <w:color w:val="auto"/>
              </w:rPr>
            </w:pPr>
            <w:r>
              <w:rPr>
                <w:rFonts w:ascii="Arial" w:cs="Arial" w:eastAsia="Arial" w:hAnsi="Arial"/>
                <w:sz w:val="10"/>
                <w:szCs w:val="10"/>
                <w:b w:val="1"/>
                <w:bCs w:val="1"/>
                <w:color w:val="auto"/>
              </w:rPr>
              <w:t>PECO</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2"/>
                <w:szCs w:val="12"/>
                <w:color w:val="auto"/>
              </w:rPr>
            </w:pPr>
          </w:p>
        </w:tc>
        <w:tc>
          <w:tcPr>
            <w:tcW w:w="680" w:type="dxa"/>
            <w:vAlign w:val="bottom"/>
          </w:tcPr>
          <w:p>
            <w:pPr>
              <w:jc w:val="right"/>
              <w:ind w:right="278"/>
              <w:spacing w:after="0"/>
              <w:rPr>
                <w:sz w:val="20"/>
                <w:szCs w:val="20"/>
                <w:color w:val="auto"/>
              </w:rPr>
            </w:pPr>
            <w:r>
              <w:rPr>
                <w:rFonts w:ascii="Arial" w:cs="Arial" w:eastAsia="Arial" w:hAnsi="Arial"/>
                <w:sz w:val="10"/>
                <w:szCs w:val="10"/>
                <w:b w:val="1"/>
                <w:bCs w:val="1"/>
                <w:color w:val="auto"/>
              </w:rPr>
              <w:t>DPL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78"/>
              <w:spacing w:after="0"/>
              <w:rPr>
                <w:sz w:val="20"/>
                <w:szCs w:val="20"/>
                <w:color w:val="auto"/>
              </w:rPr>
            </w:pPr>
            <w:r>
              <w:rPr>
                <w:rFonts w:ascii="Arial" w:cs="Arial" w:eastAsia="Arial" w:hAnsi="Arial"/>
                <w:sz w:val="10"/>
                <w:szCs w:val="10"/>
                <w:b w:val="1"/>
                <w:bCs w:val="1"/>
                <w:color w:val="auto"/>
              </w:rPr>
              <w:t>ACE</w:t>
            </w:r>
          </w:p>
        </w:tc>
        <w:tc>
          <w:tcPr>
            <w:tcW w:w="0" w:type="dxa"/>
            <w:vAlign w:val="bottom"/>
          </w:tcPr>
          <w:p>
            <w:pPr>
              <w:spacing w:after="0"/>
              <w:rPr>
                <w:sz w:val="1"/>
                <w:szCs w:val="1"/>
                <w:color w:val="auto"/>
              </w:rPr>
            </w:pPr>
          </w:p>
        </w:tc>
      </w:tr>
      <w:tr>
        <w:trPr>
          <w:trHeight w:val="140"/>
        </w:trPr>
        <w:tc>
          <w:tcPr>
            <w:tcW w:w="3420" w:type="dxa"/>
            <w:vAlign w:val="bottom"/>
          </w:tcPr>
          <w:p>
            <w:pPr>
              <w:ind w:left="20"/>
              <w:spacing w:after="0"/>
              <w:rPr>
                <w:sz w:val="20"/>
                <w:szCs w:val="20"/>
                <w:color w:val="auto"/>
              </w:rPr>
            </w:pPr>
            <w:r>
              <w:rPr>
                <w:rFonts w:ascii="Arial" w:cs="Arial" w:eastAsia="Arial" w:hAnsi="Arial"/>
                <w:sz w:val="10"/>
                <w:szCs w:val="10"/>
                <w:b w:val="1"/>
                <w:bCs w:val="1"/>
                <w:color w:val="auto"/>
              </w:rPr>
              <w:t>Three Months Ended March 31, 2026</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r>
              <w:rPr>
                <w:rFonts w:ascii="Arial" w:cs="Arial" w:eastAsia="Arial" w:hAnsi="Arial"/>
                <w:sz w:val="16"/>
                <w:szCs w:val="16"/>
                <w:color w:val="auto"/>
                <w:vertAlign w:val="superscript"/>
              </w:rPr>
              <w:t>(a)</w:t>
            </w:r>
          </w:p>
        </w:tc>
        <w:tc>
          <w:tcPr>
            <w:tcW w:w="64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91"/>
        </w:trPr>
        <w:tc>
          <w:tcPr>
            <w:tcW w:w="3420" w:type="dxa"/>
            <w:vAlign w:val="bottom"/>
          </w:tcPr>
          <w:p>
            <w:pPr>
              <w:ind w:left="20"/>
              <w:spacing w:after="0"/>
              <w:rPr>
                <w:sz w:val="20"/>
                <w:szCs w:val="20"/>
                <w:color w:val="auto"/>
              </w:rPr>
            </w:pPr>
            <w:r>
              <w:rPr>
                <w:rFonts w:ascii="Arial" w:cs="Arial" w:eastAsia="Arial" w:hAnsi="Arial"/>
                <w:sz w:val="13"/>
                <w:szCs w:val="13"/>
                <w:color w:val="auto"/>
              </w:rPr>
              <w:t>Amortization of regulatory assets and liabilities, net</w:t>
            </w:r>
            <w:r>
              <w:rPr>
                <w:rFonts w:ascii="Arial" w:cs="Arial" w:eastAsia="Arial" w:hAnsi="Arial"/>
                <w:sz w:val="16"/>
                <w:szCs w:val="16"/>
                <w:color w:val="auto"/>
                <w:vertAlign w:val="superscript"/>
              </w:rPr>
              <w:t>(a)</w:t>
            </w:r>
          </w:p>
        </w:tc>
        <w:tc>
          <w:tcPr>
            <w:tcW w:w="6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 net</w:t>
            </w:r>
            <w:r>
              <w:rPr>
                <w:rFonts w:ascii="Arial" w:cs="Arial" w:eastAsia="Arial" w:hAnsi="Arial"/>
                <w:sz w:val="16"/>
                <w:szCs w:val="16"/>
                <w:color w:val="auto"/>
                <w:vertAlign w:val="superscript"/>
              </w:rPr>
              <w:t>(a)</w:t>
            </w:r>
          </w:p>
        </w:tc>
        <w:tc>
          <w:tcPr>
            <w:tcW w:w="6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ARO accretion</w:t>
            </w:r>
            <w:r>
              <w:rPr>
                <w:rFonts w:ascii="Arial" w:cs="Arial" w:eastAsia="Arial" w:hAnsi="Arial"/>
                <w:sz w:val="16"/>
                <w:szCs w:val="16"/>
                <w:color w:val="auto"/>
                <w:vertAlign w:val="superscript"/>
              </w:rPr>
              <w:t>(b)</w:t>
            </w: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depreciation, amortization, and accretion</w:t>
            </w:r>
          </w:p>
        </w:tc>
        <w:tc>
          <w:tcPr>
            <w:tcW w:w="64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953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Three Months Ended March 31, 2025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r>
              <w:rPr>
                <w:rFonts w:ascii="Arial" w:cs="Arial" w:eastAsia="Arial" w:hAnsi="Arial"/>
                <w:sz w:val="16"/>
                <w:szCs w:val="16"/>
                <w:color w:val="auto"/>
                <w:vertAlign w:val="superscript"/>
              </w:rPr>
              <w:t>(a)</w:t>
            </w:r>
          </w:p>
        </w:tc>
        <w:tc>
          <w:tcPr>
            <w:tcW w:w="64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91"/>
        </w:trPr>
        <w:tc>
          <w:tcPr>
            <w:tcW w:w="3420" w:type="dxa"/>
            <w:vAlign w:val="bottom"/>
          </w:tcPr>
          <w:p>
            <w:pPr>
              <w:ind w:left="20"/>
              <w:spacing w:after="0"/>
              <w:rPr>
                <w:sz w:val="20"/>
                <w:szCs w:val="20"/>
                <w:color w:val="auto"/>
              </w:rPr>
            </w:pPr>
            <w:r>
              <w:rPr>
                <w:rFonts w:ascii="Arial" w:cs="Arial" w:eastAsia="Arial" w:hAnsi="Arial"/>
                <w:sz w:val="13"/>
                <w:szCs w:val="13"/>
                <w:color w:val="auto"/>
              </w:rPr>
              <w:t>Amortization of regulatory assets and liabilities, net</w:t>
            </w:r>
            <w:r>
              <w:rPr>
                <w:rFonts w:ascii="Arial" w:cs="Arial" w:eastAsia="Arial" w:hAnsi="Arial"/>
                <w:sz w:val="16"/>
                <w:szCs w:val="16"/>
                <w:color w:val="auto"/>
                <w:vertAlign w:val="superscript"/>
              </w:rPr>
              <w:t>(a)</w:t>
            </w:r>
          </w:p>
        </w:tc>
        <w:tc>
          <w:tcPr>
            <w:tcW w:w="6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 net</w:t>
            </w:r>
            <w:r>
              <w:rPr>
                <w:rFonts w:ascii="Arial" w:cs="Arial" w:eastAsia="Arial" w:hAnsi="Arial"/>
                <w:sz w:val="16"/>
                <w:szCs w:val="16"/>
                <w:color w:val="auto"/>
                <w:vertAlign w:val="superscript"/>
              </w:rPr>
              <w:t>(a)</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ARO accretion</w:t>
            </w:r>
            <w:r>
              <w:rPr>
                <w:rFonts w:ascii="Arial" w:cs="Arial" w:eastAsia="Arial" w:hAnsi="Arial"/>
                <w:sz w:val="16"/>
                <w:szCs w:val="16"/>
                <w:color w:val="auto"/>
                <w:vertAlign w:val="superscript"/>
              </w:rPr>
              <w:t>(b)</w:t>
            </w: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depreciation, amortization, and accretion</w:t>
            </w:r>
          </w:p>
        </w:tc>
        <w:tc>
          <w:tcPr>
            <w:tcW w:w="64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905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Included in Depreciation and amortization expense in the Registrants' Consolidated Statements of Operations and Comprehensive Income.</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Included in Operating and maintenance expense in Exelon's Consolidated Statements of Operations and Comprehensive Income.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rPr>
              <w:t>Other non-cash operating activities</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Exelon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18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PECO</w:t>
            </w:r>
          </w:p>
        </w:tc>
        <w:tc>
          <w:tcPr>
            <w:tcW w:w="200" w:type="dxa"/>
            <w:vAlign w:val="bottom"/>
          </w:tcPr>
          <w:p>
            <w:pPr>
              <w:spacing w:after="0"/>
              <w:rPr>
                <w:sz w:val="12"/>
                <w:szCs w:val="12"/>
                <w:color w:val="auto"/>
              </w:rPr>
            </w:pPr>
          </w:p>
        </w:tc>
        <w:tc>
          <w:tcPr>
            <w:tcW w:w="74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18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0"/>
                <w:szCs w:val="10"/>
                <w:b w:val="1"/>
                <w:bCs w:val="1"/>
                <w:color w:val="auto"/>
              </w:rPr>
              <w:t>DPL</w:t>
            </w:r>
          </w:p>
        </w:tc>
        <w:tc>
          <w:tcPr>
            <w:tcW w:w="200" w:type="dxa"/>
            <w:vAlign w:val="bottom"/>
          </w:tcPr>
          <w:p>
            <w:pPr>
              <w:spacing w:after="0"/>
              <w:rPr>
                <w:sz w:val="12"/>
                <w:szCs w:val="12"/>
                <w:color w:val="auto"/>
              </w:rPr>
            </w:pPr>
          </w:p>
        </w:tc>
        <w:tc>
          <w:tcPr>
            <w:tcW w:w="640" w:type="dxa"/>
            <w:vAlign w:val="bottom"/>
          </w:tcPr>
          <w:p>
            <w:pPr>
              <w:jc w:val="right"/>
              <w:ind w:right="258"/>
              <w:spacing w:after="0"/>
              <w:rPr>
                <w:sz w:val="20"/>
                <w:szCs w:val="20"/>
                <w:color w:val="auto"/>
              </w:rPr>
            </w:pPr>
            <w:r>
              <w:rPr>
                <w:rFonts w:ascii="Arial" w:cs="Arial" w:eastAsia="Arial" w:hAnsi="Arial"/>
                <w:sz w:val="10"/>
                <w:szCs w:val="10"/>
                <w:b w:val="1"/>
                <w:bCs w:val="1"/>
                <w:color w:val="auto"/>
              </w:rPr>
              <w:t>ACE</w:t>
            </w:r>
          </w:p>
        </w:tc>
      </w:tr>
      <w:tr>
        <w:trPr>
          <w:trHeight w:val="140"/>
        </w:trPr>
        <w:tc>
          <w:tcPr>
            <w:tcW w:w="3660" w:type="dxa"/>
            <w:vAlign w:val="bottom"/>
          </w:tcPr>
          <w:p>
            <w:pPr>
              <w:ind w:left="20"/>
              <w:spacing w:after="0"/>
              <w:rPr>
                <w:sz w:val="20"/>
                <w:szCs w:val="20"/>
                <w:color w:val="auto"/>
              </w:rPr>
            </w:pPr>
            <w:r>
              <w:rPr>
                <w:rFonts w:ascii="Arial" w:cs="Arial" w:eastAsia="Arial" w:hAnsi="Arial"/>
                <w:sz w:val="10"/>
                <w:szCs w:val="10"/>
                <w:b w:val="1"/>
                <w:bCs w:val="1"/>
                <w:color w:val="auto"/>
              </w:rPr>
              <w:t>Three Months Ended March 31, 2026</w:t>
            </w: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OPEB costs</w:t>
            </w:r>
          </w:p>
        </w:tc>
        <w:tc>
          <w:tcPr>
            <w:tcW w:w="660" w:type="dxa"/>
            <w:vAlign w:val="bottom"/>
            <w:shd w:val="clear" w:color="auto" w:fill="CCEEFF"/>
          </w:tcPr>
          <w:p>
            <w:pPr>
              <w:jc w:val="right"/>
              <w:ind w:right="501"/>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center"/>
              <w:ind w:left="418"/>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84"/>
        </w:trPr>
        <w:tc>
          <w:tcPr>
            <w:tcW w:w="3660" w:type="dxa"/>
            <w:vAlign w:val="bottom"/>
          </w:tcPr>
          <w:p>
            <w:pPr>
              <w:ind w:left="20"/>
              <w:spacing w:after="0"/>
              <w:rPr>
                <w:sz w:val="20"/>
                <w:szCs w:val="20"/>
                <w:color w:val="auto"/>
              </w:rPr>
            </w:pPr>
            <w:r>
              <w:rPr>
                <w:rFonts w:ascii="Arial" w:cs="Arial" w:eastAsia="Arial" w:hAnsi="Arial"/>
                <w:sz w:val="13"/>
                <w:szCs w:val="13"/>
                <w:color w:val="auto"/>
              </w:rPr>
              <w:t>Allowance for credit losses</w:t>
            </w:r>
          </w:p>
        </w:tc>
        <w:tc>
          <w:tcPr>
            <w:tcW w:w="6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center"/>
              <w:ind w:left="418"/>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66"/>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True-up adjustments to decoupling mechanisms and formula</w:t>
            </w: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91"/>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rates</w:t>
            </w:r>
            <w:r>
              <w:rPr>
                <w:rFonts w:ascii="Arial" w:cs="Arial" w:eastAsia="Arial" w:hAnsi="Arial"/>
                <w:sz w:val="16"/>
                <w:szCs w:val="16"/>
                <w:color w:val="auto"/>
                <w:vertAlign w:val="superscript"/>
              </w:rPr>
              <w:t>(a)</w:t>
            </w: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center"/>
              <w:ind w:left="418"/>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84"/>
        </w:trPr>
        <w:tc>
          <w:tcPr>
            <w:tcW w:w="3660" w:type="dxa"/>
            <w:vAlign w:val="bottom"/>
          </w:tcPr>
          <w:p>
            <w:pPr>
              <w:ind w:left="20"/>
              <w:spacing w:after="0"/>
              <w:rPr>
                <w:sz w:val="20"/>
                <w:szCs w:val="20"/>
                <w:color w:val="auto"/>
              </w:rPr>
            </w:pPr>
            <w:r>
              <w:rPr>
                <w:rFonts w:ascii="Arial" w:cs="Arial" w:eastAsia="Arial" w:hAnsi="Arial"/>
                <w:sz w:val="13"/>
                <w:szCs w:val="13"/>
                <w:color w:val="auto"/>
              </w:rPr>
              <w:t>Amortization of operating ROU asset</w:t>
            </w:r>
          </w:p>
        </w:tc>
        <w:tc>
          <w:tcPr>
            <w:tcW w:w="6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center"/>
              <w:ind w:left="41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98"/>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AFUDC — Equity</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398"/>
              <w:spacing w:after="0"/>
              <w:rPr>
                <w:sz w:val="20"/>
                <w:szCs w:val="20"/>
                <w:color w:val="auto"/>
              </w:rPr>
            </w:pPr>
            <w:r>
              <w:rPr>
                <w:rFonts w:ascii="Arial" w:cs="Arial" w:eastAsia="Arial" w:hAnsi="Arial"/>
                <w:sz w:val="13"/>
                <w:szCs w:val="13"/>
                <w:color w:val="auto"/>
                <w:w w:val="87"/>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320"/>
        </w:trPr>
        <w:tc>
          <w:tcPr>
            <w:tcW w:w="3660" w:type="dxa"/>
            <w:vAlign w:val="bottom"/>
          </w:tcPr>
          <w:p>
            <w:pPr>
              <w:ind w:left="20"/>
              <w:spacing w:after="0"/>
              <w:rPr>
                <w:sz w:val="20"/>
                <w:szCs w:val="20"/>
                <w:color w:val="auto"/>
              </w:rPr>
            </w:pPr>
            <w:r>
              <w:rPr>
                <w:rFonts w:ascii="Arial" w:cs="Arial" w:eastAsia="Arial" w:hAnsi="Arial"/>
                <w:sz w:val="10"/>
                <w:szCs w:val="10"/>
                <w:b w:val="1"/>
                <w:bCs w:val="1"/>
                <w:color w:val="auto"/>
              </w:rPr>
              <w:t>Three Months Ended March 31, 2025</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OPEB costs</w:t>
            </w:r>
          </w:p>
        </w:tc>
        <w:tc>
          <w:tcPr>
            <w:tcW w:w="660" w:type="dxa"/>
            <w:vAlign w:val="bottom"/>
            <w:shd w:val="clear" w:color="auto" w:fill="CCEEFF"/>
          </w:tcPr>
          <w:p>
            <w:pPr>
              <w:jc w:val="right"/>
              <w:ind w:right="501"/>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center"/>
              <w:ind w:left="418"/>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84"/>
        </w:trPr>
        <w:tc>
          <w:tcPr>
            <w:tcW w:w="3660" w:type="dxa"/>
            <w:vAlign w:val="bottom"/>
          </w:tcPr>
          <w:p>
            <w:pPr>
              <w:ind w:left="20"/>
              <w:spacing w:after="0"/>
              <w:rPr>
                <w:sz w:val="20"/>
                <w:szCs w:val="20"/>
                <w:color w:val="auto"/>
              </w:rPr>
            </w:pPr>
            <w:r>
              <w:rPr>
                <w:rFonts w:ascii="Arial" w:cs="Arial" w:eastAsia="Arial" w:hAnsi="Arial"/>
                <w:sz w:val="13"/>
                <w:szCs w:val="13"/>
                <w:color w:val="auto"/>
              </w:rPr>
              <w:t>Allowance for credit losses</w:t>
            </w:r>
          </w:p>
        </w:tc>
        <w:tc>
          <w:tcPr>
            <w:tcW w:w="6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center"/>
              <w:ind w:left="418"/>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66"/>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True-up adjustments to decoupling mechanisms and formula</w:t>
            </w: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91"/>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rates</w:t>
            </w:r>
            <w:r>
              <w:rPr>
                <w:rFonts w:ascii="Arial" w:cs="Arial" w:eastAsia="Arial" w:hAnsi="Arial"/>
                <w:sz w:val="16"/>
                <w:szCs w:val="16"/>
                <w:color w:val="auto"/>
                <w:vertAlign w:val="superscript"/>
              </w:rPr>
              <w:t>(a)</w:t>
            </w: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center"/>
              <w:ind w:left="418"/>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84"/>
        </w:trPr>
        <w:tc>
          <w:tcPr>
            <w:tcW w:w="3660" w:type="dxa"/>
            <w:vAlign w:val="bottom"/>
          </w:tcPr>
          <w:p>
            <w:pPr>
              <w:ind w:left="20"/>
              <w:spacing w:after="0"/>
              <w:rPr>
                <w:sz w:val="20"/>
                <w:szCs w:val="20"/>
                <w:color w:val="auto"/>
              </w:rPr>
            </w:pPr>
            <w:r>
              <w:rPr>
                <w:rFonts w:ascii="Arial" w:cs="Arial" w:eastAsia="Arial" w:hAnsi="Arial"/>
                <w:sz w:val="13"/>
                <w:szCs w:val="13"/>
                <w:color w:val="auto"/>
              </w:rPr>
              <w:t>Amortization of operating ROU asset</w:t>
            </w:r>
          </w:p>
        </w:tc>
        <w:tc>
          <w:tcPr>
            <w:tcW w:w="6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center"/>
              <w:ind w:left="41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98"/>
        </w:trPr>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AFUDC — Equity</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398"/>
              <w:spacing w:after="0"/>
              <w:rPr>
                <w:sz w:val="20"/>
                <w:szCs w:val="20"/>
                <w:color w:val="auto"/>
              </w:rPr>
            </w:pPr>
            <w:r>
              <w:rPr>
                <w:rFonts w:ascii="Arial" w:cs="Arial" w:eastAsia="Arial" w:hAnsi="Arial"/>
                <w:sz w:val="13"/>
                <w:szCs w:val="13"/>
                <w:color w:val="auto"/>
                <w:w w:val="87"/>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jc w:val="both"/>
        <w:ind w:left="260" w:hanging="255"/>
        <w:spacing w:after="0" w:line="275" w:lineRule="auto"/>
        <w:tabs>
          <w:tab w:leader="none" w:pos="249" w:val="left"/>
        </w:tabs>
        <w:numPr>
          <w:ilvl w:val="0"/>
          <w:numId w:val="28"/>
        </w:numPr>
        <w:rPr>
          <w:rFonts w:ascii="Arial" w:cs="Arial" w:eastAsia="Arial" w:hAnsi="Arial"/>
          <w:sz w:val="11"/>
          <w:szCs w:val="11"/>
          <w:color w:val="auto"/>
        </w:rPr>
      </w:pPr>
      <w:r>
        <w:rPr>
          <w:rFonts w:ascii="Arial" w:cs="Arial" w:eastAsia="Arial" w:hAnsi="Arial"/>
          <w:sz w:val="11"/>
          <w:szCs w:val="11"/>
          <w:color w:val="auto"/>
        </w:rPr>
        <w:t>For ComEd, reflects the true-up adjustments in Regulatory assets and liabilities associated with its distribution MRP and distribution, energy efficiency, distributed generation, and transmission formula rates. For PECO, reflects the change in Regulatory assets and liabilities associated with its transmission formula rates. For BGE, Pepco, DPL, and ACE, reflects the change in Regulatory assets and liabilities associated with their decoupling mechanisms and transmission formula rates. See Note 2 — Regulatory Matters of the 2025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14 — Supplemental Financial Information</w:t>
      </w:r>
    </w:p>
    <w:p>
      <w:pPr>
        <w:spacing w:after="0" w:line="200" w:lineRule="exact"/>
        <w:rPr>
          <w:sz w:val="20"/>
          <w:szCs w:val="20"/>
          <w:color w:val="auto"/>
        </w:rPr>
      </w:pP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tables provide a reconciliation of cash, cash equivalents, and restricted cash reported within the Registrants’ Consolidated Balance Sheets that sum to the total of the same amounts in their 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7"/>
          </w:tcPr>
          <w:p>
            <w:pPr>
              <w:ind w:left="20"/>
              <w:spacing w:after="0"/>
              <w:rPr>
                <w:sz w:val="20"/>
                <w:szCs w:val="20"/>
                <w:color w:val="auto"/>
              </w:rPr>
            </w:pPr>
            <w:r>
              <w:rPr>
                <w:rFonts w:ascii="Arial" w:cs="Arial" w:eastAsia="Arial" w:hAnsi="Arial"/>
                <w:sz w:val="10"/>
                <w:szCs w:val="10"/>
                <w:b w:val="1"/>
                <w:bCs w:val="1"/>
                <w:color w:val="auto"/>
                <w:w w:val="98"/>
              </w:rPr>
              <w:t>Cash, cash equivalents, and restricted cash</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Exelon</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200" w:type="dxa"/>
            <w:vAlign w:val="bottom"/>
          </w:tcPr>
          <w:p>
            <w:pPr>
              <w:spacing w:after="0"/>
              <w:rPr>
                <w:sz w:val="12"/>
                <w:szCs w:val="12"/>
                <w:color w:val="auto"/>
              </w:rPr>
            </w:pPr>
          </w:p>
        </w:tc>
        <w:tc>
          <w:tcPr>
            <w:tcW w:w="680" w:type="dxa"/>
            <w:vAlign w:val="bottom"/>
          </w:tcPr>
          <w:p>
            <w:pPr>
              <w:jc w:val="right"/>
              <w:ind w:right="238"/>
              <w:spacing w:after="0"/>
              <w:rPr>
                <w:sz w:val="20"/>
                <w:szCs w:val="20"/>
                <w:color w:val="auto"/>
              </w:rPr>
            </w:pPr>
            <w:r>
              <w:rPr>
                <w:rFonts w:ascii="Arial" w:cs="Arial" w:eastAsia="Arial" w:hAnsi="Arial"/>
                <w:sz w:val="10"/>
                <w:szCs w:val="10"/>
                <w:b w:val="1"/>
                <w:bCs w:val="1"/>
                <w:color w:val="auto"/>
              </w:rPr>
              <w:t>PECO</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DPL</w:t>
            </w:r>
          </w:p>
        </w:tc>
        <w:tc>
          <w:tcPr>
            <w:tcW w:w="220" w:type="dxa"/>
            <w:vAlign w:val="bottom"/>
          </w:tcPr>
          <w:p>
            <w:pPr>
              <w:spacing w:after="0"/>
              <w:rPr>
                <w:sz w:val="12"/>
                <w:szCs w:val="12"/>
                <w:color w:val="auto"/>
              </w:rPr>
            </w:pPr>
          </w:p>
        </w:tc>
        <w:tc>
          <w:tcPr>
            <w:tcW w:w="660" w:type="dxa"/>
            <w:vAlign w:val="bottom"/>
          </w:tcPr>
          <w:p>
            <w:pPr>
              <w:jc w:val="right"/>
              <w:ind w:right="278"/>
              <w:spacing w:after="0"/>
              <w:rPr>
                <w:sz w:val="20"/>
                <w:szCs w:val="20"/>
                <w:color w:val="auto"/>
              </w:rPr>
            </w:pPr>
            <w:r>
              <w:rPr>
                <w:rFonts w:ascii="Arial" w:cs="Arial" w:eastAsia="Arial" w:hAnsi="Arial"/>
                <w:sz w:val="10"/>
                <w:szCs w:val="10"/>
                <w:b w:val="1"/>
                <w:bCs w:val="1"/>
                <w:color w:val="auto"/>
              </w:rPr>
              <w:t>ACE</w:t>
            </w:r>
          </w:p>
        </w:tc>
        <w:tc>
          <w:tcPr>
            <w:tcW w:w="0" w:type="dxa"/>
            <w:vAlign w:val="bottom"/>
          </w:tcPr>
          <w:p>
            <w:pPr>
              <w:spacing w:after="0"/>
              <w:rPr>
                <w:sz w:val="1"/>
                <w:szCs w:val="1"/>
                <w:color w:val="auto"/>
              </w:rPr>
            </w:pPr>
          </w:p>
        </w:tc>
      </w:tr>
      <w:tr>
        <w:trPr>
          <w:trHeight w:val="140"/>
        </w:trPr>
        <w:tc>
          <w:tcPr>
            <w:tcW w:w="3500" w:type="dxa"/>
            <w:vAlign w:val="bottom"/>
          </w:tcPr>
          <w:p>
            <w:pPr>
              <w:ind w:left="20"/>
              <w:spacing w:after="0"/>
              <w:rPr>
                <w:sz w:val="20"/>
                <w:szCs w:val="20"/>
                <w:color w:val="auto"/>
              </w:rPr>
            </w:pPr>
            <w:r>
              <w:rPr>
                <w:rFonts w:ascii="Arial" w:cs="Arial" w:eastAsia="Arial" w:hAnsi="Arial"/>
                <w:sz w:val="10"/>
                <w:szCs w:val="10"/>
                <w:b w:val="1"/>
                <w:bCs w:val="1"/>
                <w:color w:val="auto"/>
              </w:rPr>
              <w:t>Balance at March 31, 2026</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4"/>
        </w:trPr>
        <w:tc>
          <w:tcPr>
            <w:tcW w:w="3500" w:type="dxa"/>
            <w:vAlign w:val="bottom"/>
          </w:tcPr>
          <w:p>
            <w:pPr>
              <w:ind w:left="20"/>
              <w:spacing w:after="0"/>
              <w:rPr>
                <w:sz w:val="20"/>
                <w:szCs w:val="20"/>
                <w:color w:val="auto"/>
              </w:rPr>
            </w:pPr>
            <w:r>
              <w:rPr>
                <w:rFonts w:ascii="Arial" w:cs="Arial" w:eastAsia="Arial" w:hAnsi="Arial"/>
                <w:sz w:val="13"/>
                <w:szCs w:val="13"/>
                <w:color w:val="auto"/>
              </w:rPr>
              <w:t>Restricted cash and cash equivalents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Other deferred debits and other</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3500" w:type="dxa"/>
            <w:vAlign w:val="bottom"/>
          </w:tcPr>
          <w:p>
            <w:pPr>
              <w:ind w:left="20"/>
              <w:spacing w:after="0"/>
              <w:rPr>
                <w:sz w:val="20"/>
                <w:szCs w:val="20"/>
                <w:color w:val="auto"/>
              </w:rPr>
            </w:pPr>
            <w:r>
              <w:rPr>
                <w:rFonts w:ascii="Arial" w:cs="Arial" w:eastAsia="Arial" w:hAnsi="Arial"/>
                <w:sz w:val="13"/>
                <w:szCs w:val="13"/>
                <w:color w:val="auto"/>
              </w:rPr>
              <w:t>Total cash, restricted cash, and cash equivalents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1,297</w:t>
            </w:r>
          </w:p>
        </w:tc>
        <w:tc>
          <w:tcPr>
            <w:tcW w:w="10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151</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Balance at December 31, 2025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4"/>
        </w:trPr>
        <w:tc>
          <w:tcPr>
            <w:tcW w:w="3500" w:type="dxa"/>
            <w:vAlign w:val="bottom"/>
          </w:tcPr>
          <w:p>
            <w:pPr>
              <w:ind w:left="20"/>
              <w:spacing w:after="0"/>
              <w:rPr>
                <w:sz w:val="20"/>
                <w:szCs w:val="20"/>
                <w:color w:val="auto"/>
              </w:rPr>
            </w:pPr>
            <w:r>
              <w:rPr>
                <w:rFonts w:ascii="Arial" w:cs="Arial" w:eastAsia="Arial" w:hAnsi="Arial"/>
                <w:sz w:val="13"/>
                <w:szCs w:val="13"/>
                <w:color w:val="auto"/>
              </w:rPr>
              <w:t>Restricted cash and cash equivalents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Other deferred debits and other</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3500" w:type="dxa"/>
            <w:vAlign w:val="bottom"/>
          </w:tcPr>
          <w:p>
            <w:pPr>
              <w:ind w:left="20"/>
              <w:spacing w:after="0"/>
              <w:rPr>
                <w:sz w:val="20"/>
                <w:szCs w:val="20"/>
                <w:color w:val="auto"/>
              </w:rPr>
            </w:pPr>
            <w:r>
              <w:rPr>
                <w:rFonts w:ascii="Arial" w:cs="Arial" w:eastAsia="Arial" w:hAnsi="Arial"/>
                <w:sz w:val="13"/>
                <w:szCs w:val="13"/>
                <w:color w:val="auto"/>
              </w:rPr>
              <w:t>Total cash, restricted cash, and cash equivalents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1,201</w:t>
            </w:r>
          </w:p>
        </w:tc>
        <w:tc>
          <w:tcPr>
            <w:tcW w:w="10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663</w:t>
            </w:r>
          </w:p>
        </w:tc>
        <w:tc>
          <w:tcPr>
            <w:tcW w:w="10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116</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For additional information on restricted cash see Note 1 — Significant Accounting Policies of the 2025 Form 10-K.</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Supplemental Balance Sheet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additional information about material items recorded in the Registrants'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ind w:left="300"/>
              <w:spacing w:after="0"/>
              <w:rPr>
                <w:sz w:val="20"/>
                <w:szCs w:val="20"/>
                <w:color w:val="auto"/>
              </w:rPr>
            </w:pPr>
            <w:r>
              <w:rPr>
                <w:rFonts w:ascii="Arial" w:cs="Arial" w:eastAsia="Arial" w:hAnsi="Arial"/>
                <w:sz w:val="10"/>
                <w:szCs w:val="10"/>
                <w:b w:val="1"/>
                <w:bCs w:val="1"/>
                <w:color w:val="auto"/>
              </w:rPr>
              <w:t>Accrued expenses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Exelon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2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DPL</w:t>
            </w:r>
          </w:p>
        </w:tc>
        <w:tc>
          <w:tcPr>
            <w:tcW w:w="220" w:type="dxa"/>
            <w:vAlign w:val="bottom"/>
          </w:tcPr>
          <w:p>
            <w:pPr>
              <w:spacing w:after="0"/>
              <w:rPr>
                <w:sz w:val="12"/>
                <w:szCs w:val="12"/>
                <w:color w:val="auto"/>
              </w:rPr>
            </w:pPr>
          </w:p>
        </w:tc>
        <w:tc>
          <w:tcPr>
            <w:tcW w:w="660" w:type="dxa"/>
            <w:vAlign w:val="bottom"/>
          </w:tcPr>
          <w:p>
            <w:pPr>
              <w:jc w:val="right"/>
              <w:ind w:right="278"/>
              <w:spacing w:after="0"/>
              <w:rPr>
                <w:sz w:val="20"/>
                <w:szCs w:val="20"/>
                <w:color w:val="auto"/>
              </w:rPr>
            </w:pPr>
            <w:r>
              <w:rPr>
                <w:rFonts w:ascii="Arial" w:cs="Arial" w:eastAsia="Arial" w:hAnsi="Arial"/>
                <w:sz w:val="10"/>
                <w:szCs w:val="10"/>
                <w:b w:val="1"/>
                <w:bCs w:val="1"/>
                <w:color w:val="auto"/>
              </w:rPr>
              <w:t>ACE</w:t>
            </w:r>
          </w:p>
        </w:tc>
      </w:tr>
      <w:tr>
        <w:trPr>
          <w:trHeight w:val="140"/>
        </w:trPr>
        <w:tc>
          <w:tcPr>
            <w:tcW w:w="3500" w:type="dxa"/>
            <w:vAlign w:val="bottom"/>
          </w:tcPr>
          <w:p>
            <w:pPr>
              <w:ind w:left="20"/>
              <w:spacing w:after="0"/>
              <w:rPr>
                <w:sz w:val="20"/>
                <w:szCs w:val="20"/>
                <w:color w:val="auto"/>
              </w:rPr>
            </w:pPr>
            <w:r>
              <w:rPr>
                <w:rFonts w:ascii="Arial" w:cs="Arial" w:eastAsia="Arial" w:hAnsi="Arial"/>
                <w:sz w:val="10"/>
                <w:szCs w:val="10"/>
                <w:b w:val="1"/>
                <w:bCs w:val="1"/>
                <w:color w:val="auto"/>
              </w:rPr>
              <w:t>Balance at March 31, 2026</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Compensation-related accruals</w:t>
            </w:r>
            <w:r>
              <w:rPr>
                <w:rFonts w:ascii="Arial" w:cs="Arial" w:eastAsia="Arial" w:hAnsi="Arial"/>
                <w:sz w:val="16"/>
                <w:szCs w:val="16"/>
                <w:color w:val="auto"/>
                <w:vertAlign w:val="superscript"/>
              </w:rPr>
              <w:t>(a)</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84"/>
        </w:trPr>
        <w:tc>
          <w:tcPr>
            <w:tcW w:w="3500" w:type="dxa"/>
            <w:vAlign w:val="bottom"/>
          </w:tcPr>
          <w:p>
            <w:pPr>
              <w:ind w:left="20"/>
              <w:spacing w:after="0"/>
              <w:rPr>
                <w:sz w:val="20"/>
                <w:szCs w:val="20"/>
                <w:color w:val="auto"/>
              </w:rPr>
            </w:pPr>
            <w:r>
              <w:rPr>
                <w:rFonts w:ascii="Arial" w:cs="Arial" w:eastAsia="Arial" w:hAnsi="Arial"/>
                <w:sz w:val="13"/>
                <w:szCs w:val="13"/>
                <w:color w:val="auto"/>
              </w:rPr>
              <w:t>Taxes accrued</w:t>
            </w: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249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8"/>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accrued</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320"/>
        </w:trPr>
        <w:tc>
          <w:tcPr>
            <w:tcW w:w="350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2025</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Compensation-related accruals</w:t>
            </w:r>
            <w:r>
              <w:rPr>
                <w:rFonts w:ascii="Arial" w:cs="Arial" w:eastAsia="Arial" w:hAnsi="Arial"/>
                <w:sz w:val="16"/>
                <w:szCs w:val="16"/>
                <w:color w:val="auto"/>
                <w:vertAlign w:val="superscript"/>
              </w:rPr>
              <w:t>(a)</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84"/>
        </w:trPr>
        <w:tc>
          <w:tcPr>
            <w:tcW w:w="3500" w:type="dxa"/>
            <w:vAlign w:val="bottom"/>
          </w:tcPr>
          <w:p>
            <w:pPr>
              <w:ind w:left="20"/>
              <w:spacing w:after="0"/>
              <w:rPr>
                <w:sz w:val="20"/>
                <w:szCs w:val="20"/>
                <w:color w:val="auto"/>
              </w:rPr>
            </w:pPr>
            <w:r>
              <w:rPr>
                <w:rFonts w:ascii="Arial" w:cs="Arial" w:eastAsia="Arial" w:hAnsi="Arial"/>
                <w:sz w:val="13"/>
                <w:szCs w:val="13"/>
                <w:color w:val="auto"/>
              </w:rPr>
              <w:t>Taxes accrued</w:t>
            </w: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242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98"/>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accrued</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includes accrued payroll, bonuses and other incentives, vacation, and benefits.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Related Party Transactions (All Registrants)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Service Company Costs for Corporate Support</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Registrants receive a variety of corporate support services from BSC. Pepco, DPL, and ACE also receive corporate support services from PHISCO. See Note 1 — Significant Accounting Policies for additional information regarding BSC and PHISCO.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15 — Related Party Transactions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service company costs allocated to the Registrants: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00" w:type="dxa"/>
            <w:vAlign w:val="bottom"/>
          </w:tcPr>
          <w:p>
            <w:pPr>
              <w:spacing w:after="0"/>
              <w:rPr>
                <w:sz w:val="11"/>
                <w:szCs w:val="11"/>
                <w:color w:val="auto"/>
              </w:rPr>
            </w:pPr>
          </w:p>
        </w:tc>
        <w:tc>
          <w:tcPr>
            <w:tcW w:w="1600" w:type="dxa"/>
            <w:vAlign w:val="bottom"/>
            <w:gridSpan w:val="7"/>
          </w:tcPr>
          <w:p>
            <w:pPr>
              <w:ind w:left="20"/>
              <w:spacing w:after="0"/>
              <w:rPr>
                <w:sz w:val="20"/>
                <w:szCs w:val="20"/>
                <w:color w:val="auto"/>
              </w:rPr>
            </w:pPr>
            <w:r>
              <w:rPr>
                <w:rFonts w:ascii="Arial" w:cs="Arial" w:eastAsia="Arial" w:hAnsi="Arial"/>
                <w:sz w:val="10"/>
                <w:szCs w:val="10"/>
                <w:b w:val="1"/>
                <w:bCs w:val="1"/>
                <w:color w:val="auto"/>
                <w:w w:val="99"/>
              </w:rPr>
              <w:t>Operating and maintenance from</w:t>
            </w:r>
          </w:p>
        </w:tc>
        <w:tc>
          <w:tcPr>
            <w:tcW w:w="80" w:type="dxa"/>
            <w:vAlign w:val="bottom"/>
          </w:tcPr>
          <w:p>
            <w:pPr>
              <w:spacing w:after="0"/>
              <w:rPr>
                <w:sz w:val="11"/>
                <w:szCs w:val="11"/>
                <w:color w:val="auto"/>
              </w:rPr>
            </w:pPr>
          </w:p>
        </w:tc>
        <w:tc>
          <w:tcPr>
            <w:tcW w:w="1400" w:type="dxa"/>
            <w:vAlign w:val="bottom"/>
            <w:gridSpan w:val="5"/>
            <w:vMerge w:val="restart"/>
          </w:tcPr>
          <w:p>
            <w:pPr>
              <w:jc w:val="center"/>
              <w:ind w:right="17"/>
              <w:spacing w:after="0"/>
              <w:rPr>
                <w:sz w:val="20"/>
                <w:szCs w:val="20"/>
                <w:color w:val="auto"/>
              </w:rPr>
            </w:pPr>
            <w:r>
              <w:rPr>
                <w:rFonts w:ascii="Arial" w:cs="Arial" w:eastAsia="Arial" w:hAnsi="Arial"/>
                <w:sz w:val="10"/>
                <w:szCs w:val="10"/>
                <w:b w:val="1"/>
                <w:bCs w:val="1"/>
                <w:color w:val="auto"/>
                <w:w w:val="97"/>
              </w:rPr>
              <w:t>Capitalized costs</w:t>
            </w:r>
          </w:p>
        </w:tc>
        <w:tc>
          <w:tcPr>
            <w:tcW w:w="0" w:type="dxa"/>
            <w:vAlign w:val="bottom"/>
          </w:tcPr>
          <w:p>
            <w:pPr>
              <w:spacing w:after="0"/>
              <w:rPr>
                <w:sz w:val="1"/>
                <w:szCs w:val="1"/>
                <w:color w:val="auto"/>
              </w:rPr>
            </w:pPr>
          </w:p>
        </w:tc>
      </w:tr>
      <w:tr>
        <w:trPr>
          <w:trHeight w:val="139"/>
        </w:trPr>
        <w:tc>
          <w:tcPr>
            <w:tcW w:w="8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affiliates</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6"/>
          </w:tcPr>
          <w:p>
            <w:pPr>
              <w:jc w:val="center"/>
              <w:ind w:right="200"/>
              <w:spacing w:after="0"/>
              <w:rPr>
                <w:sz w:val="20"/>
                <w:szCs w:val="20"/>
                <w:color w:val="auto"/>
              </w:rPr>
            </w:pPr>
            <w:r>
              <w:rPr>
                <w:rFonts w:ascii="Arial" w:cs="Arial" w:eastAsia="Arial" w:hAnsi="Arial"/>
                <w:sz w:val="10"/>
                <w:szCs w:val="10"/>
                <w:b w:val="1"/>
                <w:bCs w:val="1"/>
                <w:color w:val="auto"/>
                <w:w w:val="99"/>
              </w:rPr>
              <w:t>Three Months Ended March</w:t>
            </w:r>
          </w:p>
        </w:tc>
        <w:tc>
          <w:tcPr>
            <w:tcW w:w="80" w:type="dxa"/>
            <w:vAlign w:val="bottom"/>
          </w:tcPr>
          <w:p>
            <w:pPr>
              <w:spacing w:after="0"/>
              <w:rPr>
                <w:sz w:val="11"/>
                <w:szCs w:val="11"/>
                <w:color w:val="auto"/>
              </w:rPr>
            </w:pPr>
          </w:p>
        </w:tc>
        <w:tc>
          <w:tcPr>
            <w:tcW w:w="1400" w:type="dxa"/>
            <w:vAlign w:val="bottom"/>
            <w:gridSpan w:val="5"/>
          </w:tcPr>
          <w:p>
            <w:pPr>
              <w:jc w:val="center"/>
              <w:ind w:right="17"/>
              <w:spacing w:after="0"/>
              <w:rPr>
                <w:sz w:val="20"/>
                <w:szCs w:val="20"/>
                <w:color w:val="auto"/>
              </w:rPr>
            </w:pPr>
            <w:r>
              <w:rPr>
                <w:rFonts w:ascii="Arial" w:cs="Arial" w:eastAsia="Arial" w:hAnsi="Arial"/>
                <w:sz w:val="10"/>
                <w:szCs w:val="10"/>
                <w:b w:val="1"/>
                <w:bCs w:val="1"/>
                <w:color w:val="auto"/>
                <w:w w:val="97"/>
              </w:rPr>
              <w:t>Three Months Ended March</w:t>
            </w:r>
          </w:p>
        </w:tc>
        <w:tc>
          <w:tcPr>
            <w:tcW w:w="0" w:type="dxa"/>
            <w:vAlign w:val="bottom"/>
          </w:tcPr>
          <w:p>
            <w:pPr>
              <w:spacing w:after="0"/>
              <w:rPr>
                <w:sz w:val="1"/>
                <w:szCs w:val="1"/>
                <w:color w:val="auto"/>
              </w:rPr>
            </w:pPr>
          </w:p>
        </w:tc>
      </w:tr>
      <w:tr>
        <w:trPr>
          <w:trHeight w:val="139"/>
        </w:trPr>
        <w:tc>
          <w:tcPr>
            <w:tcW w:w="8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31,</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85"/>
              </w:rPr>
              <w:t>31,</w:t>
            </w: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2026</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w w:val="98"/>
              </w:rPr>
              <w:t>2025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2026</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Exelon</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0" w:type="dxa"/>
            <w:vAlign w:val="bottom"/>
          </w:tcPr>
          <w:p>
            <w:pPr>
              <w:ind w:left="120"/>
              <w:spacing w:after="0"/>
              <w:rPr>
                <w:sz w:val="20"/>
                <w:szCs w:val="20"/>
                <w:color w:val="auto"/>
              </w:rPr>
            </w:pPr>
            <w:r>
              <w:rPr>
                <w:rFonts w:ascii="Arial" w:cs="Arial" w:eastAsia="Arial" w:hAnsi="Arial"/>
                <w:sz w:val="13"/>
                <w:szCs w:val="13"/>
                <w:color w:val="auto"/>
              </w:rPr>
              <w:t>BSC</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134</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98"/>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PHISCO</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7"/>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ComEd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BSC</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87"/>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PECO</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BSC</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7"/>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BGE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BSC</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7"/>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PHI</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BSC</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84"/>
        </w:trPr>
        <w:tc>
          <w:tcPr>
            <w:tcW w:w="8200" w:type="dxa"/>
            <w:vAlign w:val="bottom"/>
          </w:tcPr>
          <w:p>
            <w:pPr>
              <w:ind w:left="120"/>
              <w:spacing w:after="0"/>
              <w:rPr>
                <w:sz w:val="20"/>
                <w:szCs w:val="20"/>
                <w:color w:val="auto"/>
              </w:rPr>
            </w:pPr>
            <w:r>
              <w:rPr>
                <w:rFonts w:ascii="Arial" w:cs="Arial" w:eastAsia="Arial" w:hAnsi="Arial"/>
                <w:sz w:val="13"/>
                <w:szCs w:val="13"/>
                <w:color w:val="auto"/>
              </w:rPr>
              <w:t>PHISCO</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98"/>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Pepco</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00" w:type="dxa"/>
            <w:vAlign w:val="bottom"/>
          </w:tcPr>
          <w:p>
            <w:pPr>
              <w:ind w:left="120"/>
              <w:spacing w:after="0"/>
              <w:rPr>
                <w:sz w:val="20"/>
                <w:szCs w:val="20"/>
                <w:color w:val="auto"/>
              </w:rPr>
            </w:pPr>
            <w:r>
              <w:rPr>
                <w:rFonts w:ascii="Arial" w:cs="Arial" w:eastAsia="Arial" w:hAnsi="Arial"/>
                <w:sz w:val="13"/>
                <w:szCs w:val="13"/>
                <w:color w:val="auto"/>
              </w:rPr>
              <w:t>BSC</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98"/>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PHISCO</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7"/>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DPL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BSC</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4"/>
        </w:trPr>
        <w:tc>
          <w:tcPr>
            <w:tcW w:w="8200" w:type="dxa"/>
            <w:vAlign w:val="bottom"/>
          </w:tcPr>
          <w:p>
            <w:pPr>
              <w:ind w:left="120"/>
              <w:spacing w:after="0"/>
              <w:rPr>
                <w:sz w:val="20"/>
                <w:szCs w:val="20"/>
                <w:color w:val="auto"/>
              </w:rPr>
            </w:pPr>
            <w:r>
              <w:rPr>
                <w:rFonts w:ascii="Arial" w:cs="Arial" w:eastAsia="Arial" w:hAnsi="Arial"/>
                <w:sz w:val="13"/>
                <w:szCs w:val="13"/>
                <w:color w:val="auto"/>
              </w:rPr>
              <w:t>PHISCO</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8"/>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ACE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00" w:type="dxa"/>
            <w:vAlign w:val="bottom"/>
          </w:tcPr>
          <w:p>
            <w:pPr>
              <w:ind w:left="120"/>
              <w:spacing w:after="0"/>
              <w:rPr>
                <w:sz w:val="20"/>
                <w:szCs w:val="20"/>
                <w:color w:val="auto"/>
              </w:rPr>
            </w:pPr>
            <w:r>
              <w:rPr>
                <w:rFonts w:ascii="Arial" w:cs="Arial" w:eastAsia="Arial" w:hAnsi="Arial"/>
                <w:sz w:val="13"/>
                <w:szCs w:val="13"/>
                <w:color w:val="auto"/>
              </w:rPr>
              <w:t>BSC</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8"/>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PHISCO</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Combined Notes to Consolidated Financial Statements </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 unless otherwise noted)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 15 — Related Party Transactions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Current Receivables from/Payables to Affiliates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current Receivables from affiliates and current Payables to affiliates: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March 31,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10"/>
          </w:tcPr>
          <w:p>
            <w:pPr>
              <w:jc w:val="center"/>
              <w:ind w:left="399"/>
              <w:spacing w:after="0"/>
              <w:rPr>
                <w:sz w:val="20"/>
                <w:szCs w:val="20"/>
                <w:color w:val="auto"/>
              </w:rPr>
            </w:pPr>
            <w:r>
              <w:rPr>
                <w:rFonts w:ascii="Arial" w:cs="Arial" w:eastAsia="Arial" w:hAnsi="Arial"/>
                <w:sz w:val="10"/>
                <w:szCs w:val="10"/>
                <w:b w:val="1"/>
                <w:bCs w:val="1"/>
                <w:color w:val="auto"/>
                <w:w w:val="98"/>
              </w:rPr>
              <w:t>Receivables from affiliates:</w:t>
            </w: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Payables to affiliates: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9"/>
              </w:rPr>
              <w:t>DPL</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ACE</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rPr>
              <w:t>BSC</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PHISCO</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Other</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ComEd</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6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4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3"/>
                <w:szCs w:val="13"/>
                <w:color w:val="auto"/>
              </w:rPr>
              <w:t>PECO</w:t>
            </w:r>
          </w:p>
        </w:tc>
        <w:tc>
          <w:tcPr>
            <w:tcW w:w="26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BGE</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3"/>
                <w:szCs w:val="13"/>
                <w:color w:val="auto"/>
              </w:rPr>
              <w:t>PHI</w:t>
            </w:r>
            <w:r>
              <w:rPr>
                <w:rFonts w:ascii="Arial" w:cs="Arial" w:eastAsia="Arial" w:hAnsi="Arial"/>
                <w:sz w:val="16"/>
                <w:szCs w:val="16"/>
                <w:color w:val="auto"/>
                <w:vertAlign w:val="superscript"/>
              </w:rPr>
              <w:t>(a)</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Pepco</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3"/>
                <w:szCs w:val="13"/>
                <w:color w:val="auto"/>
              </w:rPr>
              <w:t>DPL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ACE</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gridSpan w:val="3"/>
            <w:vMerge w:val="restart"/>
          </w:tcPr>
          <w:p>
            <w:pPr>
              <w:spacing w:after="0"/>
              <w:rPr>
                <w:sz w:val="20"/>
                <w:szCs w:val="20"/>
                <w:color w:val="auto"/>
              </w:rPr>
            </w:pPr>
            <w:r>
              <w:rPr>
                <w:rFonts w:ascii="Arial" w:cs="Arial" w:eastAsia="Arial" w:hAnsi="Arial"/>
                <w:sz w:val="13"/>
                <w:szCs w:val="13"/>
                <w:b w:val="1"/>
                <w:bCs w:val="1"/>
                <w:i w:val="1"/>
                <w:iCs w:val="1"/>
                <w:color w:val="auto"/>
              </w:rPr>
              <w:t>December 31, 2025</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8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10"/>
          </w:tcPr>
          <w:p>
            <w:pPr>
              <w:jc w:val="center"/>
              <w:ind w:left="359"/>
              <w:spacing w:after="0"/>
              <w:rPr>
                <w:sz w:val="20"/>
                <w:szCs w:val="20"/>
                <w:color w:val="auto"/>
              </w:rPr>
            </w:pPr>
            <w:r>
              <w:rPr>
                <w:rFonts w:ascii="Arial" w:cs="Arial" w:eastAsia="Arial" w:hAnsi="Arial"/>
                <w:sz w:val="10"/>
                <w:szCs w:val="10"/>
                <w:b w:val="1"/>
                <w:bCs w:val="1"/>
                <w:color w:val="auto"/>
                <w:w w:val="98"/>
              </w:rPr>
              <w:t>Receivables from affiliates:</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Payables to affiliates:</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ComEd</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PECO</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BGE</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Pepco</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158"/>
              <w:spacing w:after="0"/>
              <w:rPr>
                <w:sz w:val="20"/>
                <w:szCs w:val="20"/>
                <w:color w:val="auto"/>
              </w:rPr>
            </w:pPr>
            <w:r>
              <w:rPr>
                <w:rFonts w:ascii="Arial" w:cs="Arial" w:eastAsia="Arial" w:hAnsi="Arial"/>
                <w:sz w:val="10"/>
                <w:szCs w:val="10"/>
                <w:b w:val="1"/>
                <w:bCs w:val="1"/>
                <w:color w:val="auto"/>
                <w:w w:val="99"/>
              </w:rPr>
              <w:t>DPL</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ACE</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BSC</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PHISCO</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Other</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ComEd</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6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0" w:type="dxa"/>
            <w:vAlign w:val="bottom"/>
            <w:gridSpan w:val="3"/>
          </w:tcPr>
          <w:p>
            <w:pPr>
              <w:ind w:left="20"/>
              <w:spacing w:after="0"/>
              <w:rPr>
                <w:sz w:val="20"/>
                <w:szCs w:val="20"/>
                <w:color w:val="auto"/>
              </w:rPr>
            </w:pPr>
            <w:r>
              <w:rPr>
                <w:rFonts w:ascii="Arial" w:cs="Arial" w:eastAsia="Arial" w:hAnsi="Arial"/>
                <w:sz w:val="13"/>
                <w:szCs w:val="13"/>
                <w:color w:val="auto"/>
              </w:rPr>
              <w:t>PECO</w:t>
            </w:r>
          </w:p>
        </w:tc>
        <w:tc>
          <w:tcPr>
            <w:tcW w:w="260" w:type="dxa"/>
            <w:vAlign w:val="bottom"/>
            <w:gridSpan w:val="3"/>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BGE</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00" w:type="dxa"/>
            <w:vAlign w:val="bottom"/>
            <w:gridSpan w:val="3"/>
          </w:tcPr>
          <w:p>
            <w:pPr>
              <w:ind w:left="20"/>
              <w:spacing w:after="0"/>
              <w:rPr>
                <w:sz w:val="20"/>
                <w:szCs w:val="20"/>
                <w:color w:val="auto"/>
              </w:rPr>
            </w:pPr>
            <w:r>
              <w:rPr>
                <w:rFonts w:ascii="Arial" w:cs="Arial" w:eastAsia="Arial" w:hAnsi="Arial"/>
                <w:sz w:val="13"/>
                <w:szCs w:val="13"/>
                <w:color w:val="auto"/>
              </w:rPr>
              <w:t>PHI</w:t>
            </w:r>
            <w:r>
              <w:rPr>
                <w:rFonts w:ascii="Arial" w:cs="Arial" w:eastAsia="Arial" w:hAnsi="Arial"/>
                <w:sz w:val="16"/>
                <w:szCs w:val="16"/>
                <w:color w:val="auto"/>
                <w:vertAlign w:val="superscript"/>
              </w:rPr>
              <w:t>(a)</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6"/>
              </w:rPr>
              <w:t>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Pepco</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0" w:type="dxa"/>
            <w:vAlign w:val="bottom"/>
            <w:gridSpan w:val="3"/>
          </w:tcPr>
          <w:p>
            <w:pPr>
              <w:ind w:left="20"/>
              <w:spacing w:after="0"/>
              <w:rPr>
                <w:sz w:val="20"/>
                <w:szCs w:val="20"/>
                <w:color w:val="auto"/>
              </w:rPr>
            </w:pPr>
            <w:r>
              <w:rPr>
                <w:rFonts w:ascii="Arial" w:cs="Arial" w:eastAsia="Arial" w:hAnsi="Arial"/>
                <w:sz w:val="13"/>
                <w:szCs w:val="13"/>
                <w:color w:val="auto"/>
              </w:rPr>
              <w:t>DPL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ACE</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Other</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6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PHI is presented exclusive of Pepco, DPL, and ACE, which are included in the table herein.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Borrowings from Exelon/PHI intercompany money pool</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To provide an additional short-term borrowing option that will generally be more favorable to the borrowing participants than the cost of external financing both Exelon and PHI operate an intercompany money pool. PECO and PHI Corporate participate in the Exelon intercompany money pool. Pepco, DPL, and ACE participate in the PHI intercompany money pool.</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Long-term debt to financing trusts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Long-term debt to financing trusts: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March 31, 2026</w:t>
            </w: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December 31, 2025</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50"/>
        </w:trPr>
        <w:tc>
          <w:tcPr>
            <w:tcW w:w="47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Exelon</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ComEd</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PECO</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Exelon</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0"/>
                <w:szCs w:val="10"/>
                <w:b w:val="1"/>
                <w:bCs w:val="1"/>
                <w:color w:val="auto"/>
              </w:rPr>
              <w:t>ComEd</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PECO</w:t>
            </w: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ComEd Financing III</w:t>
            </w:r>
          </w:p>
        </w:tc>
        <w:tc>
          <w:tcPr>
            <w:tcW w:w="70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63"/>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1"/>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760" w:type="dxa"/>
            <w:vAlign w:val="bottom"/>
          </w:tcPr>
          <w:p>
            <w:pPr>
              <w:ind w:left="20"/>
              <w:spacing w:after="0"/>
              <w:rPr>
                <w:sz w:val="20"/>
                <w:szCs w:val="20"/>
                <w:color w:val="auto"/>
              </w:rPr>
            </w:pPr>
            <w:r>
              <w:rPr>
                <w:rFonts w:ascii="Arial" w:cs="Arial" w:eastAsia="Arial" w:hAnsi="Arial"/>
                <w:sz w:val="13"/>
                <w:szCs w:val="13"/>
                <w:color w:val="auto"/>
              </w:rPr>
              <w:t>PECO Trust III</w:t>
            </w:r>
          </w:p>
        </w:tc>
        <w:tc>
          <w:tcPr>
            <w:tcW w:w="7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70"/>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 Trust IV</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62"/>
        </w:trPr>
        <w:tc>
          <w:tcPr>
            <w:tcW w:w="4760" w:type="dxa"/>
            <w:vAlign w:val="bottom"/>
          </w:tcPr>
          <w:p>
            <w:pPr>
              <w:ind w:left="20"/>
              <w:spacing w:after="0"/>
              <w:rPr>
                <w:sz w:val="20"/>
                <w:szCs w:val="20"/>
                <w:color w:val="auto"/>
              </w:rPr>
            </w:pPr>
            <w:r>
              <w:rPr>
                <w:rFonts w:ascii="Arial" w:cs="Arial" w:eastAsia="Arial" w:hAnsi="Arial"/>
                <w:sz w:val="13"/>
                <w:szCs w:val="13"/>
                <w:color w:val="auto"/>
              </w:rPr>
              <w:t>Total</w:t>
            </w:r>
          </w:p>
        </w:tc>
        <w:tc>
          <w:tcPr>
            <w:tcW w:w="70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390</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w:t>
            </w:r>
          </w:p>
        </w:tc>
      </w:tr>
      <w:tr>
        <w:trPr>
          <w:trHeight w:val="20"/>
        </w:trPr>
        <w:tc>
          <w:tcPr>
            <w:tcW w:w="4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2.</w:t>
        <w:tab/>
        <w:t>MANAGEMENT'S DISCUSSION AND ANALYSIS OF FINANCIAL CONDITION AND RESULTS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per share data, unless otherwise noted)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Exelon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Exelon is a utility services holding company engaged in the energy transmission and distribution businesses through its six reportable segments: ComEd, PECO, BGE, Pepco, DPL, and ACE. See Note 1 — Significant Accounting Policies and Note 4 — Segment Information of the Combined Notes to Consolidated Financial Statements for additional information regarding Exelon's principal subsidiaries and reportable segments.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Exelon’s consolidated financial information includes the results of its seven separate operating subsidiary registrants, ComEd, PECO, BGE, PHI, Pepco, DPL, and ACE, which, along with Exelon, are collectively referred to as the Registrants. The following combined Management’s Discussion and Analysis of Financial Condition and Results of Operations is separately filed by Exelon, ComEd, PECO, BGE, PHI, Pepco, DPL, and ACE. However, none of the Registrants makes any representation as to information related solely to any of the other Registrants.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Results of Operations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GAAP Results of Operations. </w:t>
      </w:r>
      <w:r>
        <w:rPr>
          <w:rFonts w:ascii="Arial" w:cs="Arial" w:eastAsia="Arial" w:hAnsi="Arial"/>
          <w:sz w:val="13"/>
          <w:szCs w:val="13"/>
          <w:color w:val="auto"/>
        </w:rPr>
        <w:t>The following table sets forth Exelon's GAAP consolidated Net income attributable to common shareholders by Registrant for the three months ended March 31, 2026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compared to the same period in 2025. For additional information regarding the financial results for the three months ended March 31, 2026 and 2025, see the discussions of Results of Operations by Registrant.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600" w:type="dxa"/>
            <w:vAlign w:val="bottom"/>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0"/>
                <w:szCs w:val="10"/>
                <w:b w:val="1"/>
                <w:bCs w:val="1"/>
                <w:color w:val="auto"/>
              </w:rPr>
              <w:t>Three Months Ended March 31,</w:t>
            </w:r>
          </w:p>
        </w:tc>
        <w:tc>
          <w:tcPr>
            <w:tcW w:w="1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42"/>
        </w:trPr>
        <w:tc>
          <w:tcPr>
            <w:tcW w:w="3600" w:type="dxa"/>
            <w:vAlign w:val="bottom"/>
          </w:tcPr>
          <w:p>
            <w:pPr>
              <w:spacing w:after="0"/>
              <w:rPr>
                <w:sz w:val="12"/>
                <w:szCs w:val="12"/>
                <w:color w:val="auto"/>
              </w:rPr>
            </w:pPr>
          </w:p>
        </w:tc>
        <w:tc>
          <w:tcPr>
            <w:tcW w:w="1580" w:type="dxa"/>
            <w:vAlign w:val="bottom"/>
          </w:tcPr>
          <w:p>
            <w:pPr>
              <w:jc w:val="right"/>
              <w:ind w:right="183"/>
              <w:spacing w:after="0"/>
              <w:rPr>
                <w:sz w:val="20"/>
                <w:szCs w:val="20"/>
                <w:color w:val="auto"/>
              </w:rPr>
            </w:pPr>
            <w:r>
              <w:rPr>
                <w:rFonts w:ascii="Arial" w:cs="Arial" w:eastAsia="Arial" w:hAnsi="Arial"/>
                <w:sz w:val="10"/>
                <w:szCs w:val="10"/>
                <w:b w:val="1"/>
                <w:bCs w:val="1"/>
                <w:color w:val="auto"/>
              </w:rPr>
              <w:t>2026</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jc w:val="right"/>
              <w:ind w:right="1078"/>
              <w:spacing w:after="0"/>
              <w:rPr>
                <w:sz w:val="20"/>
                <w:szCs w:val="20"/>
                <w:color w:val="auto"/>
              </w:rPr>
            </w:pPr>
            <w:r>
              <w:rPr>
                <w:rFonts w:ascii="Arial" w:cs="Arial" w:eastAsia="Arial" w:hAnsi="Arial"/>
                <w:sz w:val="10"/>
                <w:szCs w:val="10"/>
                <w:b w:val="1"/>
                <w:bCs w:val="1"/>
                <w:color w:val="auto"/>
              </w:rPr>
              <w:t>2025</w:t>
            </w:r>
          </w:p>
        </w:tc>
        <w:tc>
          <w:tcPr>
            <w:tcW w:w="380" w:type="dxa"/>
            <w:vAlign w:val="bottom"/>
          </w:tcPr>
          <w:p>
            <w:pPr>
              <w:spacing w:after="0"/>
              <w:rPr>
                <w:sz w:val="12"/>
                <w:szCs w:val="12"/>
                <w:color w:val="auto"/>
              </w:rPr>
            </w:pPr>
          </w:p>
        </w:tc>
        <w:tc>
          <w:tcPr>
            <w:tcW w:w="2220" w:type="dxa"/>
            <w:vAlign w:val="bottom"/>
          </w:tcPr>
          <w:p>
            <w:pPr>
              <w:jc w:val="right"/>
              <w:ind w:right="398"/>
              <w:spacing w:after="0"/>
              <w:rPr>
                <w:sz w:val="20"/>
                <w:szCs w:val="20"/>
                <w:color w:val="auto"/>
              </w:rPr>
            </w:pPr>
            <w:r>
              <w:rPr>
                <w:rFonts w:ascii="Arial" w:cs="Arial" w:eastAsia="Arial" w:hAnsi="Arial"/>
                <w:sz w:val="10"/>
                <w:szCs w:val="10"/>
                <w:b w:val="1"/>
                <w:bCs w:val="1"/>
                <w:color w:val="auto"/>
              </w:rPr>
              <w:t>Favorable (Unfavorable) Variance</w:t>
            </w:r>
          </w:p>
        </w:tc>
      </w:tr>
      <w:tr>
        <w:trPr>
          <w:trHeight w:val="173"/>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Exelon</w:t>
            </w:r>
          </w:p>
        </w:tc>
        <w:tc>
          <w:tcPr>
            <w:tcW w:w="1580" w:type="dxa"/>
            <w:vAlign w:val="bottom"/>
            <w:shd w:val="clear" w:color="auto" w:fill="CCEEFF"/>
          </w:tcPr>
          <w:p>
            <w:pPr>
              <w:jc w:val="right"/>
              <w:ind w:right="144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919</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3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ComEd</w:t>
            </w:r>
          </w:p>
        </w:tc>
        <w:tc>
          <w:tcPr>
            <w:tcW w:w="158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310</w:t>
            </w:r>
          </w:p>
        </w:tc>
        <w:tc>
          <w:tcPr>
            <w:tcW w:w="9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302</w:t>
            </w:r>
          </w:p>
        </w:tc>
        <w:tc>
          <w:tcPr>
            <w:tcW w:w="38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PECO</w:t>
            </w:r>
          </w:p>
        </w:tc>
        <w:tc>
          <w:tcPr>
            <w:tcW w:w="1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278</w:t>
            </w:r>
          </w:p>
        </w:tc>
        <w:tc>
          <w:tcPr>
            <w:tcW w:w="9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38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BGE</w:t>
            </w:r>
          </w:p>
        </w:tc>
        <w:tc>
          <w:tcPr>
            <w:tcW w:w="158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298</w:t>
            </w:r>
          </w:p>
        </w:tc>
        <w:tc>
          <w:tcPr>
            <w:tcW w:w="9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260</w:t>
            </w:r>
          </w:p>
        </w:tc>
        <w:tc>
          <w:tcPr>
            <w:tcW w:w="38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w:t>
            </w:r>
          </w:p>
        </w:tc>
        <w:tc>
          <w:tcPr>
            <w:tcW w:w="1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169</w:t>
            </w:r>
          </w:p>
        </w:tc>
        <w:tc>
          <w:tcPr>
            <w:tcW w:w="9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38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Pepco</w:t>
            </w:r>
          </w:p>
        </w:tc>
        <w:tc>
          <w:tcPr>
            <w:tcW w:w="158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68</w:t>
            </w:r>
          </w:p>
        </w:tc>
        <w:tc>
          <w:tcPr>
            <w:tcW w:w="9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97</w:t>
            </w:r>
          </w:p>
        </w:tc>
        <w:tc>
          <w:tcPr>
            <w:tcW w:w="38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DPL</w:t>
            </w:r>
          </w:p>
        </w:tc>
        <w:tc>
          <w:tcPr>
            <w:tcW w:w="1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77</w:t>
            </w:r>
          </w:p>
        </w:tc>
        <w:tc>
          <w:tcPr>
            <w:tcW w:w="9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38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ACE</w:t>
            </w:r>
          </w:p>
        </w:tc>
        <w:tc>
          <w:tcPr>
            <w:tcW w:w="158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27</w:t>
            </w:r>
          </w:p>
        </w:tc>
        <w:tc>
          <w:tcPr>
            <w:tcW w:w="9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31</w:t>
            </w:r>
          </w:p>
        </w:tc>
        <w:tc>
          <w:tcPr>
            <w:tcW w:w="38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360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(a)</w:t>
            </w:r>
          </w:p>
        </w:tc>
        <w:tc>
          <w:tcPr>
            <w:tcW w:w="1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(136)</w:t>
            </w:r>
          </w:p>
        </w:tc>
        <w:tc>
          <w:tcPr>
            <w:tcW w:w="9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38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Other primarily includes eliminating and consolidating adjustments, Exelon’s corporate operations, shared service entities, and other financing and investment activities.</w:t>
      </w:r>
    </w:p>
    <w:p>
      <w:pPr>
        <w:spacing w:after="0" w:line="190"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b w:val="1"/>
          <w:bCs w:val="1"/>
          <w:i w:val="1"/>
          <w:iCs w:val="1"/>
          <w:color w:val="auto"/>
        </w:rPr>
        <w:t xml:space="preserve">Three Months Ended March 31, 2026 Compared to Three Months Ended March 31, 2025. Net income attributable to common shareholders </w:t>
      </w:r>
      <w:r>
        <w:rPr>
          <w:rFonts w:ascii="Arial" w:cs="Arial" w:eastAsia="Arial" w:hAnsi="Arial"/>
          <w:sz w:val="13"/>
          <w:szCs w:val="13"/>
          <w:color w:val="auto"/>
        </w:rPr>
        <w:t>increased by $11 million and diluted earnings per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average common share remained relatively consistent to the prior year at $0.90 primarily due to:</w:t>
      </w:r>
    </w:p>
    <w:p>
      <w:pPr>
        <w:spacing w:after="0" w:line="104" w:lineRule="exact"/>
        <w:rPr>
          <w:sz w:val="20"/>
          <w:szCs w:val="20"/>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Favorable impacts of approved rate increases at ComEd, BGE and PHI;</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Absence of Customer Surcharge Credits at PECO;</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Higher AFUDC at ComEd;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Favorable weather at PECO.</w:t>
      </w:r>
    </w:p>
    <w:p>
      <w:pPr>
        <w:spacing w:after="0" w:line="84"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Note that rate increases are associated with updated recovery rates for costs and investments to serve customers, driving top quartile reliability and avoiding outage costs. The increases were partially offset by:</w:t>
      </w:r>
    </w:p>
    <w:p>
      <w:pPr>
        <w:spacing w:after="0" w:line="104" w:lineRule="exact"/>
        <w:rPr>
          <w:sz w:val="20"/>
          <w:szCs w:val="20"/>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Timing of distribution earnings at ComEd;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Higher depreciation expense at PECO and PHI;</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Higher interest expense at PECO and Exelon Corporate;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Higher credit loss expense at BGE;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Unfavorable impacts of the Pepco Maryland multi-year plan reconciliation at PHI.</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i w:val="1"/>
          <w:iCs w:val="1"/>
          <w:color w:val="auto"/>
        </w:rPr>
        <w:t xml:space="preserve">Adjusted (non-GAAP) operating earnings. </w:t>
      </w:r>
      <w:r>
        <w:rPr>
          <w:rFonts w:ascii="Arial" w:cs="Arial" w:eastAsia="Arial" w:hAnsi="Arial"/>
          <w:sz w:val="12"/>
          <w:szCs w:val="12"/>
          <w:color w:val="auto"/>
        </w:rPr>
        <w:t>In addition to Net income, Exelon evaluates its operating performance using the measure of Adjusted (non-GAAP) operating earnings because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management believes it represents earnings directly related to the ongoing operations of the business. Adjusted (non-GAAP) operating earnings exclude certain costs, expenses, gains and losses, and other specified items. This information is intended to enhance an investor’s overall understanding of year-over-year operating results and provide an indication of Exelon’s baseline operating performance excluding items not considered by management to be directly related to the ongoing operations of the business. In addition, this information is among the primary indicators management uses as a basis for evaluating performance, allocating resources, setting incentive compensation targets, and planning and forecasting of future periods. Adjusted (non-GAAP) operating earnings is not a presentation defined under GAAP and may not be comparable to other companies’ presentations or deemed more useful than the GAAP information provided elsewhere in this report.</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provides a reconciliation between GAAP Net income attributable to common shareholders and Adjusted (non-GAAP) operating earnings for the three months ended March 31, 2026 compared to the same period in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0"/>
                <w:szCs w:val="10"/>
                <w:b w:val="1"/>
                <w:bCs w:val="1"/>
                <w:color w:val="auto"/>
              </w:rPr>
              <w:t>Three Months Ended March 31,</w:t>
            </w: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w w:val="89"/>
              </w:rPr>
              <w:t>2026</w:t>
            </w: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w w:val="89"/>
              </w:rPr>
              <w:t>2025</w:t>
            </w: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 except per share data)</w:t>
            </w: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ind w:left="140"/>
              <w:spacing w:after="0" w:line="88" w:lineRule="exact"/>
              <w:rPr>
                <w:sz w:val="20"/>
                <w:szCs w:val="20"/>
                <w:color w:val="auto"/>
              </w:rPr>
            </w:pPr>
            <w:r>
              <w:rPr>
                <w:rFonts w:ascii="Arial" w:cs="Arial" w:eastAsia="Arial" w:hAnsi="Arial"/>
                <w:sz w:val="10"/>
                <w:szCs w:val="10"/>
                <w:b w:val="1"/>
                <w:bCs w:val="1"/>
                <w:color w:val="auto"/>
              </w:rPr>
              <w:t>Earnings per</w:t>
            </w: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jc w:val="right"/>
              <w:ind w:right="300"/>
              <w:spacing w:after="0" w:line="88" w:lineRule="exact"/>
              <w:rPr>
                <w:sz w:val="20"/>
                <w:szCs w:val="20"/>
                <w:color w:val="auto"/>
              </w:rPr>
            </w:pPr>
            <w:r>
              <w:rPr>
                <w:rFonts w:ascii="Arial" w:cs="Arial" w:eastAsia="Arial" w:hAnsi="Arial"/>
                <w:sz w:val="10"/>
                <w:szCs w:val="10"/>
                <w:b w:val="1"/>
                <w:bCs w:val="1"/>
                <w:color w:val="auto"/>
              </w:rPr>
              <w:t>Earnings per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6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ind w:left="120"/>
              <w:spacing w:after="0"/>
              <w:rPr>
                <w:sz w:val="20"/>
                <w:szCs w:val="20"/>
                <w:color w:val="auto"/>
              </w:rPr>
            </w:pPr>
            <w:r>
              <w:rPr>
                <w:rFonts w:ascii="Arial" w:cs="Arial" w:eastAsia="Arial" w:hAnsi="Arial"/>
                <w:sz w:val="10"/>
                <w:szCs w:val="10"/>
                <w:b w:val="1"/>
                <w:bCs w:val="1"/>
                <w:color w:val="auto"/>
              </w:rPr>
              <w:t>Diluted Share</w:t>
            </w: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280"/>
              <w:spacing w:after="0"/>
              <w:rPr>
                <w:sz w:val="20"/>
                <w:szCs w:val="20"/>
                <w:color w:val="auto"/>
              </w:rPr>
            </w:pPr>
            <w:r>
              <w:rPr>
                <w:rFonts w:ascii="Arial" w:cs="Arial" w:eastAsia="Arial" w:hAnsi="Arial"/>
                <w:sz w:val="10"/>
                <w:szCs w:val="10"/>
                <w:b w:val="1"/>
                <w:bCs w:val="1"/>
                <w:color w:val="auto"/>
              </w:rPr>
              <w:t>Diluted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attributable to common shareholders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919</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3"/>
                <w:szCs w:val="13"/>
                <w:b w:val="1"/>
                <w:bCs w:val="1"/>
                <w:color w:val="auto"/>
              </w:rPr>
              <w:t>0.90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b w:val="1"/>
                <w:bCs w:val="1"/>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908</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0.90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Change in FERC audit liability (net of taxes of $1)</w:t>
            </w: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600" w:type="dxa"/>
            <w:vAlign w:val="bottom"/>
            <w:gridSpan w:val="2"/>
            <w:shd w:val="clear" w:color="auto" w:fill="CCEEFF"/>
          </w:tcPr>
          <w:p>
            <w:pPr>
              <w:spacing w:after="0" w:line="171" w:lineRule="exact"/>
              <w:rPr>
                <w:sz w:val="20"/>
                <w:szCs w:val="20"/>
                <w:color w:val="auto"/>
              </w:rPr>
            </w:pPr>
            <w:r>
              <w:rPr>
                <w:rFonts w:ascii="Arial" w:cs="Arial" w:eastAsia="Arial" w:hAnsi="Arial"/>
                <w:sz w:val="13"/>
                <w:szCs w:val="13"/>
                <w:color w:val="auto"/>
              </w:rPr>
              <w:t>Cost management charge (net of taxes of $0)</w:t>
            </w:r>
            <w:r>
              <w:rPr>
                <w:rFonts w:ascii="Arial" w:cs="Arial" w:eastAsia="Arial" w:hAnsi="Arial"/>
                <w:sz w:val="16"/>
                <w:szCs w:val="16"/>
                <w:color w:val="auto"/>
                <w:vertAlign w:val="superscript"/>
              </w:rPr>
              <w:t>(a)</w:t>
            </w:r>
          </w:p>
        </w:tc>
        <w:tc>
          <w:tcPr>
            <w:tcW w:w="5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5600" w:type="dxa"/>
            <w:vAlign w:val="bottom"/>
            <w:tcBorders>
              <w:bottom w:val="single" w:sz="8" w:color="CCEEFF"/>
            </w:tcBorders>
            <w:gridSpan w:val="2"/>
          </w:tcPr>
          <w:p>
            <w:pPr>
              <w:spacing w:after="0" w:line="170" w:lineRule="exact"/>
              <w:rPr>
                <w:sz w:val="20"/>
                <w:szCs w:val="20"/>
                <w:color w:val="auto"/>
              </w:rPr>
            </w:pPr>
            <w:r>
              <w:rPr>
                <w:rFonts w:ascii="Arial" w:cs="Arial" w:eastAsia="Arial" w:hAnsi="Arial"/>
                <w:sz w:val="13"/>
                <w:szCs w:val="13"/>
                <w:color w:val="auto"/>
              </w:rPr>
              <w:t>Regulatory matters (net of taxes of $4 and $7, respectively)</w:t>
            </w:r>
            <w:r>
              <w:rPr>
                <w:rFonts w:ascii="Arial" w:cs="Arial" w:eastAsia="Arial" w:hAnsi="Arial"/>
                <w:sz w:val="16"/>
                <w:szCs w:val="16"/>
                <w:color w:val="auto"/>
                <w:vertAlign w:val="superscript"/>
              </w:rPr>
              <w:t>(b)</w:t>
            </w: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0.01</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Adjusted (non-GAAP) operating earnings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3"/>
                <w:szCs w:val="13"/>
                <w:b w:val="1"/>
                <w:bCs w:val="1"/>
                <w:color w:val="auto"/>
              </w:rPr>
              <w:t>0.91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b w:val="1"/>
                <w:bCs w:val="1"/>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Note:</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Amounts may not sum due to rounding.</w:t>
      </w:r>
    </w:p>
    <w:p>
      <w:pPr>
        <w:spacing w:after="0" w:line="11" w:lineRule="exact"/>
        <w:rPr>
          <w:sz w:val="20"/>
          <w:szCs w:val="20"/>
          <w:color w:val="auto"/>
        </w:rPr>
      </w:pPr>
    </w:p>
    <w:p>
      <w:pPr>
        <w:ind w:right="40"/>
        <w:spacing w:after="0" w:line="272" w:lineRule="auto"/>
        <w:rPr>
          <w:sz w:val="20"/>
          <w:szCs w:val="20"/>
          <w:color w:val="auto"/>
        </w:rPr>
      </w:pPr>
      <w:r>
        <w:rPr>
          <w:rFonts w:ascii="Arial" w:cs="Arial" w:eastAsia="Arial" w:hAnsi="Arial"/>
          <w:sz w:val="11"/>
          <w:szCs w:val="11"/>
          <w:color w:val="auto"/>
        </w:rPr>
        <w:t>Unless otherwise noted, the income tax impact of each reconciling item between GAAP Net income attributable to common shareholders and Adjusted (non-GAAP) operating earnings is based on the marginal statutory federal and state income tax rates for each Registrant, taking into account whether the income or expense item is taxable or deductible, respectively, in whole or in part. The marginal statutory income tax rates for 2026 and 2025 ranged from 24.0% to 29.0%.</w:t>
      </w:r>
    </w:p>
    <w:p>
      <w:pPr>
        <w:spacing w:after="0" w:line="154" w:lineRule="exact"/>
        <w:rPr>
          <w:sz w:val="20"/>
          <w:szCs w:val="20"/>
          <w:color w:val="auto"/>
        </w:rPr>
      </w:pPr>
    </w:p>
    <w:p>
      <w:pPr>
        <w:ind w:left="240" w:hanging="235"/>
        <w:spacing w:after="0"/>
        <w:tabs>
          <w:tab w:leader="none" w:pos="2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Primarily represents severance and reorganization costs related to cost management.</w:t>
      </w:r>
    </w:p>
    <w:p>
      <w:pPr>
        <w:spacing w:after="0" w:line="21" w:lineRule="exact"/>
        <w:rPr>
          <w:rFonts w:ascii="Arial" w:cs="Arial" w:eastAsia="Arial" w:hAnsi="Arial"/>
          <w:sz w:val="11"/>
          <w:szCs w:val="11"/>
          <w:color w:val="auto"/>
        </w:rPr>
      </w:pPr>
    </w:p>
    <w:p>
      <w:pPr>
        <w:ind w:left="240" w:hanging="235"/>
        <w:spacing w:after="0"/>
        <w:tabs>
          <w:tab w:leader="none" w:pos="2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Represents the disallowance of certain capitalized costs.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2026 Transactions and Developments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 Base Rate Case Proceedings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Utility Registrants file base rate cases with their regulatory commissions seeking increases or decreases to their electric transmission and distribution, and gas distribution rates to recover their costs and earn a fair return on their investments. The outcomes of these regulatory proceedings impact the Utility Registrants’ current and future financial statements.</w:t>
      </w:r>
    </w:p>
    <w:p>
      <w:pPr>
        <w:spacing w:after="0" w:line="82"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tables show the Utility Registrants’ completed and pending distribution base rate case proceedings in 2026. See Note 2 — Regulatory Matters of the Combined Notes to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Completed Distribution Base Rate Case Proceedings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2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Registrant/Jurisdiction</w:t>
            </w:r>
          </w:p>
        </w:tc>
        <w:tc>
          <w:tcPr>
            <w:tcW w:w="80" w:type="dxa"/>
            <w:vAlign w:val="bottom"/>
            <w:vMerge w:val="restart"/>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vMerge w:val="restart"/>
          </w:tcPr>
          <w:p>
            <w:pPr>
              <w:jc w:val="center"/>
              <w:ind w:right="441"/>
              <w:spacing w:after="0"/>
              <w:rPr>
                <w:sz w:val="20"/>
                <w:szCs w:val="20"/>
                <w:color w:val="auto"/>
              </w:rPr>
            </w:pPr>
            <w:r>
              <w:rPr>
                <w:rFonts w:ascii="Arial" w:cs="Arial" w:eastAsia="Arial" w:hAnsi="Arial"/>
                <w:sz w:val="10"/>
                <w:szCs w:val="10"/>
                <w:b w:val="1"/>
                <w:bCs w:val="1"/>
                <w:color w:val="auto"/>
                <w:w w:val="97"/>
              </w:rPr>
              <w:t>Filing 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Service</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98"/>
              </w:rPr>
              <w:t>Requested Revenue</w:t>
            </w:r>
          </w:p>
        </w:tc>
        <w:tc>
          <w:tcPr>
            <w:tcW w:w="1300" w:type="dxa"/>
            <w:vAlign w:val="bottom"/>
            <w:gridSpan w:val="5"/>
          </w:tcPr>
          <w:p>
            <w:pPr>
              <w:ind w:left="160"/>
              <w:spacing w:after="0"/>
              <w:rPr>
                <w:sz w:val="20"/>
                <w:szCs w:val="20"/>
                <w:color w:val="auto"/>
              </w:rPr>
            </w:pPr>
            <w:r>
              <w:rPr>
                <w:rFonts w:ascii="Arial" w:cs="Arial" w:eastAsia="Arial" w:hAnsi="Arial"/>
                <w:sz w:val="10"/>
                <w:szCs w:val="10"/>
                <w:b w:val="1"/>
                <w:bCs w:val="1"/>
                <w:color w:val="auto"/>
              </w:rPr>
              <w:t>Approved Revenue</w:t>
            </w:r>
          </w:p>
        </w:tc>
        <w:tc>
          <w:tcPr>
            <w:tcW w:w="94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8"/>
              </w:rPr>
              <w:t>Approved ROE</w:t>
            </w:r>
          </w:p>
        </w:tc>
        <w:tc>
          <w:tcPr>
            <w:tcW w:w="100" w:type="dxa"/>
            <w:vAlign w:val="bottom"/>
            <w:vMerge w:val="restart"/>
          </w:tcPr>
          <w:p>
            <w:pPr>
              <w:spacing w:after="0"/>
              <w:rPr>
                <w:sz w:val="10"/>
                <w:szCs w:val="10"/>
                <w:color w:val="auto"/>
              </w:rPr>
            </w:pPr>
          </w:p>
        </w:tc>
        <w:tc>
          <w:tcPr>
            <w:tcW w:w="24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restart"/>
          </w:tcPr>
          <w:p>
            <w:pPr>
              <w:jc w:val="center"/>
              <w:ind w:right="341"/>
              <w:spacing w:after="0"/>
              <w:rPr>
                <w:sz w:val="20"/>
                <w:szCs w:val="20"/>
                <w:color w:val="auto"/>
              </w:rPr>
            </w:pPr>
            <w:r>
              <w:rPr>
                <w:rFonts w:ascii="Arial" w:cs="Arial" w:eastAsia="Arial" w:hAnsi="Arial"/>
                <w:sz w:val="10"/>
                <w:szCs w:val="10"/>
                <w:b w:val="1"/>
                <w:bCs w:val="1"/>
                <w:color w:val="auto"/>
                <w:w w:val="97"/>
              </w:rPr>
              <w:t>Approval Date</w:t>
            </w:r>
          </w:p>
        </w:tc>
        <w:tc>
          <w:tcPr>
            <w:tcW w:w="100" w:type="dxa"/>
            <w:vAlign w:val="bottom"/>
            <w:vMerge w:val="restart"/>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Rate Effective Date</w:t>
            </w:r>
          </w:p>
        </w:tc>
        <w:tc>
          <w:tcPr>
            <w:tcW w:w="0" w:type="dxa"/>
            <w:vAlign w:val="bottom"/>
          </w:tcPr>
          <w:p>
            <w:pPr>
              <w:spacing w:after="0"/>
              <w:rPr>
                <w:sz w:val="1"/>
                <w:szCs w:val="1"/>
                <w:color w:val="auto"/>
              </w:rPr>
            </w:pPr>
          </w:p>
        </w:tc>
      </w:tr>
      <w:tr>
        <w:trPr>
          <w:trHeight w:val="139"/>
        </w:trPr>
        <w:tc>
          <w:tcPr>
            <w:tcW w:w="17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9"/>
              </w:rPr>
              <w:t>Requirement Increase</w:t>
            </w: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0"/>
                <w:szCs w:val="10"/>
                <w:b w:val="1"/>
                <w:bCs w:val="1"/>
                <w:color w:val="auto"/>
              </w:rPr>
              <w:t>Requirement Increase</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4"/>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center"/>
              <w:ind w:left="36"/>
              <w:spacing w:after="0"/>
              <w:rPr>
                <w:sz w:val="20"/>
                <w:szCs w:val="20"/>
                <w:color w:val="auto"/>
              </w:rPr>
            </w:pPr>
            <w:r>
              <w:rPr>
                <w:rFonts w:ascii="Arial" w:cs="Arial" w:eastAsia="Arial" w:hAnsi="Arial"/>
                <w:sz w:val="13"/>
                <w:szCs w:val="13"/>
                <w:color w:val="auto"/>
                <w:w w:val="97"/>
              </w:rPr>
              <w:t>January 17, 2023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Electric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1"/>
              <w:spacing w:after="0"/>
              <w:rPr>
                <w:sz w:val="20"/>
                <w:szCs w:val="20"/>
                <w:color w:val="auto"/>
              </w:rPr>
            </w:pPr>
            <w:r>
              <w:rPr>
                <w:rFonts w:ascii="Arial" w:cs="Arial" w:eastAsia="Arial" w:hAnsi="Arial"/>
                <w:sz w:val="13"/>
                <w:szCs w:val="13"/>
                <w:color w:val="auto"/>
              </w:rPr>
              <w:t>1,487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center"/>
              <w:ind w:left="197"/>
              <w:spacing w:after="0"/>
              <w:rPr>
                <w:sz w:val="20"/>
                <w:szCs w:val="20"/>
                <w:color w:val="auto"/>
              </w:rPr>
            </w:pPr>
            <w:r>
              <w:rPr>
                <w:rFonts w:ascii="Arial" w:cs="Arial" w:eastAsia="Arial" w:hAnsi="Arial"/>
                <w:sz w:val="13"/>
                <w:szCs w:val="13"/>
                <w:color w:val="auto"/>
                <w:w w:val="95"/>
              </w:rPr>
              <w:t>8.905%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gridSpan w:val="5"/>
            <w:shd w:val="clear" w:color="auto" w:fill="CCEEFF"/>
          </w:tcPr>
          <w:p>
            <w:pPr>
              <w:jc w:val="center"/>
              <w:ind w:right="340"/>
              <w:spacing w:after="0"/>
              <w:rPr>
                <w:sz w:val="20"/>
                <w:szCs w:val="20"/>
                <w:color w:val="auto"/>
              </w:rPr>
            </w:pPr>
            <w:r>
              <w:rPr>
                <w:rFonts w:ascii="Arial" w:cs="Arial" w:eastAsia="Arial" w:hAnsi="Arial"/>
                <w:sz w:val="13"/>
                <w:szCs w:val="13"/>
                <w:color w:val="auto"/>
                <w:w w:val="96"/>
              </w:rPr>
              <w:t>December 19, 2024</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January 1, 2024</w:t>
            </w:r>
          </w:p>
        </w:tc>
        <w:tc>
          <w:tcPr>
            <w:tcW w:w="0" w:type="dxa"/>
            <w:vAlign w:val="bottom"/>
          </w:tcPr>
          <w:p>
            <w:pPr>
              <w:spacing w:after="0"/>
              <w:rPr>
                <w:sz w:val="1"/>
                <w:szCs w:val="1"/>
                <w:color w:val="auto"/>
              </w:rPr>
            </w:pPr>
          </w:p>
        </w:tc>
      </w:tr>
      <w:tr>
        <w:trPr>
          <w:trHeight w:val="27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ComEd - Illinois</w:t>
            </w:r>
          </w:p>
        </w:tc>
        <w:tc>
          <w:tcPr>
            <w:tcW w:w="1700" w:type="dxa"/>
            <w:vAlign w:val="bottom"/>
            <w:gridSpan w:val="4"/>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April 26, 2024 (amended on</w:t>
            </w:r>
          </w:p>
        </w:tc>
        <w:tc>
          <w:tcPr>
            <w:tcW w:w="80" w:type="dxa"/>
            <w:vAlign w:val="bottom"/>
            <w:shd w:val="clear" w:color="auto" w:fill="CCEEFF"/>
          </w:tcPr>
          <w:p>
            <w:pPr>
              <w:spacing w:after="0"/>
              <w:rPr>
                <w:sz w:val="23"/>
                <w:szCs w:val="23"/>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3"/>
              </w:rPr>
              <w:t>Electric</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624</w:t>
            </w:r>
          </w:p>
        </w:tc>
        <w:tc>
          <w:tcPr>
            <w:tcW w:w="80" w:type="dxa"/>
            <w:vAlign w:val="bottom"/>
            <w:shd w:val="clear" w:color="auto" w:fill="CCEEFF"/>
          </w:tcPr>
          <w:p>
            <w:pPr>
              <w:spacing w:after="0"/>
              <w:rPr>
                <w:sz w:val="23"/>
                <w:szCs w:val="23"/>
                <w:color w:val="auto"/>
              </w:rPr>
            </w:pPr>
          </w:p>
        </w:tc>
        <w:tc>
          <w:tcPr>
            <w:tcW w:w="26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23"/>
                <w:szCs w:val="23"/>
                <w:color w:val="auto"/>
              </w:rPr>
            </w:pPr>
          </w:p>
        </w:tc>
        <w:tc>
          <w:tcPr>
            <w:tcW w:w="680" w:type="dxa"/>
            <w:vAlign w:val="bottom"/>
            <w:gridSpan w:val="3"/>
            <w:vMerge w:val="restart"/>
            <w:shd w:val="clear" w:color="auto" w:fill="CCEEFF"/>
          </w:tcPr>
          <w:p>
            <w:pPr>
              <w:jc w:val="center"/>
              <w:ind w:left="217"/>
              <w:spacing w:after="0"/>
              <w:rPr>
                <w:sz w:val="20"/>
                <w:szCs w:val="20"/>
                <w:color w:val="auto"/>
              </w:rPr>
            </w:pPr>
            <w:r>
              <w:rPr>
                <w:rFonts w:ascii="Arial" w:cs="Arial" w:eastAsia="Arial" w:hAnsi="Arial"/>
                <w:sz w:val="13"/>
                <w:szCs w:val="13"/>
                <w:color w:val="auto"/>
                <w:w w:val="97"/>
              </w:rPr>
              <w:t>9.89%</w:t>
            </w: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gridSpan w:val="5"/>
            <w:vMerge w:val="restart"/>
            <w:shd w:val="clear" w:color="auto" w:fill="CCEEFF"/>
          </w:tcPr>
          <w:p>
            <w:pPr>
              <w:jc w:val="center"/>
              <w:ind w:right="340"/>
              <w:spacing w:after="0"/>
              <w:rPr>
                <w:sz w:val="20"/>
                <w:szCs w:val="20"/>
                <w:color w:val="auto"/>
              </w:rPr>
            </w:pPr>
            <w:r>
              <w:rPr>
                <w:rFonts w:ascii="Arial" w:cs="Arial" w:eastAsia="Arial" w:hAnsi="Arial"/>
                <w:sz w:val="13"/>
                <w:szCs w:val="13"/>
                <w:color w:val="auto"/>
                <w:w w:val="97"/>
              </w:rPr>
              <w:t>October 31, 2024</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January 1, 2025</w:t>
            </w:r>
          </w:p>
        </w:tc>
        <w:tc>
          <w:tcPr>
            <w:tcW w:w="0" w:type="dxa"/>
            <w:vAlign w:val="bottom"/>
          </w:tcPr>
          <w:p>
            <w:pPr>
              <w:spacing w:after="0"/>
              <w:rPr>
                <w:sz w:val="1"/>
                <w:szCs w:val="1"/>
                <w:color w:val="auto"/>
              </w:rPr>
            </w:pPr>
          </w:p>
        </w:tc>
      </w:tr>
      <w:tr>
        <w:trPr>
          <w:trHeight w:val="56"/>
        </w:trPr>
        <w:tc>
          <w:tcPr>
            <w:tcW w:w="1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700" w:type="dxa"/>
            <w:vAlign w:val="bottom"/>
            <w:gridSpan w:val="4"/>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60" w:type="dxa"/>
            <w:vAlign w:val="bottom"/>
            <w:gridSpan w:val="2"/>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80" w:type="dxa"/>
            <w:vAlign w:val="bottom"/>
            <w:gridSpan w:val="3"/>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gridSpan w:val="3"/>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80" w:type="dxa"/>
            <w:vAlign w:val="bottom"/>
            <w:gridSpan w:val="5"/>
            <w:vMerge w:val="continue"/>
            <w:shd w:val="clear" w:color="auto" w:fill="CCEEFF"/>
          </w:tcPr>
          <w:p>
            <w:pPr>
              <w:spacing w:after="0"/>
              <w:rPr>
                <w:sz w:val="4"/>
                <w:szCs w:val="4"/>
                <w:color w:val="auto"/>
              </w:rPr>
            </w:pPr>
          </w:p>
        </w:tc>
        <w:tc>
          <w:tcPr>
            <w:tcW w:w="14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1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gridSpan w:val="3"/>
            <w:vMerge w:val="restart"/>
            <w:shd w:val="clear" w:color="auto" w:fill="CCEEFF"/>
          </w:tcPr>
          <w:p>
            <w:pPr>
              <w:jc w:val="center"/>
              <w:ind w:left="36"/>
              <w:spacing w:after="0"/>
              <w:rPr>
                <w:sz w:val="20"/>
                <w:szCs w:val="20"/>
                <w:color w:val="auto"/>
              </w:rPr>
            </w:pPr>
            <w:r>
              <w:rPr>
                <w:rFonts w:ascii="Arial" w:cs="Arial" w:eastAsia="Arial" w:hAnsi="Arial"/>
                <w:sz w:val="13"/>
                <w:szCs w:val="13"/>
                <w:color w:val="auto"/>
                <w:w w:val="96"/>
              </w:rPr>
              <w:t>September 11, 2024)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3"/>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gridSpan w:val="5"/>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1800" w:type="dxa"/>
            <w:vAlign w:val="bottom"/>
            <w:gridSpan w:val="2"/>
            <w:vMerge w:val="restart"/>
          </w:tcPr>
          <w:p>
            <w:pPr>
              <w:ind w:left="20"/>
              <w:spacing w:after="0"/>
              <w:rPr>
                <w:sz w:val="20"/>
                <w:szCs w:val="20"/>
                <w:color w:val="auto"/>
              </w:rPr>
            </w:pPr>
            <w:r>
              <w:rPr>
                <w:rFonts w:ascii="Arial" w:cs="Arial" w:eastAsia="Arial" w:hAnsi="Arial"/>
                <w:sz w:val="13"/>
                <w:szCs w:val="13"/>
                <w:color w:val="auto"/>
              </w:rPr>
              <w:t>PECO - Pennsylvania</w:t>
            </w:r>
          </w:p>
        </w:tc>
        <w:tc>
          <w:tcPr>
            <w:tcW w:w="1600" w:type="dxa"/>
            <w:vAlign w:val="bottom"/>
            <w:gridSpan w:val="3"/>
            <w:vMerge w:val="restart"/>
          </w:tcPr>
          <w:p>
            <w:pPr>
              <w:jc w:val="center"/>
              <w:ind w:left="36"/>
              <w:spacing w:after="0"/>
              <w:rPr>
                <w:sz w:val="20"/>
                <w:szCs w:val="20"/>
                <w:color w:val="auto"/>
              </w:rPr>
            </w:pPr>
            <w:r>
              <w:rPr>
                <w:rFonts w:ascii="Arial" w:cs="Arial" w:eastAsia="Arial" w:hAnsi="Arial"/>
                <w:sz w:val="13"/>
                <w:szCs w:val="13"/>
                <w:color w:val="auto"/>
                <w:w w:val="99"/>
              </w:rPr>
              <w:t>March 28, 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Electric</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
              <w:spacing w:after="0"/>
              <w:rPr>
                <w:sz w:val="20"/>
                <w:szCs w:val="20"/>
                <w:color w:val="auto"/>
              </w:rPr>
            </w:pPr>
            <w:r>
              <w:rPr>
                <w:rFonts w:ascii="Arial" w:cs="Arial" w:eastAsia="Arial" w:hAnsi="Arial"/>
                <w:sz w:val="13"/>
                <w:szCs w:val="13"/>
                <w:color w:val="auto"/>
              </w:rPr>
              <w:t>464</w:t>
            </w:r>
          </w:p>
        </w:tc>
        <w:tc>
          <w:tcPr>
            <w:tcW w:w="80" w:type="dxa"/>
            <w:vAlign w:val="bottom"/>
          </w:tcPr>
          <w:p>
            <w:pPr>
              <w:spacing w:after="0"/>
              <w:rPr>
                <w:sz w:val="20"/>
                <w:szCs w:val="20"/>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20"/>
                <w:szCs w:val="20"/>
                <w:color w:val="auto"/>
              </w:rPr>
            </w:pPr>
          </w:p>
        </w:tc>
        <w:tc>
          <w:tcPr>
            <w:tcW w:w="680" w:type="dxa"/>
            <w:vAlign w:val="bottom"/>
            <w:gridSpan w:val="3"/>
            <w:vMerge w:val="restart"/>
          </w:tcPr>
          <w:p>
            <w:pPr>
              <w:jc w:val="center"/>
              <w:ind w:left="197"/>
              <w:spacing w:after="0"/>
              <w:rPr>
                <w:sz w:val="20"/>
                <w:szCs w:val="20"/>
                <w:color w:val="auto"/>
              </w:rPr>
            </w:pPr>
            <w:r>
              <w:rPr>
                <w:rFonts w:ascii="Arial" w:cs="Arial" w:eastAsia="Arial" w:hAnsi="Arial"/>
                <w:sz w:val="13"/>
                <w:szCs w:val="13"/>
                <w:color w:val="auto"/>
              </w:rPr>
              <w:t>N/A</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5"/>
            <w:vMerge w:val="restart"/>
          </w:tcPr>
          <w:p>
            <w:pPr>
              <w:jc w:val="center"/>
              <w:ind w:right="340"/>
              <w:spacing w:after="0"/>
              <w:rPr>
                <w:sz w:val="20"/>
                <w:szCs w:val="20"/>
                <w:color w:val="auto"/>
              </w:rPr>
            </w:pPr>
            <w:r>
              <w:rPr>
                <w:rFonts w:ascii="Arial" w:cs="Arial" w:eastAsia="Arial" w:hAnsi="Arial"/>
                <w:sz w:val="13"/>
                <w:szCs w:val="13"/>
                <w:color w:val="auto"/>
                <w:w w:val="96"/>
              </w:rPr>
              <w:t>December 12, 2024</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8"/>
              </w:rPr>
              <w:t>January 1, 2025</w:t>
            </w:r>
          </w:p>
        </w:tc>
        <w:tc>
          <w:tcPr>
            <w:tcW w:w="0" w:type="dxa"/>
            <w:vAlign w:val="bottom"/>
          </w:tcPr>
          <w:p>
            <w:pPr>
              <w:spacing w:after="0"/>
              <w:rPr>
                <w:sz w:val="1"/>
                <w:szCs w:val="1"/>
                <w:color w:val="auto"/>
              </w:rPr>
            </w:pPr>
          </w:p>
        </w:tc>
      </w:tr>
      <w:tr>
        <w:trPr>
          <w:trHeight w:val="149"/>
        </w:trPr>
        <w:tc>
          <w:tcPr>
            <w:tcW w:w="180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7"/>
              </w:rPr>
              <w:t>Natural Gas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vMerge w:val="restart"/>
          </w:tcPr>
          <w:p>
            <w:pPr>
              <w:jc w:val="right"/>
              <w:ind w:right="1"/>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2"/>
                <w:szCs w:val="12"/>
                <w:color w:val="auto"/>
              </w:rPr>
            </w:pPr>
          </w:p>
        </w:tc>
        <w:tc>
          <w:tcPr>
            <w:tcW w:w="260" w:type="dxa"/>
            <w:vAlign w:val="bottom"/>
            <w:vMerge w:val="restart"/>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BGE - Maryland</w:t>
            </w:r>
          </w:p>
        </w:tc>
        <w:tc>
          <w:tcPr>
            <w:tcW w:w="1600" w:type="dxa"/>
            <w:vAlign w:val="bottom"/>
            <w:gridSpan w:val="3"/>
            <w:vMerge w:val="restart"/>
            <w:shd w:val="clear" w:color="auto" w:fill="CCEEFF"/>
          </w:tcPr>
          <w:p>
            <w:pPr>
              <w:jc w:val="center"/>
              <w:ind w:left="56"/>
              <w:spacing w:after="0"/>
              <w:rPr>
                <w:sz w:val="20"/>
                <w:szCs w:val="20"/>
                <w:color w:val="auto"/>
              </w:rPr>
            </w:pPr>
            <w:r>
              <w:rPr>
                <w:rFonts w:ascii="Arial" w:cs="Arial" w:eastAsia="Arial" w:hAnsi="Arial"/>
                <w:sz w:val="13"/>
                <w:szCs w:val="13"/>
                <w:color w:val="auto"/>
                <w:w w:val="97"/>
              </w:rPr>
              <w:t>February 17, 2023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Electric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1"/>
              <w:spacing w:after="0"/>
              <w:rPr>
                <w:sz w:val="20"/>
                <w:szCs w:val="20"/>
                <w:color w:val="auto"/>
              </w:rPr>
            </w:pPr>
            <w:r>
              <w:rPr>
                <w:rFonts w:ascii="Arial" w:cs="Arial" w:eastAsia="Arial" w:hAnsi="Arial"/>
                <w:sz w:val="13"/>
                <w:szCs w:val="13"/>
                <w:color w:val="auto"/>
              </w:rPr>
              <w:t>313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center"/>
              <w:ind w:left="217"/>
              <w:spacing w:after="0"/>
              <w:rPr>
                <w:sz w:val="20"/>
                <w:szCs w:val="20"/>
                <w:color w:val="auto"/>
              </w:rPr>
            </w:pPr>
            <w:r>
              <w:rPr>
                <w:rFonts w:ascii="Arial" w:cs="Arial" w:eastAsia="Arial" w:hAnsi="Arial"/>
                <w:sz w:val="13"/>
                <w:szCs w:val="13"/>
                <w:color w:val="auto"/>
                <w:w w:val="97"/>
              </w:rPr>
              <w:t>9.50%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gridSpan w:val="5"/>
            <w:vMerge w:val="restart"/>
            <w:shd w:val="clear" w:color="auto" w:fill="CCEEFF"/>
          </w:tcPr>
          <w:p>
            <w:pPr>
              <w:jc w:val="center"/>
              <w:ind w:right="340"/>
              <w:spacing w:after="0"/>
              <w:rPr>
                <w:sz w:val="20"/>
                <w:szCs w:val="20"/>
                <w:color w:val="auto"/>
              </w:rPr>
            </w:pPr>
            <w:r>
              <w:rPr>
                <w:rFonts w:ascii="Arial" w:cs="Arial" w:eastAsia="Arial" w:hAnsi="Arial"/>
                <w:sz w:val="13"/>
                <w:szCs w:val="13"/>
                <w:color w:val="auto"/>
                <w:w w:val="96"/>
              </w:rPr>
              <w:t>December 14, 2023</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January 1, 2024</w:t>
            </w:r>
          </w:p>
        </w:tc>
        <w:tc>
          <w:tcPr>
            <w:tcW w:w="0" w:type="dxa"/>
            <w:vAlign w:val="bottom"/>
          </w:tcPr>
          <w:p>
            <w:pPr>
              <w:spacing w:after="0"/>
              <w:rPr>
                <w:sz w:val="1"/>
                <w:szCs w:val="1"/>
                <w:color w:val="auto"/>
              </w:rPr>
            </w:pPr>
          </w:p>
        </w:tc>
      </w:tr>
      <w:tr>
        <w:trPr>
          <w:trHeight w:val="159"/>
        </w:trPr>
        <w:tc>
          <w:tcPr>
            <w:tcW w:w="1800" w:type="dxa"/>
            <w:vAlign w:val="bottom"/>
            <w:gridSpan w:val="2"/>
            <w:vMerge w:val="continue"/>
            <w:shd w:val="clear" w:color="auto" w:fill="CCEEFF"/>
          </w:tcPr>
          <w:p>
            <w:pPr>
              <w:spacing w:after="0"/>
              <w:rPr>
                <w:sz w:val="13"/>
                <w:szCs w:val="13"/>
                <w:color w:val="auto"/>
              </w:rPr>
            </w:pPr>
          </w:p>
        </w:tc>
        <w:tc>
          <w:tcPr>
            <w:tcW w:w="160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7"/>
              </w:rPr>
              <w:t>Natural Gas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center"/>
              <w:ind w:left="217"/>
              <w:spacing w:after="0"/>
              <w:rPr>
                <w:sz w:val="20"/>
                <w:szCs w:val="20"/>
                <w:color w:val="auto"/>
              </w:rPr>
            </w:pPr>
            <w:r>
              <w:rPr>
                <w:rFonts w:ascii="Arial" w:cs="Arial" w:eastAsia="Arial" w:hAnsi="Arial"/>
                <w:sz w:val="13"/>
                <w:szCs w:val="13"/>
                <w:color w:val="auto"/>
                <w:w w:val="97"/>
              </w:rPr>
              <w:t>9.45%</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gridSpan w:val="5"/>
            <w:vMerge w:val="continue"/>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8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1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800" w:type="dxa"/>
            <w:vAlign w:val="bottom"/>
            <w:gridSpan w:val="2"/>
            <w:vMerge w:val="restart"/>
          </w:tcPr>
          <w:p>
            <w:pPr>
              <w:ind w:left="20"/>
              <w:spacing w:after="0"/>
              <w:rPr>
                <w:sz w:val="20"/>
                <w:szCs w:val="20"/>
                <w:color w:val="auto"/>
              </w:rPr>
            </w:pPr>
            <w:r>
              <w:rPr>
                <w:rFonts w:ascii="Arial" w:cs="Arial" w:eastAsia="Arial" w:hAnsi="Arial"/>
                <w:sz w:val="13"/>
                <w:szCs w:val="13"/>
                <w:color w:val="auto"/>
              </w:rPr>
              <w:t>Pepco - District of Columbia</w:t>
            </w:r>
          </w:p>
        </w:tc>
        <w:tc>
          <w:tcPr>
            <w:tcW w:w="1600" w:type="dxa"/>
            <w:vAlign w:val="bottom"/>
            <w:gridSpan w:val="3"/>
          </w:tcPr>
          <w:p>
            <w:pPr>
              <w:jc w:val="center"/>
              <w:ind w:left="36"/>
              <w:spacing w:after="0" w:line="128" w:lineRule="exact"/>
              <w:rPr>
                <w:sz w:val="20"/>
                <w:szCs w:val="20"/>
                <w:color w:val="auto"/>
              </w:rPr>
            </w:pPr>
            <w:r>
              <w:rPr>
                <w:rFonts w:ascii="Arial" w:cs="Arial" w:eastAsia="Arial" w:hAnsi="Arial"/>
                <w:sz w:val="13"/>
                <w:szCs w:val="13"/>
                <w:color w:val="auto"/>
                <w:w w:val="96"/>
              </w:rPr>
              <w:t>April 13, 2023 (amended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3"/>
              </w:rPr>
              <w:t>Electric</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vMerge w:val="restart"/>
          </w:tcPr>
          <w:p>
            <w:pPr>
              <w:jc w:val="right"/>
              <w:ind w:right="1"/>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1"/>
                <w:szCs w:val="11"/>
                <w:color w:val="auto"/>
              </w:rPr>
            </w:pPr>
          </w:p>
        </w:tc>
        <w:tc>
          <w:tcPr>
            <w:tcW w:w="260" w:type="dxa"/>
            <w:vAlign w:val="bottom"/>
            <w:vMerge w:val="restart"/>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1"/>
                <w:szCs w:val="11"/>
                <w:color w:val="auto"/>
              </w:rPr>
            </w:pPr>
          </w:p>
        </w:tc>
        <w:tc>
          <w:tcPr>
            <w:tcW w:w="680" w:type="dxa"/>
            <w:vAlign w:val="bottom"/>
            <w:gridSpan w:val="3"/>
            <w:vMerge w:val="restart"/>
          </w:tcPr>
          <w:p>
            <w:pPr>
              <w:jc w:val="center"/>
              <w:ind w:left="217"/>
              <w:spacing w:after="0"/>
              <w:rPr>
                <w:sz w:val="20"/>
                <w:szCs w:val="20"/>
                <w:color w:val="auto"/>
              </w:rPr>
            </w:pPr>
            <w:r>
              <w:rPr>
                <w:rFonts w:ascii="Arial" w:cs="Arial" w:eastAsia="Arial" w:hAnsi="Arial"/>
                <w:sz w:val="13"/>
                <w:szCs w:val="13"/>
                <w:color w:val="auto"/>
                <w:w w:val="97"/>
              </w:rPr>
              <w:t>9.50%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5"/>
            <w:vMerge w:val="restart"/>
          </w:tcPr>
          <w:p>
            <w:pPr>
              <w:jc w:val="center"/>
              <w:ind w:right="340"/>
              <w:spacing w:after="0"/>
              <w:rPr>
                <w:sz w:val="20"/>
                <w:szCs w:val="20"/>
                <w:color w:val="auto"/>
              </w:rPr>
            </w:pPr>
            <w:r>
              <w:rPr>
                <w:rFonts w:ascii="Arial" w:cs="Arial" w:eastAsia="Arial" w:hAnsi="Arial"/>
                <w:sz w:val="13"/>
                <w:szCs w:val="13"/>
                <w:color w:val="auto"/>
                <w:w w:val="96"/>
              </w:rPr>
              <w:t>November 26, 2024</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8"/>
              </w:rPr>
              <w:t>January 1, 2025</w:t>
            </w:r>
          </w:p>
        </w:tc>
        <w:tc>
          <w:tcPr>
            <w:tcW w:w="0" w:type="dxa"/>
            <w:vAlign w:val="bottom"/>
          </w:tcPr>
          <w:p>
            <w:pPr>
              <w:spacing w:after="0"/>
              <w:rPr>
                <w:sz w:val="1"/>
                <w:szCs w:val="1"/>
                <w:color w:val="auto"/>
              </w:rPr>
            </w:pPr>
          </w:p>
        </w:tc>
      </w:tr>
      <w:tr>
        <w:trPr>
          <w:trHeight w:val="104"/>
        </w:trPr>
        <w:tc>
          <w:tcPr>
            <w:tcW w:w="1800" w:type="dxa"/>
            <w:vAlign w:val="bottom"/>
            <w:gridSpan w:val="2"/>
            <w:vMerge w:val="continue"/>
          </w:tcPr>
          <w:p>
            <w:pPr>
              <w:spacing w:after="0"/>
              <w:rPr>
                <w:sz w:val="9"/>
                <w:szCs w:val="9"/>
                <w:color w:val="auto"/>
              </w:rPr>
            </w:pPr>
          </w:p>
        </w:tc>
        <w:tc>
          <w:tcPr>
            <w:tcW w:w="1600" w:type="dxa"/>
            <w:vAlign w:val="bottom"/>
            <w:gridSpan w:val="3"/>
            <w:vMerge w:val="restart"/>
          </w:tcPr>
          <w:p>
            <w:pPr>
              <w:jc w:val="center"/>
              <w:ind w:left="56"/>
              <w:spacing w:after="0"/>
              <w:rPr>
                <w:sz w:val="20"/>
                <w:szCs w:val="20"/>
                <w:color w:val="auto"/>
              </w:rPr>
            </w:pPr>
            <w:r>
              <w:rPr>
                <w:rFonts w:ascii="Arial" w:cs="Arial" w:eastAsia="Arial" w:hAnsi="Arial"/>
                <w:sz w:val="13"/>
                <w:szCs w:val="13"/>
                <w:color w:val="auto"/>
                <w:w w:val="97"/>
              </w:rPr>
              <w:t>February 27, 2024)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gridSpan w:val="5"/>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Pepco - Maryland</w:t>
            </w:r>
          </w:p>
        </w:tc>
        <w:tc>
          <w:tcPr>
            <w:tcW w:w="1600" w:type="dxa"/>
            <w:vAlign w:val="bottom"/>
            <w:gridSpan w:val="3"/>
            <w:shd w:val="clear" w:color="auto" w:fill="CCEEFF"/>
          </w:tcPr>
          <w:p>
            <w:pPr>
              <w:jc w:val="center"/>
              <w:ind w:left="36"/>
              <w:spacing w:after="0" w:line="129" w:lineRule="exact"/>
              <w:rPr>
                <w:sz w:val="20"/>
                <w:szCs w:val="20"/>
                <w:color w:val="auto"/>
              </w:rPr>
            </w:pPr>
            <w:r>
              <w:rPr>
                <w:rFonts w:ascii="Arial" w:cs="Arial" w:eastAsia="Arial" w:hAnsi="Arial"/>
                <w:sz w:val="13"/>
                <w:szCs w:val="13"/>
                <w:color w:val="auto"/>
                <w:w w:val="97"/>
              </w:rPr>
              <w:t>May 16, 2023 (amended</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3"/>
              </w:rPr>
              <w:t>Electric</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center"/>
              <w:ind w:left="217"/>
              <w:spacing w:after="0"/>
              <w:rPr>
                <w:sz w:val="20"/>
                <w:szCs w:val="20"/>
                <w:color w:val="auto"/>
              </w:rPr>
            </w:pPr>
            <w:r>
              <w:rPr>
                <w:rFonts w:ascii="Arial" w:cs="Arial" w:eastAsia="Arial" w:hAnsi="Arial"/>
                <w:sz w:val="13"/>
                <w:szCs w:val="13"/>
                <w:color w:val="auto"/>
                <w:w w:val="97"/>
              </w:rPr>
              <w:t>9.50%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gridSpan w:val="4"/>
            <w:vMerge w:val="restart"/>
            <w:shd w:val="clear" w:color="auto" w:fill="CCEEFF"/>
          </w:tcPr>
          <w:p>
            <w:pPr>
              <w:jc w:val="center"/>
              <w:ind w:right="500"/>
              <w:spacing w:after="0"/>
              <w:rPr>
                <w:sz w:val="20"/>
                <w:szCs w:val="20"/>
                <w:color w:val="auto"/>
              </w:rPr>
            </w:pPr>
            <w:r>
              <w:rPr>
                <w:rFonts w:ascii="Arial" w:cs="Arial" w:eastAsia="Arial" w:hAnsi="Arial"/>
                <w:sz w:val="13"/>
                <w:szCs w:val="13"/>
                <w:color w:val="auto"/>
                <w:w w:val="99"/>
              </w:rPr>
              <w:t>June 10, 2024</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April 1, 2024</w:t>
            </w:r>
          </w:p>
        </w:tc>
        <w:tc>
          <w:tcPr>
            <w:tcW w:w="0" w:type="dxa"/>
            <w:vAlign w:val="bottom"/>
          </w:tcPr>
          <w:p>
            <w:pPr>
              <w:spacing w:after="0"/>
              <w:rPr>
                <w:sz w:val="1"/>
                <w:szCs w:val="1"/>
                <w:color w:val="auto"/>
              </w:rPr>
            </w:pPr>
          </w:p>
        </w:tc>
      </w:tr>
      <w:tr>
        <w:trPr>
          <w:trHeight w:val="104"/>
        </w:trPr>
        <w:tc>
          <w:tcPr>
            <w:tcW w:w="1800" w:type="dxa"/>
            <w:vAlign w:val="bottom"/>
            <w:gridSpan w:val="2"/>
            <w:vMerge w:val="continue"/>
            <w:shd w:val="clear" w:color="auto" w:fill="CCEEFF"/>
          </w:tcPr>
          <w:p>
            <w:pPr>
              <w:spacing w:after="0"/>
              <w:rPr>
                <w:sz w:val="9"/>
                <w:szCs w:val="9"/>
                <w:color w:val="auto"/>
              </w:rPr>
            </w:pPr>
          </w:p>
        </w:tc>
        <w:tc>
          <w:tcPr>
            <w:tcW w:w="1600" w:type="dxa"/>
            <w:vAlign w:val="bottom"/>
            <w:gridSpan w:val="3"/>
            <w:vMerge w:val="restart"/>
            <w:shd w:val="clear" w:color="auto" w:fill="CCEEFF"/>
          </w:tcPr>
          <w:p>
            <w:pPr>
              <w:jc w:val="center"/>
              <w:ind w:left="56"/>
              <w:spacing w:after="0"/>
              <w:rPr>
                <w:sz w:val="20"/>
                <w:szCs w:val="20"/>
                <w:color w:val="auto"/>
              </w:rPr>
            </w:pPr>
            <w:r>
              <w:rPr>
                <w:rFonts w:ascii="Arial" w:cs="Arial" w:eastAsia="Arial" w:hAnsi="Arial"/>
                <w:sz w:val="13"/>
                <w:szCs w:val="13"/>
                <w:color w:val="auto"/>
                <w:w w:val="97"/>
              </w:rPr>
              <w:t>February 23, 2024)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3"/>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gridSpan w:val="4"/>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3"/>
                <w:szCs w:val="13"/>
                <w:color w:val="auto"/>
              </w:rPr>
              <w:t>DPL - Maryland</w:t>
            </w:r>
          </w:p>
        </w:tc>
        <w:tc>
          <w:tcPr>
            <w:tcW w:w="1600" w:type="dxa"/>
            <w:vAlign w:val="bottom"/>
            <w:gridSpan w:val="3"/>
          </w:tcPr>
          <w:p>
            <w:pPr>
              <w:jc w:val="center"/>
              <w:ind w:left="36"/>
              <w:spacing w:after="0"/>
              <w:rPr>
                <w:sz w:val="20"/>
                <w:szCs w:val="20"/>
                <w:color w:val="auto"/>
              </w:rPr>
            </w:pPr>
            <w:r>
              <w:rPr>
                <w:rFonts w:ascii="Arial" w:cs="Arial" w:eastAsia="Arial" w:hAnsi="Arial"/>
                <w:sz w:val="13"/>
                <w:szCs w:val="13"/>
                <w:color w:val="auto"/>
                <w:w w:val="98"/>
              </w:rPr>
              <w:t>May 19, 2022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Electric</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680" w:type="dxa"/>
            <w:vAlign w:val="bottom"/>
            <w:gridSpan w:val="3"/>
          </w:tcPr>
          <w:p>
            <w:pPr>
              <w:jc w:val="center"/>
              <w:ind w:left="217"/>
              <w:spacing w:after="0"/>
              <w:rPr>
                <w:sz w:val="20"/>
                <w:szCs w:val="20"/>
                <w:color w:val="auto"/>
              </w:rPr>
            </w:pPr>
            <w:r>
              <w:rPr>
                <w:rFonts w:ascii="Arial" w:cs="Arial" w:eastAsia="Arial" w:hAnsi="Arial"/>
                <w:sz w:val="13"/>
                <w:szCs w:val="13"/>
                <w:color w:val="auto"/>
                <w:w w:val="97"/>
              </w:rPr>
              <w:t>9.60%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3"/>
                <w:szCs w:val="13"/>
                <w:color w:val="auto"/>
                <w:w w:val="96"/>
              </w:rPr>
              <w:t>December 14, 2022</w:t>
            </w:r>
          </w:p>
        </w:tc>
        <w:tc>
          <w:tcPr>
            <w:tcW w:w="1400" w:type="dxa"/>
            <w:vAlign w:val="bottom"/>
          </w:tcPr>
          <w:p>
            <w:pPr>
              <w:jc w:val="center"/>
              <w:spacing w:after="0"/>
              <w:rPr>
                <w:sz w:val="20"/>
                <w:szCs w:val="20"/>
                <w:color w:val="auto"/>
              </w:rPr>
            </w:pPr>
            <w:r>
              <w:rPr>
                <w:rFonts w:ascii="Arial" w:cs="Arial" w:eastAsia="Arial" w:hAnsi="Arial"/>
                <w:sz w:val="13"/>
                <w:szCs w:val="13"/>
                <w:color w:val="auto"/>
                <w:w w:val="98"/>
              </w:rPr>
              <w:t>January 1, 2023</w:t>
            </w:r>
          </w:p>
        </w:tc>
        <w:tc>
          <w:tcPr>
            <w:tcW w:w="0" w:type="dxa"/>
            <w:vAlign w:val="bottom"/>
          </w:tcPr>
          <w:p>
            <w:pPr>
              <w:spacing w:after="0"/>
              <w:rPr>
                <w:sz w:val="1"/>
                <w:szCs w:val="1"/>
                <w:color w:val="auto"/>
              </w:rPr>
            </w:pPr>
          </w:p>
        </w:tc>
      </w:tr>
      <w:tr>
        <w:trPr>
          <w:trHeight w:val="192"/>
        </w:trPr>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3"/>
            <w:shd w:val="clear" w:color="auto" w:fill="CCEEFF"/>
          </w:tcPr>
          <w:p>
            <w:pPr>
              <w:jc w:val="center"/>
              <w:ind w:left="56"/>
              <w:spacing w:after="0"/>
              <w:rPr>
                <w:sz w:val="20"/>
                <w:szCs w:val="20"/>
                <w:color w:val="auto"/>
              </w:rPr>
            </w:pPr>
            <w:r>
              <w:rPr>
                <w:rFonts w:ascii="Arial" w:cs="Arial" w:eastAsia="Arial" w:hAnsi="Arial"/>
                <w:sz w:val="13"/>
                <w:szCs w:val="13"/>
                <w:color w:val="auto"/>
                <w:w w:val="98"/>
              </w:rPr>
              <w:t>December 15, 2022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w w:val="93"/>
              </w:rPr>
              <w:t>Electric</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6"/>
                <w:szCs w:val="16"/>
                <w:color w:val="auto"/>
              </w:rPr>
            </w:pPr>
          </w:p>
        </w:tc>
        <w:tc>
          <w:tcPr>
            <w:tcW w:w="680" w:type="dxa"/>
            <w:vAlign w:val="bottom"/>
            <w:gridSpan w:val="3"/>
            <w:vMerge w:val="restart"/>
            <w:shd w:val="clear" w:color="auto" w:fill="CCEEFF"/>
          </w:tcPr>
          <w:p>
            <w:pPr>
              <w:jc w:val="center"/>
              <w:ind w:left="217"/>
              <w:spacing w:after="0"/>
              <w:rPr>
                <w:sz w:val="20"/>
                <w:szCs w:val="20"/>
                <w:color w:val="auto"/>
              </w:rPr>
            </w:pPr>
            <w:r>
              <w:rPr>
                <w:rFonts w:ascii="Arial" w:cs="Arial" w:eastAsia="Arial" w:hAnsi="Arial"/>
                <w:sz w:val="13"/>
                <w:szCs w:val="13"/>
                <w:color w:val="auto"/>
                <w:w w:val="97"/>
              </w:rPr>
              <w:t>9.60%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4"/>
            <w:vMerge w:val="restart"/>
            <w:shd w:val="clear" w:color="auto" w:fill="CCEEFF"/>
          </w:tcPr>
          <w:p>
            <w:pPr>
              <w:jc w:val="center"/>
              <w:ind w:right="500"/>
              <w:spacing w:after="0"/>
              <w:rPr>
                <w:sz w:val="20"/>
                <w:szCs w:val="20"/>
                <w:color w:val="auto"/>
              </w:rPr>
            </w:pPr>
            <w:r>
              <w:rPr>
                <w:rFonts w:ascii="Arial" w:cs="Arial" w:eastAsia="Arial" w:hAnsi="Arial"/>
                <w:sz w:val="13"/>
                <w:szCs w:val="13"/>
                <w:color w:val="auto"/>
                <w:w w:val="97"/>
              </w:rPr>
              <w:t>April 18, 2024</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July 15, 2023</w:t>
            </w:r>
          </w:p>
        </w:tc>
        <w:tc>
          <w:tcPr>
            <w:tcW w:w="0" w:type="dxa"/>
            <w:vAlign w:val="bottom"/>
          </w:tcPr>
          <w:p>
            <w:pPr>
              <w:spacing w:after="0"/>
              <w:rPr>
                <w:sz w:val="1"/>
                <w:szCs w:val="1"/>
                <w:color w:val="auto"/>
              </w:rPr>
            </w:pPr>
          </w:p>
        </w:tc>
      </w:tr>
      <w:tr>
        <w:trPr>
          <w:trHeight w:val="127"/>
        </w:trPr>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gridSpan w:val="3"/>
            <w:shd w:val="clear" w:color="auto" w:fill="CCEEFF"/>
          </w:tcPr>
          <w:p>
            <w:pPr>
              <w:jc w:val="center"/>
              <w:ind w:left="56"/>
              <w:spacing w:after="0" w:line="128" w:lineRule="exact"/>
              <w:rPr>
                <w:sz w:val="20"/>
                <w:szCs w:val="20"/>
                <w:color w:val="auto"/>
              </w:rPr>
            </w:pPr>
            <w:r>
              <w:rPr>
                <w:rFonts w:ascii="Arial" w:cs="Arial" w:eastAsia="Arial" w:hAnsi="Arial"/>
                <w:sz w:val="13"/>
                <w:szCs w:val="13"/>
                <w:color w:val="auto"/>
                <w:w w:val="97"/>
              </w:rPr>
              <w:t>(amended September 29,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8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gridSpan w:val="4"/>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DPL - Delaware</w:t>
            </w:r>
          </w:p>
        </w:tc>
        <w:tc>
          <w:tcPr>
            <w:tcW w:w="8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center"/>
              <w:ind w:left="36"/>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vMerge w:val="restart"/>
            <w:shd w:val="clear" w:color="auto" w:fill="CCEEFF"/>
          </w:tcPr>
          <w:p>
            <w:pPr>
              <w:jc w:val="center"/>
              <w:ind w:left="36"/>
              <w:spacing w:after="0"/>
              <w:rPr>
                <w:sz w:val="20"/>
                <w:szCs w:val="20"/>
                <w:color w:val="auto"/>
              </w:rPr>
            </w:pPr>
            <w:r>
              <w:rPr>
                <w:rFonts w:ascii="Arial" w:cs="Arial" w:eastAsia="Arial" w:hAnsi="Arial"/>
                <w:sz w:val="13"/>
                <w:szCs w:val="13"/>
                <w:color w:val="auto"/>
                <w:w w:val="96"/>
              </w:rPr>
              <w:t>September 20, 2024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Natural Gas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center"/>
              <w:ind w:left="217"/>
              <w:spacing w:after="0"/>
              <w:rPr>
                <w:sz w:val="20"/>
                <w:szCs w:val="20"/>
                <w:color w:val="auto"/>
              </w:rPr>
            </w:pPr>
            <w:r>
              <w:rPr>
                <w:rFonts w:ascii="Arial" w:cs="Arial" w:eastAsia="Arial" w:hAnsi="Arial"/>
                <w:sz w:val="13"/>
                <w:szCs w:val="13"/>
                <w:color w:val="auto"/>
                <w:w w:val="97"/>
              </w:rPr>
              <w:t>9.60%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gridSpan w:val="5"/>
            <w:vMerge w:val="restart"/>
            <w:shd w:val="clear" w:color="auto" w:fill="CCEEFF"/>
          </w:tcPr>
          <w:p>
            <w:pPr>
              <w:jc w:val="center"/>
              <w:ind w:right="340"/>
              <w:spacing w:after="0"/>
              <w:rPr>
                <w:sz w:val="20"/>
                <w:szCs w:val="20"/>
                <w:color w:val="auto"/>
              </w:rPr>
            </w:pPr>
            <w:r>
              <w:rPr>
                <w:rFonts w:ascii="Arial" w:cs="Arial" w:eastAsia="Arial" w:hAnsi="Arial"/>
                <w:sz w:val="13"/>
                <w:szCs w:val="13"/>
                <w:color w:val="auto"/>
                <w:w w:val="96"/>
              </w:rPr>
              <w:t>December 17, 2025</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January 1, 2026</w:t>
            </w:r>
          </w:p>
        </w:tc>
        <w:tc>
          <w:tcPr>
            <w:tcW w:w="0" w:type="dxa"/>
            <w:vAlign w:val="bottom"/>
          </w:tcPr>
          <w:p>
            <w:pPr>
              <w:spacing w:after="0"/>
              <w:rPr>
                <w:sz w:val="1"/>
                <w:szCs w:val="1"/>
                <w:color w:val="auto"/>
              </w:rPr>
            </w:pPr>
          </w:p>
        </w:tc>
      </w:tr>
      <w:tr>
        <w:trPr>
          <w:trHeight w:val="109"/>
        </w:trPr>
        <w:tc>
          <w:tcPr>
            <w:tcW w:w="1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8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3"/>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gridSpan w:val="5"/>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gridSpan w:val="3"/>
            <w:shd w:val="clear" w:color="auto" w:fill="CCEEFF"/>
          </w:tcPr>
          <w:p>
            <w:pPr>
              <w:jc w:val="center"/>
              <w:ind w:left="36"/>
              <w:spacing w:after="0" w:line="128" w:lineRule="exact"/>
              <w:rPr>
                <w:sz w:val="20"/>
                <w:szCs w:val="20"/>
                <w:color w:val="auto"/>
              </w:rPr>
            </w:pPr>
            <w:r>
              <w:rPr>
                <w:rFonts w:ascii="Arial" w:cs="Arial" w:eastAsia="Arial" w:hAnsi="Arial"/>
                <w:sz w:val="13"/>
                <w:szCs w:val="13"/>
                <w:color w:val="auto"/>
                <w:w w:val="98"/>
              </w:rPr>
              <w:t>(amended September 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8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gridSpan w:val="5"/>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center"/>
              <w:ind w:left="36"/>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800" w:type="dxa"/>
            <w:vAlign w:val="bottom"/>
            <w:gridSpan w:val="2"/>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00" w:type="dxa"/>
            <w:vAlign w:val="bottom"/>
            <w:gridSpan w:val="2"/>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800" w:type="dxa"/>
            <w:vAlign w:val="bottom"/>
            <w:gridSpan w:val="2"/>
          </w:tcPr>
          <w:p>
            <w:pPr>
              <w:ind w:left="20"/>
              <w:spacing w:after="0"/>
              <w:rPr>
                <w:sz w:val="20"/>
                <w:szCs w:val="20"/>
                <w:color w:val="auto"/>
              </w:rPr>
            </w:pPr>
            <w:r>
              <w:rPr>
                <w:rFonts w:ascii="Arial" w:cs="Arial" w:eastAsia="Arial" w:hAnsi="Arial"/>
                <w:sz w:val="13"/>
                <w:szCs w:val="13"/>
                <w:color w:val="auto"/>
              </w:rPr>
              <w:t>ACE - New Jersey</w:t>
            </w:r>
          </w:p>
        </w:tc>
        <w:tc>
          <w:tcPr>
            <w:tcW w:w="1600" w:type="dxa"/>
            <w:vAlign w:val="bottom"/>
            <w:gridSpan w:val="3"/>
          </w:tcPr>
          <w:p>
            <w:pPr>
              <w:jc w:val="center"/>
              <w:ind w:left="56"/>
              <w:spacing w:after="0"/>
              <w:rPr>
                <w:sz w:val="20"/>
                <w:szCs w:val="20"/>
                <w:color w:val="auto"/>
              </w:rPr>
            </w:pPr>
            <w:r>
              <w:rPr>
                <w:rFonts w:ascii="Arial" w:cs="Arial" w:eastAsia="Arial" w:hAnsi="Arial"/>
                <w:sz w:val="13"/>
                <w:szCs w:val="13"/>
                <w:color w:val="auto"/>
                <w:w w:val="98"/>
              </w:rPr>
              <w:t>November 21, 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color w:val="auto"/>
              </w:rPr>
              <w:t>Electric</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4"/>
                <w:szCs w:val="14"/>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680" w:type="dxa"/>
            <w:vAlign w:val="bottom"/>
            <w:gridSpan w:val="3"/>
          </w:tcPr>
          <w:p>
            <w:pPr>
              <w:jc w:val="center"/>
              <w:ind w:left="217"/>
              <w:spacing w:after="0"/>
              <w:rPr>
                <w:sz w:val="20"/>
                <w:szCs w:val="20"/>
                <w:color w:val="auto"/>
              </w:rPr>
            </w:pPr>
            <w:r>
              <w:rPr>
                <w:rFonts w:ascii="Arial" w:cs="Arial" w:eastAsia="Arial" w:hAnsi="Arial"/>
                <w:sz w:val="13"/>
                <w:szCs w:val="13"/>
                <w:color w:val="auto"/>
                <w:w w:val="97"/>
              </w:rPr>
              <w:t>9.60%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3"/>
                <w:szCs w:val="13"/>
                <w:color w:val="auto"/>
                <w:w w:val="96"/>
              </w:rPr>
              <w:t>November 21, 2025</w:t>
            </w:r>
          </w:p>
        </w:tc>
        <w:tc>
          <w:tcPr>
            <w:tcW w:w="1400" w:type="dxa"/>
            <w:vAlign w:val="bottom"/>
          </w:tcPr>
          <w:p>
            <w:pPr>
              <w:jc w:val="center"/>
              <w:spacing w:after="0"/>
              <w:rPr>
                <w:sz w:val="20"/>
                <w:szCs w:val="20"/>
                <w:color w:val="auto"/>
              </w:rPr>
            </w:pPr>
            <w:r>
              <w:rPr>
                <w:rFonts w:ascii="Arial" w:cs="Arial" w:eastAsia="Arial" w:hAnsi="Arial"/>
                <w:sz w:val="13"/>
                <w:szCs w:val="13"/>
                <w:color w:val="auto"/>
                <w:w w:val="97"/>
              </w:rPr>
              <w:t>December 1, 2025</w:t>
            </w:r>
          </w:p>
        </w:tc>
        <w:tc>
          <w:tcPr>
            <w:tcW w:w="0" w:type="dxa"/>
            <w:vAlign w:val="bottom"/>
          </w:tcPr>
          <w:p>
            <w:pPr>
              <w:spacing w:after="0"/>
              <w:rPr>
                <w:sz w:val="1"/>
                <w:szCs w:val="1"/>
                <w:color w:val="auto"/>
              </w:rPr>
            </w:pPr>
          </w:p>
        </w:tc>
      </w:tr>
      <w:tr>
        <w:trPr>
          <w:trHeight w:val="361"/>
        </w:trPr>
        <w:tc>
          <w:tcPr>
            <w:tcW w:w="3400" w:type="dxa"/>
            <w:vAlign w:val="bottom"/>
            <w:gridSpan w:val="5"/>
          </w:tcPr>
          <w:p>
            <w:pPr>
              <w:spacing w:after="0"/>
              <w:rPr>
                <w:sz w:val="20"/>
                <w:szCs w:val="20"/>
                <w:color w:val="auto"/>
              </w:rPr>
            </w:pPr>
            <w:r>
              <w:rPr>
                <w:rFonts w:ascii="Arial" w:cs="Arial" w:eastAsia="Arial" w:hAnsi="Arial"/>
                <w:sz w:val="13"/>
                <w:szCs w:val="13"/>
                <w:i w:val="1"/>
                <w:iCs w:val="1"/>
                <w:color w:val="auto"/>
              </w:rPr>
              <w:t>Pending Distribution Base Rate Case Proceedings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gridSpan w:val="2"/>
            <w:vMerge w:val="restart"/>
          </w:tcPr>
          <w:p>
            <w:pPr>
              <w:ind w:left="660"/>
              <w:spacing w:after="0"/>
              <w:rPr>
                <w:sz w:val="20"/>
                <w:szCs w:val="20"/>
                <w:color w:val="auto"/>
              </w:rPr>
            </w:pPr>
            <w:r>
              <w:rPr>
                <w:rFonts w:ascii="Arial" w:cs="Arial" w:eastAsia="Arial" w:hAnsi="Arial"/>
                <w:sz w:val="10"/>
                <w:szCs w:val="10"/>
                <w:b w:val="1"/>
                <w:bCs w:val="1"/>
                <w:color w:val="auto"/>
              </w:rPr>
              <w:t>Registrant/Jurisdiction</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5"/>
            <w:vMerge w:val="restart"/>
          </w:tcPr>
          <w:p>
            <w:pPr>
              <w:jc w:val="center"/>
              <w:ind w:left="81"/>
              <w:spacing w:after="0"/>
              <w:rPr>
                <w:sz w:val="20"/>
                <w:szCs w:val="20"/>
                <w:color w:val="auto"/>
              </w:rPr>
            </w:pPr>
            <w:r>
              <w:rPr>
                <w:rFonts w:ascii="Arial" w:cs="Arial" w:eastAsia="Arial" w:hAnsi="Arial"/>
                <w:sz w:val="10"/>
                <w:szCs w:val="10"/>
                <w:b w:val="1"/>
                <w:bCs w:val="1"/>
                <w:color w:val="auto"/>
                <w:w w:val="97"/>
              </w:rPr>
              <w:t>Filing Date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vMerge w:val="restart"/>
          </w:tcPr>
          <w:p>
            <w:pPr>
              <w:jc w:val="center"/>
              <w:ind w:left="221"/>
              <w:spacing w:after="0"/>
              <w:rPr>
                <w:sz w:val="20"/>
                <w:szCs w:val="20"/>
                <w:color w:val="auto"/>
              </w:rPr>
            </w:pPr>
            <w:r>
              <w:rPr>
                <w:rFonts w:ascii="Arial" w:cs="Arial" w:eastAsia="Arial" w:hAnsi="Arial"/>
                <w:sz w:val="10"/>
                <w:szCs w:val="10"/>
                <w:b w:val="1"/>
                <w:bCs w:val="1"/>
                <w:color w:val="auto"/>
              </w:rPr>
              <w:t>Service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5"/>
          </w:tcPr>
          <w:p>
            <w:pPr>
              <w:ind w:left="80"/>
              <w:spacing w:after="0"/>
              <w:rPr>
                <w:sz w:val="20"/>
                <w:szCs w:val="20"/>
                <w:color w:val="auto"/>
              </w:rPr>
            </w:pPr>
            <w:r>
              <w:rPr>
                <w:rFonts w:ascii="Arial" w:cs="Arial" w:eastAsia="Arial" w:hAnsi="Arial"/>
                <w:sz w:val="10"/>
                <w:szCs w:val="10"/>
                <w:b w:val="1"/>
                <w:bCs w:val="1"/>
                <w:color w:val="auto"/>
              </w:rPr>
              <w:t>Requested Revenue</w:t>
            </w:r>
          </w:p>
        </w:tc>
        <w:tc>
          <w:tcPr>
            <w:tcW w:w="76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rPr>
              <w:t>Requested ROE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98"/>
              </w:rPr>
              <w:t>Expected Approval Timing</w:t>
            </w:r>
          </w:p>
        </w:tc>
        <w:tc>
          <w:tcPr>
            <w:tcW w:w="0" w:type="dxa"/>
            <w:vAlign w:val="bottom"/>
          </w:tcPr>
          <w:p>
            <w:pPr>
              <w:spacing w:after="0"/>
              <w:rPr>
                <w:sz w:val="1"/>
                <w:szCs w:val="1"/>
                <w:color w:val="auto"/>
              </w:rPr>
            </w:pPr>
          </w:p>
        </w:tc>
      </w:tr>
      <w:tr>
        <w:trPr>
          <w:trHeight w:val="139"/>
        </w:trPr>
        <w:tc>
          <w:tcPr>
            <w:tcW w:w="180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40" w:type="dxa"/>
            <w:vAlign w:val="bottom"/>
            <w:tcBorders>
              <w:bottom w:val="single" w:sz="8" w:color="auto"/>
            </w:tcBorders>
            <w:gridSpan w:val="5"/>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0"/>
                <w:szCs w:val="10"/>
                <w:b w:val="1"/>
                <w:bCs w:val="1"/>
                <w:color w:val="auto"/>
              </w:rPr>
              <w:t>Requirement Increase</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8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Pepco - Maryland</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60" w:type="dxa"/>
            <w:vAlign w:val="bottom"/>
            <w:gridSpan w:val="6"/>
            <w:shd w:val="clear" w:color="auto" w:fill="CCEEFF"/>
          </w:tcPr>
          <w:p>
            <w:pPr>
              <w:jc w:val="center"/>
              <w:spacing w:after="0" w:line="121" w:lineRule="exact"/>
              <w:rPr>
                <w:sz w:val="20"/>
                <w:szCs w:val="20"/>
                <w:color w:val="auto"/>
              </w:rPr>
            </w:pPr>
            <w:r>
              <w:rPr>
                <w:rFonts w:ascii="Arial" w:cs="Arial" w:eastAsia="Arial" w:hAnsi="Arial"/>
                <w:sz w:val="13"/>
                <w:szCs w:val="13"/>
                <w:color w:val="auto"/>
                <w:w w:val="98"/>
              </w:rPr>
              <w:t>October 14, 2025 (amended April 16,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center"/>
              <w:ind w:left="201"/>
              <w:spacing w:after="0"/>
              <w:rPr>
                <w:sz w:val="20"/>
                <w:szCs w:val="20"/>
                <w:color w:val="auto"/>
              </w:rPr>
            </w:pPr>
            <w:r>
              <w:rPr>
                <w:rFonts w:ascii="Arial" w:cs="Arial" w:eastAsia="Arial" w:hAnsi="Arial"/>
                <w:sz w:val="13"/>
                <w:szCs w:val="13"/>
                <w:color w:val="auto"/>
                <w:w w:val="98"/>
              </w:rPr>
              <w:t>Electric</w:t>
            </w:r>
          </w:p>
        </w:tc>
        <w:tc>
          <w:tcPr>
            <w:tcW w:w="5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center"/>
              <w:ind w:left="101"/>
              <w:spacing w:after="0"/>
              <w:rPr>
                <w:sz w:val="20"/>
                <w:szCs w:val="20"/>
                <w:color w:val="auto"/>
              </w:rPr>
            </w:pPr>
            <w:r>
              <w:rPr>
                <w:rFonts w:ascii="Arial" w:cs="Arial" w:eastAsia="Arial" w:hAnsi="Arial"/>
                <w:sz w:val="13"/>
                <w:szCs w:val="13"/>
                <w:color w:val="auto"/>
                <w:w w:val="99"/>
              </w:rPr>
              <w:t>10.50%</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80" w:type="dxa"/>
            <w:vAlign w:val="bottom"/>
            <w:gridSpan w:val="3"/>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Third quarter of 2026</w:t>
            </w:r>
          </w:p>
        </w:tc>
        <w:tc>
          <w:tcPr>
            <w:tcW w:w="0" w:type="dxa"/>
            <w:vAlign w:val="bottom"/>
          </w:tcPr>
          <w:p>
            <w:pPr>
              <w:spacing w:after="0"/>
              <w:rPr>
                <w:sz w:val="1"/>
                <w:szCs w:val="1"/>
                <w:color w:val="auto"/>
              </w:rPr>
            </w:pPr>
          </w:p>
        </w:tc>
      </w:tr>
      <w:tr>
        <w:trPr>
          <w:trHeight w:val="104"/>
        </w:trPr>
        <w:tc>
          <w:tcPr>
            <w:tcW w:w="1800" w:type="dxa"/>
            <w:vAlign w:val="bottom"/>
            <w:gridSpan w:val="2"/>
            <w:vMerge w:val="continue"/>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60" w:type="dxa"/>
            <w:vAlign w:val="bottom"/>
            <w:gridSpan w:val="3"/>
            <w:vMerge w:val="restart"/>
            <w:shd w:val="clear" w:color="auto" w:fill="CCEEFF"/>
          </w:tcPr>
          <w:p>
            <w:pPr>
              <w:jc w:val="center"/>
              <w:ind w:right="617"/>
              <w:spacing w:after="0"/>
              <w:rPr>
                <w:sz w:val="20"/>
                <w:szCs w:val="20"/>
                <w:color w:val="auto"/>
              </w:rPr>
            </w:pPr>
            <w:r>
              <w:rPr>
                <w:rFonts w:ascii="Arial" w:cs="Arial" w:eastAsia="Arial" w:hAnsi="Arial"/>
                <w:sz w:val="13"/>
                <w:szCs w:val="13"/>
                <w:color w:val="auto"/>
              </w:rPr>
              <w:t>2026)</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500" w:type="dxa"/>
            <w:vAlign w:val="bottom"/>
            <w:gridSpan w:val="3"/>
            <w:vMerge w:val="continue"/>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gridSpan w:val="3"/>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8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60" w:type="dxa"/>
            <w:vAlign w:val="bottom"/>
            <w:gridSpan w:val="3"/>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800" w:type="dxa"/>
            <w:vAlign w:val="bottom"/>
            <w:gridSpan w:val="2"/>
          </w:tcPr>
          <w:p>
            <w:pPr>
              <w:ind w:left="20"/>
              <w:spacing w:after="0"/>
              <w:rPr>
                <w:sz w:val="20"/>
                <w:szCs w:val="20"/>
                <w:color w:val="auto"/>
              </w:rPr>
            </w:pPr>
            <w:r>
              <w:rPr>
                <w:rFonts w:ascii="Arial" w:cs="Arial" w:eastAsia="Arial" w:hAnsi="Arial"/>
                <w:sz w:val="13"/>
                <w:szCs w:val="13"/>
                <w:color w:val="auto"/>
              </w:rPr>
              <w:t>DPL - Delaware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jc w:val="center"/>
              <w:ind w:left="81"/>
              <w:spacing w:after="0"/>
              <w:rPr>
                <w:sz w:val="20"/>
                <w:szCs w:val="20"/>
                <w:color w:val="auto"/>
              </w:rPr>
            </w:pPr>
            <w:r>
              <w:rPr>
                <w:rFonts w:ascii="Arial" w:cs="Arial" w:eastAsia="Arial" w:hAnsi="Arial"/>
                <w:sz w:val="13"/>
                <w:szCs w:val="13"/>
                <w:color w:val="auto"/>
                <w:w w:val="99"/>
              </w:rPr>
              <w:t>December 9, 2025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left="201"/>
              <w:spacing w:after="0"/>
              <w:rPr>
                <w:sz w:val="20"/>
                <w:szCs w:val="20"/>
                <w:color w:val="auto"/>
              </w:rPr>
            </w:pPr>
            <w:r>
              <w:rPr>
                <w:rFonts w:ascii="Arial" w:cs="Arial" w:eastAsia="Arial" w:hAnsi="Arial"/>
                <w:sz w:val="13"/>
                <w:szCs w:val="13"/>
                <w:color w:val="auto"/>
                <w:w w:val="98"/>
              </w:rPr>
              <w:t>Electric</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3"/>
          </w:tcPr>
          <w:p>
            <w:pPr>
              <w:jc w:val="center"/>
              <w:ind w:left="101"/>
              <w:spacing w:after="0"/>
              <w:rPr>
                <w:sz w:val="20"/>
                <w:szCs w:val="20"/>
                <w:color w:val="auto"/>
              </w:rPr>
            </w:pPr>
            <w:r>
              <w:rPr>
                <w:rFonts w:ascii="Arial" w:cs="Arial" w:eastAsia="Arial" w:hAnsi="Arial"/>
                <w:sz w:val="13"/>
                <w:szCs w:val="13"/>
                <w:color w:val="auto"/>
                <w:w w:val="99"/>
              </w:rPr>
              <w:t>10.50%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3"/>
          </w:tcPr>
          <w:p>
            <w:pPr>
              <w:jc w:val="center"/>
              <w:spacing w:after="0"/>
              <w:rPr>
                <w:sz w:val="20"/>
                <w:szCs w:val="20"/>
                <w:color w:val="auto"/>
              </w:rPr>
            </w:pPr>
            <w:r>
              <w:rPr>
                <w:rFonts w:ascii="Arial" w:cs="Arial" w:eastAsia="Arial" w:hAnsi="Arial"/>
                <w:sz w:val="13"/>
                <w:szCs w:val="13"/>
                <w:color w:val="auto"/>
                <w:w w:val="98"/>
              </w:rPr>
              <w:t>Third quarter of 2027</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2026 PECO Distribution Base Rate Filing</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April 16, 2026, PECO filed a petition with the PAPUC to withdraw its previously filed electric and gas distribution rate proceedings submitted on March 30, 2026. The PAPUC approved the petition to withdraw the rate cases on April 30,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PECO will continue to evaluate the timing and approach for future capital investments and potential regulatory filings. Any decisions related to capital investments to support longer-term grid modernization will be informed by customer affordability considerations, system reliability needs, and ongoing engagement with regulators and other stakeholders. As PECO assesses longer-term grid needs, it remains committed to providing safe and reliable service.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Corporate Alternative Minimum Tax (All Registrants)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August 16, 2022, the IRA was signed into law and implements a new corporate alternative minimum tax (CAMT) that imposes a 15.0% tax on modified GAAP net income. Corporations will now pay the greater of 15.0% of financial statement pre-tax income (with certain adjustments) or their regular federal tax liability, which is federal taxable income multiplied by the 21.0% federal corporate tax rate. Corporations are entitled to a tax credit (minimum tax credit) to the extent the CAMT liability exceeds the regular tax liability. This amount can be carried forward indefinitely and used in future years when regular tax exceeds the CAMT.</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the years ended December 31, 2025, December 31, 2024, and December 31, 2023, based on the existing guidance in effect at that time, Exelon and each of the Utility Registrants were subject to and reported the CAMT on a separate Registrant basis in the Consolidated Statements of Operations and Comprehensive Income and the Consolidated Balance Sheets.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February 18, 2026, the U.S. Treasury issued guidance addressing the implementation of CAMT in the form of a notice. The new guidance permits corporate taxpayers to deduct repair and maintenance costs in the calculation of their CAMT liabilities. The notice applies retroactively, permitting Exelon to file amended returns for both 2024 and 2023 to reduce its CAMT liability by $80 million. Pursuant to the TMA, Exelon received reimbursement from Constellation for $235 million due to the reduction in the amount of Constellation's tax credits needed to offset Exelon's CAMT liability on its amended returns. See Note 6 – Income Taxes of the Combined Notes to Consolidated Financial Statements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impact of the notice was recorded as of March 31, 2026.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Business Drivers and Management Strategies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following discussion of other key business drivers and management strategies includes current developments of previously disclosed matters and new issues arising during the period that may impact future financial statements. This section should be read in conjunction with ITEM 1. Business in the 2025 Form 10-K, ITEM 7. Management's Discussion and Analysis of Financial Condition and Results of Operations — Other Key Business Drivers and Management Strategies in the 2025 Form 10-K, and Note 11 — Commitments and Contingencies of the Combined Notes to Consolidated Financial Statements in this report for additional information on various environmental matters.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Allocation of Income Taxes to Regulated Utilities (All Registrants)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Q2 2024, the IRS issued a series of PLRs, to another taxpayer, providing guidance with respect to the application of the tax normalization rules to the allocation of consolidated tax benefits among the members of a consolidated group associated with NOLC for ratemaking purposes. The rulings provide that for ratemaking purposes the tax benefit of NOLC should be reflected on a separate company basis not taking into consideration the utilization of losses by other affiliates. A PLR issued to another taxpayer may not be relied on as precedent.</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the Utility Registrants, except for PECO, the methodology prescribed by the IRS in these PLRs could result in a material reduction of the regulatory liability established for EDITs arising from the TCJA corporate tax rate change that are being amortized and flowed through to customers as well as a reduction in the accumulated deferred income taxes included in rate base for ratemaking purposes of approximately $1.2 billion - $1.7 billion.</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Utility Registrants, except for PECO, filed PLR requests with the IRS confirming the treatment of the NOLC for ratemaking purposes. The Utility Registrants will record the impact, if any, upon receiving the PLR from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Legislative and Regulatory Developments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Maryland Utility Relief Act</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April 13, 2026, the Maryland Utility RELIEF Act (Utility RELIEF Act) was passed through the Maryland General Assembly and awaits the Governor’s signature to become law. If and when the Utility RELIEF Act becomes law, it will modify the regulatory framework and rules governing recovery of certain costs in utility ratemaking in Maryland. Exelon, BGE, Pepco, and DPL are in the process of assessing the potential impacts of the pending legislation.</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PJM Cost Allocation Methodology (All Registrants).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March 6, 2026, FERC issued an order requiring the removal of the de minimis threshold exemption in the calculation of the cost responsibility of certain transmission reliability upgrade costs allocated to the rate zones of PJM transmission owners, including the Utility Registrants. FERC further ordered PJM to recalculate historical cost allocations for the period beginning June 18, 2015, and to pass through additional charges or payments to PJM customers, including Utility Registrants, as applicable, with interest within 90 days. On April 29, 2026, the time for those calculations was extended until further order from FERC. The Utility Registrants expect to recover any incremental charges incurred or reimburse any payments received through prospective electric customer rates. On April 6, 2026, a number of parties filed petitions for rehearing or clarification.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 final impacts of the decision cannot be predicted and the results, while not reasonably estimable at this time, could be material to the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Management of each of the Registrants makes a number of significant estimates, assumptions, and judgments in the preparation of its financial statements. As of March 31, 2026, the Registrants’ critical accounting policies and estimates had not changed significantly from December 31, 2025. See ITEM 7. MANAGEMENT'S DISCUSSION AND ANALYSIS OF FINANCIAL CONDITION AND RESULTS OF OPERATIONS — Critical Accounting Policies and Estimates in the 2025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by Registrant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ComEd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gridSpan w:val="5"/>
          </w:tcPr>
          <w:p>
            <w:pPr>
              <w:ind w:left="280"/>
              <w:spacing w:after="0"/>
              <w:rPr>
                <w:sz w:val="20"/>
                <w:szCs w:val="20"/>
                <w:color w:val="auto"/>
              </w:rPr>
            </w:pPr>
            <w:r>
              <w:rPr>
                <w:rFonts w:ascii="Arial" w:cs="Arial" w:eastAsia="Arial" w:hAnsi="Arial"/>
                <w:sz w:val="10"/>
                <w:szCs w:val="10"/>
                <w:b w:val="1"/>
                <w:bCs w:val="1"/>
                <w:color w:val="auto"/>
              </w:rPr>
              <w:t>Three Months Ended</w:t>
            </w: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39"/>
        </w:trPr>
        <w:tc>
          <w:tcPr>
            <w:tcW w:w="7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0"/>
                <w:szCs w:val="10"/>
                <w:b w:val="1"/>
                <w:bCs w:val="1"/>
                <w:color w:val="auto"/>
              </w:rPr>
              <w:t>(Unfavorable) Favorable</w:t>
            </w:r>
          </w:p>
        </w:tc>
      </w:tr>
      <w:tr>
        <w:trPr>
          <w:trHeight w:val="150"/>
        </w:trPr>
        <w:tc>
          <w:tcPr>
            <w:tcW w:w="78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0"/>
                <w:szCs w:val="10"/>
                <w:b w:val="1"/>
                <w:bCs w:val="1"/>
                <w:color w:val="auto"/>
              </w:rPr>
              <w:t>Variance</w:t>
            </w:r>
          </w:p>
        </w:tc>
      </w:tr>
      <w:tr>
        <w:trPr>
          <w:trHeight w:val="164"/>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r>
      <w:tr>
        <w:trPr>
          <w:trHeight w:val="170"/>
        </w:trPr>
        <w:tc>
          <w:tcPr>
            <w:tcW w:w="788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Purchased power</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69"/>
        </w:trPr>
        <w:tc>
          <w:tcPr>
            <w:tcW w:w="7880" w:type="dxa"/>
            <w:vAlign w:val="bottom"/>
          </w:tcPr>
          <w:p>
            <w:pPr>
              <w:ind w:left="180"/>
              <w:spacing w:after="0"/>
              <w:rPr>
                <w:sz w:val="20"/>
                <w:szCs w:val="20"/>
                <w:color w:val="auto"/>
              </w:rPr>
            </w:pPr>
            <w:r>
              <w:rPr>
                <w:rFonts w:ascii="Arial" w:cs="Arial" w:eastAsia="Arial" w:hAnsi="Arial"/>
                <w:sz w:val="13"/>
                <w:szCs w:val="13"/>
                <w:color w:val="auto"/>
              </w:rPr>
              <w:t>Operating and maintenance</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Taxes other than income taxes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162"/>
        </w:trPr>
        <w:tc>
          <w:tcPr>
            <w:tcW w:w="7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r>
      <w:tr>
        <w:trPr>
          <w:trHeight w:val="15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Operating income</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r>
      <w:tr>
        <w:trPr>
          <w:trHeight w:val="151"/>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and (deductions)</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9"/>
        </w:trPr>
        <w:tc>
          <w:tcPr>
            <w:tcW w:w="7880" w:type="dxa"/>
            <w:vAlign w:val="bottom"/>
          </w:tcPr>
          <w:p>
            <w:pPr>
              <w:ind w:left="180"/>
              <w:spacing w:after="0"/>
              <w:rPr>
                <w:sz w:val="20"/>
                <w:szCs w:val="20"/>
                <w:color w:val="auto"/>
              </w:rPr>
            </w:pPr>
            <w:r>
              <w:rPr>
                <w:rFonts w:ascii="Arial" w:cs="Arial" w:eastAsia="Arial" w:hAnsi="Arial"/>
                <w:sz w:val="13"/>
                <w:szCs w:val="13"/>
                <w:color w:val="auto"/>
              </w:rPr>
              <w:t>Interest expense, net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59"/>
        </w:trPr>
        <w:tc>
          <w:tcPr>
            <w:tcW w:w="7880" w:type="dxa"/>
            <w:vAlign w:val="bottom"/>
            <w:tcBorders>
              <w:bottom w:val="single" w:sz="8" w:color="CCEEFF"/>
            </w:tcBorders>
          </w:tcPr>
          <w:p>
            <w:pPr>
              <w:ind w:left="360"/>
              <w:spacing w:after="0" w:line="148" w:lineRule="exact"/>
              <w:rPr>
                <w:sz w:val="20"/>
                <w:szCs w:val="20"/>
                <w:color w:val="auto"/>
              </w:rPr>
            </w:pPr>
            <w:r>
              <w:rPr>
                <w:rFonts w:ascii="Arial" w:cs="Arial" w:eastAsia="Arial" w:hAnsi="Arial"/>
                <w:sz w:val="13"/>
                <w:szCs w:val="13"/>
                <w:color w:val="auto"/>
              </w:rPr>
              <w:t>Total other income and (deductions)</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7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Income taxes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r>
      <w:tr>
        <w:trPr>
          <w:trHeight w:val="18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Three Months Ended March 31, 2026 Compared to Three Months Ended March 31, 2025. </w:t>
      </w:r>
      <w:r>
        <w:rPr>
          <w:rFonts w:ascii="Arial" w:cs="Arial" w:eastAsia="Arial" w:hAnsi="Arial"/>
          <w:sz w:val="13"/>
          <w:szCs w:val="13"/>
          <w:b w:val="1"/>
          <w:bCs w:val="1"/>
          <w:color w:val="auto"/>
        </w:rPr>
        <w:t>Net Income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increased by $8 million as compared to the same period in 2025 primarily due to higher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distribution and transmission rate base driven by incremental investments to serve customers and higher AFUDC, offset by the timing of distribution earnings.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revenues</w:t>
      </w:r>
      <w:r>
        <w:rPr>
          <w:rFonts w:ascii="Arial" w:cs="Arial" w:eastAsia="Arial" w:hAnsi="Arial"/>
          <w:sz w:val="13"/>
          <w:szCs w:val="13"/>
          <w:color w:val="auto"/>
        </w:rPr>
        <w:t xml:space="preserve">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tcPr>
          <w:p>
            <w:pPr>
              <w:jc w:val="center"/>
              <w:ind w:right="261"/>
              <w:spacing w:after="0"/>
              <w:rPr>
                <w:sz w:val="20"/>
                <w:szCs w:val="20"/>
                <w:color w:val="auto"/>
              </w:rPr>
            </w:pPr>
            <w:r>
              <w:rPr>
                <w:rFonts w:ascii="Arial" w:cs="Arial" w:eastAsia="Arial" w:hAnsi="Arial"/>
                <w:sz w:val="10"/>
                <w:szCs w:val="10"/>
                <w:b w:val="1"/>
                <w:bCs w:val="1"/>
                <w:color w:val="auto"/>
                <w:w w:val="99"/>
              </w:rPr>
              <w:t>Three Months Ended</w:t>
            </w:r>
          </w:p>
        </w:tc>
      </w:tr>
      <w:tr>
        <w:trPr>
          <w:trHeight w:val="142"/>
        </w:trPr>
        <w:tc>
          <w:tcPr>
            <w:tcW w:w="9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261"/>
              <w:spacing w:after="0"/>
              <w:rPr>
                <w:sz w:val="20"/>
                <w:szCs w:val="20"/>
                <w:color w:val="auto"/>
              </w:rPr>
            </w:pPr>
            <w:r>
              <w:rPr>
                <w:rFonts w:ascii="Arial" w:cs="Arial" w:eastAsia="Arial" w:hAnsi="Arial"/>
                <w:sz w:val="10"/>
                <w:szCs w:val="10"/>
                <w:b w:val="1"/>
                <w:bCs w:val="1"/>
                <w:color w:val="auto"/>
                <w:w w:val="98"/>
              </w:rPr>
              <w:t>March 31, 2026</w:t>
            </w:r>
          </w:p>
        </w:tc>
      </w:tr>
      <w:tr>
        <w:trPr>
          <w:trHeight w:val="134"/>
        </w:trPr>
        <w:tc>
          <w:tcPr>
            <w:tcW w:w="91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center"/>
              <w:ind w:right="261"/>
              <w:spacing w:after="0"/>
              <w:rPr>
                <w:sz w:val="20"/>
                <w:szCs w:val="20"/>
                <w:color w:val="auto"/>
              </w:rPr>
            </w:pPr>
            <w:r>
              <w:rPr>
                <w:rFonts w:ascii="Arial" w:cs="Arial" w:eastAsia="Arial" w:hAnsi="Arial"/>
                <w:sz w:val="10"/>
                <w:szCs w:val="10"/>
                <w:b w:val="1"/>
                <w:bCs w:val="1"/>
                <w:color w:val="auto"/>
                <w:w w:val="99"/>
              </w:rPr>
              <w:t>(Decrease) Increase</w:t>
            </w:r>
          </w:p>
        </w:tc>
      </w:tr>
      <w:tr>
        <w:trPr>
          <w:trHeight w:val="162"/>
        </w:trPr>
        <w:tc>
          <w:tcPr>
            <w:tcW w:w="918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Distribution</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9180" w:type="dxa"/>
            <w:vAlign w:val="bottom"/>
          </w:tcPr>
          <w:p>
            <w:pPr>
              <w:ind w:left="20"/>
              <w:spacing w:after="0"/>
              <w:rPr>
                <w:sz w:val="20"/>
                <w:szCs w:val="20"/>
                <w:color w:val="auto"/>
              </w:rPr>
            </w:pPr>
            <w:r>
              <w:rPr>
                <w:rFonts w:ascii="Arial" w:cs="Arial" w:eastAsia="Arial" w:hAnsi="Arial"/>
                <w:sz w:val="13"/>
                <w:szCs w:val="13"/>
                <w:color w:val="auto"/>
              </w:rPr>
              <w:t>Transmission</w:t>
            </w:r>
          </w:p>
        </w:tc>
        <w:tc>
          <w:tcPr>
            <w:tcW w:w="320" w:type="dxa"/>
            <w:vAlign w:val="bottom"/>
          </w:tcPr>
          <w:p>
            <w:pPr>
              <w:spacing w:after="0"/>
              <w:rPr>
                <w:sz w:val="14"/>
                <w:szCs w:val="14"/>
                <w:color w:val="auto"/>
              </w:rPr>
            </w:pPr>
          </w:p>
        </w:tc>
        <w:tc>
          <w:tcPr>
            <w:tcW w:w="1780" w:type="dxa"/>
            <w:vAlign w:val="bottom"/>
          </w:tcPr>
          <w:p>
            <w:pPr>
              <w:jc w:val="right"/>
              <w:ind w:right="1"/>
              <w:spacing w:after="0"/>
              <w:rPr>
                <w:sz w:val="20"/>
                <w:szCs w:val="20"/>
                <w:color w:val="auto"/>
              </w:rPr>
            </w:pPr>
            <w:r>
              <w:rPr>
                <w:rFonts w:ascii="Arial" w:cs="Arial" w:eastAsia="Arial" w:hAnsi="Arial"/>
                <w:sz w:val="13"/>
                <w:szCs w:val="13"/>
                <w:color w:val="auto"/>
              </w:rPr>
              <w:t>20</w:t>
            </w:r>
          </w:p>
        </w:tc>
      </w:tr>
      <w:tr>
        <w:trPr>
          <w:trHeight w:val="171"/>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Energy efficiency</w:t>
            </w:r>
          </w:p>
        </w:tc>
        <w:tc>
          <w:tcPr>
            <w:tcW w:w="32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8</w:t>
            </w:r>
          </w:p>
        </w:tc>
      </w:tr>
      <w:tr>
        <w:trPr>
          <w:trHeight w:val="16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3</w:t>
            </w:r>
          </w:p>
        </w:tc>
      </w:tr>
      <w:tr>
        <w:trPr>
          <w:trHeight w:val="162"/>
        </w:trPr>
        <w:tc>
          <w:tcPr>
            <w:tcW w:w="9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23</w:t>
            </w:r>
          </w:p>
        </w:tc>
      </w:tr>
      <w:tr>
        <w:trPr>
          <w:trHeight w:val="16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Regulatory required programs</w:t>
            </w: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w:t>
            </w:r>
          </w:p>
        </w:tc>
      </w:tr>
      <w:tr>
        <w:trPr>
          <w:trHeight w:val="185"/>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decrease</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Revenue Decoupling. </w:t>
      </w:r>
      <w:r>
        <w:rPr>
          <w:rFonts w:ascii="Arial" w:cs="Arial" w:eastAsia="Arial" w:hAnsi="Arial"/>
          <w:sz w:val="13"/>
          <w:szCs w:val="13"/>
          <w:color w:val="auto"/>
        </w:rPr>
        <w:t>The demand for electricity is affected by weather and customer usage. Operating revenues are not intended to be impacted by abnormal weather, usage per customer,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number of customers as a result of revenue decoupling mechanisms.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 xml:space="preserve">Distribution Revenue. </w:t>
      </w:r>
      <w:r>
        <w:rPr>
          <w:rFonts w:ascii="Arial" w:cs="Arial" w:eastAsia="Arial" w:hAnsi="Arial"/>
          <w:sz w:val="13"/>
          <w:szCs w:val="13"/>
          <w:color w:val="auto"/>
        </w:rPr>
        <w:t>Starting in 2024, distribution revenues are under a MRP. The MRP requires an annual reconciliation of the revenue requirement in effect to the actual costs the ICC determines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prudently and reasonably incurred. Electric distribution revenue varies from year to year based upon fluctuations in the underlying costs (e.g., severe weather and storm restoration), investments being recovered, and allowed ROE. Electric distribution revenues decreased for the three months ended March 31, 2026 as compared to the same period in 2025, primarily due to lower fully recoverable costs.</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Transmission Revenue. </w:t>
      </w:r>
      <w:r>
        <w:rPr>
          <w:rFonts w:ascii="Arial" w:cs="Arial" w:eastAsia="Arial" w:hAnsi="Arial"/>
          <w:sz w:val="13"/>
          <w:szCs w:val="13"/>
          <w:color w:val="auto"/>
        </w:rPr>
        <w:t>Under a FERC-approved formula, transmission revenue varies from year to year based upon fluctuations in the underlying costs, capital investments being recovered, and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highest daily peak load, which is updated annually in January based on the prior calendar year. Transmission revenues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for the three months ended March 31, 2026 compared to the same period in 2025, primarily due to higher fully recoverable costs and higher rate base.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 xml:space="preserve">Energy Efficiency Revenue. </w:t>
      </w:r>
      <w:r>
        <w:rPr>
          <w:rFonts w:ascii="Arial" w:cs="Arial" w:eastAsia="Arial" w:hAnsi="Arial"/>
          <w:sz w:val="13"/>
          <w:szCs w:val="13"/>
          <w:color w:val="auto"/>
        </w:rPr>
        <w:t>Energy efficiency revenues are under a performance-based formula rate, which requires an annual reconciliation of the revenue requirement in effect to the actual costs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ICC determines are prudently and reasonably incurred in a given year. Energy efficiency revenue varies from year to year based upon fluctuations in the underlying costs, investments being recovered, and allowed ROE. Energy efficiency revenues increased for the three months ended March 31, 2026 as compared to the same periods in 2025, primarily due to higher fully recoverable costs.</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Other Revenue </w:t>
      </w:r>
      <w:r>
        <w:rPr>
          <w:rFonts w:ascii="Arial" w:cs="Arial" w:eastAsia="Arial" w:hAnsi="Arial"/>
          <w:sz w:val="13"/>
          <w:szCs w:val="13"/>
          <w:color w:val="auto"/>
        </w:rPr>
        <w:t>primarily includes assistance provided to other utilities through mutual assistance programs. Other revenues increased for the three months ended March 31, 2026 as compared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same periods in 2025, which primarily reflects increased mutual assistance revenues associated with storm restoration efforts.</w:t>
      </w:r>
    </w:p>
    <w:p>
      <w:pPr>
        <w:spacing w:after="0" w:line="93" w:lineRule="exact"/>
        <w:rPr>
          <w:sz w:val="20"/>
          <w:szCs w:val="20"/>
          <w:color w:val="auto"/>
        </w:rPr>
      </w:pPr>
    </w:p>
    <w:p>
      <w:pPr>
        <w:jc w:val="both"/>
        <w:spacing w:after="0" w:line="234" w:lineRule="auto"/>
        <w:rPr>
          <w:sz w:val="20"/>
          <w:szCs w:val="20"/>
          <w:color w:val="auto"/>
        </w:rPr>
      </w:pPr>
      <w:r>
        <w:rPr>
          <w:rFonts w:ascii="Arial" w:cs="Arial" w:eastAsia="Arial" w:hAnsi="Arial"/>
          <w:sz w:val="13"/>
          <w:szCs w:val="13"/>
          <w:b w:val="1"/>
          <w:bCs w:val="1"/>
          <w:i w:val="1"/>
          <w:iCs w:val="1"/>
          <w:color w:val="auto"/>
        </w:rPr>
        <w:t xml:space="preserve">Regulatory Required Programs </w:t>
      </w:r>
      <w:r>
        <w:rPr>
          <w:rFonts w:ascii="Arial" w:cs="Arial" w:eastAsia="Arial" w:hAnsi="Arial"/>
          <w:sz w:val="13"/>
          <w:szCs w:val="13"/>
          <w:color w:val="auto"/>
        </w:rPr>
        <w:t>represents revenues collected under approved riders to recover costs incurred for regulatory programs. The riders are designed to provide full and current cost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recovery. The costs of these programs are included in Purchased power expense, Operating and maintenance expense, Depreciation and amortization expense, and Taxes other than income taxes. Customers have the choice to purchase electricity from competitive electric generation suppliers. Customer choice programs do not impact the volume of deliveries as ComEd remains the distribution service provider for all customers and charges a regulated rate for distribution service, which is recorded in Operating revenues. For customers that choose to purchase electric generation from competitive suppliers, this is treated as a pass through for ComEd and therefore, financial results are not impacted if customers purchase electricity supply from these alternative suppliers. For customers that choose to purchase electric generation from ComEd, ComEd is permitted to recover costs from customers.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See Note 4 — Segment Information of the Combined Notes to Consolidated Financial Statements for the presentation of ComEd's revenue disaggregation.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decrease of $238 million for the three months ended March 31, 2026 compared to the same period in 2025 in </w:t>
      </w:r>
      <w:r>
        <w:rPr>
          <w:rFonts w:ascii="Arial" w:cs="Arial" w:eastAsia="Arial" w:hAnsi="Arial"/>
          <w:sz w:val="13"/>
          <w:szCs w:val="13"/>
          <w:b w:val="1"/>
          <w:bCs w:val="1"/>
          <w:color w:val="auto"/>
        </w:rPr>
        <w:t>Purchased power expense</w:t>
      </w:r>
      <w:r>
        <w:rPr>
          <w:rFonts w:ascii="Arial" w:cs="Arial" w:eastAsia="Arial" w:hAnsi="Arial"/>
          <w:sz w:val="13"/>
          <w:szCs w:val="13"/>
          <w:color w:val="auto"/>
        </w:rPr>
        <w:t xml:space="preserve"> is offset in Operating revenues as part of regulatory required programs.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and maintenance expense</w:t>
      </w:r>
      <w:r>
        <w:rPr>
          <w:rFonts w:ascii="Arial" w:cs="Arial" w:eastAsia="Arial" w:hAnsi="Arial"/>
          <w:sz w:val="13"/>
          <w:szCs w:val="13"/>
          <w:color w:val="auto"/>
        </w:rPr>
        <w:t xml:space="preserve">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tcPr>
          <w:p>
            <w:pPr>
              <w:jc w:val="center"/>
              <w:ind w:right="260"/>
              <w:spacing w:after="0"/>
              <w:rPr>
                <w:sz w:val="20"/>
                <w:szCs w:val="20"/>
                <w:color w:val="auto"/>
              </w:rPr>
            </w:pPr>
            <w:r>
              <w:rPr>
                <w:rFonts w:ascii="Arial" w:cs="Arial" w:eastAsia="Arial" w:hAnsi="Arial"/>
                <w:sz w:val="10"/>
                <w:szCs w:val="10"/>
                <w:b w:val="1"/>
                <w:bCs w:val="1"/>
                <w:color w:val="auto"/>
                <w:w w:val="99"/>
              </w:rPr>
              <w:t>Three Months Ended</w:t>
            </w:r>
          </w:p>
        </w:tc>
      </w:tr>
      <w:tr>
        <w:trPr>
          <w:trHeight w:val="142"/>
        </w:trPr>
        <w:tc>
          <w:tcPr>
            <w:tcW w:w="9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260"/>
              <w:spacing w:after="0"/>
              <w:rPr>
                <w:sz w:val="20"/>
                <w:szCs w:val="20"/>
                <w:color w:val="auto"/>
              </w:rPr>
            </w:pPr>
            <w:r>
              <w:rPr>
                <w:rFonts w:ascii="Arial" w:cs="Arial" w:eastAsia="Arial" w:hAnsi="Arial"/>
                <w:sz w:val="10"/>
                <w:szCs w:val="10"/>
                <w:b w:val="1"/>
                <w:bCs w:val="1"/>
                <w:color w:val="auto"/>
                <w:w w:val="98"/>
              </w:rPr>
              <w:t>March 31, 2026</w:t>
            </w:r>
          </w:p>
        </w:tc>
      </w:tr>
      <w:tr>
        <w:trPr>
          <w:trHeight w:val="134"/>
        </w:trPr>
        <w:tc>
          <w:tcPr>
            <w:tcW w:w="91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center"/>
              <w:ind w:right="260"/>
              <w:spacing w:after="0"/>
              <w:rPr>
                <w:sz w:val="20"/>
                <w:szCs w:val="20"/>
                <w:color w:val="auto"/>
              </w:rPr>
            </w:pPr>
            <w:r>
              <w:rPr>
                <w:rFonts w:ascii="Arial" w:cs="Arial" w:eastAsia="Arial" w:hAnsi="Arial"/>
                <w:sz w:val="10"/>
                <w:szCs w:val="10"/>
                <w:b w:val="1"/>
                <w:bCs w:val="1"/>
                <w:color w:val="auto"/>
                <w:w w:val="99"/>
              </w:rPr>
              <w:t>Increase (Decrease)</w:t>
            </w:r>
          </w:p>
        </w:tc>
      </w:tr>
      <w:tr>
        <w:trPr>
          <w:trHeight w:val="162"/>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 other benefits, contracting, and materials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9180" w:type="dxa"/>
            <w:vAlign w:val="bottom"/>
          </w:tcPr>
          <w:p>
            <w:pPr>
              <w:ind w:left="20"/>
              <w:spacing w:after="0"/>
              <w:rPr>
                <w:sz w:val="20"/>
                <w:szCs w:val="20"/>
                <w:color w:val="auto"/>
              </w:rPr>
            </w:pPr>
            <w:r>
              <w:rPr>
                <w:rFonts w:ascii="Arial" w:cs="Arial" w:eastAsia="Arial" w:hAnsi="Arial"/>
                <w:sz w:val="13"/>
                <w:szCs w:val="13"/>
                <w:color w:val="auto"/>
              </w:rPr>
              <w:t>Storm-related costs</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BSC costs</w:t>
            </w:r>
          </w:p>
        </w:tc>
        <w:tc>
          <w:tcPr>
            <w:tcW w:w="3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9180" w:type="dxa"/>
            <w:vAlign w:val="bottom"/>
          </w:tcPr>
          <w:p>
            <w:pPr>
              <w:ind w:left="20"/>
              <w:spacing w:after="0"/>
              <w:rPr>
                <w:sz w:val="20"/>
                <w:szCs w:val="20"/>
                <w:color w:val="auto"/>
              </w:rPr>
            </w:pPr>
            <w:r>
              <w:rPr>
                <w:rFonts w:ascii="Arial" w:cs="Arial" w:eastAsia="Arial" w:hAnsi="Arial"/>
                <w:sz w:val="13"/>
                <w:szCs w:val="13"/>
                <w:color w:val="auto"/>
              </w:rPr>
              <w:t>Pension and non-pension postretirement benefits expense</w:t>
            </w: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91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(a)</w:t>
            </w:r>
          </w:p>
        </w:tc>
        <w:tc>
          <w:tcPr>
            <w:tcW w:w="3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59"/>
        </w:trPr>
        <w:tc>
          <w:tcPr>
            <w:tcW w:w="9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1"/>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required programs</w:t>
            </w:r>
          </w:p>
        </w:tc>
        <w:tc>
          <w:tcPr>
            <w:tcW w:w="3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9"/>
        </w:trPr>
        <w:tc>
          <w:tcPr>
            <w:tcW w:w="9180" w:type="dxa"/>
            <w:vAlign w:val="bottom"/>
          </w:tcPr>
          <w:p>
            <w:pPr>
              <w:ind w:left="20"/>
              <w:spacing w:after="0" w:line="148" w:lineRule="exact"/>
              <w:rPr>
                <w:sz w:val="20"/>
                <w:szCs w:val="20"/>
                <w:color w:val="auto"/>
              </w:rPr>
            </w:pPr>
            <w:r>
              <w:rPr>
                <w:rFonts w:ascii="Arial" w:cs="Arial" w:eastAsia="Arial" w:hAnsi="Arial"/>
                <w:sz w:val="13"/>
                <w:szCs w:val="13"/>
                <w:color w:val="auto"/>
              </w:rPr>
              <w:t>Total increase</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20"/>
        </w:trPr>
        <w:tc>
          <w:tcPr>
            <w:tcW w:w="9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reflects the probable disallowance of certain capitalized costs in regulatory matters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ind w:left="1320"/>
              <w:spacing w:after="0"/>
              <w:rPr>
                <w:sz w:val="20"/>
                <w:szCs w:val="20"/>
                <w:color w:val="auto"/>
              </w:rPr>
            </w:pPr>
            <w:r>
              <w:rPr>
                <w:rFonts w:ascii="Arial" w:cs="Arial" w:eastAsia="Arial" w:hAnsi="Arial"/>
                <w:sz w:val="14"/>
                <w:szCs w:val="14"/>
                <w:color w:val="auto"/>
                <w:w w:val="98"/>
              </w:rPr>
              <w:t>ComEd</w:t>
            </w:r>
          </w:p>
        </w:tc>
        <w:tc>
          <w:tcPr>
            <w:tcW w:w="0" w:type="dxa"/>
            <w:vAlign w:val="bottom"/>
          </w:tcPr>
          <w:p>
            <w:pPr>
              <w:spacing w:after="0"/>
              <w:rPr>
                <w:sz w:val="1"/>
                <w:szCs w:val="1"/>
                <w:color w:val="auto"/>
              </w:rPr>
            </w:pPr>
          </w:p>
        </w:tc>
      </w:tr>
      <w:tr>
        <w:trPr>
          <w:trHeight w:val="890"/>
        </w:trPr>
        <w:tc>
          <w:tcPr>
            <w:tcW w:w="9180" w:type="dxa"/>
            <w:vAlign w:val="bottom"/>
          </w:tcPr>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Depreciation and amortization expense</w:t>
            </w:r>
            <w:r>
              <w:rPr>
                <w:rFonts w:ascii="Arial" w:cs="Arial" w:eastAsia="Arial" w:hAnsi="Arial"/>
                <w:sz w:val="13"/>
                <w:szCs w:val="13"/>
                <w:color w:val="auto"/>
              </w:rPr>
              <w:t xml:space="preserve"> consisted of the following:</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9"/>
              </w:rPr>
              <w:t>Three Months Ended</w:t>
            </w:r>
          </w:p>
        </w:tc>
        <w:tc>
          <w:tcPr>
            <w:tcW w:w="0" w:type="dxa"/>
            <w:vAlign w:val="bottom"/>
          </w:tcPr>
          <w:p>
            <w:pPr>
              <w:spacing w:after="0"/>
              <w:rPr>
                <w:sz w:val="1"/>
                <w:szCs w:val="1"/>
                <w:color w:val="auto"/>
              </w:rPr>
            </w:pPr>
          </w:p>
        </w:tc>
      </w:tr>
      <w:tr>
        <w:trPr>
          <w:trHeight w:val="139"/>
        </w:trPr>
        <w:tc>
          <w:tcPr>
            <w:tcW w:w="9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8"/>
              </w:rPr>
              <w:t>March 31, 2026</w:t>
            </w:r>
          </w:p>
        </w:tc>
        <w:tc>
          <w:tcPr>
            <w:tcW w:w="0" w:type="dxa"/>
            <w:vAlign w:val="bottom"/>
          </w:tcPr>
          <w:p>
            <w:pPr>
              <w:spacing w:after="0"/>
              <w:rPr>
                <w:sz w:val="1"/>
                <w:szCs w:val="1"/>
                <w:color w:val="auto"/>
              </w:rPr>
            </w:pPr>
          </w:p>
        </w:tc>
      </w:tr>
      <w:tr>
        <w:trPr>
          <w:trHeight w:val="131"/>
        </w:trPr>
        <w:tc>
          <w:tcPr>
            <w:tcW w:w="918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780" w:type="dxa"/>
            <w:vAlign w:val="bottom"/>
            <w:tcBorders>
              <w:top w:val="single" w:sz="8" w:color="auto"/>
              <w:bottom w:val="single" w:sz="8" w:color="auto"/>
            </w:tcBorders>
          </w:tcPr>
          <w:p>
            <w:pPr>
              <w:jc w:val="center"/>
              <w:ind w:right="241"/>
              <w:spacing w:after="0"/>
              <w:rPr>
                <w:sz w:val="20"/>
                <w:szCs w:val="20"/>
                <w:color w:val="auto"/>
              </w:rPr>
            </w:pPr>
            <w:r>
              <w:rPr>
                <w:rFonts w:ascii="Arial" w:cs="Arial" w:eastAsia="Arial" w:hAnsi="Arial"/>
                <w:sz w:val="10"/>
                <w:szCs w:val="10"/>
                <w:b w:val="1"/>
                <w:bCs w:val="1"/>
                <w:color w:val="auto"/>
                <w:w w:val="98"/>
              </w:rPr>
              <w:t>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18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16"/>
                <w:szCs w:val="16"/>
                <w:color w:val="auto"/>
                <w:vertAlign w:val="superscript"/>
              </w:rPr>
              <w:t>(a)</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Regulatory asset amortization</w:t>
            </w: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increase</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tabs>
          <w:tab w:leader="none" w:pos="220" w:val="left"/>
        </w:tabs>
        <w:rPr>
          <w:sz w:val="20"/>
          <w:szCs w:val="20"/>
          <w:color w:val="auto"/>
        </w:rPr>
      </w:pPr>
      <w:r>
        <w:rPr>
          <w:rFonts w:ascii="Arial" w:cs="Arial" w:eastAsia="Arial" w:hAnsi="Arial"/>
          <w:sz w:val="11"/>
          <w:szCs w:val="11"/>
          <w:color w:val="auto"/>
        </w:rPr>
        <w:t>(a)</w:t>
        <w:tab/>
        <w:t>Reflects ongoing capital expenditures.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w:t>
      </w:r>
      <w:r>
        <w:rPr>
          <w:rFonts w:ascii="Arial" w:cs="Arial" w:eastAsia="Arial" w:hAnsi="Arial"/>
          <w:sz w:val="13"/>
          <w:szCs w:val="13"/>
          <w:color w:val="auto"/>
        </w:rPr>
        <w:t>,</w:t>
      </w:r>
      <w:r>
        <w:rPr>
          <w:rFonts w:ascii="Arial" w:cs="Arial" w:eastAsia="Arial" w:hAnsi="Arial"/>
          <w:sz w:val="13"/>
          <w:szCs w:val="13"/>
          <w:b w:val="1"/>
          <w:bCs w:val="1"/>
          <w:color w:val="auto"/>
        </w:rPr>
        <w:t xml:space="preserve"> net </w:t>
      </w:r>
      <w:r>
        <w:rPr>
          <w:rFonts w:ascii="Arial" w:cs="Arial" w:eastAsia="Arial" w:hAnsi="Arial"/>
          <w:sz w:val="13"/>
          <w:szCs w:val="13"/>
          <w:color w:val="auto"/>
        </w:rPr>
        <w:t>increased $10 million for the three months ended March 31, 2026 compared to the same period in 2025, primarily due to higher AFUDC equity.</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 xml:space="preserve">Effective income tax rates </w:t>
      </w:r>
      <w:r>
        <w:rPr>
          <w:rFonts w:ascii="Arial" w:cs="Arial" w:eastAsia="Arial" w:hAnsi="Arial"/>
          <w:sz w:val="13"/>
          <w:szCs w:val="13"/>
          <w:color w:val="auto"/>
        </w:rPr>
        <w:t>were 24.6% and 17.7% for the three months ended March 31, 2026 and 2025, respectively. See Note 6 — Income Taxes of the Combined Notes to Consolidated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Statements for additional information regarding the components of the effective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PECO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PECO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gridSpan w:val="5"/>
          </w:tcPr>
          <w:p>
            <w:pPr>
              <w:ind w:left="280"/>
              <w:spacing w:after="0"/>
              <w:rPr>
                <w:sz w:val="20"/>
                <w:szCs w:val="20"/>
                <w:color w:val="auto"/>
              </w:rPr>
            </w:pPr>
            <w:r>
              <w:rPr>
                <w:rFonts w:ascii="Arial" w:cs="Arial" w:eastAsia="Arial" w:hAnsi="Arial"/>
                <w:sz w:val="10"/>
                <w:szCs w:val="10"/>
                <w:b w:val="1"/>
                <w:bCs w:val="1"/>
                <w:color w:val="auto"/>
              </w:rPr>
              <w:t>Three Months Ended</w:t>
            </w: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2"/>
        </w:trPr>
        <w:tc>
          <w:tcPr>
            <w:tcW w:w="7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0"/>
                <w:szCs w:val="10"/>
                <w:b w:val="1"/>
                <w:bCs w:val="1"/>
                <w:color w:val="auto"/>
              </w:rPr>
              <w:t>Favorable (Unfavorable)</w:t>
            </w:r>
          </w:p>
        </w:tc>
      </w:tr>
      <w:tr>
        <w:trPr>
          <w:trHeight w:val="142"/>
        </w:trPr>
        <w:tc>
          <w:tcPr>
            <w:tcW w:w="78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0"/>
                <w:szCs w:val="10"/>
                <w:b w:val="1"/>
                <w:bCs w:val="1"/>
                <w:color w:val="auto"/>
              </w:rPr>
              <w:t>Variance</w:t>
            </w:r>
          </w:p>
        </w:tc>
      </w:tr>
      <w:tr>
        <w:trPr>
          <w:trHeight w:val="164"/>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r>
      <w:tr>
        <w:trPr>
          <w:trHeight w:val="170"/>
        </w:trPr>
        <w:tc>
          <w:tcPr>
            <w:tcW w:w="788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Purchased power and fuel</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69"/>
        </w:trPr>
        <w:tc>
          <w:tcPr>
            <w:tcW w:w="7880" w:type="dxa"/>
            <w:vAlign w:val="bottom"/>
          </w:tcPr>
          <w:p>
            <w:pPr>
              <w:ind w:left="180"/>
              <w:spacing w:after="0"/>
              <w:rPr>
                <w:sz w:val="20"/>
                <w:szCs w:val="20"/>
                <w:color w:val="auto"/>
              </w:rPr>
            </w:pPr>
            <w:r>
              <w:rPr>
                <w:rFonts w:ascii="Arial" w:cs="Arial" w:eastAsia="Arial" w:hAnsi="Arial"/>
                <w:sz w:val="13"/>
                <w:szCs w:val="13"/>
                <w:color w:val="auto"/>
              </w:rPr>
              <w:t>Operating and maintenance</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Taxes other than income taxes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7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15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Operating income</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51"/>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and (deductions)</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9"/>
        </w:trPr>
        <w:tc>
          <w:tcPr>
            <w:tcW w:w="7880" w:type="dxa"/>
            <w:vAlign w:val="bottom"/>
          </w:tcPr>
          <w:p>
            <w:pPr>
              <w:ind w:left="180"/>
              <w:spacing w:after="0"/>
              <w:rPr>
                <w:sz w:val="20"/>
                <w:szCs w:val="20"/>
                <w:color w:val="auto"/>
              </w:rPr>
            </w:pPr>
            <w:r>
              <w:rPr>
                <w:rFonts w:ascii="Arial" w:cs="Arial" w:eastAsia="Arial" w:hAnsi="Arial"/>
                <w:sz w:val="13"/>
                <w:szCs w:val="13"/>
                <w:color w:val="auto"/>
              </w:rPr>
              <w:t>Interest expense, net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9"/>
        </w:trPr>
        <w:tc>
          <w:tcPr>
            <w:tcW w:w="7880" w:type="dxa"/>
            <w:vAlign w:val="bottom"/>
            <w:tcBorders>
              <w:bottom w:val="single" w:sz="8" w:color="CCEEFF"/>
            </w:tcBorders>
          </w:tcPr>
          <w:p>
            <w:pPr>
              <w:ind w:left="360"/>
              <w:spacing w:after="0" w:line="148" w:lineRule="exact"/>
              <w:rPr>
                <w:sz w:val="20"/>
                <w:szCs w:val="20"/>
                <w:color w:val="auto"/>
              </w:rPr>
            </w:pPr>
            <w:r>
              <w:rPr>
                <w:rFonts w:ascii="Arial" w:cs="Arial" w:eastAsia="Arial" w:hAnsi="Arial"/>
                <w:sz w:val="13"/>
                <w:szCs w:val="13"/>
                <w:color w:val="auto"/>
              </w:rPr>
              <w:t>Total other income and (deductions)</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62"/>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7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Income taxes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8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Three Months Ended March 31, 2026 Compared to Three Months Ended March 31, 2025. </w:t>
      </w:r>
      <w:r>
        <w:rPr>
          <w:rFonts w:ascii="Arial" w:cs="Arial" w:eastAsia="Arial" w:hAnsi="Arial"/>
          <w:sz w:val="13"/>
          <w:szCs w:val="13"/>
          <w:b w:val="1"/>
          <w:bCs w:val="1"/>
          <w:color w:val="auto"/>
        </w:rPr>
        <w:t>Net income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increased by $12 million due to an increase in revenue as a result of the absence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surcharge credits to customers, favorable weather relative to the same period last year, and tax repairs, some of which is timing, partially offset by an increase in depreciation and interest expense.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revenues</w:t>
      </w:r>
      <w:r>
        <w:rPr>
          <w:rFonts w:ascii="Arial" w:cs="Arial" w:eastAsia="Arial" w:hAnsi="Arial"/>
          <w:sz w:val="13"/>
          <w:szCs w:val="13"/>
          <w:color w:val="auto"/>
        </w:rPr>
        <w:t xml:space="preserve"> consisted of the following:</w:t>
      </w:r>
    </w:p>
    <w:p>
      <w:pPr>
        <w:spacing w:after="0" w:line="155" w:lineRule="exact"/>
        <w:rPr>
          <w:sz w:val="20"/>
          <w:szCs w:val="20"/>
          <w:color w:val="auto"/>
        </w:rPr>
      </w:pPr>
    </w:p>
    <w:p>
      <w:pPr>
        <w:jc w:val="center"/>
        <w:ind w:left="7900"/>
        <w:spacing w:after="0"/>
        <w:rPr>
          <w:sz w:val="20"/>
          <w:szCs w:val="20"/>
          <w:color w:val="auto"/>
        </w:rPr>
      </w:pPr>
      <w:r>
        <w:rPr>
          <w:rFonts w:ascii="Arial" w:cs="Arial" w:eastAsia="Arial" w:hAnsi="Arial"/>
          <w:sz w:val="10"/>
          <w:szCs w:val="10"/>
          <w:b w:val="1"/>
          <w:bCs w:val="1"/>
          <w:color w:val="auto"/>
        </w:rPr>
        <w:t>Three Months Ended</w:t>
      </w:r>
    </w:p>
    <w:p>
      <w:pPr>
        <w:jc w:val="center"/>
        <w:ind w:left="7900"/>
        <w:spacing w:after="0"/>
        <w:rPr>
          <w:sz w:val="20"/>
          <w:szCs w:val="20"/>
          <w:color w:val="auto"/>
        </w:rPr>
      </w:pPr>
      <w:r>
        <w:rPr>
          <w:rFonts w:ascii="Arial" w:cs="Arial" w:eastAsia="Arial" w:hAnsi="Arial"/>
          <w:sz w:val="10"/>
          <w:szCs w:val="10"/>
          <w:b w:val="1"/>
          <w:bCs w:val="1"/>
          <w:color w:val="auto"/>
        </w:rPr>
        <w:t>March 31, 2026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9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7"/>
              </w:rPr>
              <w:t>Increase (Decrease)</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r>
      <w:tr>
        <w:trPr>
          <w:trHeight w:val="129"/>
        </w:trPr>
        <w:tc>
          <w:tcPr>
            <w:tcW w:w="7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0"/>
                <w:szCs w:val="10"/>
                <w:b w:val="1"/>
                <w:bCs w:val="1"/>
                <w:color w:val="auto"/>
              </w:rPr>
              <w:t>Electric</w:t>
            </w:r>
          </w:p>
        </w:tc>
        <w:tc>
          <w:tcPr>
            <w:tcW w:w="260" w:type="dxa"/>
            <w:vAlign w:val="bottom"/>
          </w:tcPr>
          <w:p>
            <w:pPr>
              <w:spacing w:after="0"/>
              <w:rPr>
                <w:sz w:val="11"/>
                <w:szCs w:val="11"/>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Gas</w:t>
            </w:r>
          </w:p>
        </w:tc>
        <w:tc>
          <w:tcPr>
            <w:tcW w:w="240" w:type="dxa"/>
            <w:vAlign w:val="bottom"/>
          </w:tcPr>
          <w:p>
            <w:pPr>
              <w:spacing w:after="0"/>
              <w:rPr>
                <w:sz w:val="11"/>
                <w:szCs w:val="11"/>
                <w:color w:val="auto"/>
              </w:rPr>
            </w:pPr>
          </w:p>
        </w:tc>
        <w:tc>
          <w:tcPr>
            <w:tcW w:w="800" w:type="dxa"/>
            <w:vAlign w:val="bottom"/>
          </w:tcPr>
          <w:p>
            <w:pPr>
              <w:jc w:val="right"/>
              <w:ind w:right="338"/>
              <w:spacing w:after="0"/>
              <w:rPr>
                <w:sz w:val="20"/>
                <w:szCs w:val="20"/>
                <w:color w:val="auto"/>
              </w:rPr>
            </w:pPr>
            <w:r>
              <w:rPr>
                <w:rFonts w:ascii="Arial" w:cs="Arial" w:eastAsia="Arial" w:hAnsi="Arial"/>
                <w:sz w:val="10"/>
                <w:szCs w:val="10"/>
                <w:b w:val="1"/>
                <w:bCs w:val="1"/>
                <w:color w:val="auto"/>
              </w:rPr>
              <w:t>Total</w:t>
            </w:r>
          </w:p>
        </w:tc>
      </w:tr>
      <w:tr>
        <w:trPr>
          <w:trHeight w:val="162"/>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Weather</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9"/>
        </w:trPr>
        <w:tc>
          <w:tcPr>
            <w:tcW w:w="7920" w:type="dxa"/>
            <w:vAlign w:val="bottom"/>
          </w:tcPr>
          <w:p>
            <w:pPr>
              <w:ind w:left="20"/>
              <w:spacing w:after="0"/>
              <w:rPr>
                <w:sz w:val="20"/>
                <w:szCs w:val="20"/>
                <w:color w:val="auto"/>
              </w:rPr>
            </w:pPr>
            <w:r>
              <w:rPr>
                <w:rFonts w:ascii="Arial" w:cs="Arial" w:eastAsia="Arial" w:hAnsi="Arial"/>
                <w:sz w:val="13"/>
                <w:szCs w:val="13"/>
                <w:color w:val="auto"/>
              </w:rPr>
              <w:t>Volume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Pricing</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9"/>
        </w:trPr>
        <w:tc>
          <w:tcPr>
            <w:tcW w:w="7920" w:type="dxa"/>
            <w:vAlign w:val="bottom"/>
          </w:tcPr>
          <w:p>
            <w:pPr>
              <w:ind w:left="20"/>
              <w:spacing w:after="0"/>
              <w:rPr>
                <w:sz w:val="20"/>
                <w:szCs w:val="20"/>
                <w:color w:val="auto"/>
              </w:rPr>
            </w:pPr>
            <w:r>
              <w:rPr>
                <w:rFonts w:ascii="Arial" w:cs="Arial" w:eastAsia="Arial" w:hAnsi="Arial"/>
                <w:sz w:val="13"/>
                <w:szCs w:val="13"/>
                <w:color w:val="auto"/>
              </w:rPr>
              <w:t>Transmission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792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(a)</w:t>
            </w: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59"/>
        </w:trPr>
        <w:tc>
          <w:tcPr>
            <w:tcW w:w="7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70"/>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required programs</w:t>
            </w: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62"/>
        </w:trPr>
        <w:tc>
          <w:tcPr>
            <w:tcW w:w="7920" w:type="dxa"/>
            <w:vAlign w:val="bottom"/>
          </w:tcPr>
          <w:p>
            <w:pPr>
              <w:ind w:left="20"/>
              <w:spacing w:after="0"/>
              <w:rPr>
                <w:sz w:val="20"/>
                <w:szCs w:val="20"/>
                <w:color w:val="auto"/>
              </w:rPr>
            </w:pPr>
            <w:r>
              <w:rPr>
                <w:rFonts w:ascii="Arial" w:cs="Arial" w:eastAsia="Arial" w:hAnsi="Arial"/>
                <w:sz w:val="13"/>
                <w:szCs w:val="13"/>
                <w:color w:val="auto"/>
              </w:rPr>
              <w:t>Total increase</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Other revenues increased primarily due to the absence of electric surcharge credits to customers recognized in 2025.</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Weather. </w:t>
      </w:r>
      <w:r>
        <w:rPr>
          <w:rFonts w:ascii="Arial" w:cs="Arial" w:eastAsia="Arial" w:hAnsi="Arial"/>
          <w:sz w:val="13"/>
          <w:szCs w:val="13"/>
          <w:color w:val="auto"/>
        </w:rPr>
        <w:t>The demand for electricity and natural gas is affected by weather conditions. With respect to the electric business, very warm weather in summer months and, with respect to the electric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natural gas businesses, very cold weather in winter months are referred to as “favorable weather conditions” because these weather conditions result in increased deliveries of electricity and natural gas. Conversely, mild weather reduces demand. During the three months ended March 31, 2026</w:t>
      </w:r>
      <w:r>
        <w:rPr>
          <w:rFonts w:ascii="Arial" w:cs="Arial" w:eastAsia="Arial" w:hAnsi="Arial"/>
          <w:sz w:val="11"/>
          <w:szCs w:val="11"/>
          <w:color w:val="auto"/>
        </w:rPr>
        <w:t>,</w:t>
      </w:r>
      <w:r>
        <w:rPr>
          <w:rFonts w:ascii="Arial" w:cs="Arial" w:eastAsia="Arial" w:hAnsi="Arial"/>
          <w:sz w:val="13"/>
          <w:szCs w:val="13"/>
          <w:color w:val="auto"/>
        </w:rPr>
        <w:t xml:space="preserve"> compared to the same period in 2025, Operating revenues related to weather increased due to favorable weather conditions in PECO's service territory.</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Heating and cooling degree-days are quantitative indices that reflect the demand for energy needed to heat or cool a home or business. Normal weather is determined based on historical average heating and cooling degree-days for a 30-year period in PECO's service territory. The changes in heating and cooling degree-days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PECO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PECO’s service territory for the three months ended March 31, 2026, compared to the same period in 2025, and normal weather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6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0"/>
                <w:szCs w:val="10"/>
                <w:b w:val="1"/>
                <w:bCs w:val="1"/>
                <w:color w:val="auto"/>
              </w:rPr>
              <w:t>Three Months Ended March 31,</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Borders>
              <w:bottom w:val="single" w:sz="8" w:color="auto"/>
            </w:tcBorders>
            <w:gridSpan w:val="3"/>
          </w:tcPr>
          <w:p>
            <w:pPr>
              <w:ind w:left="1460"/>
              <w:spacing w:after="0"/>
              <w:rPr>
                <w:sz w:val="20"/>
                <w:szCs w:val="20"/>
                <w:color w:val="auto"/>
              </w:rPr>
            </w:pPr>
            <w:r>
              <w:rPr>
                <w:rFonts w:ascii="Arial" w:cs="Arial" w:eastAsia="Arial" w:hAnsi="Arial"/>
                <w:sz w:val="10"/>
                <w:szCs w:val="10"/>
                <w:b w:val="1"/>
                <w:bCs w:val="1"/>
                <w:color w:val="auto"/>
              </w:rPr>
              <w:t>% Change</w:t>
            </w:r>
          </w:p>
        </w:tc>
        <w:tc>
          <w:tcPr>
            <w:tcW w:w="1320" w:type="dxa"/>
            <w:vAlign w:val="bottom"/>
            <w:tcBorders>
              <w:bottom w:val="single" w:sz="8" w:color="auto"/>
            </w:tcBorders>
          </w:tcPr>
          <w:p>
            <w:pPr>
              <w:spacing w:after="0"/>
              <w:rPr>
                <w:sz w:val="11"/>
                <w:szCs w:val="11"/>
                <w:color w:val="auto"/>
              </w:rPr>
            </w:pPr>
          </w:p>
        </w:tc>
      </w:tr>
      <w:tr>
        <w:trPr>
          <w:trHeight w:val="114"/>
        </w:trPr>
        <w:tc>
          <w:tcPr>
            <w:tcW w:w="20" w:type="dxa"/>
            <w:vAlign w:val="bottom"/>
          </w:tcPr>
          <w:p>
            <w:pPr>
              <w:spacing w:after="0"/>
              <w:rPr>
                <w:sz w:val="9"/>
                <w:szCs w:val="9"/>
                <w:color w:val="auto"/>
              </w:rPr>
            </w:pPr>
          </w:p>
        </w:tc>
        <w:tc>
          <w:tcPr>
            <w:tcW w:w="29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PECO Service Territory</w:t>
            </w:r>
          </w:p>
        </w:tc>
        <w:tc>
          <w:tcPr>
            <w:tcW w:w="1020" w:type="dxa"/>
            <w:vAlign w:val="bottom"/>
          </w:tcPr>
          <w:p>
            <w:pPr>
              <w:jc w:val="right"/>
              <w:ind w:right="91"/>
              <w:spacing w:after="0" w:line="114" w:lineRule="exact"/>
              <w:rPr>
                <w:sz w:val="20"/>
                <w:szCs w:val="20"/>
                <w:color w:val="auto"/>
              </w:rPr>
            </w:pPr>
            <w:r>
              <w:rPr>
                <w:rFonts w:ascii="Arial" w:cs="Arial" w:eastAsia="Arial" w:hAnsi="Arial"/>
                <w:sz w:val="10"/>
                <w:szCs w:val="10"/>
                <w:b w:val="1"/>
                <w:bCs w:val="1"/>
                <w:color w:val="auto"/>
              </w:rPr>
              <w:t>2026</w:t>
            </w:r>
          </w:p>
        </w:tc>
        <w:tc>
          <w:tcPr>
            <w:tcW w:w="1660" w:type="dxa"/>
            <w:vAlign w:val="bottom"/>
            <w:gridSpan w:val="3"/>
          </w:tcPr>
          <w:p>
            <w:pPr>
              <w:jc w:val="right"/>
              <w:ind w:right="160"/>
              <w:spacing w:after="0" w:line="114" w:lineRule="exact"/>
              <w:rPr>
                <w:sz w:val="20"/>
                <w:szCs w:val="20"/>
                <w:color w:val="auto"/>
              </w:rPr>
            </w:pPr>
            <w:r>
              <w:rPr>
                <w:rFonts w:ascii="Arial" w:cs="Arial" w:eastAsia="Arial" w:hAnsi="Arial"/>
                <w:sz w:val="10"/>
                <w:szCs w:val="10"/>
                <w:b w:val="1"/>
                <w:bCs w:val="1"/>
                <w:color w:val="auto"/>
              </w:rPr>
              <w:t>2025</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2"/>
          </w:tcPr>
          <w:p>
            <w:pPr>
              <w:ind w:left="580"/>
              <w:spacing w:after="0" w:line="114" w:lineRule="exact"/>
              <w:rPr>
                <w:sz w:val="20"/>
                <w:szCs w:val="20"/>
                <w:color w:val="auto"/>
              </w:rPr>
            </w:pPr>
            <w:r>
              <w:rPr>
                <w:rFonts w:ascii="Arial" w:cs="Arial" w:eastAsia="Arial" w:hAnsi="Arial"/>
                <w:sz w:val="10"/>
                <w:szCs w:val="10"/>
                <w:b w:val="1"/>
                <w:bCs w:val="1"/>
                <w:color w:val="auto"/>
              </w:rPr>
              <w:t>Normal</w:t>
            </w:r>
          </w:p>
        </w:tc>
        <w:tc>
          <w:tcPr>
            <w:tcW w:w="2060" w:type="dxa"/>
            <w:vAlign w:val="bottom"/>
            <w:gridSpan w:val="3"/>
          </w:tcPr>
          <w:p>
            <w:pPr>
              <w:ind w:left="500"/>
              <w:spacing w:after="0" w:line="114" w:lineRule="exact"/>
              <w:rPr>
                <w:sz w:val="20"/>
                <w:szCs w:val="20"/>
                <w:color w:val="auto"/>
              </w:rPr>
            </w:pPr>
            <w:r>
              <w:rPr>
                <w:rFonts w:ascii="Arial" w:cs="Arial" w:eastAsia="Arial" w:hAnsi="Arial"/>
                <w:sz w:val="10"/>
                <w:szCs w:val="10"/>
                <w:b w:val="1"/>
                <w:bCs w:val="1"/>
                <w:color w:val="auto"/>
              </w:rPr>
              <w:t>2026 vs. 2025</w:t>
            </w:r>
          </w:p>
        </w:tc>
        <w:tc>
          <w:tcPr>
            <w:tcW w:w="1320" w:type="dxa"/>
            <w:vAlign w:val="bottom"/>
          </w:tcPr>
          <w:p>
            <w:pPr>
              <w:jc w:val="right"/>
              <w:ind w:right="381"/>
              <w:spacing w:after="0" w:line="114" w:lineRule="exact"/>
              <w:rPr>
                <w:sz w:val="20"/>
                <w:szCs w:val="20"/>
                <w:color w:val="auto"/>
              </w:rPr>
            </w:pPr>
            <w:r>
              <w:rPr>
                <w:rFonts w:ascii="Arial" w:cs="Arial" w:eastAsia="Arial" w:hAnsi="Arial"/>
                <w:sz w:val="10"/>
                <w:szCs w:val="10"/>
                <w:b w:val="1"/>
                <w:bCs w:val="1"/>
                <w:color w:val="auto"/>
              </w:rPr>
              <w:t>2026 vs. Normal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Heating Degree-Days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2,399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w:t>
            </w: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r>
      <w:tr>
        <w:trPr>
          <w:trHeight w:val="167"/>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Cooling Degree-Days</w:t>
            </w:r>
          </w:p>
        </w:tc>
        <w:tc>
          <w:tcPr>
            <w:tcW w:w="102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900.0 %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900.0 %</w:t>
            </w:r>
          </w:p>
        </w:tc>
      </w:tr>
    </w:tbl>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Volume. </w:t>
      </w:r>
      <w:r>
        <w:rPr>
          <w:rFonts w:ascii="Arial" w:cs="Arial" w:eastAsia="Arial" w:hAnsi="Arial"/>
          <w:sz w:val="13"/>
          <w:szCs w:val="13"/>
          <w:color w:val="auto"/>
        </w:rPr>
        <w:t>Electric volume, exclusive of the effects of weather, for the three months ended March 31, 2026 compared to the same period in 2025, remained relatively consistent. Natural gas volume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three months ended March 31, 2026, compared to the same period in 2025, remained relatively consistent.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20" w:type="dxa"/>
            <w:vAlign w:val="bottom"/>
            <w:gridSpan w:val="6"/>
            <w:vMerge w:val="restart"/>
          </w:tcPr>
          <w:p>
            <w:pPr>
              <w:ind w:left="180"/>
              <w:spacing w:after="0"/>
              <w:rPr>
                <w:sz w:val="20"/>
                <w:szCs w:val="20"/>
                <w:color w:val="auto"/>
              </w:rPr>
            </w:pPr>
            <w:r>
              <w:rPr>
                <w:rFonts w:ascii="Arial" w:cs="Arial" w:eastAsia="Arial" w:hAnsi="Arial"/>
                <w:sz w:val="10"/>
                <w:szCs w:val="10"/>
                <w:b w:val="1"/>
                <w:bCs w:val="1"/>
                <w:color w:val="auto"/>
              </w:rPr>
              <w:t>Three Months Ended March 31,</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6"/>
              </w:rPr>
              <w:t>Weather -</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2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jc w:val="center"/>
              <w:spacing w:after="0" w:line="76" w:lineRule="exact"/>
              <w:rPr>
                <w:sz w:val="20"/>
                <w:szCs w:val="20"/>
                <w:color w:val="auto"/>
              </w:rPr>
            </w:pPr>
            <w:r>
              <w:rPr>
                <w:rFonts w:ascii="Arial" w:cs="Arial" w:eastAsia="Arial" w:hAnsi="Arial"/>
                <w:sz w:val="7"/>
                <w:szCs w:val="7"/>
                <w:b w:val="1"/>
                <w:bCs w:val="1"/>
                <w:color w:val="auto"/>
              </w:rPr>
              <w:t>Normal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7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Electric Retail Deliveries to Customers (in GWhs)</w:t>
            </w:r>
          </w:p>
        </w:tc>
        <w:tc>
          <w:tcPr>
            <w:tcW w:w="1000" w:type="dxa"/>
            <w:vAlign w:val="bottom"/>
            <w:tcBorders>
              <w:top w:val="single" w:sz="8" w:color="auto"/>
            </w:tcBorders>
            <w:gridSpan w:val="2"/>
          </w:tcPr>
          <w:p>
            <w:pPr>
              <w:jc w:val="right"/>
              <w:ind w:right="351"/>
              <w:spacing w:after="0" w:line="114" w:lineRule="exact"/>
              <w:rPr>
                <w:sz w:val="20"/>
                <w:szCs w:val="20"/>
                <w:color w:val="auto"/>
              </w:rPr>
            </w:pPr>
            <w:r>
              <w:rPr>
                <w:rFonts w:ascii="Arial" w:cs="Arial" w:eastAsia="Arial" w:hAnsi="Arial"/>
                <w:sz w:val="10"/>
                <w:szCs w:val="10"/>
                <w:b w:val="1"/>
                <w:bCs w:val="1"/>
                <w:color w:val="auto"/>
              </w:rPr>
              <w:t>2026</w:t>
            </w:r>
          </w:p>
        </w:tc>
        <w:tc>
          <w:tcPr>
            <w:tcW w:w="1080" w:type="dxa"/>
            <w:vAlign w:val="bottom"/>
            <w:tcBorders>
              <w:top w:val="single" w:sz="8" w:color="auto"/>
            </w:tcBorders>
            <w:gridSpan w:val="2"/>
          </w:tcPr>
          <w:p>
            <w:pPr>
              <w:jc w:val="right"/>
              <w:ind w:right="321"/>
              <w:spacing w:after="0" w:line="114" w:lineRule="exact"/>
              <w:rPr>
                <w:sz w:val="20"/>
                <w:szCs w:val="20"/>
                <w:color w:val="auto"/>
              </w:rPr>
            </w:pPr>
            <w:r>
              <w:rPr>
                <w:rFonts w:ascii="Arial" w:cs="Arial" w:eastAsia="Arial" w:hAnsi="Arial"/>
                <w:sz w:val="10"/>
                <w:szCs w:val="10"/>
                <w:b w:val="1"/>
                <w:bCs w:val="1"/>
                <w:color w:val="auto"/>
              </w:rPr>
              <w:t>2025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ind w:right="239"/>
              <w:spacing w:after="0" w:line="114" w:lineRule="exact"/>
              <w:rPr>
                <w:sz w:val="20"/>
                <w:szCs w:val="20"/>
                <w:color w:val="auto"/>
              </w:rPr>
            </w:pPr>
            <w:r>
              <w:rPr>
                <w:rFonts w:ascii="Arial" w:cs="Arial" w:eastAsia="Arial" w:hAnsi="Arial"/>
                <w:sz w:val="10"/>
                <w:szCs w:val="10"/>
                <w:b w:val="1"/>
                <w:bCs w:val="1"/>
                <w:color w:val="auto"/>
              </w:rPr>
              <w:t>% Change</w:t>
            </w:r>
          </w:p>
        </w:tc>
        <w:tc>
          <w:tcPr>
            <w:tcW w:w="120" w:type="dxa"/>
            <w:vAlign w:val="bottom"/>
          </w:tcPr>
          <w:p>
            <w:pPr>
              <w:spacing w:after="0"/>
              <w:rPr>
                <w:sz w:val="9"/>
                <w:szCs w:val="9"/>
                <w:color w:val="auto"/>
              </w:rPr>
            </w:pPr>
          </w:p>
        </w:tc>
        <w:tc>
          <w:tcPr>
            <w:tcW w:w="10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 Change</w:t>
            </w:r>
            <w:r>
              <w:rPr>
                <w:rFonts w:ascii="Arial" w:cs="Arial" w:eastAsia="Arial" w:hAnsi="Arial"/>
                <w:sz w:val="12"/>
                <w:szCs w:val="12"/>
                <w:b w:val="1"/>
                <w:bCs w:val="1"/>
                <w:color w:val="auto"/>
                <w:w w:val="95"/>
                <w:vertAlign w:val="superscript"/>
              </w:rPr>
              <w:t>(b)</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7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Residential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3,859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3"/>
                <w:szCs w:val="13"/>
                <w:color w:val="auto"/>
              </w:rPr>
              <w:t>Small commercial &amp; industrial</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2,010</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1,946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3,425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78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Public authorities &amp; electric railroads</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(6.9)%</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6780" w:type="dxa"/>
            <w:vAlign w:val="bottom"/>
            <w:tcBorders>
              <w:bottom w:val="single" w:sz="8" w:color="CCEEFF"/>
            </w:tcBorders>
            <w:gridSpan w:val="3"/>
            <w:shd w:val="clear" w:color="auto" w:fill="CCEEFF"/>
          </w:tcPr>
          <w:p>
            <w:pPr>
              <w:spacing w:after="0" w:line="161" w:lineRule="exact"/>
              <w:rPr>
                <w:sz w:val="20"/>
                <w:szCs w:val="20"/>
                <w:color w:val="auto"/>
              </w:rPr>
            </w:pPr>
            <w:r>
              <w:rPr>
                <w:rFonts w:ascii="Arial" w:cs="Arial" w:eastAsia="Arial" w:hAnsi="Arial"/>
                <w:sz w:val="13"/>
                <w:szCs w:val="13"/>
                <w:color w:val="auto"/>
              </w:rPr>
              <w:t>Total electric retail deliveries</w:t>
            </w:r>
            <w:r>
              <w:rPr>
                <w:rFonts w:ascii="Arial" w:cs="Arial" w:eastAsia="Arial" w:hAnsi="Arial"/>
                <w:sz w:val="16"/>
                <w:szCs w:val="16"/>
                <w:color w:val="auto"/>
                <w:vertAlign w:val="superscript"/>
              </w:rPr>
              <w:t>(a)</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9,270</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9,419</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619"/>
              <w:spacing w:after="0"/>
              <w:rPr>
                <w:sz w:val="20"/>
                <w:szCs w:val="20"/>
                <w:color w:val="auto"/>
              </w:rPr>
            </w:pPr>
            <w:r>
              <w:rPr>
                <w:rFonts w:ascii="Arial" w:cs="Arial" w:eastAsia="Arial" w:hAnsi="Arial"/>
                <w:sz w:val="10"/>
                <w:szCs w:val="10"/>
                <w:b w:val="1"/>
                <w:bCs w:val="1"/>
                <w:color w:val="auto"/>
              </w:rPr>
              <w:t>At March 31,</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Number of Electric Customers</w:t>
            </w: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gridSpan w:val="2"/>
          </w:tcPr>
          <w:p>
            <w:pPr>
              <w:jc w:val="right"/>
              <w:ind w:right="721"/>
              <w:spacing w:after="0" w:line="104" w:lineRule="exact"/>
              <w:rPr>
                <w:sz w:val="20"/>
                <w:szCs w:val="20"/>
                <w:color w:val="auto"/>
              </w:rPr>
            </w:pPr>
            <w:r>
              <w:rPr>
                <w:rFonts w:ascii="Arial" w:cs="Arial" w:eastAsia="Arial" w:hAnsi="Arial"/>
                <w:sz w:val="10"/>
                <w:szCs w:val="10"/>
                <w:b w:val="1"/>
                <w:bCs w:val="1"/>
                <w:color w:val="auto"/>
              </w:rPr>
              <w:t>2026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gridSpan w:val="2"/>
          </w:tcPr>
          <w:p>
            <w:pPr>
              <w:jc w:val="right"/>
              <w:ind w:right="895"/>
              <w:spacing w:after="0" w:line="104" w:lineRule="exact"/>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7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Residential</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1,544,881</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1,540,453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3"/>
                <w:szCs w:val="13"/>
                <w:color w:val="auto"/>
              </w:rPr>
              <w:t>Small commercial &amp; industrial</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3"/>
                <w:szCs w:val="13"/>
                <w:color w:val="auto"/>
              </w:rPr>
              <w:t>154,634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155,131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3,149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3,151</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78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Public authorities &amp; electric railroads</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color w:val="auto"/>
              </w:rPr>
              <w:t>10,108</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10,703</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6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1,712,772</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1,709,438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Reflects delivery volumes from customers purchasing electricity directly from PECO and customers purchasing electricity from a competitive electric generation supplier as all customers are assessed distribution charges.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Reflects the change in delivery volumes assuming normalized weather based on the historical 30-year average.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20" w:type="dxa"/>
            <w:vAlign w:val="bottom"/>
            <w:gridSpan w:val="7"/>
          </w:tcPr>
          <w:p>
            <w:pPr>
              <w:jc w:val="center"/>
              <w:ind w:right="400"/>
              <w:spacing w:after="0"/>
              <w:rPr>
                <w:sz w:val="20"/>
                <w:szCs w:val="20"/>
                <w:color w:val="auto"/>
              </w:rPr>
            </w:pPr>
            <w:r>
              <w:rPr>
                <w:rFonts w:ascii="Arial" w:cs="Arial" w:eastAsia="Arial" w:hAnsi="Arial"/>
                <w:sz w:val="10"/>
                <w:szCs w:val="10"/>
                <w:b w:val="1"/>
                <w:bCs w:val="1"/>
                <w:color w:val="auto"/>
                <w:w w:val="99"/>
              </w:rPr>
              <w:t>Three Months Ended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Weather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3"/>
          </w:tcPr>
          <w:p>
            <w:pPr>
              <w:jc w:val="center"/>
              <w:ind w:left="511"/>
              <w:spacing w:after="0" w:line="96" w:lineRule="exact"/>
              <w:rPr>
                <w:sz w:val="20"/>
                <w:szCs w:val="20"/>
                <w:color w:val="auto"/>
              </w:rPr>
            </w:pPr>
            <w:r>
              <w:rPr>
                <w:rFonts w:ascii="Arial" w:cs="Arial" w:eastAsia="Arial" w:hAnsi="Arial"/>
                <w:sz w:val="10"/>
                <w:szCs w:val="10"/>
                <w:b w:val="1"/>
                <w:bCs w:val="1"/>
                <w:color w:val="auto"/>
                <w:w w:val="99"/>
              </w:rPr>
              <w:t>March 31,</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7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Natural Gas Deliveries to Customers (in mmcf)</w:t>
            </w: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restart"/>
          </w:tcPr>
          <w:p>
            <w:pPr>
              <w:jc w:val="right"/>
              <w:ind w:right="239"/>
              <w:spacing w:after="0"/>
              <w:rPr>
                <w:sz w:val="20"/>
                <w:szCs w:val="20"/>
                <w:color w:val="auto"/>
              </w:rPr>
            </w:pPr>
            <w:r>
              <w:rPr>
                <w:rFonts w:ascii="Arial" w:cs="Arial" w:eastAsia="Arial" w:hAnsi="Arial"/>
                <w:sz w:val="10"/>
                <w:szCs w:val="10"/>
                <w:b w:val="1"/>
                <w:bCs w:val="1"/>
                <w:color w:val="auto"/>
              </w:rPr>
              <w:t>% Change</w:t>
            </w:r>
          </w:p>
        </w:tc>
        <w:tc>
          <w:tcPr>
            <w:tcW w:w="120" w:type="dxa"/>
            <w:vAlign w:val="bottom"/>
          </w:tcPr>
          <w:p>
            <w:pPr>
              <w:spacing w:after="0"/>
              <w:rPr>
                <w:sz w:val="4"/>
                <w:szCs w:val="4"/>
                <w:color w:val="auto"/>
              </w:rPr>
            </w:pPr>
          </w:p>
        </w:tc>
        <w:tc>
          <w:tcPr>
            <w:tcW w:w="1080" w:type="dxa"/>
            <w:vAlign w:val="bottom"/>
          </w:tcPr>
          <w:p>
            <w:pPr>
              <w:jc w:val="center"/>
              <w:spacing w:after="0" w:line="44" w:lineRule="exact"/>
              <w:rPr>
                <w:sz w:val="20"/>
                <w:szCs w:val="20"/>
                <w:color w:val="auto"/>
              </w:rPr>
            </w:pPr>
            <w:r>
              <w:rPr>
                <w:rFonts w:ascii="Arial" w:cs="Arial" w:eastAsia="Arial" w:hAnsi="Arial"/>
                <w:sz w:val="5"/>
                <w:szCs w:val="5"/>
                <w:b w:val="1"/>
                <w:bCs w:val="1"/>
                <w:color w:val="auto"/>
              </w:rPr>
              <w:t>Normal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780" w:type="dxa"/>
            <w:vAlign w:val="bottom"/>
            <w:gridSpan w:val="3"/>
            <w:vMerge w:val="continue"/>
          </w:tcPr>
          <w:p>
            <w:pPr>
              <w:spacing w:after="0"/>
              <w:rPr>
                <w:sz w:val="9"/>
                <w:szCs w:val="9"/>
                <w:color w:val="auto"/>
              </w:rPr>
            </w:pPr>
          </w:p>
        </w:tc>
        <w:tc>
          <w:tcPr>
            <w:tcW w:w="1000" w:type="dxa"/>
            <w:vAlign w:val="bottom"/>
            <w:gridSpan w:val="2"/>
          </w:tcPr>
          <w:p>
            <w:pPr>
              <w:jc w:val="right"/>
              <w:ind w:right="351"/>
              <w:spacing w:after="0" w:line="107"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jc w:val="right"/>
              <w:ind w:right="319"/>
              <w:spacing w:after="0" w:line="107" w:lineRule="exact"/>
              <w:rPr>
                <w:sz w:val="20"/>
                <w:szCs w:val="20"/>
                <w:color w:val="auto"/>
              </w:rPr>
            </w:pPr>
            <w:r>
              <w:rPr>
                <w:rFonts w:ascii="Arial" w:cs="Arial" w:eastAsia="Arial" w:hAnsi="Arial"/>
                <w:sz w:val="10"/>
                <w:szCs w:val="10"/>
                <w:b w:val="1"/>
                <w:bCs w:val="1"/>
                <w:color w:val="auto"/>
              </w:rPr>
              <w:t>2025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5"/>
              </w:rPr>
              <w:t>% Change</w:t>
            </w:r>
            <w:r>
              <w:rPr>
                <w:rFonts w:ascii="Arial" w:cs="Arial" w:eastAsia="Arial" w:hAnsi="Arial"/>
                <w:sz w:val="12"/>
                <w:szCs w:val="12"/>
                <w:b w:val="1"/>
                <w:bCs w:val="1"/>
                <w:color w:val="auto"/>
                <w:w w:val="95"/>
                <w:vertAlign w:val="superscript"/>
              </w:rPr>
              <w:t>(b)</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7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Residential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22,436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3"/>
                <w:szCs w:val="13"/>
                <w:color w:val="auto"/>
              </w:rPr>
              <w:t>Small commercial &amp; industrial</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11,351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10,405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6.2 %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78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Transportation</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7,142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7,242</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(1.4)%</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6780" w:type="dxa"/>
            <w:vAlign w:val="bottom"/>
            <w:tcBorders>
              <w:bottom w:val="single" w:sz="8" w:color="CCEEFF"/>
            </w:tcBorders>
            <w:gridSpan w:val="3"/>
            <w:shd w:val="clear" w:color="auto" w:fill="CCEEFF"/>
          </w:tcPr>
          <w:p>
            <w:pPr>
              <w:spacing w:after="0" w:line="161" w:lineRule="exact"/>
              <w:rPr>
                <w:sz w:val="20"/>
                <w:szCs w:val="20"/>
                <w:color w:val="auto"/>
              </w:rPr>
            </w:pPr>
            <w:r>
              <w:rPr>
                <w:rFonts w:ascii="Arial" w:cs="Arial" w:eastAsia="Arial" w:hAnsi="Arial"/>
                <w:sz w:val="13"/>
                <w:szCs w:val="13"/>
                <w:color w:val="auto"/>
              </w:rPr>
              <w:t>Total natural gas deliveries</w:t>
            </w:r>
            <w:r>
              <w:rPr>
                <w:rFonts w:ascii="Arial" w:cs="Arial" w:eastAsia="Arial" w:hAnsi="Arial"/>
                <w:sz w:val="16"/>
                <w:szCs w:val="16"/>
                <w:color w:val="auto"/>
                <w:vertAlign w:val="superscript"/>
              </w:rPr>
              <w:t>(a)</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40,919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39,493</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619"/>
              <w:spacing w:after="0"/>
              <w:rPr>
                <w:sz w:val="20"/>
                <w:szCs w:val="20"/>
                <w:color w:val="auto"/>
              </w:rPr>
            </w:pPr>
            <w:r>
              <w:rPr>
                <w:rFonts w:ascii="Arial" w:cs="Arial" w:eastAsia="Arial" w:hAnsi="Arial"/>
                <w:sz w:val="10"/>
                <w:szCs w:val="10"/>
                <w:b w:val="1"/>
                <w:bCs w:val="1"/>
                <w:color w:val="auto"/>
              </w:rPr>
              <w:t>At March 31,</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Number of Natural Gas Customers</w:t>
            </w:r>
          </w:p>
        </w:tc>
        <w:tc>
          <w:tcPr>
            <w:tcW w:w="140" w:type="dxa"/>
            <w:vAlign w:val="bottom"/>
          </w:tcPr>
          <w:p>
            <w:pPr>
              <w:spacing w:after="0"/>
              <w:rPr>
                <w:sz w:val="8"/>
                <w:szCs w:val="8"/>
                <w:color w:val="auto"/>
              </w:rPr>
            </w:pPr>
          </w:p>
        </w:tc>
        <w:tc>
          <w:tcPr>
            <w:tcW w:w="1260" w:type="dxa"/>
            <w:vAlign w:val="bottom"/>
            <w:gridSpan w:val="3"/>
          </w:tcPr>
          <w:p>
            <w:pPr>
              <w:jc w:val="right"/>
              <w:ind w:right="100"/>
              <w:spacing w:after="0" w:line="104" w:lineRule="exact"/>
              <w:rPr>
                <w:sz w:val="20"/>
                <w:szCs w:val="20"/>
                <w:color w:val="auto"/>
              </w:rPr>
            </w:pPr>
            <w:r>
              <w:rPr>
                <w:rFonts w:ascii="Arial" w:cs="Arial" w:eastAsia="Arial" w:hAnsi="Arial"/>
                <w:sz w:val="10"/>
                <w:szCs w:val="10"/>
                <w:b w:val="1"/>
                <w:bCs w:val="1"/>
                <w:color w:val="auto"/>
              </w:rPr>
              <w:t>2026</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gridSpan w:val="2"/>
          </w:tcPr>
          <w:p>
            <w:pPr>
              <w:jc w:val="right"/>
              <w:ind w:right="899"/>
              <w:spacing w:after="0" w:line="104" w:lineRule="exact"/>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7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Residential</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511,085</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509,773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3"/>
                <w:szCs w:val="13"/>
                <w:color w:val="auto"/>
              </w:rPr>
              <w:t>Small commercial &amp; industrial</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44,642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44,869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78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Transportation</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606</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6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556,340</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555,272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PECO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Reflects delivery volumes from customers purchasing natural gas directly from PECO and customers purchasing natural gas from a competitive natural gas supplier as all customers are assessed distribution charges.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Reflects the change in delivery volumes assuming normalized weather based on the historical 30-year average.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Pricing </w:t>
      </w:r>
      <w:r>
        <w:rPr>
          <w:rFonts w:ascii="Arial" w:cs="Arial" w:eastAsia="Arial" w:hAnsi="Arial"/>
          <w:sz w:val="13"/>
          <w:szCs w:val="13"/>
          <w:color w:val="auto"/>
        </w:rPr>
        <w:t>for the three months ended March 31, 2026, compared to the same period in 2025, remained relatively consistent.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Transmission Revenue. </w:t>
      </w:r>
      <w:r>
        <w:rPr>
          <w:rFonts w:ascii="Arial" w:cs="Arial" w:eastAsia="Arial" w:hAnsi="Arial"/>
          <w:sz w:val="13"/>
          <w:szCs w:val="13"/>
          <w:color w:val="auto"/>
        </w:rPr>
        <w:t>Under a FERC-approved formula, transmission revenue varies from year to year based upon fluctuations in the underlying costs and capital investments being recovered.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Transmission revenue for the three months ended March 31, 2026, compared to the same period in 2025, increased primarily due to increases in the underlying costs and capital investments.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Other Revenue </w:t>
      </w:r>
      <w:r>
        <w:rPr>
          <w:rFonts w:ascii="Arial" w:cs="Arial" w:eastAsia="Arial" w:hAnsi="Arial"/>
          <w:sz w:val="13"/>
          <w:szCs w:val="13"/>
          <w:color w:val="auto"/>
        </w:rPr>
        <w:t>primarily includes revenue related to late payment charges. Other revenue for the three months ended March 31, 2026, compared to the same period in 2025, increased primarily due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absence of electric surcharge credits to customers recognized in 2025.</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i w:val="1"/>
          <w:iCs w:val="1"/>
          <w:color w:val="auto"/>
        </w:rPr>
        <w:t xml:space="preserve">Regulatory Required Programs </w:t>
      </w:r>
      <w:r>
        <w:rPr>
          <w:rFonts w:ascii="Arial" w:cs="Arial" w:eastAsia="Arial" w:hAnsi="Arial"/>
          <w:sz w:val="12"/>
          <w:szCs w:val="12"/>
          <w:color w:val="auto"/>
        </w:rPr>
        <w:t>represent revenues collected under approved riders to recover costs incurred for regulatory programs. The riders are designed to provide full and current cost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recovery as well as a return in certain instances. The costs of these programs are included in Purchased power and fuel expense, Operating and maintenance expense, Depreciation and amortization expense, and Income taxes. Customers have the choice to purchase electricity and natural gas from competitive electric generation and natural gas suppliers. Customer choice programs do not impact the volume of deliveries as PECO remains the distribution service provider for all customers and charges a regulated rate for distribution service. For customers that choose to purchase electric generation or natural gas from competitive suppliers, this is treated as a pass through for PECO and therefore, financial results are not impacted if customers purchase electricity or natural gas supply from these alternative suppliers. For customers that choose to purchase electric generation or natural gas from PECO, PECO is permitted to recover costs from customers.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See Note 4 — Segment Information of the Combined Notes to Consolidated Financial Statements for the presentation of PECO's revenue disaggregation.</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 increase of $110 million for the three months ended March 31, 2026, compared to the same period in 2025, in </w:t>
      </w:r>
      <w:r>
        <w:rPr>
          <w:rFonts w:ascii="Arial" w:cs="Arial" w:eastAsia="Arial" w:hAnsi="Arial"/>
          <w:sz w:val="13"/>
          <w:szCs w:val="13"/>
          <w:b w:val="1"/>
          <w:bCs w:val="1"/>
          <w:color w:val="auto"/>
        </w:rPr>
        <w:t>Purchased power and fuel expense</w:t>
      </w:r>
      <w:r>
        <w:rPr>
          <w:rFonts w:ascii="Arial" w:cs="Arial" w:eastAsia="Arial" w:hAnsi="Arial"/>
          <w:sz w:val="13"/>
          <w:szCs w:val="13"/>
          <w:color w:val="auto"/>
        </w:rPr>
        <w:t xml:space="preserve"> is fully offset in Operating revenues as part of regulatory required programs.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and maintenance expense</w:t>
      </w:r>
      <w:r>
        <w:rPr>
          <w:rFonts w:ascii="Arial" w:cs="Arial" w:eastAsia="Arial" w:hAnsi="Arial"/>
          <w:sz w:val="13"/>
          <w:szCs w:val="13"/>
          <w:color w:val="auto"/>
        </w:rPr>
        <w:t xml:space="preserve">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tcPr>
          <w:p>
            <w:pPr>
              <w:jc w:val="center"/>
              <w:ind w:right="320"/>
              <w:spacing w:after="0"/>
              <w:rPr>
                <w:sz w:val="20"/>
                <w:szCs w:val="20"/>
                <w:color w:val="auto"/>
              </w:rPr>
            </w:pPr>
            <w:r>
              <w:rPr>
                <w:rFonts w:ascii="Arial" w:cs="Arial" w:eastAsia="Arial" w:hAnsi="Arial"/>
                <w:sz w:val="10"/>
                <w:szCs w:val="10"/>
                <w:b w:val="1"/>
                <w:bCs w:val="1"/>
                <w:color w:val="auto"/>
                <w:w w:val="99"/>
              </w:rPr>
              <w:t>Three Months Ended</w:t>
            </w:r>
          </w:p>
        </w:tc>
      </w:tr>
      <w:tr>
        <w:trPr>
          <w:trHeight w:val="139"/>
        </w:trPr>
        <w:tc>
          <w:tcPr>
            <w:tcW w:w="90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center"/>
              <w:ind w:right="300"/>
              <w:spacing w:after="0"/>
              <w:rPr>
                <w:sz w:val="20"/>
                <w:szCs w:val="20"/>
                <w:color w:val="auto"/>
              </w:rPr>
            </w:pPr>
            <w:r>
              <w:rPr>
                <w:rFonts w:ascii="Arial" w:cs="Arial" w:eastAsia="Arial" w:hAnsi="Arial"/>
                <w:sz w:val="10"/>
                <w:szCs w:val="10"/>
                <w:b w:val="1"/>
                <w:bCs w:val="1"/>
                <w:color w:val="auto"/>
              </w:rPr>
              <w:t>March 31, 2026</w:t>
            </w:r>
          </w:p>
        </w:tc>
      </w:tr>
      <w:tr>
        <w:trPr>
          <w:trHeight w:val="131"/>
        </w:trPr>
        <w:tc>
          <w:tcPr>
            <w:tcW w:w="90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center"/>
              <w:ind w:right="300"/>
              <w:spacing w:after="0"/>
              <w:rPr>
                <w:sz w:val="20"/>
                <w:szCs w:val="20"/>
                <w:color w:val="auto"/>
              </w:rPr>
            </w:pPr>
            <w:r>
              <w:rPr>
                <w:rFonts w:ascii="Arial" w:cs="Arial" w:eastAsia="Arial" w:hAnsi="Arial"/>
                <w:sz w:val="10"/>
                <w:szCs w:val="10"/>
                <w:b w:val="1"/>
                <w:bCs w:val="1"/>
                <w:color w:val="auto"/>
                <w:w w:val="97"/>
              </w:rPr>
              <w:t>Increase (Decrease)</w:t>
            </w:r>
          </w:p>
        </w:tc>
      </w:tr>
      <w:tr>
        <w:trPr>
          <w:trHeight w:val="172"/>
        </w:trPr>
        <w:tc>
          <w:tcPr>
            <w:tcW w:w="9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 other benefits, contracting and materials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90"/>
        </w:trPr>
        <w:tc>
          <w:tcPr>
            <w:tcW w:w="9040" w:type="dxa"/>
            <w:vAlign w:val="bottom"/>
          </w:tcPr>
          <w:p>
            <w:pPr>
              <w:ind w:left="20"/>
              <w:spacing w:after="0"/>
              <w:rPr>
                <w:sz w:val="20"/>
                <w:szCs w:val="20"/>
                <w:color w:val="auto"/>
              </w:rPr>
            </w:pPr>
            <w:r>
              <w:rPr>
                <w:rFonts w:ascii="Arial" w:cs="Arial" w:eastAsia="Arial" w:hAnsi="Arial"/>
                <w:sz w:val="13"/>
                <w:szCs w:val="13"/>
                <w:color w:val="auto"/>
              </w:rPr>
              <w:t>BSC costs</w:t>
            </w:r>
          </w:p>
        </w:tc>
        <w:tc>
          <w:tcPr>
            <w:tcW w:w="3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92"/>
        </w:trPr>
        <w:tc>
          <w:tcPr>
            <w:tcW w:w="9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non-pension postretirement benefit expense</w:t>
            </w:r>
          </w:p>
        </w:tc>
        <w:tc>
          <w:tcPr>
            <w:tcW w:w="36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90"/>
        </w:trPr>
        <w:tc>
          <w:tcPr>
            <w:tcW w:w="9040" w:type="dxa"/>
            <w:vAlign w:val="bottom"/>
          </w:tcPr>
          <w:p>
            <w:pPr>
              <w:ind w:left="20"/>
              <w:spacing w:after="0"/>
              <w:rPr>
                <w:sz w:val="20"/>
                <w:szCs w:val="20"/>
                <w:color w:val="auto"/>
              </w:rPr>
            </w:pPr>
            <w:r>
              <w:rPr>
                <w:rFonts w:ascii="Arial" w:cs="Arial" w:eastAsia="Arial" w:hAnsi="Arial"/>
                <w:sz w:val="13"/>
                <w:szCs w:val="13"/>
                <w:color w:val="auto"/>
              </w:rPr>
              <w:t>Credit loss expense</w:t>
            </w:r>
          </w:p>
        </w:tc>
        <w:tc>
          <w:tcPr>
            <w:tcW w:w="3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92"/>
        </w:trPr>
        <w:tc>
          <w:tcPr>
            <w:tcW w:w="9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Storm-related costs</w:t>
            </w:r>
          </w:p>
        </w:tc>
        <w:tc>
          <w:tcPr>
            <w:tcW w:w="36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9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9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9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Regulatory required programs</w:t>
            </w: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201"/>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increase</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ind w:left="1480"/>
              <w:spacing w:after="0"/>
              <w:rPr>
                <w:sz w:val="20"/>
                <w:szCs w:val="20"/>
                <w:color w:val="auto"/>
              </w:rPr>
            </w:pPr>
            <w:r>
              <w:rPr>
                <w:rFonts w:ascii="Arial" w:cs="Arial" w:eastAsia="Arial" w:hAnsi="Arial"/>
                <w:sz w:val="14"/>
                <w:szCs w:val="14"/>
                <w:color w:val="auto"/>
              </w:rPr>
              <w:t>PECO</w:t>
            </w:r>
          </w:p>
        </w:tc>
        <w:tc>
          <w:tcPr>
            <w:tcW w:w="0" w:type="dxa"/>
            <w:vAlign w:val="bottom"/>
          </w:tcPr>
          <w:p>
            <w:pPr>
              <w:spacing w:after="0"/>
              <w:rPr>
                <w:sz w:val="1"/>
                <w:szCs w:val="1"/>
                <w:color w:val="auto"/>
              </w:rPr>
            </w:pPr>
          </w:p>
        </w:tc>
      </w:tr>
      <w:tr>
        <w:trPr>
          <w:trHeight w:val="890"/>
        </w:trPr>
        <w:tc>
          <w:tcPr>
            <w:tcW w:w="9040" w:type="dxa"/>
            <w:vAlign w:val="bottom"/>
          </w:tcPr>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Depreciation and amortization expense</w:t>
            </w:r>
            <w:r>
              <w:rPr>
                <w:rFonts w:ascii="Arial" w:cs="Arial" w:eastAsia="Arial" w:hAnsi="Arial"/>
                <w:sz w:val="13"/>
                <w:szCs w:val="13"/>
                <w:color w:val="auto"/>
              </w:rPr>
              <w:t xml:space="preserve"> consisted of the following:</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Three Months Ended</w:t>
            </w:r>
          </w:p>
        </w:tc>
        <w:tc>
          <w:tcPr>
            <w:tcW w:w="0" w:type="dxa"/>
            <w:vAlign w:val="bottom"/>
          </w:tcPr>
          <w:p>
            <w:pPr>
              <w:spacing w:after="0"/>
              <w:rPr>
                <w:sz w:val="1"/>
                <w:szCs w:val="1"/>
                <w:color w:val="auto"/>
              </w:rPr>
            </w:pPr>
          </w:p>
        </w:tc>
      </w:tr>
      <w:tr>
        <w:trPr>
          <w:trHeight w:val="139"/>
        </w:trPr>
        <w:tc>
          <w:tcPr>
            <w:tcW w:w="9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March 31, 2026</w:t>
            </w:r>
          </w:p>
        </w:tc>
        <w:tc>
          <w:tcPr>
            <w:tcW w:w="0" w:type="dxa"/>
            <w:vAlign w:val="bottom"/>
          </w:tcPr>
          <w:p>
            <w:pPr>
              <w:spacing w:after="0"/>
              <w:rPr>
                <w:sz w:val="1"/>
                <w:szCs w:val="1"/>
                <w:color w:val="auto"/>
              </w:rPr>
            </w:pPr>
          </w:p>
        </w:tc>
      </w:tr>
      <w:tr>
        <w:trPr>
          <w:trHeight w:val="131"/>
        </w:trPr>
        <w:tc>
          <w:tcPr>
            <w:tcW w:w="904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880" w:type="dxa"/>
            <w:vAlign w:val="bottom"/>
            <w:tcBorders>
              <w:top w:val="single" w:sz="8" w:color="auto"/>
              <w:bottom w:val="single" w:sz="8" w:color="auto"/>
            </w:tcBorders>
          </w:tcPr>
          <w:p>
            <w:pPr>
              <w:jc w:val="center"/>
              <w:ind w:right="302"/>
              <w:spacing w:after="0"/>
              <w:rPr>
                <w:sz w:val="20"/>
                <w:szCs w:val="20"/>
                <w:color w:val="auto"/>
              </w:rPr>
            </w:pPr>
            <w:r>
              <w:rPr>
                <w:rFonts w:ascii="Arial" w:cs="Arial" w:eastAsia="Arial" w:hAnsi="Arial"/>
                <w:sz w:val="10"/>
                <w:szCs w:val="10"/>
                <w:b w:val="1"/>
                <w:bCs w:val="1"/>
                <w:color w:val="auto"/>
                <w:w w:val="98"/>
              </w:rPr>
              <w:t>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04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16"/>
                <w:szCs w:val="16"/>
                <w:color w:val="auto"/>
                <w:vertAlign w:val="superscript"/>
              </w:rPr>
              <w:t>(a)</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040" w:type="dxa"/>
            <w:vAlign w:val="bottom"/>
          </w:tcPr>
          <w:p>
            <w:pPr>
              <w:ind w:left="20"/>
              <w:spacing w:after="0"/>
              <w:rPr>
                <w:sz w:val="20"/>
                <w:szCs w:val="20"/>
                <w:color w:val="auto"/>
              </w:rPr>
            </w:pPr>
            <w:r>
              <w:rPr>
                <w:rFonts w:ascii="Arial" w:cs="Arial" w:eastAsia="Arial" w:hAnsi="Arial"/>
                <w:sz w:val="13"/>
                <w:szCs w:val="13"/>
                <w:color w:val="auto"/>
              </w:rPr>
              <w:t>Total increase</w:t>
            </w: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tabs>
          <w:tab w:leader="none" w:pos="220" w:val="left"/>
        </w:tabs>
        <w:rPr>
          <w:sz w:val="20"/>
          <w:szCs w:val="20"/>
          <w:color w:val="auto"/>
        </w:rPr>
      </w:pPr>
      <w:r>
        <w:rPr>
          <w:rFonts w:ascii="Arial" w:cs="Arial" w:eastAsia="Arial" w:hAnsi="Arial"/>
          <w:sz w:val="11"/>
          <w:szCs w:val="11"/>
          <w:color w:val="auto"/>
        </w:rPr>
        <w:t>(a)</w:t>
        <w:tab/>
        <w:t>Depreciation and amortization expense increased primarily due to ongoing capital expenditures.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 xml:space="preserve">Effective income tax rates </w:t>
      </w:r>
      <w:r>
        <w:rPr>
          <w:rFonts w:ascii="Arial" w:cs="Arial" w:eastAsia="Arial" w:hAnsi="Arial"/>
          <w:sz w:val="13"/>
          <w:szCs w:val="13"/>
          <w:color w:val="auto"/>
        </w:rPr>
        <w:t>were 5.1% and 5.0% for the three months ended March 31, 2026 and 2025, respectively. See Note 6 — Income Taxes of the Combined Notes to Consolidated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Statements for additional information regarding the components of the effective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BGE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BGE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gridSpan w:val="3"/>
          </w:tcPr>
          <w:p>
            <w:pPr>
              <w:jc w:val="right"/>
              <w:ind w:right="16"/>
              <w:spacing w:after="0"/>
              <w:rPr>
                <w:sz w:val="20"/>
                <w:szCs w:val="20"/>
                <w:color w:val="auto"/>
              </w:rPr>
            </w:pPr>
            <w:r>
              <w:rPr>
                <w:rFonts w:ascii="Arial" w:cs="Arial" w:eastAsia="Arial" w:hAnsi="Arial"/>
                <w:sz w:val="10"/>
                <w:szCs w:val="10"/>
                <w:b w:val="1"/>
                <w:bCs w:val="1"/>
                <w:color w:val="auto"/>
              </w:rPr>
              <w:t>Three Months Ended</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42"/>
        </w:trPr>
        <w:tc>
          <w:tcPr>
            <w:tcW w:w="67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0"/>
                <w:szCs w:val="10"/>
                <w:b w:val="1"/>
                <w:bCs w:val="1"/>
                <w:color w:val="auto"/>
              </w:rPr>
              <w:t>March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ind w:right="98"/>
              <w:spacing w:after="0"/>
              <w:rPr>
                <w:sz w:val="20"/>
                <w:szCs w:val="20"/>
                <w:color w:val="auto"/>
              </w:rPr>
            </w:pPr>
            <w:r>
              <w:rPr>
                <w:rFonts w:ascii="Arial" w:cs="Arial" w:eastAsia="Arial" w:hAnsi="Arial"/>
                <w:sz w:val="10"/>
                <w:szCs w:val="10"/>
                <w:b w:val="1"/>
                <w:bCs w:val="1"/>
                <w:color w:val="auto"/>
                <w:w w:val="99"/>
              </w:rPr>
              <w:t>Favorable (Unfavorable)</w:t>
            </w:r>
          </w:p>
        </w:tc>
      </w:tr>
      <w:tr>
        <w:trPr>
          <w:trHeight w:val="142"/>
        </w:trPr>
        <w:tc>
          <w:tcPr>
            <w:tcW w:w="67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2026</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7"/>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Variance</w:t>
            </w:r>
          </w:p>
        </w:tc>
      </w:tr>
      <w:tr>
        <w:trPr>
          <w:trHeight w:val="164"/>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r>
      <w:tr>
        <w:trPr>
          <w:trHeight w:val="170"/>
        </w:trPr>
        <w:tc>
          <w:tcPr>
            <w:tcW w:w="674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6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Purchased power and fuel</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r>
      <w:tr>
        <w:trPr>
          <w:trHeight w:val="169"/>
        </w:trPr>
        <w:tc>
          <w:tcPr>
            <w:tcW w:w="6740" w:type="dxa"/>
            <w:vAlign w:val="bottom"/>
          </w:tcPr>
          <w:p>
            <w:pPr>
              <w:ind w:left="180"/>
              <w:spacing w:after="0"/>
              <w:rPr>
                <w:sz w:val="20"/>
                <w:szCs w:val="20"/>
                <w:color w:val="auto"/>
              </w:rPr>
            </w:pPr>
            <w:r>
              <w:rPr>
                <w:rFonts w:ascii="Arial" w:cs="Arial" w:eastAsia="Arial" w:hAnsi="Arial"/>
                <w:sz w:val="13"/>
                <w:szCs w:val="13"/>
                <w:color w:val="auto"/>
              </w:rPr>
              <w:t>Operating and maintenance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1"/>
        </w:trPr>
        <w:tc>
          <w:tcPr>
            <w:tcW w:w="6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Taxes other than income taxes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62"/>
        </w:trPr>
        <w:tc>
          <w:tcPr>
            <w:tcW w:w="6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r>
      <w:tr>
        <w:trPr>
          <w:trHeight w:val="16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Operating income</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r>
      <w:tr>
        <w:trPr>
          <w:trHeight w:val="150"/>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and (deductions)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9"/>
        </w:trPr>
        <w:tc>
          <w:tcPr>
            <w:tcW w:w="6740" w:type="dxa"/>
            <w:vAlign w:val="bottom"/>
          </w:tcPr>
          <w:p>
            <w:pPr>
              <w:ind w:left="180"/>
              <w:spacing w:after="0"/>
              <w:rPr>
                <w:sz w:val="20"/>
                <w:szCs w:val="20"/>
                <w:color w:val="auto"/>
              </w:rPr>
            </w:pPr>
            <w:r>
              <w:rPr>
                <w:rFonts w:ascii="Arial" w:cs="Arial" w:eastAsia="Arial" w:hAnsi="Arial"/>
                <w:sz w:val="13"/>
                <w:szCs w:val="13"/>
                <w:color w:val="auto"/>
              </w:rPr>
              <w:t>Interest expense, net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6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5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other income and (deductions)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7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Income taxes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8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Three Months Ended March 31, 2026 Compared to Three Months Ended March 31, 2025. </w:t>
      </w:r>
      <w:r>
        <w:rPr>
          <w:rFonts w:ascii="Arial" w:cs="Arial" w:eastAsia="Arial" w:hAnsi="Arial"/>
          <w:sz w:val="13"/>
          <w:szCs w:val="13"/>
          <w:b w:val="1"/>
          <w:bCs w:val="1"/>
          <w:color w:val="auto"/>
        </w:rPr>
        <w:t>Net income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increased $38 million primarily due to approved distribution rates and a decrease in various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expenses, partially offset by an increase in credit loss expense.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revenues</w:t>
      </w:r>
      <w:r>
        <w:rPr>
          <w:rFonts w:ascii="Arial" w:cs="Arial" w:eastAsia="Arial" w:hAnsi="Arial"/>
          <w:sz w:val="13"/>
          <w:szCs w:val="13"/>
          <w:color w:val="auto"/>
        </w:rPr>
        <w:t xml:space="preserve"> consisted of the following:</w:t>
      </w:r>
    </w:p>
    <w:p>
      <w:pPr>
        <w:spacing w:after="0" w:line="155" w:lineRule="exact"/>
        <w:rPr>
          <w:sz w:val="20"/>
          <w:szCs w:val="20"/>
          <w:color w:val="auto"/>
        </w:rPr>
      </w:pPr>
    </w:p>
    <w:p>
      <w:pPr>
        <w:jc w:val="center"/>
        <w:ind w:left="6720"/>
        <w:spacing w:after="0"/>
        <w:rPr>
          <w:sz w:val="20"/>
          <w:szCs w:val="20"/>
          <w:color w:val="auto"/>
        </w:rPr>
      </w:pPr>
      <w:r>
        <w:rPr>
          <w:rFonts w:ascii="Arial" w:cs="Arial" w:eastAsia="Arial" w:hAnsi="Arial"/>
          <w:sz w:val="10"/>
          <w:szCs w:val="10"/>
          <w:b w:val="1"/>
          <w:bCs w:val="1"/>
          <w:color w:val="auto"/>
        </w:rPr>
        <w:t>Three Months Ended</w:t>
      </w:r>
    </w:p>
    <w:p>
      <w:pPr>
        <w:jc w:val="center"/>
        <w:ind w:left="6720"/>
        <w:spacing w:after="0"/>
        <w:rPr>
          <w:sz w:val="20"/>
          <w:szCs w:val="20"/>
          <w:color w:val="auto"/>
        </w:rPr>
      </w:pPr>
      <w:r>
        <w:rPr>
          <w:rFonts w:ascii="Arial" w:cs="Arial" w:eastAsia="Arial" w:hAnsi="Arial"/>
          <w:sz w:val="10"/>
          <w:szCs w:val="10"/>
          <w:b w:val="1"/>
          <w:bCs w:val="1"/>
          <w:color w:val="auto"/>
        </w:rPr>
        <w:t>March 31, 2026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7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9"/>
              </w:rPr>
              <w:t>Increase (Decrease)</w:t>
            </w: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r>
      <w:tr>
        <w:trPr>
          <w:trHeight w:val="129"/>
        </w:trPr>
        <w:tc>
          <w:tcPr>
            <w:tcW w:w="6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220"/>
              <w:spacing w:after="0"/>
              <w:rPr>
                <w:sz w:val="20"/>
                <w:szCs w:val="20"/>
                <w:color w:val="auto"/>
              </w:rPr>
            </w:pPr>
            <w:r>
              <w:rPr>
                <w:rFonts w:ascii="Arial" w:cs="Arial" w:eastAsia="Arial" w:hAnsi="Arial"/>
                <w:sz w:val="10"/>
                <w:szCs w:val="10"/>
                <w:b w:val="1"/>
                <w:bCs w:val="1"/>
                <w:color w:val="auto"/>
              </w:rPr>
              <w:t>Electric</w:t>
            </w:r>
          </w:p>
        </w:tc>
        <w:tc>
          <w:tcPr>
            <w:tcW w:w="160" w:type="dxa"/>
            <w:vAlign w:val="bottom"/>
          </w:tcPr>
          <w:p>
            <w:pPr>
              <w:spacing w:after="0"/>
              <w:rPr>
                <w:sz w:val="11"/>
                <w:szCs w:val="1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Gas</w:t>
            </w:r>
          </w:p>
        </w:tc>
        <w:tc>
          <w:tcPr>
            <w:tcW w:w="340" w:type="dxa"/>
            <w:vAlign w:val="bottom"/>
          </w:tcPr>
          <w:p>
            <w:pPr>
              <w:spacing w:after="0"/>
              <w:rPr>
                <w:sz w:val="11"/>
                <w:szCs w:val="11"/>
                <w:color w:val="auto"/>
              </w:rPr>
            </w:pPr>
          </w:p>
        </w:tc>
        <w:tc>
          <w:tcPr>
            <w:tcW w:w="1100" w:type="dxa"/>
            <w:vAlign w:val="bottom"/>
          </w:tcPr>
          <w:p>
            <w:pPr>
              <w:jc w:val="right"/>
              <w:ind w:right="538"/>
              <w:spacing w:after="0"/>
              <w:rPr>
                <w:sz w:val="20"/>
                <w:szCs w:val="20"/>
                <w:color w:val="auto"/>
              </w:rPr>
            </w:pPr>
            <w:r>
              <w:rPr>
                <w:rFonts w:ascii="Arial" w:cs="Arial" w:eastAsia="Arial" w:hAnsi="Arial"/>
                <w:sz w:val="10"/>
                <w:szCs w:val="10"/>
                <w:b w:val="1"/>
                <w:bCs w:val="1"/>
                <w:color w:val="auto"/>
              </w:rPr>
              <w:t>Total</w:t>
            </w:r>
          </w:p>
        </w:tc>
      </w:tr>
      <w:tr>
        <w:trPr>
          <w:trHeight w:val="162"/>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Distribution</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9"/>
        </w:trPr>
        <w:tc>
          <w:tcPr>
            <w:tcW w:w="6740" w:type="dxa"/>
            <w:vAlign w:val="bottom"/>
          </w:tcPr>
          <w:p>
            <w:pPr>
              <w:ind w:left="20"/>
              <w:spacing w:after="0"/>
              <w:rPr>
                <w:sz w:val="20"/>
                <w:szCs w:val="20"/>
                <w:color w:val="auto"/>
              </w:rPr>
            </w:pPr>
            <w:r>
              <w:rPr>
                <w:rFonts w:ascii="Arial" w:cs="Arial" w:eastAsia="Arial" w:hAnsi="Arial"/>
                <w:sz w:val="13"/>
                <w:szCs w:val="13"/>
                <w:color w:val="auto"/>
              </w:rPr>
              <w:t>Transmission</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0"/>
        </w:trPr>
        <w:tc>
          <w:tcPr>
            <w:tcW w:w="6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70"/>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required programs</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w:t>
            </w:r>
          </w:p>
        </w:tc>
      </w:tr>
      <w:tr>
        <w:trPr>
          <w:trHeight w:val="162"/>
        </w:trPr>
        <w:tc>
          <w:tcPr>
            <w:tcW w:w="6740" w:type="dxa"/>
            <w:vAlign w:val="bottom"/>
          </w:tcPr>
          <w:p>
            <w:pPr>
              <w:ind w:left="20"/>
              <w:spacing w:after="0"/>
              <w:rPr>
                <w:sz w:val="20"/>
                <w:szCs w:val="20"/>
                <w:color w:val="auto"/>
              </w:rPr>
            </w:pPr>
            <w:r>
              <w:rPr>
                <w:rFonts w:ascii="Arial" w:cs="Arial" w:eastAsia="Arial" w:hAnsi="Arial"/>
                <w:sz w:val="13"/>
                <w:szCs w:val="13"/>
                <w:color w:val="auto"/>
              </w:rPr>
              <w:t>Total increase</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b w:val="1"/>
          <w:bCs w:val="1"/>
          <w:i w:val="1"/>
          <w:iCs w:val="1"/>
          <w:color w:val="auto"/>
        </w:rPr>
        <w:t xml:space="preserve">Revenue Decoupling. </w:t>
      </w:r>
      <w:r>
        <w:rPr>
          <w:rFonts w:ascii="Arial" w:cs="Arial" w:eastAsia="Arial" w:hAnsi="Arial"/>
          <w:sz w:val="13"/>
          <w:szCs w:val="13"/>
          <w:color w:val="auto"/>
        </w:rPr>
        <w:t>The demand for electricity and natural gas is affected by weather and customer usage. However, Operating revenues are not impacted by abnormal weather or usage per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as a result of a monthly rate adjustment that provides for fixed distribution revenue per customer by customer class. While Operating revenues are not impacted by abnormal weather or usage per customer, they are impacted by changes in the number of customers.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2820" w:type="dxa"/>
            <w:vAlign w:val="bottom"/>
            <w:tcBorders>
              <w:bottom w:val="single" w:sz="8" w:color="auto"/>
            </w:tcBorders>
            <w:gridSpan w:val="3"/>
          </w:tcPr>
          <w:p>
            <w:pPr>
              <w:ind w:left="1880"/>
              <w:spacing w:after="0"/>
              <w:rPr>
                <w:sz w:val="20"/>
                <w:szCs w:val="20"/>
                <w:color w:val="auto"/>
              </w:rPr>
            </w:pPr>
            <w:r>
              <w:rPr>
                <w:rFonts w:ascii="Arial" w:cs="Arial" w:eastAsia="Arial" w:hAnsi="Arial"/>
                <w:sz w:val="10"/>
                <w:szCs w:val="10"/>
                <w:b w:val="1"/>
                <w:bCs w:val="1"/>
                <w:color w:val="auto"/>
              </w:rPr>
              <w:t>At March 31,</w:t>
            </w:r>
          </w:p>
        </w:tc>
        <w:tc>
          <w:tcPr>
            <w:tcW w:w="1520" w:type="dxa"/>
            <w:vAlign w:val="bottom"/>
            <w:tcBorders>
              <w:bottom w:val="single" w:sz="8" w:color="auto"/>
            </w:tcBorders>
          </w:tcPr>
          <w:p>
            <w:pPr>
              <w:spacing w:after="0"/>
              <w:rPr>
                <w:sz w:val="11"/>
                <w:szCs w:val="11"/>
                <w:color w:val="auto"/>
              </w:rPr>
            </w:pPr>
          </w:p>
        </w:tc>
      </w:tr>
      <w:tr>
        <w:trPr>
          <w:trHeight w:val="103"/>
        </w:trPr>
        <w:tc>
          <w:tcPr>
            <w:tcW w:w="20" w:type="dxa"/>
            <w:vAlign w:val="bottom"/>
          </w:tcPr>
          <w:p>
            <w:pPr>
              <w:spacing w:after="0"/>
              <w:rPr>
                <w:sz w:val="8"/>
                <w:szCs w:val="8"/>
                <w:color w:val="auto"/>
              </w:rPr>
            </w:pPr>
          </w:p>
        </w:tc>
        <w:tc>
          <w:tcPr>
            <w:tcW w:w="692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Number of Electric Customers</w:t>
            </w:r>
          </w:p>
        </w:tc>
        <w:tc>
          <w:tcPr>
            <w:tcW w:w="2120" w:type="dxa"/>
            <w:vAlign w:val="bottom"/>
          </w:tcPr>
          <w:p>
            <w:pPr>
              <w:jc w:val="right"/>
              <w:ind w:right="900"/>
              <w:spacing w:after="0" w:line="104"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20" w:type="dxa"/>
            <w:vAlign w:val="bottom"/>
          </w:tcPr>
          <w:p>
            <w:pPr>
              <w:jc w:val="right"/>
              <w:ind w:right="879"/>
              <w:spacing w:after="0" w:line="104" w:lineRule="exact"/>
              <w:rPr>
                <w:sz w:val="20"/>
                <w:szCs w:val="20"/>
                <w:color w:val="auto"/>
              </w:rPr>
            </w:pPr>
            <w:r>
              <w:rPr>
                <w:rFonts w:ascii="Arial" w:cs="Arial" w:eastAsia="Arial" w:hAnsi="Arial"/>
                <w:sz w:val="10"/>
                <w:szCs w:val="10"/>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1,226,941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1,220,769</w:t>
            </w:r>
          </w:p>
        </w:tc>
      </w:tr>
      <w:tr>
        <w:trPr>
          <w:trHeight w:val="184"/>
        </w:trPr>
        <w:tc>
          <w:tcPr>
            <w:tcW w:w="20" w:type="dxa"/>
            <w:vAlign w:val="bottom"/>
          </w:tcPr>
          <w:p>
            <w:pPr>
              <w:spacing w:after="0"/>
              <w:rPr>
                <w:sz w:val="16"/>
                <w:szCs w:val="16"/>
                <w:color w:val="auto"/>
              </w:rPr>
            </w:pPr>
          </w:p>
        </w:tc>
        <w:tc>
          <w:tcPr>
            <w:tcW w:w="6920" w:type="dxa"/>
            <w:vAlign w:val="bottom"/>
            <w:gridSpan w:val="2"/>
          </w:tcPr>
          <w:p>
            <w:pPr>
              <w:spacing w:after="0"/>
              <w:rPr>
                <w:sz w:val="20"/>
                <w:szCs w:val="20"/>
                <w:color w:val="auto"/>
              </w:rPr>
            </w:pPr>
            <w:r>
              <w:rPr>
                <w:rFonts w:ascii="Arial" w:cs="Arial" w:eastAsia="Arial" w:hAnsi="Arial"/>
                <w:sz w:val="13"/>
                <w:szCs w:val="13"/>
                <w:color w:val="auto"/>
              </w:rPr>
              <w:t>Small commercial &amp; industrial</w:t>
            </w:r>
          </w:p>
        </w:tc>
        <w:tc>
          <w:tcPr>
            <w:tcW w:w="2120" w:type="dxa"/>
            <w:vAlign w:val="bottom"/>
          </w:tcPr>
          <w:p>
            <w:pPr>
              <w:jc w:val="right"/>
              <w:spacing w:after="0"/>
              <w:rPr>
                <w:sz w:val="20"/>
                <w:szCs w:val="20"/>
                <w:color w:val="auto"/>
              </w:rPr>
            </w:pPr>
            <w:r>
              <w:rPr>
                <w:rFonts w:ascii="Arial" w:cs="Arial" w:eastAsia="Arial" w:hAnsi="Arial"/>
                <w:sz w:val="13"/>
                <w:szCs w:val="13"/>
                <w:color w:val="auto"/>
              </w:rPr>
              <w:t>115,253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115,359</w:t>
            </w:r>
          </w:p>
        </w:tc>
      </w:tr>
      <w:tr>
        <w:trPr>
          <w:trHeight w:val="198"/>
        </w:trPr>
        <w:tc>
          <w:tcPr>
            <w:tcW w:w="20" w:type="dxa"/>
            <w:vAlign w:val="bottom"/>
            <w:shd w:val="clear" w:color="auto" w:fill="CCEEFF"/>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13,302</w:t>
            </w:r>
          </w:p>
        </w:tc>
      </w:tr>
      <w:tr>
        <w:trPr>
          <w:trHeight w:val="184"/>
        </w:trPr>
        <w:tc>
          <w:tcPr>
            <w:tcW w:w="20" w:type="dxa"/>
            <w:vAlign w:val="bottom"/>
            <w:tcBorders>
              <w:bottom w:val="single" w:sz="8" w:color="CCEEFF"/>
            </w:tcBorders>
          </w:tcPr>
          <w:p>
            <w:pPr>
              <w:spacing w:after="0"/>
              <w:rPr>
                <w:sz w:val="16"/>
                <w:szCs w:val="16"/>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Public authorities &amp; electric railroads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w:t>
            </w: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1,355,817</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1,349,688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BGE</w:t>
            </w:r>
          </w:p>
        </w:tc>
      </w:tr>
      <w:tr>
        <w:trPr>
          <w:trHeight w:val="753"/>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820" w:type="dxa"/>
            <w:vAlign w:val="bottom"/>
            <w:tcBorders>
              <w:bottom w:val="single" w:sz="8" w:color="auto"/>
            </w:tcBorders>
            <w:gridSpan w:val="3"/>
          </w:tcPr>
          <w:p>
            <w:pPr>
              <w:ind w:left="1880"/>
              <w:spacing w:after="0"/>
              <w:rPr>
                <w:sz w:val="20"/>
                <w:szCs w:val="20"/>
                <w:color w:val="auto"/>
              </w:rPr>
            </w:pPr>
            <w:r>
              <w:rPr>
                <w:rFonts w:ascii="Arial" w:cs="Arial" w:eastAsia="Arial" w:hAnsi="Arial"/>
                <w:sz w:val="10"/>
                <w:szCs w:val="10"/>
                <w:b w:val="1"/>
                <w:bCs w:val="1"/>
                <w:color w:val="auto"/>
              </w:rPr>
              <w:t>At March 31,</w:t>
            </w:r>
          </w:p>
        </w:tc>
        <w:tc>
          <w:tcPr>
            <w:tcW w:w="1520" w:type="dxa"/>
            <w:vAlign w:val="bottom"/>
            <w:tcBorders>
              <w:bottom w:val="single" w:sz="8" w:color="auto"/>
            </w:tcBorders>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692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Number of Natural Gas Customers</w:t>
            </w:r>
          </w:p>
        </w:tc>
        <w:tc>
          <w:tcPr>
            <w:tcW w:w="2120" w:type="dxa"/>
            <w:vAlign w:val="bottom"/>
          </w:tcPr>
          <w:p>
            <w:pPr>
              <w:jc w:val="right"/>
              <w:ind w:right="901"/>
              <w:spacing w:after="0" w:line="104"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20" w:type="dxa"/>
            <w:vAlign w:val="bottom"/>
          </w:tcPr>
          <w:p>
            <w:pPr>
              <w:jc w:val="right"/>
              <w:ind w:right="878"/>
              <w:spacing w:after="0" w:line="104" w:lineRule="exact"/>
              <w:rPr>
                <w:sz w:val="20"/>
                <w:szCs w:val="20"/>
                <w:color w:val="auto"/>
              </w:rPr>
            </w:pPr>
            <w:r>
              <w:rPr>
                <w:rFonts w:ascii="Arial" w:cs="Arial" w:eastAsia="Arial" w:hAnsi="Arial"/>
                <w:sz w:val="10"/>
                <w:szCs w:val="10"/>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w:t>
            </w:r>
          </w:p>
        </w:tc>
        <w:tc>
          <w:tcPr>
            <w:tcW w:w="21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663,324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661,195</w:t>
            </w:r>
          </w:p>
        </w:tc>
      </w:tr>
      <w:tr>
        <w:trPr>
          <w:trHeight w:val="184"/>
        </w:trPr>
        <w:tc>
          <w:tcPr>
            <w:tcW w:w="20" w:type="dxa"/>
            <w:vAlign w:val="bottom"/>
          </w:tcPr>
          <w:p>
            <w:pPr>
              <w:spacing w:after="0"/>
              <w:rPr>
                <w:sz w:val="16"/>
                <w:szCs w:val="16"/>
                <w:color w:val="auto"/>
              </w:rPr>
            </w:pPr>
          </w:p>
        </w:tc>
        <w:tc>
          <w:tcPr>
            <w:tcW w:w="6920" w:type="dxa"/>
            <w:vAlign w:val="bottom"/>
            <w:gridSpan w:val="2"/>
          </w:tcPr>
          <w:p>
            <w:pPr>
              <w:spacing w:after="0"/>
              <w:rPr>
                <w:sz w:val="20"/>
                <w:szCs w:val="20"/>
                <w:color w:val="auto"/>
              </w:rPr>
            </w:pPr>
            <w:r>
              <w:rPr>
                <w:rFonts w:ascii="Arial" w:cs="Arial" w:eastAsia="Arial" w:hAnsi="Arial"/>
                <w:sz w:val="13"/>
                <w:szCs w:val="13"/>
                <w:color w:val="auto"/>
              </w:rPr>
              <w:t>Small commercial &amp; industrial</w:t>
            </w:r>
          </w:p>
        </w:tc>
        <w:tc>
          <w:tcPr>
            <w:tcW w:w="2120" w:type="dxa"/>
            <w:vAlign w:val="bottom"/>
          </w:tcPr>
          <w:p>
            <w:pPr>
              <w:jc w:val="right"/>
              <w:ind w:right="1"/>
              <w:spacing w:after="0"/>
              <w:rPr>
                <w:sz w:val="20"/>
                <w:szCs w:val="20"/>
                <w:color w:val="auto"/>
              </w:rPr>
            </w:pPr>
            <w:r>
              <w:rPr>
                <w:rFonts w:ascii="Arial" w:cs="Arial" w:eastAsia="Arial" w:hAnsi="Arial"/>
                <w:sz w:val="13"/>
                <w:szCs w:val="13"/>
                <w:color w:val="auto"/>
              </w:rPr>
              <w:t>37,735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37,945</w:t>
            </w:r>
          </w:p>
        </w:tc>
      </w:tr>
      <w:tr>
        <w:trPr>
          <w:trHeight w:val="191"/>
        </w:trPr>
        <w:tc>
          <w:tcPr>
            <w:tcW w:w="20" w:type="dxa"/>
            <w:vAlign w:val="bottom"/>
            <w:shd w:val="clear" w:color="auto" w:fill="CCEEFF"/>
          </w:tcPr>
          <w:p>
            <w:pPr>
              <w:spacing w:after="0"/>
              <w:rPr>
                <w:sz w:val="16"/>
                <w:szCs w:val="16"/>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2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6,421</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6,380</w:t>
            </w:r>
          </w:p>
        </w:tc>
      </w:tr>
      <w:tr>
        <w:trPr>
          <w:trHeight w:val="188"/>
        </w:trPr>
        <w:tc>
          <w:tcPr>
            <w:tcW w:w="20" w:type="dxa"/>
            <w:vAlign w:val="bottom"/>
          </w:tcPr>
          <w:p>
            <w:pPr>
              <w:spacing w:after="0"/>
              <w:rPr>
                <w:sz w:val="16"/>
                <w:szCs w:val="16"/>
                <w:color w:val="auto"/>
              </w:rPr>
            </w:pPr>
          </w:p>
        </w:tc>
        <w:tc>
          <w:tcPr>
            <w:tcW w:w="6920" w:type="dxa"/>
            <w:vAlign w:val="bottom"/>
            <w:gridSpan w:val="2"/>
          </w:tcPr>
          <w:p>
            <w:pPr>
              <w:spacing w:after="0"/>
              <w:rPr>
                <w:sz w:val="20"/>
                <w:szCs w:val="20"/>
                <w:color w:val="auto"/>
              </w:rPr>
            </w:pPr>
            <w:r>
              <w:rPr>
                <w:rFonts w:ascii="Arial" w:cs="Arial" w:eastAsia="Arial" w:hAnsi="Arial"/>
                <w:sz w:val="13"/>
                <w:szCs w:val="13"/>
                <w:color w:val="auto"/>
              </w:rPr>
              <w:t>Total</w:t>
            </w: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707,480</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705,520</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Distribution Revenue </w:t>
      </w:r>
      <w:r>
        <w:rPr>
          <w:rFonts w:ascii="Arial" w:cs="Arial" w:eastAsia="Arial" w:hAnsi="Arial"/>
          <w:sz w:val="13"/>
          <w:szCs w:val="13"/>
          <w:color w:val="auto"/>
        </w:rPr>
        <w:t>increased for the three months ended March 31, 2026, compared to the same period in 2025, due to favorable impacts of the multi-year plans.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Transmission Revenue. </w:t>
      </w:r>
      <w:r>
        <w:rPr>
          <w:rFonts w:ascii="Arial" w:cs="Arial" w:eastAsia="Arial" w:hAnsi="Arial"/>
          <w:sz w:val="13"/>
          <w:szCs w:val="13"/>
          <w:color w:val="auto"/>
        </w:rPr>
        <w:t>Under a FERC-approved formula, transmission revenue varies from year to year based upon fluctuations in the underlying costs and capital investments being recovered.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Transmission revenue for the three months ended March 31, 2026, compared to the same period in 2025 remained relatively consistent.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Other Revenue </w:t>
      </w:r>
      <w:r>
        <w:rPr>
          <w:rFonts w:ascii="Arial" w:cs="Arial" w:eastAsia="Arial" w:hAnsi="Arial"/>
          <w:sz w:val="13"/>
          <w:szCs w:val="13"/>
          <w:color w:val="auto"/>
        </w:rPr>
        <w:t>includes revenue related to late payment charges, mutual assistance, off-system sales, and service application fees. Other Revenue increased for the three months ended March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2026 as compared to the same period in 2025, primarily driven by increases in late payment charges.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i w:val="1"/>
          <w:iCs w:val="1"/>
          <w:color w:val="auto"/>
        </w:rPr>
        <w:t xml:space="preserve">Regulatory Required Programs </w:t>
      </w:r>
      <w:r>
        <w:rPr>
          <w:rFonts w:ascii="Arial" w:cs="Arial" w:eastAsia="Arial" w:hAnsi="Arial"/>
          <w:sz w:val="12"/>
          <w:szCs w:val="12"/>
          <w:color w:val="auto"/>
        </w:rPr>
        <w:t>represent revenues collected under approved riders to recover costs incurred for regulatory programs. The riders are designed to provide full and current cost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recovery as well as a return in certain instances. The costs of these programs are included in Purchased power and fuel expense, Operating and maintenance expense, Depreciation and amortization expense, and Taxes other than income taxes. Customers have the choice to purchase electricity and natural gas from competitive electric generation and natural gas suppliers. Customer choice programs do not impact the volume of deliveries as BGE remains the distribution service provider for all customers and charges a regulated rate for distribution service. For customers that choose to purchase electric generation or natural gas from competitive suppliers, this is treated as a pass through for BGE and therefore, financial results are not impacted if customers purchase electricity or natural gas supply from these alternative suppliers. For customers that choose to purchase electric generation or natural gas from BGE, BGE is permitted to recover costs from customers.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See Note 4 — Segment Information of the Combined Notes to Consolidated Financial Statements for the presentation of BGE's revenue disaggregation.</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 increase of $199 million for the three months ended March 31, 2026, compared to the same period in 2025, in </w:t>
      </w:r>
      <w:r>
        <w:rPr>
          <w:rFonts w:ascii="Arial" w:cs="Arial" w:eastAsia="Arial" w:hAnsi="Arial"/>
          <w:sz w:val="13"/>
          <w:szCs w:val="13"/>
          <w:b w:val="1"/>
          <w:bCs w:val="1"/>
          <w:color w:val="auto"/>
        </w:rPr>
        <w:t>Purchased power and fuel expense</w:t>
      </w:r>
      <w:r>
        <w:rPr>
          <w:rFonts w:ascii="Arial" w:cs="Arial" w:eastAsia="Arial" w:hAnsi="Arial"/>
          <w:sz w:val="13"/>
          <w:szCs w:val="13"/>
          <w:color w:val="auto"/>
        </w:rPr>
        <w:t xml:space="preserve"> is fully offset in Operating revenues as part of regulatory required programs.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and maintenance expense</w:t>
      </w:r>
      <w:r>
        <w:rPr>
          <w:rFonts w:ascii="Arial" w:cs="Arial" w:eastAsia="Arial" w:hAnsi="Arial"/>
          <w:sz w:val="13"/>
          <w:szCs w:val="13"/>
          <w:color w:val="auto"/>
        </w:rPr>
        <w:t xml:space="preserve">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jc w:val="center"/>
              <w:ind w:right="240"/>
              <w:spacing w:after="0"/>
              <w:rPr>
                <w:sz w:val="20"/>
                <w:szCs w:val="20"/>
                <w:color w:val="auto"/>
              </w:rPr>
            </w:pPr>
            <w:r>
              <w:rPr>
                <w:rFonts w:ascii="Arial" w:cs="Arial" w:eastAsia="Arial" w:hAnsi="Arial"/>
                <w:sz w:val="10"/>
                <w:szCs w:val="10"/>
                <w:b w:val="1"/>
                <w:bCs w:val="1"/>
                <w:color w:val="auto"/>
                <w:w w:val="97"/>
              </w:rPr>
              <w:t>Three Months Ended</w:t>
            </w:r>
          </w:p>
        </w:tc>
      </w:tr>
      <w:tr>
        <w:trPr>
          <w:trHeight w:val="142"/>
        </w:trPr>
        <w:tc>
          <w:tcPr>
            <w:tcW w:w="9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center"/>
              <w:ind w:right="240"/>
              <w:spacing w:after="0"/>
              <w:rPr>
                <w:sz w:val="20"/>
                <w:szCs w:val="20"/>
                <w:color w:val="auto"/>
              </w:rPr>
            </w:pPr>
            <w:r>
              <w:rPr>
                <w:rFonts w:ascii="Arial" w:cs="Arial" w:eastAsia="Arial" w:hAnsi="Arial"/>
                <w:sz w:val="10"/>
                <w:szCs w:val="10"/>
                <w:b w:val="1"/>
                <w:bCs w:val="1"/>
                <w:color w:val="auto"/>
              </w:rPr>
              <w:t>March 31, 2026</w:t>
            </w:r>
          </w:p>
        </w:tc>
      </w:tr>
      <w:tr>
        <w:trPr>
          <w:trHeight w:val="134"/>
        </w:trPr>
        <w:tc>
          <w:tcPr>
            <w:tcW w:w="92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center"/>
              <w:ind w:right="240"/>
              <w:spacing w:after="0"/>
              <w:rPr>
                <w:sz w:val="20"/>
                <w:szCs w:val="20"/>
                <w:color w:val="auto"/>
              </w:rPr>
            </w:pPr>
            <w:r>
              <w:rPr>
                <w:rFonts w:ascii="Arial" w:cs="Arial" w:eastAsia="Arial" w:hAnsi="Arial"/>
                <w:sz w:val="10"/>
                <w:szCs w:val="10"/>
                <w:b w:val="1"/>
                <w:bCs w:val="1"/>
                <w:color w:val="auto"/>
                <w:w w:val="97"/>
              </w:rPr>
              <w:t>Increase (Decrease)</w:t>
            </w:r>
          </w:p>
        </w:tc>
      </w:tr>
      <w:tr>
        <w:trPr>
          <w:trHeight w:val="172"/>
        </w:trPr>
        <w:tc>
          <w:tcPr>
            <w:tcW w:w="9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loss expense</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84"/>
        </w:trPr>
        <w:tc>
          <w:tcPr>
            <w:tcW w:w="9280" w:type="dxa"/>
            <w:vAlign w:val="bottom"/>
          </w:tcPr>
          <w:p>
            <w:pPr>
              <w:ind w:left="20"/>
              <w:spacing w:after="0"/>
              <w:rPr>
                <w:sz w:val="20"/>
                <w:szCs w:val="20"/>
                <w:color w:val="auto"/>
              </w:rPr>
            </w:pPr>
            <w:r>
              <w:rPr>
                <w:rFonts w:ascii="Arial" w:cs="Arial" w:eastAsia="Arial" w:hAnsi="Arial"/>
                <w:sz w:val="13"/>
                <w:szCs w:val="13"/>
                <w:color w:val="auto"/>
              </w:rPr>
              <w:t>BSC costs</w:t>
            </w:r>
          </w:p>
        </w:tc>
        <w:tc>
          <w:tcPr>
            <w:tcW w:w="3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98"/>
        </w:trPr>
        <w:tc>
          <w:tcPr>
            <w:tcW w:w="9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non-pension postretirement benefits expense</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84"/>
        </w:trPr>
        <w:tc>
          <w:tcPr>
            <w:tcW w:w="9280" w:type="dxa"/>
            <w:vAlign w:val="bottom"/>
          </w:tcPr>
          <w:p>
            <w:pPr>
              <w:ind w:left="20"/>
              <w:spacing w:after="0"/>
              <w:rPr>
                <w:sz w:val="20"/>
                <w:szCs w:val="20"/>
                <w:color w:val="auto"/>
              </w:rPr>
            </w:pPr>
            <w:r>
              <w:rPr>
                <w:rFonts w:ascii="Arial" w:cs="Arial" w:eastAsia="Arial" w:hAnsi="Arial"/>
                <w:sz w:val="13"/>
                <w:szCs w:val="13"/>
                <w:color w:val="auto"/>
              </w:rPr>
              <w:t>Labor, other benefits, contracting and materials</w:t>
            </w:r>
          </w:p>
        </w:tc>
        <w:tc>
          <w:tcPr>
            <w:tcW w:w="3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91"/>
        </w:trPr>
        <w:tc>
          <w:tcPr>
            <w:tcW w:w="9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82"/>
        </w:trPr>
        <w:tc>
          <w:tcPr>
            <w:tcW w:w="9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98"/>
        </w:trPr>
        <w:tc>
          <w:tcPr>
            <w:tcW w:w="9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required programs</w:t>
            </w:r>
            <w:r>
              <w:rPr>
                <w:rFonts w:ascii="Arial" w:cs="Arial" w:eastAsia="Arial" w:hAnsi="Arial"/>
                <w:sz w:val="16"/>
                <w:szCs w:val="16"/>
                <w:color w:val="auto"/>
                <w:vertAlign w:val="superscript"/>
              </w:rPr>
              <w:t>(a)</w:t>
            </w:r>
          </w:p>
        </w:tc>
        <w:tc>
          <w:tcPr>
            <w:tcW w:w="3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75"/>
        </w:trPr>
        <w:tc>
          <w:tcPr>
            <w:tcW w:w="9280" w:type="dxa"/>
            <w:vAlign w:val="bottom"/>
          </w:tcPr>
          <w:p>
            <w:pPr>
              <w:ind w:left="20"/>
              <w:spacing w:after="0"/>
              <w:rPr>
                <w:sz w:val="20"/>
                <w:szCs w:val="20"/>
                <w:color w:val="auto"/>
              </w:rPr>
            </w:pPr>
            <w:r>
              <w:rPr>
                <w:rFonts w:ascii="Arial" w:cs="Arial" w:eastAsia="Arial" w:hAnsi="Arial"/>
                <w:sz w:val="13"/>
                <w:szCs w:val="13"/>
                <w:color w:val="auto"/>
              </w:rPr>
              <w:t>Total increase</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20"/>
        </w:trPr>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Reflects the cost recovery associated with EmPOWER Maryland. Please refer to 2025 10-K Note 2 — Regulatory Matters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ind w:left="1400"/>
              <w:spacing w:after="0"/>
              <w:rPr>
                <w:sz w:val="20"/>
                <w:szCs w:val="20"/>
                <w:color w:val="auto"/>
              </w:rPr>
            </w:pPr>
            <w:r>
              <w:rPr>
                <w:rFonts w:ascii="Arial" w:cs="Arial" w:eastAsia="Arial" w:hAnsi="Arial"/>
                <w:sz w:val="14"/>
                <w:szCs w:val="14"/>
                <w:color w:val="auto"/>
              </w:rPr>
              <w:t>BGE</w:t>
            </w:r>
          </w:p>
        </w:tc>
        <w:tc>
          <w:tcPr>
            <w:tcW w:w="0" w:type="dxa"/>
            <w:vAlign w:val="bottom"/>
          </w:tcPr>
          <w:p>
            <w:pPr>
              <w:spacing w:after="0"/>
              <w:rPr>
                <w:sz w:val="1"/>
                <w:szCs w:val="1"/>
                <w:color w:val="auto"/>
              </w:rPr>
            </w:pPr>
          </w:p>
        </w:tc>
      </w:tr>
      <w:tr>
        <w:trPr>
          <w:trHeight w:val="890"/>
        </w:trPr>
        <w:tc>
          <w:tcPr>
            <w:tcW w:w="9280" w:type="dxa"/>
            <w:vAlign w:val="bottom"/>
          </w:tcPr>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Depreciation and amortization expense</w:t>
            </w:r>
            <w:r>
              <w:rPr>
                <w:rFonts w:ascii="Arial" w:cs="Arial" w:eastAsia="Arial" w:hAnsi="Arial"/>
                <w:sz w:val="13"/>
                <w:szCs w:val="13"/>
                <w:color w:val="auto"/>
              </w:rPr>
              <w:t xml:space="preserve"> consisted of the following:</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Three Months Ended</w:t>
            </w:r>
          </w:p>
        </w:tc>
        <w:tc>
          <w:tcPr>
            <w:tcW w:w="0" w:type="dxa"/>
            <w:vAlign w:val="bottom"/>
          </w:tcPr>
          <w:p>
            <w:pPr>
              <w:spacing w:after="0"/>
              <w:rPr>
                <w:sz w:val="1"/>
                <w:szCs w:val="1"/>
                <w:color w:val="auto"/>
              </w:rPr>
            </w:pPr>
          </w:p>
        </w:tc>
      </w:tr>
      <w:tr>
        <w:trPr>
          <w:trHeight w:val="139"/>
        </w:trPr>
        <w:tc>
          <w:tcPr>
            <w:tcW w:w="9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March 31, 2026</w:t>
            </w:r>
          </w:p>
        </w:tc>
        <w:tc>
          <w:tcPr>
            <w:tcW w:w="0" w:type="dxa"/>
            <w:vAlign w:val="bottom"/>
          </w:tcPr>
          <w:p>
            <w:pPr>
              <w:spacing w:after="0"/>
              <w:rPr>
                <w:sz w:val="1"/>
                <w:szCs w:val="1"/>
                <w:color w:val="auto"/>
              </w:rPr>
            </w:pPr>
          </w:p>
        </w:tc>
      </w:tr>
      <w:tr>
        <w:trPr>
          <w:trHeight w:val="131"/>
        </w:trPr>
        <w:tc>
          <w:tcPr>
            <w:tcW w:w="928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700" w:type="dxa"/>
            <w:vAlign w:val="bottom"/>
            <w:tcBorders>
              <w:top w:val="single" w:sz="8" w:color="auto"/>
              <w:bottom w:val="single" w:sz="8" w:color="auto"/>
            </w:tcBorders>
          </w:tcPr>
          <w:p>
            <w:pPr>
              <w:jc w:val="center"/>
              <w:ind w:right="241"/>
              <w:spacing w:after="0"/>
              <w:rPr>
                <w:sz w:val="20"/>
                <w:szCs w:val="20"/>
                <w:color w:val="auto"/>
              </w:rPr>
            </w:pPr>
            <w:r>
              <w:rPr>
                <w:rFonts w:ascii="Arial" w:cs="Arial" w:eastAsia="Arial" w:hAnsi="Arial"/>
                <w:sz w:val="10"/>
                <w:szCs w:val="10"/>
                <w:b w:val="1"/>
                <w:bCs w:val="1"/>
                <w:color w:val="auto"/>
                <w:w w:val="97"/>
              </w:rPr>
              <w:t>Increase (Decrease)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28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CCEEFF"/>
          </w:tcPr>
          <w:p>
            <w:pPr>
              <w:jc w:val="center"/>
              <w:ind w:left="1461"/>
              <w:spacing w:after="0"/>
              <w:rPr>
                <w:sz w:val="20"/>
                <w:szCs w:val="20"/>
                <w:color w:val="auto"/>
              </w:rPr>
            </w:pPr>
            <w:r>
              <w:rPr>
                <w:rFonts w:ascii="Arial" w:cs="Arial" w:eastAsia="Arial" w:hAnsi="Arial"/>
                <w:sz w:val="13"/>
                <w:szCs w:val="13"/>
                <w:color w:val="auto"/>
                <w:w w:val="82"/>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280" w:type="dxa"/>
            <w:vAlign w:val="bottom"/>
          </w:tcPr>
          <w:p>
            <w:pPr>
              <w:ind w:left="20"/>
              <w:spacing w:after="0" w:line="170" w:lineRule="exact"/>
              <w:rPr>
                <w:sz w:val="20"/>
                <w:szCs w:val="20"/>
                <w:color w:val="auto"/>
              </w:rPr>
            </w:pPr>
            <w:r>
              <w:rPr>
                <w:rFonts w:ascii="Arial" w:cs="Arial" w:eastAsia="Arial" w:hAnsi="Arial"/>
                <w:sz w:val="13"/>
                <w:szCs w:val="13"/>
                <w:color w:val="auto"/>
              </w:rPr>
              <w:t>Regulatory required programs</w:t>
            </w:r>
            <w:r>
              <w:rPr>
                <w:rFonts w:ascii="Arial" w:cs="Arial" w:eastAsia="Arial" w:hAnsi="Arial"/>
                <w:sz w:val="16"/>
                <w:szCs w:val="16"/>
                <w:color w:val="auto"/>
                <w:vertAlign w:val="superscript"/>
              </w:rPr>
              <w:t>(a)</w:t>
            </w:r>
          </w:p>
        </w:tc>
        <w:tc>
          <w:tcPr>
            <w:tcW w:w="300" w:type="dxa"/>
            <w:vAlign w:val="bottom"/>
          </w:tcPr>
          <w:p>
            <w:pPr>
              <w:spacing w:after="0"/>
              <w:rPr>
                <w:sz w:val="14"/>
                <w:szCs w:val="14"/>
                <w:color w:val="auto"/>
              </w:rPr>
            </w:pPr>
          </w:p>
        </w:tc>
        <w:tc>
          <w:tcPr>
            <w:tcW w:w="1700" w:type="dxa"/>
            <w:vAlign w:val="bottom"/>
          </w:tcPr>
          <w:p>
            <w:pPr>
              <w:jc w:val="center"/>
              <w:ind w:left="1461"/>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asset amortization</w:t>
            </w:r>
          </w:p>
        </w:tc>
        <w:tc>
          <w:tcPr>
            <w:tcW w:w="3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center"/>
              <w:ind w:left="1441"/>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280" w:type="dxa"/>
            <w:vAlign w:val="bottom"/>
          </w:tcPr>
          <w:p>
            <w:pPr>
              <w:ind w:left="20"/>
              <w:spacing w:after="0" w:line="148" w:lineRule="exact"/>
              <w:rPr>
                <w:sz w:val="20"/>
                <w:szCs w:val="20"/>
                <w:color w:val="auto"/>
              </w:rPr>
            </w:pPr>
            <w:r>
              <w:rPr>
                <w:rFonts w:ascii="Arial" w:cs="Arial" w:eastAsia="Arial" w:hAnsi="Arial"/>
                <w:sz w:val="13"/>
                <w:szCs w:val="13"/>
                <w:color w:val="auto"/>
              </w:rPr>
              <w:t>Total increase</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700" w:type="dxa"/>
            <w:vAlign w:val="bottom"/>
            <w:tcBorders>
              <w:bottom w:val="single" w:sz="8" w:color="auto"/>
            </w:tcBorders>
          </w:tcPr>
          <w:p>
            <w:pPr>
              <w:jc w:val="center"/>
              <w:ind w:left="1461"/>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9280" w:type="dxa"/>
            <w:vAlign w:val="bottom"/>
          </w:tcPr>
          <w:p>
            <w:pPr>
              <w:spacing w:after="0"/>
              <w:rPr>
                <w:sz w:val="20"/>
                <w:szCs w:val="20"/>
                <w:color w:val="auto"/>
              </w:rPr>
            </w:pPr>
            <w:r>
              <w:rPr>
                <w:rFonts w:ascii="Arial" w:cs="Arial" w:eastAsia="Arial" w:hAnsi="Arial"/>
                <w:sz w:val="11"/>
                <w:szCs w:val="11"/>
                <w:color w:val="auto"/>
              </w:rPr>
              <w:t>(a)  Reflects the cost recovery associated with EmPOWER Maryland. Please refer to 2025 10-K Note 2 — Regulatory Matters for additional information.</w:t>
            </w: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Taxes other than income taxes </w:t>
      </w:r>
      <w:r>
        <w:rPr>
          <w:rFonts w:ascii="Arial" w:cs="Arial" w:eastAsia="Arial" w:hAnsi="Arial"/>
          <w:sz w:val="13"/>
          <w:szCs w:val="13"/>
          <w:color w:val="auto"/>
        </w:rPr>
        <w:t>increased $8 million for the three months ended March 31, 2026, compared to the same period in 2025, primarily due to increased property taxes.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color w:val="auto"/>
        </w:rPr>
        <w:t xml:space="preserve">Effective income tax rates </w:t>
      </w:r>
      <w:r>
        <w:rPr>
          <w:rFonts w:ascii="Arial" w:cs="Arial" w:eastAsia="Arial" w:hAnsi="Arial"/>
          <w:sz w:val="13"/>
          <w:szCs w:val="13"/>
          <w:color w:val="auto"/>
        </w:rPr>
        <w:t>were 21.0% and 21.5% for the three months ended March 31, 2026 and 2025. See Note 6 — Income Taxes of the Combined Notes to Consolidated Financial Statements</w:t>
      </w:r>
      <w:r>
        <w:rPr>
          <w:rFonts w:ascii="Arial" w:cs="Arial" w:eastAsia="Arial" w:hAnsi="Arial"/>
          <w:sz w:val="13"/>
          <w:szCs w:val="13"/>
          <w:b w:val="1"/>
          <w:bCs w:val="1"/>
          <w:color w:val="auto"/>
        </w:rPr>
        <w:t xml:space="preserve"> </w:t>
      </w:r>
      <w:r>
        <w:rPr>
          <w:rFonts w:ascii="Arial" w:cs="Arial" w:eastAsia="Arial" w:hAnsi="Arial"/>
          <w:sz w:val="13"/>
          <w:szCs w:val="13"/>
          <w:color w:val="auto"/>
        </w:rPr>
        <w:t>for additional information regarding the components of the effective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PHI</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PHI</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PHI’s Results of Operations include the results of its three reportable segments, Pepco, DPL, and ACE. PHI also has a business services subsidiary, PHISCO, which provides a variety of support services, and the costs are directly charged or allocated to the applicable subsidiaries. Additionally, the results of PHI’s corporate operations include interest costs from various financing activities. All material intercompany accounts and transactions have been eliminated in consolidation. The following table sets forth PHI's GAAP consolidated Net income, by Registrant, for the three months ended March 31, 2026 compared to the same period in 2025. See the Results of Operations for Pepco, DPL, and ACE for additional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820" w:type="dxa"/>
            <w:vAlign w:val="bottom"/>
          </w:tcPr>
          <w:p>
            <w:pPr>
              <w:spacing w:after="0"/>
              <w:rPr>
                <w:sz w:val="11"/>
                <w:szCs w:val="11"/>
                <w:color w:val="auto"/>
              </w:rPr>
            </w:pPr>
          </w:p>
        </w:tc>
        <w:tc>
          <w:tcPr>
            <w:tcW w:w="1740" w:type="dxa"/>
            <w:vAlign w:val="bottom"/>
            <w:gridSpan w:val="4"/>
          </w:tcPr>
          <w:p>
            <w:pPr>
              <w:jc w:val="right"/>
              <w:spacing w:after="0"/>
              <w:rPr>
                <w:sz w:val="20"/>
                <w:szCs w:val="20"/>
                <w:color w:val="auto"/>
              </w:rPr>
            </w:pPr>
            <w:r>
              <w:rPr>
                <w:rFonts w:ascii="Arial" w:cs="Arial" w:eastAsia="Arial" w:hAnsi="Arial"/>
                <w:sz w:val="10"/>
                <w:szCs w:val="10"/>
                <w:b w:val="1"/>
                <w:bCs w:val="1"/>
                <w:color w:val="auto"/>
              </w:rPr>
              <w:t>Three Months Ended March 31,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782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0"/>
                <w:szCs w:val="10"/>
                <w:b w:val="1"/>
                <w:bCs w:val="1"/>
                <w:color w:val="auto"/>
                <w:w w:val="97"/>
              </w:rPr>
              <w:t>(Unfavorable) Favorable</w:t>
            </w:r>
          </w:p>
        </w:tc>
        <w:tc>
          <w:tcPr>
            <w:tcW w:w="0" w:type="dxa"/>
            <w:vAlign w:val="bottom"/>
          </w:tcPr>
          <w:p>
            <w:pPr>
              <w:spacing w:after="0"/>
              <w:rPr>
                <w:sz w:val="1"/>
                <w:szCs w:val="1"/>
                <w:color w:val="auto"/>
              </w:rPr>
            </w:pPr>
          </w:p>
        </w:tc>
      </w:tr>
      <w:tr>
        <w:trPr>
          <w:trHeight w:val="29"/>
        </w:trPr>
        <w:tc>
          <w:tcPr>
            <w:tcW w:w="7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78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2026</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2025</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Variance</w:t>
            </w:r>
          </w:p>
        </w:tc>
        <w:tc>
          <w:tcPr>
            <w:tcW w:w="0" w:type="dxa"/>
            <w:vAlign w:val="bottom"/>
          </w:tcPr>
          <w:p>
            <w:pPr>
              <w:spacing w:after="0"/>
              <w:rPr>
                <w:sz w:val="1"/>
                <w:szCs w:val="1"/>
                <w:color w:val="auto"/>
              </w:rPr>
            </w:pPr>
          </w:p>
        </w:tc>
      </w:tr>
      <w:tr>
        <w:trPr>
          <w:trHeight w:val="169"/>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w:t>
            </w:r>
          </w:p>
        </w:tc>
        <w:tc>
          <w:tcPr>
            <w:tcW w:w="640" w:type="dxa"/>
            <w:vAlign w:val="bottom"/>
            <w:shd w:val="clear" w:color="auto" w:fill="CCEEFF"/>
          </w:tcPr>
          <w:p>
            <w:pPr>
              <w:jc w:val="right"/>
              <w:ind w:right="506"/>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43"/>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9"/>
        </w:trPr>
        <w:tc>
          <w:tcPr>
            <w:tcW w:w="7820" w:type="dxa"/>
            <w:vAlign w:val="bottom"/>
          </w:tcPr>
          <w:p>
            <w:pPr>
              <w:ind w:left="20"/>
              <w:spacing w:after="0"/>
              <w:rPr>
                <w:sz w:val="20"/>
                <w:szCs w:val="20"/>
                <w:color w:val="auto"/>
              </w:rPr>
            </w:pPr>
            <w:r>
              <w:rPr>
                <w:rFonts w:ascii="Arial" w:cs="Arial" w:eastAsia="Arial" w:hAnsi="Arial"/>
                <w:sz w:val="13"/>
                <w:szCs w:val="13"/>
                <w:color w:val="auto"/>
              </w:rPr>
              <w:t>Pepco</w:t>
            </w:r>
          </w:p>
        </w:tc>
        <w:tc>
          <w:tcPr>
            <w:tcW w:w="6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DPL</w:t>
            </w: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7820" w:type="dxa"/>
            <w:vAlign w:val="bottom"/>
          </w:tcPr>
          <w:p>
            <w:pPr>
              <w:ind w:left="20"/>
              <w:spacing w:after="0"/>
              <w:rPr>
                <w:sz w:val="20"/>
                <w:szCs w:val="20"/>
                <w:color w:val="auto"/>
              </w:rPr>
            </w:pPr>
            <w:r>
              <w:rPr>
                <w:rFonts w:ascii="Arial" w:cs="Arial" w:eastAsia="Arial" w:hAnsi="Arial"/>
                <w:sz w:val="13"/>
                <w:szCs w:val="13"/>
                <w:color w:val="auto"/>
              </w:rPr>
              <w:t>ACE</w:t>
            </w:r>
          </w:p>
        </w:tc>
        <w:tc>
          <w:tcPr>
            <w:tcW w:w="6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(a)</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includes eliminating and consolidating adjustments, PHI's corporate operations, shared service entities, and other financing and investing activities.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Three Months Ended March 31, 2026 Compared to Three Months Ended March 31, 2025. </w:t>
      </w:r>
      <w:r>
        <w:rPr>
          <w:rFonts w:ascii="Arial" w:cs="Arial" w:eastAsia="Arial" w:hAnsi="Arial"/>
          <w:sz w:val="13"/>
          <w:szCs w:val="13"/>
          <w:b w:val="1"/>
          <w:bCs w:val="1"/>
          <w:color w:val="auto"/>
        </w:rPr>
        <w:t>Net Income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decreased by $25 million primarily due to unfavorable impacts of the Pepco Maryland multi-year plan reconciliation and related disallowance of capitalized costs, an increase in depreciation expense, storm costs, and interest expense, partially offset by approved transmission rates, favorable weather conditions at DPL and approved Delaware electric DSIC and natural gas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Pepco</w:t>
            </w:r>
          </w:p>
        </w:tc>
      </w:tr>
      <w:tr>
        <w:trPr>
          <w:trHeight w:val="906"/>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 — Pepco</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Three Months Ended March 31,</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7"/>
              <w:spacing w:after="0"/>
              <w:rPr>
                <w:sz w:val="20"/>
                <w:szCs w:val="20"/>
                <w:color w:val="auto"/>
              </w:rPr>
            </w:pPr>
            <w:r>
              <w:rPr>
                <w:rFonts w:ascii="Arial" w:cs="Arial" w:eastAsia="Arial" w:hAnsi="Arial"/>
                <w:sz w:val="10"/>
                <w:szCs w:val="10"/>
                <w:b w:val="1"/>
                <w:bCs w:val="1"/>
                <w:color w:val="auto"/>
              </w:rPr>
              <w:t>Favorable (Unfavorable)</w:t>
            </w:r>
          </w:p>
        </w:tc>
      </w:tr>
      <w:tr>
        <w:trPr>
          <w:trHeight w:val="141"/>
        </w:trPr>
        <w:tc>
          <w:tcPr>
            <w:tcW w:w="20" w:type="dxa"/>
            <w:vAlign w:val="bottom"/>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2026</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2025</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0"/>
                <w:szCs w:val="10"/>
                <w:b w:val="1"/>
                <w:bCs w:val="1"/>
                <w:color w:val="auto"/>
              </w:rPr>
              <w:t>Variance</w:t>
            </w:r>
          </w:p>
        </w:tc>
      </w:tr>
      <w:tr>
        <w:trPr>
          <w:trHeight w:val="169"/>
        </w:trPr>
        <w:tc>
          <w:tcPr>
            <w:tcW w:w="2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revenues</w:t>
            </w:r>
          </w:p>
        </w:tc>
        <w:tc>
          <w:tcPr>
            <w:tcW w:w="640" w:type="dxa"/>
            <w:vAlign w:val="bottom"/>
            <w:shd w:val="clear" w:color="auto" w:fill="CCEEFF"/>
          </w:tcPr>
          <w:p>
            <w:pPr>
              <w:jc w:val="right"/>
              <w:ind w:right="503"/>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859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r>
      <w:tr>
        <w:trPr>
          <w:trHeight w:val="170"/>
        </w:trPr>
        <w:tc>
          <w:tcPr>
            <w:tcW w:w="20" w:type="dxa"/>
            <w:vAlign w:val="bottom"/>
          </w:tcPr>
          <w:p>
            <w:pPr>
              <w:spacing w:after="0"/>
              <w:rPr>
                <w:sz w:val="14"/>
                <w:szCs w:val="14"/>
                <w:color w:val="auto"/>
              </w:rPr>
            </w:pPr>
          </w:p>
        </w:tc>
        <w:tc>
          <w:tcPr>
            <w:tcW w:w="7860" w:type="dxa"/>
            <w:vAlign w:val="bottom"/>
          </w:tcPr>
          <w:p>
            <w:pPr>
              <w:spacing w:after="0"/>
              <w:rPr>
                <w:sz w:val="20"/>
                <w:szCs w:val="20"/>
                <w:color w:val="auto"/>
              </w:rPr>
            </w:pPr>
            <w:r>
              <w:rPr>
                <w:rFonts w:ascii="Arial" w:cs="Arial" w:eastAsia="Arial" w:hAnsi="Arial"/>
                <w:sz w:val="13"/>
                <w:szCs w:val="13"/>
                <w:b w:val="1"/>
                <w:bCs w:val="1"/>
                <w:color w:val="auto"/>
              </w:rPr>
              <w:t>Operating expenses</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Purchased power</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r>
      <w:tr>
        <w:trPr>
          <w:trHeight w:val="169"/>
        </w:trPr>
        <w:tc>
          <w:tcPr>
            <w:tcW w:w="20" w:type="dxa"/>
            <w:vAlign w:val="bottom"/>
          </w:tcPr>
          <w:p>
            <w:pPr>
              <w:spacing w:after="0"/>
              <w:rPr>
                <w:sz w:val="14"/>
                <w:szCs w:val="14"/>
                <w:color w:val="auto"/>
              </w:rPr>
            </w:pPr>
          </w:p>
        </w:tc>
        <w:tc>
          <w:tcPr>
            <w:tcW w:w="7860" w:type="dxa"/>
            <w:vAlign w:val="bottom"/>
          </w:tcPr>
          <w:p>
            <w:pPr>
              <w:ind w:left="160"/>
              <w:spacing w:after="0"/>
              <w:rPr>
                <w:sz w:val="20"/>
                <w:szCs w:val="20"/>
                <w:color w:val="auto"/>
              </w:rPr>
            </w:pPr>
            <w:r>
              <w:rPr>
                <w:rFonts w:ascii="Arial" w:cs="Arial" w:eastAsia="Arial" w:hAnsi="Arial"/>
                <w:sz w:val="13"/>
                <w:szCs w:val="13"/>
                <w:color w:val="auto"/>
              </w:rPr>
              <w:t>Operating and maintenance</w:t>
            </w:r>
          </w:p>
        </w:tc>
        <w:tc>
          <w:tcPr>
            <w:tcW w:w="6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71"/>
        </w:trPr>
        <w:tc>
          <w:tcPr>
            <w:tcW w:w="20" w:type="dxa"/>
            <w:vAlign w:val="bottom"/>
          </w:tcPr>
          <w:p>
            <w:pPr>
              <w:spacing w:after="0"/>
              <w:rPr>
                <w:sz w:val="14"/>
                <w:szCs w:val="14"/>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Depreciation and amortization</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20" w:type="dxa"/>
            <w:vAlign w:val="bottom"/>
          </w:tcPr>
          <w:p>
            <w:pPr>
              <w:spacing w:after="0"/>
              <w:rPr>
                <w:sz w:val="14"/>
                <w:szCs w:val="14"/>
                <w:color w:val="auto"/>
              </w:rPr>
            </w:pPr>
          </w:p>
        </w:tc>
        <w:tc>
          <w:tcPr>
            <w:tcW w:w="78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Taxes other than income taxes</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113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62"/>
        </w:trPr>
        <w:tc>
          <w:tcPr>
            <w:tcW w:w="20" w:type="dxa"/>
            <w:vAlign w:val="bottom"/>
          </w:tcPr>
          <w:p>
            <w:pPr>
              <w:spacing w:after="0"/>
              <w:rPr>
                <w:sz w:val="14"/>
                <w:szCs w:val="14"/>
                <w:color w:val="auto"/>
              </w:rPr>
            </w:pPr>
          </w:p>
        </w:tc>
        <w:tc>
          <w:tcPr>
            <w:tcW w:w="78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6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695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r>
      <w:tr>
        <w:trPr>
          <w:trHeight w:val="160"/>
        </w:trPr>
        <w:tc>
          <w:tcPr>
            <w:tcW w:w="2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b w:val="1"/>
                <w:bCs w:val="1"/>
                <w:color w:val="auto"/>
              </w:rPr>
              <w:t>Loss on sale of assets</w:t>
            </w:r>
          </w:p>
        </w:tc>
        <w:tc>
          <w:tcPr>
            <w:tcW w:w="6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20" w:type="dxa"/>
            <w:vAlign w:val="bottom"/>
          </w:tcPr>
          <w:p>
            <w:pPr>
              <w:spacing w:after="0"/>
              <w:rPr>
                <w:sz w:val="13"/>
                <w:szCs w:val="13"/>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64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163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50"/>
        </w:trPr>
        <w:tc>
          <w:tcPr>
            <w:tcW w:w="2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b w:val="1"/>
                <w:bCs w:val="1"/>
                <w:color w:val="auto"/>
              </w:rPr>
              <w:t>Other income and (deductions)</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Interest expense, net</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20" w:type="dxa"/>
            <w:vAlign w:val="bottom"/>
          </w:tcPr>
          <w:p>
            <w:pPr>
              <w:spacing w:after="0"/>
              <w:rPr>
                <w:sz w:val="14"/>
                <w:szCs w:val="14"/>
                <w:color w:val="auto"/>
              </w:rPr>
            </w:pPr>
          </w:p>
        </w:tc>
        <w:tc>
          <w:tcPr>
            <w:tcW w:w="78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net</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20" w:type="dxa"/>
            <w:vAlign w:val="bottom"/>
          </w:tcPr>
          <w:p>
            <w:pPr>
              <w:spacing w:after="0"/>
              <w:rPr>
                <w:sz w:val="14"/>
                <w:szCs w:val="14"/>
                <w:color w:val="auto"/>
              </w:rPr>
            </w:pPr>
          </w:p>
        </w:tc>
        <w:tc>
          <w:tcPr>
            <w:tcW w:w="78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other income and (deductions)</w:t>
            </w:r>
          </w:p>
        </w:tc>
        <w:tc>
          <w:tcPr>
            <w:tcW w:w="6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0"/>
        </w:trPr>
        <w:tc>
          <w:tcPr>
            <w:tcW w:w="2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b w:val="1"/>
                <w:bCs w:val="1"/>
                <w:color w:val="auto"/>
              </w:rPr>
              <w:t>Income before income taxes</w:t>
            </w:r>
          </w:p>
        </w:tc>
        <w:tc>
          <w:tcPr>
            <w:tcW w:w="6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0"/>
        </w:trPr>
        <w:tc>
          <w:tcPr>
            <w:tcW w:w="2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Income taxes</w:t>
            </w:r>
          </w:p>
        </w:tc>
        <w:tc>
          <w:tcPr>
            <w:tcW w:w="6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0"/>
        </w:trPr>
        <w:tc>
          <w:tcPr>
            <w:tcW w:w="20" w:type="dxa"/>
            <w:vAlign w:val="bottom"/>
          </w:tcPr>
          <w:p>
            <w:pPr>
              <w:spacing w:after="0"/>
              <w:rPr>
                <w:sz w:val="13"/>
                <w:szCs w:val="13"/>
                <w:color w:val="auto"/>
              </w:rPr>
            </w:pPr>
          </w:p>
        </w:tc>
        <w:tc>
          <w:tcPr>
            <w:tcW w:w="786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Three Months Ended March 31, 2026 Compared to Three Months Ended March 31, 2025. Net Income </w:t>
      </w:r>
      <w:r>
        <w:rPr>
          <w:rFonts w:ascii="Arial" w:cs="Arial" w:eastAsia="Arial" w:hAnsi="Arial"/>
          <w:sz w:val="13"/>
          <w:szCs w:val="13"/>
          <w:color w:val="auto"/>
        </w:rPr>
        <w:t>decreased by $29 million primarily due to unfavorable impacts of the Pepco Maryland multi-year plan reconciliation and related disallowance of capitalized costs, and increases in depreciation and interest expense.</w:t>
      </w:r>
    </w:p>
    <w:p>
      <w:pPr>
        <w:sectPr>
          <w:pgSz w:w="11900" w:h="16838" w:orient="portrait"/>
          <w:cols w:equalWidth="0" w:num="1">
            <w:col w:w="11280"/>
          </w:cols>
          <w:pgMar w:left="300" w:top="316" w:right="31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changes in </w:t>
      </w:r>
      <w:r>
        <w:rPr>
          <w:rFonts w:ascii="Arial" w:cs="Arial" w:eastAsia="Arial" w:hAnsi="Arial"/>
          <w:sz w:val="12"/>
          <w:szCs w:val="12"/>
          <w:b w:val="1"/>
          <w:bCs w:val="1"/>
          <w:color w:val="auto"/>
        </w:rPr>
        <w:t>Operating revenues</w:t>
      </w:r>
      <w:r>
        <w:rPr>
          <w:rFonts w:ascii="Arial" w:cs="Arial" w:eastAsia="Arial" w:hAnsi="Arial"/>
          <w:sz w:val="12"/>
          <w:szCs w:val="12"/>
          <w:color w:val="auto"/>
        </w:rPr>
        <w:t xml:space="preserv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403860</wp:posOffset>
            </wp:positionV>
            <wp:extent cx="7148195"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Distribution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7148195" cy="1212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7148195" cy="1212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Regulatory required programs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360" w:type="dxa"/>
            <w:vAlign w:val="bottom"/>
          </w:tcPr>
          <w:p>
            <w:pPr>
              <w:spacing w:after="0"/>
              <w:rPr>
                <w:sz w:val="10"/>
                <w:szCs w:val="10"/>
                <w:color w:val="auto"/>
              </w:rPr>
            </w:pPr>
          </w:p>
        </w:tc>
        <w:tc>
          <w:tcPr>
            <w:tcW w:w="1880" w:type="dxa"/>
            <w:vAlign w:val="bottom"/>
          </w:tcPr>
          <w:p>
            <w:pPr>
              <w:jc w:val="center"/>
              <w:ind w:right="321"/>
              <w:spacing w:after="0"/>
              <w:rPr>
                <w:sz w:val="20"/>
                <w:szCs w:val="20"/>
                <w:color w:val="auto"/>
              </w:rPr>
            </w:pPr>
            <w:r>
              <w:rPr>
                <w:rFonts w:ascii="Arial" w:cs="Arial" w:eastAsia="Arial" w:hAnsi="Arial"/>
                <w:sz w:val="10"/>
                <w:szCs w:val="10"/>
                <w:b w:val="1"/>
                <w:bCs w:val="1"/>
                <w:color w:val="auto"/>
                <w:w w:val="99"/>
              </w:rPr>
              <w:t>Three Months Ended</w:t>
            </w:r>
          </w:p>
        </w:tc>
      </w:tr>
      <w:tr>
        <w:trPr>
          <w:trHeight w:val="139"/>
        </w:trPr>
        <w:tc>
          <w:tcPr>
            <w:tcW w:w="3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center"/>
              <w:ind w:right="321"/>
              <w:spacing w:after="0"/>
              <w:rPr>
                <w:sz w:val="20"/>
                <w:szCs w:val="20"/>
                <w:color w:val="auto"/>
              </w:rPr>
            </w:pPr>
            <w:r>
              <w:rPr>
                <w:rFonts w:ascii="Arial" w:cs="Arial" w:eastAsia="Arial" w:hAnsi="Arial"/>
                <w:sz w:val="10"/>
                <w:szCs w:val="10"/>
                <w:b w:val="1"/>
                <w:bCs w:val="1"/>
                <w:color w:val="auto"/>
                <w:w w:val="98"/>
              </w:rPr>
              <w:t>March 31, 2026</w:t>
            </w:r>
          </w:p>
        </w:tc>
      </w:tr>
      <w:tr>
        <w:trPr>
          <w:trHeight w:val="131"/>
        </w:trPr>
        <w:tc>
          <w:tcPr>
            <w:tcW w:w="3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center"/>
              <w:ind w:right="301"/>
              <w:spacing w:after="0"/>
              <w:rPr>
                <w:sz w:val="20"/>
                <w:szCs w:val="20"/>
                <w:color w:val="auto"/>
              </w:rPr>
            </w:pPr>
            <w:r>
              <w:rPr>
                <w:rFonts w:ascii="Arial" w:cs="Arial" w:eastAsia="Arial" w:hAnsi="Arial"/>
                <w:sz w:val="10"/>
                <w:szCs w:val="10"/>
                <w:b w:val="1"/>
                <w:bCs w:val="1"/>
                <w:color w:val="auto"/>
                <w:w w:val="98"/>
              </w:rPr>
              <w:t>Increase</w:t>
            </w:r>
          </w:p>
        </w:tc>
      </w:tr>
      <w:tr>
        <w:trPr>
          <w:trHeight w:val="170"/>
        </w:trPr>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Pr>
          <w:p>
            <w:pPr>
              <w:jc w:val="right"/>
              <w:ind w:right="1"/>
              <w:spacing w:after="0"/>
              <w:rPr>
                <w:sz w:val="20"/>
                <w:szCs w:val="20"/>
                <w:color w:val="auto"/>
              </w:rPr>
            </w:pPr>
            <w:r>
              <w:rPr>
                <w:rFonts w:ascii="Arial" w:cs="Arial" w:eastAsia="Arial" w:hAnsi="Arial"/>
                <w:sz w:val="13"/>
                <w:szCs w:val="13"/>
                <w:color w:val="auto"/>
              </w:rPr>
              <w:t>2</w:t>
            </w:r>
          </w:p>
        </w:tc>
      </w:tr>
      <w:tr>
        <w:trPr>
          <w:trHeight w:val="191"/>
        </w:trPr>
        <w:tc>
          <w:tcPr>
            <w:tcW w:w="360" w:type="dxa"/>
            <w:vAlign w:val="bottom"/>
          </w:tcPr>
          <w:p>
            <w:pPr>
              <w:spacing w:after="0"/>
              <w:rPr>
                <w:sz w:val="16"/>
                <w:szCs w:val="16"/>
                <w:color w:val="auto"/>
              </w:rPr>
            </w:pPr>
          </w:p>
        </w:tc>
        <w:tc>
          <w:tcPr>
            <w:tcW w:w="1880" w:type="dxa"/>
            <w:vAlign w:val="bottom"/>
          </w:tcPr>
          <w:p>
            <w:pPr>
              <w:jc w:val="right"/>
              <w:ind w:right="1"/>
              <w:spacing w:after="0"/>
              <w:rPr>
                <w:sz w:val="20"/>
                <w:szCs w:val="20"/>
                <w:color w:val="auto"/>
              </w:rPr>
            </w:pPr>
            <w:r>
              <w:rPr>
                <w:rFonts w:ascii="Arial" w:cs="Arial" w:eastAsia="Arial" w:hAnsi="Arial"/>
                <w:sz w:val="13"/>
                <w:szCs w:val="13"/>
                <w:color w:val="auto"/>
              </w:rPr>
              <w:t>3</w:t>
            </w:r>
          </w:p>
        </w:tc>
      </w:tr>
      <w:tr>
        <w:trPr>
          <w:trHeight w:val="198"/>
        </w:trPr>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6</w:t>
            </w:r>
          </w:p>
        </w:tc>
      </w:tr>
      <w:tr>
        <w:trPr>
          <w:trHeight w:val="175"/>
        </w:trPr>
        <w:tc>
          <w:tcPr>
            <w:tcW w:w="360" w:type="dxa"/>
            <w:vAlign w:val="bottom"/>
          </w:tcPr>
          <w:p>
            <w:pPr>
              <w:spacing w:after="0"/>
              <w:rPr>
                <w:sz w:val="15"/>
                <w:szCs w:val="15"/>
                <w:color w:val="auto"/>
              </w:rPr>
            </w:pPr>
          </w:p>
        </w:tc>
        <w:tc>
          <w:tcPr>
            <w:tcW w:w="1880" w:type="dxa"/>
            <w:vAlign w:val="bottom"/>
          </w:tcPr>
          <w:p>
            <w:pPr>
              <w:jc w:val="right"/>
              <w:ind w:right="1"/>
              <w:spacing w:after="0"/>
              <w:rPr>
                <w:sz w:val="20"/>
                <w:szCs w:val="20"/>
                <w:color w:val="auto"/>
              </w:rPr>
            </w:pPr>
            <w:r>
              <w:rPr>
                <w:rFonts w:ascii="Arial" w:cs="Arial" w:eastAsia="Arial" w:hAnsi="Arial"/>
                <w:sz w:val="13"/>
                <w:szCs w:val="13"/>
                <w:color w:val="auto"/>
              </w:rPr>
              <w:t>11</w:t>
            </w:r>
          </w:p>
        </w:tc>
      </w:tr>
      <w:tr>
        <w:trPr>
          <w:trHeight w:val="198"/>
        </w:trPr>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119</w:t>
            </w:r>
          </w:p>
        </w:tc>
      </w:tr>
      <w:tr>
        <w:trPr>
          <w:trHeight w:val="182"/>
        </w:trPr>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130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2">
            <w:col w:w="8320" w:space="720"/>
            <w:col w:w="2240"/>
          </w:cols>
          <w:pgMar w:left="300" w:top="316" w:right="319" w:bottom="1440" w:gutter="0" w:footer="0" w:header="0"/>
          <w:type w:val="continuous"/>
        </w:sect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Revenue Decoupling. </w:t>
      </w:r>
      <w:r>
        <w:rPr>
          <w:rFonts w:ascii="Arial" w:cs="Arial" w:eastAsia="Arial" w:hAnsi="Arial"/>
          <w:sz w:val="13"/>
          <w:szCs w:val="13"/>
          <w:color w:val="auto"/>
        </w:rPr>
        <w:t>The demand for electricity is affected by weather and customer usage. However, Operating revenues from electric distribution in both Maryland and the District of Columbia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not intended to be impacted by abnormal weather or usage per customer as a result of a BSA that provides for a fixed distribution charge per customer class in the District of Columbia and per customer by customer class in Maryland. Therefore, changes in the number of customers only impacts Operating revenues in Maryland.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820" w:type="dxa"/>
            <w:vAlign w:val="bottom"/>
            <w:tcBorders>
              <w:bottom w:val="single" w:sz="8" w:color="auto"/>
            </w:tcBorders>
            <w:gridSpan w:val="3"/>
          </w:tcPr>
          <w:p>
            <w:pPr>
              <w:ind w:left="1880"/>
              <w:spacing w:after="0"/>
              <w:rPr>
                <w:sz w:val="20"/>
                <w:szCs w:val="20"/>
                <w:color w:val="auto"/>
              </w:rPr>
            </w:pPr>
            <w:r>
              <w:rPr>
                <w:rFonts w:ascii="Arial" w:cs="Arial" w:eastAsia="Arial" w:hAnsi="Arial"/>
                <w:sz w:val="10"/>
                <w:szCs w:val="10"/>
                <w:b w:val="1"/>
                <w:bCs w:val="1"/>
                <w:color w:val="auto"/>
              </w:rPr>
              <w:t>At March 31,</w:t>
            </w:r>
          </w:p>
        </w:tc>
        <w:tc>
          <w:tcPr>
            <w:tcW w:w="1520" w:type="dxa"/>
            <w:vAlign w:val="bottom"/>
            <w:tcBorders>
              <w:bottom w:val="single" w:sz="8" w:color="auto"/>
            </w:tcBorders>
          </w:tcPr>
          <w:p>
            <w:pPr>
              <w:spacing w:after="0"/>
              <w:rPr>
                <w:sz w:val="11"/>
                <w:szCs w:val="11"/>
                <w:color w:val="auto"/>
              </w:rPr>
            </w:pPr>
          </w:p>
        </w:tc>
      </w:tr>
      <w:tr>
        <w:trPr>
          <w:trHeight w:val="103"/>
        </w:trPr>
        <w:tc>
          <w:tcPr>
            <w:tcW w:w="20" w:type="dxa"/>
            <w:vAlign w:val="bottom"/>
          </w:tcPr>
          <w:p>
            <w:pPr>
              <w:spacing w:after="0"/>
              <w:rPr>
                <w:sz w:val="8"/>
                <w:szCs w:val="8"/>
                <w:color w:val="auto"/>
              </w:rPr>
            </w:pPr>
          </w:p>
        </w:tc>
        <w:tc>
          <w:tcPr>
            <w:tcW w:w="692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Number of Electric Customers in Maryland</w:t>
            </w:r>
          </w:p>
        </w:tc>
        <w:tc>
          <w:tcPr>
            <w:tcW w:w="2120" w:type="dxa"/>
            <w:vAlign w:val="bottom"/>
          </w:tcPr>
          <w:p>
            <w:pPr>
              <w:jc w:val="right"/>
              <w:ind w:right="900"/>
              <w:spacing w:after="0" w:line="104"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20" w:type="dxa"/>
            <w:vAlign w:val="bottom"/>
          </w:tcPr>
          <w:p>
            <w:pPr>
              <w:jc w:val="right"/>
              <w:ind w:right="879"/>
              <w:spacing w:after="0" w:line="104" w:lineRule="exact"/>
              <w:rPr>
                <w:sz w:val="20"/>
                <w:szCs w:val="20"/>
                <w:color w:val="auto"/>
              </w:rPr>
            </w:pPr>
            <w:r>
              <w:rPr>
                <w:rFonts w:ascii="Arial" w:cs="Arial" w:eastAsia="Arial" w:hAnsi="Arial"/>
                <w:sz w:val="10"/>
                <w:szCs w:val="10"/>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560,946</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557,672</w:t>
            </w:r>
          </w:p>
        </w:tc>
      </w:tr>
      <w:tr>
        <w:trPr>
          <w:trHeight w:val="169"/>
        </w:trPr>
        <w:tc>
          <w:tcPr>
            <w:tcW w:w="20" w:type="dxa"/>
            <w:vAlign w:val="bottom"/>
          </w:tcPr>
          <w:p>
            <w:pPr>
              <w:spacing w:after="0"/>
              <w:rPr>
                <w:sz w:val="14"/>
                <w:szCs w:val="14"/>
                <w:color w:val="auto"/>
              </w:rPr>
            </w:pPr>
          </w:p>
        </w:tc>
        <w:tc>
          <w:tcPr>
            <w:tcW w:w="6920" w:type="dxa"/>
            <w:vAlign w:val="bottom"/>
            <w:gridSpan w:val="2"/>
          </w:tcPr>
          <w:p>
            <w:pPr>
              <w:spacing w:after="0"/>
              <w:rPr>
                <w:sz w:val="20"/>
                <w:szCs w:val="20"/>
                <w:color w:val="auto"/>
              </w:rPr>
            </w:pPr>
            <w:r>
              <w:rPr>
                <w:rFonts w:ascii="Arial" w:cs="Arial" w:eastAsia="Arial" w:hAnsi="Arial"/>
                <w:sz w:val="13"/>
                <w:szCs w:val="13"/>
                <w:color w:val="auto"/>
              </w:rPr>
              <w:t>Small commercial &amp; industrial</w:t>
            </w:r>
          </w:p>
        </w:tc>
        <w:tc>
          <w:tcPr>
            <w:tcW w:w="2120" w:type="dxa"/>
            <w:vAlign w:val="bottom"/>
          </w:tcPr>
          <w:p>
            <w:pPr>
              <w:jc w:val="right"/>
              <w:spacing w:after="0"/>
              <w:rPr>
                <w:sz w:val="20"/>
                <w:szCs w:val="20"/>
                <w:color w:val="auto"/>
              </w:rPr>
            </w:pPr>
            <w:r>
              <w:rPr>
                <w:rFonts w:ascii="Arial" w:cs="Arial" w:eastAsia="Arial" w:hAnsi="Arial"/>
                <w:sz w:val="13"/>
                <w:szCs w:val="13"/>
                <w:color w:val="auto"/>
              </w:rPr>
              <w:t>30,637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30,555</w:t>
            </w:r>
          </w:p>
        </w:tc>
      </w:tr>
      <w:tr>
        <w:trPr>
          <w:trHeight w:val="171"/>
        </w:trPr>
        <w:tc>
          <w:tcPr>
            <w:tcW w:w="20" w:type="dxa"/>
            <w:vAlign w:val="bottom"/>
            <w:shd w:val="clear" w:color="auto" w:fill="CCEEFF"/>
          </w:tcPr>
          <w:p>
            <w:pPr>
              <w:spacing w:after="0"/>
              <w:rPr>
                <w:sz w:val="14"/>
                <w:szCs w:val="14"/>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19,058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18,986</w:t>
            </w:r>
          </w:p>
        </w:tc>
      </w:tr>
      <w:tr>
        <w:trPr>
          <w:trHeight w:val="169"/>
        </w:trPr>
        <w:tc>
          <w:tcPr>
            <w:tcW w:w="20" w:type="dxa"/>
            <w:vAlign w:val="bottom"/>
            <w:tcBorders>
              <w:bottom w:val="single" w:sz="8" w:color="CCEEFF"/>
            </w:tcBorders>
          </w:tcPr>
          <w:p>
            <w:pPr>
              <w:spacing w:after="0"/>
              <w:rPr>
                <w:sz w:val="14"/>
                <w:szCs w:val="14"/>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Public authorities &amp; electric railroads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w:t>
            </w: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610,822</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607,390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Pepco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Distribution Revenue </w:t>
      </w:r>
      <w:r>
        <w:rPr>
          <w:rFonts w:ascii="Arial" w:cs="Arial" w:eastAsia="Arial" w:hAnsi="Arial"/>
          <w:sz w:val="13"/>
          <w:szCs w:val="13"/>
          <w:color w:val="auto"/>
        </w:rPr>
        <w:t>increased for the three months ended March 31, 2026 compared to the same period in 2025 primarily due to favorable impacts of the District of Columbia multi-year plans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growth in Maryland.</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Transmission Revenue. </w:t>
      </w:r>
      <w:r>
        <w:rPr>
          <w:rFonts w:ascii="Arial" w:cs="Arial" w:eastAsia="Arial" w:hAnsi="Arial"/>
          <w:sz w:val="13"/>
          <w:szCs w:val="13"/>
          <w:color w:val="auto"/>
        </w:rPr>
        <w:t>Under a FERC-approved formula, transmission revenue varies from year to year based upon fluctuations in the underlying costs and capital investments being recovered.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Transmission revenue increased for the three months ended March 31, 2026, compared to the same period in 2025, primarily due to increases in underlying costs and capital investments.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Other Revenue </w:t>
      </w:r>
      <w:r>
        <w:rPr>
          <w:rFonts w:ascii="Arial" w:cs="Arial" w:eastAsia="Arial" w:hAnsi="Arial"/>
          <w:sz w:val="13"/>
          <w:szCs w:val="13"/>
          <w:color w:val="auto"/>
        </w:rPr>
        <w:t>includes rental revenue, revenue related to late payment charges, mutual assistance revenues, and recoveries of other taxes.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Regulatory Required Programs </w:t>
      </w:r>
      <w:r>
        <w:rPr>
          <w:rFonts w:ascii="Arial" w:cs="Arial" w:eastAsia="Arial" w:hAnsi="Arial"/>
          <w:sz w:val="13"/>
          <w:szCs w:val="13"/>
          <w:color w:val="auto"/>
        </w:rPr>
        <w:t>represent revenues collected under approved riders to recover costs incurred for regulatory programs. The riders are designed to provide full and current cost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recovery as well as a return in certain instances. The costs of these programs are included in Purchased power expense, Operating and maintenance expense, Depreciation and amortization expense, and Taxes other than income taxes. Customers have the choice to purchase electricity from competitive electric generation suppliers. Customer choice programs do not impact the volume of deliveries as Pepco remains the distribution service provider for all customers and charges a regulated rate for distribution service. For customers that choose to purchase electric generation from competitive suppliers, this is treated as a pass through for Pepco and therefore, financial results are not impacted if customers purchase electricity supply from these alternative suppliers. For customers that choose to purchase electric generation from Pepco, Pepco is permitted to recover the costs from customers.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See Note 4 — Segment Information of the Combined Notes to Consolidated Financial Statements for the presentation of Pepco's revenue disaggregation.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increase of $93 million for the three months ended March 31, 2026, respectively, compared to the same period in 2025, in </w:t>
      </w:r>
      <w:r>
        <w:rPr>
          <w:rFonts w:ascii="Arial" w:cs="Arial" w:eastAsia="Arial" w:hAnsi="Arial"/>
          <w:sz w:val="13"/>
          <w:szCs w:val="13"/>
          <w:b w:val="1"/>
          <w:bCs w:val="1"/>
          <w:color w:val="auto"/>
        </w:rPr>
        <w:t>Purchased power expense</w:t>
      </w:r>
      <w:r>
        <w:rPr>
          <w:rFonts w:ascii="Arial" w:cs="Arial" w:eastAsia="Arial" w:hAnsi="Arial"/>
          <w:sz w:val="13"/>
          <w:szCs w:val="13"/>
          <w:color w:val="auto"/>
        </w:rPr>
        <w:t xml:space="preserve"> is fully offset in Operating revenues as part of regulatory required programs.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and maintenance expense</w:t>
      </w:r>
      <w:r>
        <w:rPr>
          <w:rFonts w:ascii="Arial" w:cs="Arial" w:eastAsia="Arial" w:hAnsi="Arial"/>
          <w:sz w:val="13"/>
          <w:szCs w:val="13"/>
          <w:color w:val="auto"/>
        </w:rPr>
        <w:t xml:space="preserve">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tcPr>
          <w:p>
            <w:pPr>
              <w:jc w:val="center"/>
              <w:ind w:right="320"/>
              <w:spacing w:after="0"/>
              <w:rPr>
                <w:sz w:val="20"/>
                <w:szCs w:val="20"/>
                <w:color w:val="auto"/>
              </w:rPr>
            </w:pPr>
            <w:r>
              <w:rPr>
                <w:rFonts w:ascii="Arial" w:cs="Arial" w:eastAsia="Arial" w:hAnsi="Arial"/>
                <w:sz w:val="10"/>
                <w:szCs w:val="10"/>
                <w:b w:val="1"/>
                <w:bCs w:val="1"/>
                <w:color w:val="auto"/>
                <w:w w:val="99"/>
              </w:rPr>
              <w:t>Three Months Ended</w:t>
            </w:r>
          </w:p>
        </w:tc>
        <w:tc>
          <w:tcPr>
            <w:tcW w:w="0" w:type="dxa"/>
            <w:vAlign w:val="bottom"/>
          </w:tcPr>
          <w:p>
            <w:pPr>
              <w:spacing w:after="0"/>
              <w:rPr>
                <w:sz w:val="1"/>
                <w:szCs w:val="1"/>
                <w:color w:val="auto"/>
              </w:rPr>
            </w:pPr>
          </w:p>
        </w:tc>
      </w:tr>
      <w:tr>
        <w:trPr>
          <w:trHeight w:val="142"/>
        </w:trPr>
        <w:tc>
          <w:tcPr>
            <w:tcW w:w="90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center"/>
              <w:ind w:right="300"/>
              <w:spacing w:after="0"/>
              <w:rPr>
                <w:sz w:val="20"/>
                <w:szCs w:val="20"/>
                <w:color w:val="auto"/>
              </w:rPr>
            </w:pPr>
            <w:r>
              <w:rPr>
                <w:rFonts w:ascii="Arial" w:cs="Arial" w:eastAsia="Arial" w:hAnsi="Arial"/>
                <w:sz w:val="10"/>
                <w:szCs w:val="10"/>
                <w:b w:val="1"/>
                <w:bCs w:val="1"/>
                <w:color w:val="auto"/>
              </w:rPr>
              <w:t>March 31, 2026</w:t>
            </w:r>
          </w:p>
        </w:tc>
        <w:tc>
          <w:tcPr>
            <w:tcW w:w="0" w:type="dxa"/>
            <w:vAlign w:val="bottom"/>
          </w:tcPr>
          <w:p>
            <w:pPr>
              <w:spacing w:after="0"/>
              <w:rPr>
                <w:sz w:val="1"/>
                <w:szCs w:val="1"/>
                <w:color w:val="auto"/>
              </w:rPr>
            </w:pPr>
          </w:p>
        </w:tc>
      </w:tr>
      <w:tr>
        <w:trPr>
          <w:trHeight w:val="134"/>
        </w:trPr>
        <w:tc>
          <w:tcPr>
            <w:tcW w:w="90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center"/>
              <w:ind w:right="300"/>
              <w:spacing w:after="0"/>
              <w:rPr>
                <w:sz w:val="20"/>
                <w:szCs w:val="20"/>
                <w:color w:val="auto"/>
              </w:rPr>
            </w:pPr>
            <w:r>
              <w:rPr>
                <w:rFonts w:ascii="Arial" w:cs="Arial" w:eastAsia="Arial" w:hAnsi="Arial"/>
                <w:sz w:val="10"/>
                <w:szCs w:val="10"/>
                <w:b w:val="1"/>
                <w:bCs w:val="1"/>
                <w:color w:val="auto"/>
                <w:w w:val="97"/>
              </w:rPr>
              <w:t>Increase (Decrease)</w:t>
            </w:r>
          </w:p>
        </w:tc>
        <w:tc>
          <w:tcPr>
            <w:tcW w:w="0" w:type="dxa"/>
            <w:vAlign w:val="bottom"/>
          </w:tcPr>
          <w:p>
            <w:pPr>
              <w:spacing w:after="0"/>
              <w:rPr>
                <w:sz w:val="1"/>
                <w:szCs w:val="1"/>
                <w:color w:val="auto"/>
              </w:rPr>
            </w:pPr>
          </w:p>
        </w:tc>
      </w:tr>
      <w:tr>
        <w:trPr>
          <w:trHeight w:val="172"/>
        </w:trPr>
        <w:tc>
          <w:tcPr>
            <w:tcW w:w="904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Maryland multi-year plan reconciliation</w:t>
            </w:r>
            <w:r>
              <w:rPr>
                <w:rFonts w:ascii="Arial" w:cs="Arial" w:eastAsia="Arial" w:hAnsi="Arial"/>
                <w:sz w:val="16"/>
                <w:szCs w:val="16"/>
                <w:color w:val="auto"/>
                <w:vertAlign w:val="superscript"/>
              </w:rPr>
              <w:t>(a)</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4"/>
        </w:trPr>
        <w:tc>
          <w:tcPr>
            <w:tcW w:w="9040" w:type="dxa"/>
            <w:vAlign w:val="bottom"/>
          </w:tcPr>
          <w:p>
            <w:pPr>
              <w:ind w:left="20"/>
              <w:spacing w:after="0"/>
              <w:rPr>
                <w:sz w:val="20"/>
                <w:szCs w:val="20"/>
                <w:color w:val="auto"/>
              </w:rPr>
            </w:pPr>
            <w:r>
              <w:rPr>
                <w:rFonts w:ascii="Arial" w:cs="Arial" w:eastAsia="Arial" w:hAnsi="Arial"/>
                <w:sz w:val="13"/>
                <w:szCs w:val="13"/>
                <w:color w:val="auto"/>
              </w:rPr>
              <w:t>Labor, other benefits, contracting, and materials</w:t>
            </w:r>
          </w:p>
        </w:tc>
        <w:tc>
          <w:tcPr>
            <w:tcW w:w="3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8"/>
        </w:trPr>
        <w:tc>
          <w:tcPr>
            <w:tcW w:w="9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BSC and PHISCO costs</w:t>
            </w:r>
          </w:p>
        </w:tc>
        <w:tc>
          <w:tcPr>
            <w:tcW w:w="36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4"/>
        </w:trPr>
        <w:tc>
          <w:tcPr>
            <w:tcW w:w="9040" w:type="dxa"/>
            <w:vAlign w:val="bottom"/>
          </w:tcPr>
          <w:p>
            <w:pPr>
              <w:ind w:left="20"/>
              <w:spacing w:after="0"/>
              <w:rPr>
                <w:sz w:val="20"/>
                <w:szCs w:val="20"/>
                <w:color w:val="auto"/>
              </w:rPr>
            </w:pPr>
            <w:r>
              <w:rPr>
                <w:rFonts w:ascii="Arial" w:cs="Arial" w:eastAsia="Arial" w:hAnsi="Arial"/>
                <w:sz w:val="13"/>
                <w:szCs w:val="13"/>
                <w:color w:val="auto"/>
              </w:rPr>
              <w:t>Storm-related costs</w:t>
            </w:r>
          </w:p>
        </w:tc>
        <w:tc>
          <w:tcPr>
            <w:tcW w:w="3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1"/>
        </w:trPr>
        <w:tc>
          <w:tcPr>
            <w:tcW w:w="9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2"/>
        </w:trPr>
        <w:tc>
          <w:tcPr>
            <w:tcW w:w="9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76"/>
        </w:trPr>
        <w:tc>
          <w:tcPr>
            <w:tcW w:w="9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Regulatory required programs</w:t>
            </w:r>
            <w:r>
              <w:rPr>
                <w:rFonts w:ascii="Arial" w:cs="Arial" w:eastAsia="Arial" w:hAnsi="Arial"/>
                <w:sz w:val="16"/>
                <w:szCs w:val="16"/>
                <w:color w:val="auto"/>
                <w:vertAlign w:val="superscript"/>
              </w:rPr>
              <w:t>(b)</w:t>
            </w: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7"/>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increase</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w:t>
            </w:r>
            <w:r>
              <w:rPr>
                <w:rFonts w:ascii="Arial" w:cs="Arial" w:eastAsia="Arial" w:hAnsi="Arial"/>
                <w:sz w:val="11"/>
                <w:szCs w:val="11"/>
                <w:color w:val="auto"/>
              </w:rPr>
              <w:t>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Reflects unfavorable impacts of the Pepco Maryland multi-year plan reconciliation. See Note 2 — Regulatory Matters for additional information.</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Reflects the cost recovery associated with EmPOWER Maryland. Please refer to 2025 10-K Note 2 — Regulatory Matters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changes in </w:t>
      </w:r>
      <w:r>
        <w:rPr>
          <w:rFonts w:ascii="Arial" w:cs="Arial" w:eastAsia="Arial" w:hAnsi="Arial"/>
          <w:sz w:val="12"/>
          <w:szCs w:val="12"/>
          <w:b w:val="1"/>
          <w:bCs w:val="1"/>
          <w:color w:val="auto"/>
        </w:rPr>
        <w:t>Depreciation and amortization expense</w:t>
      </w:r>
      <w:r>
        <w:rPr>
          <w:rFonts w:ascii="Arial" w:cs="Arial" w:eastAsia="Arial" w:hAnsi="Arial"/>
          <w:sz w:val="12"/>
          <w:szCs w:val="12"/>
          <w:color w:val="auto"/>
        </w:rPr>
        <w:t xml:space="preserv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61530"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and amortization</w:t>
      </w:r>
      <w:r>
        <w:rPr>
          <w:rFonts w:ascii="Arial" w:cs="Arial" w:eastAsia="Arial" w:hAnsi="Arial"/>
          <w:sz w:val="16"/>
          <w:szCs w:val="16"/>
          <w:color w:val="auto"/>
          <w:vertAlign w:val="superscript"/>
        </w:rPr>
        <w:t>(a)</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Regulatory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1212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Regulatory required programs</w:t>
      </w:r>
      <w:r>
        <w:rPr>
          <w:rFonts w:ascii="Arial" w:cs="Arial" w:eastAsia="Arial" w:hAnsi="Arial"/>
          <w:sz w:val="16"/>
          <w:szCs w:val="16"/>
          <w:color w:val="auto"/>
          <w:vertAlign w:val="superscript"/>
        </w:rPr>
        <w:t>(b)</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increase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Pepco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360" w:type="dxa"/>
            <w:vAlign w:val="bottom"/>
            <w:tcBorders>
              <w:top w:val="single" w:sz="8" w:color="auto"/>
            </w:tcBorders>
          </w:tcPr>
          <w:p>
            <w:pPr>
              <w:spacing w:after="0"/>
              <w:rPr>
                <w:sz w:val="9"/>
                <w:szCs w:val="9"/>
                <w:color w:val="auto"/>
              </w:rPr>
            </w:pPr>
          </w:p>
        </w:tc>
        <w:tc>
          <w:tcPr>
            <w:tcW w:w="1880" w:type="dxa"/>
            <w:vAlign w:val="bottom"/>
            <w:tcBorders>
              <w:top w:val="single" w:sz="8" w:color="auto"/>
            </w:tcBorders>
          </w:tcPr>
          <w:p>
            <w:pPr>
              <w:jc w:val="center"/>
              <w:ind w:right="322"/>
              <w:spacing w:after="0" w:line="106" w:lineRule="exact"/>
              <w:rPr>
                <w:sz w:val="20"/>
                <w:szCs w:val="20"/>
                <w:color w:val="auto"/>
              </w:rPr>
            </w:pPr>
            <w:r>
              <w:rPr>
                <w:rFonts w:ascii="Arial" w:cs="Arial" w:eastAsia="Arial" w:hAnsi="Arial"/>
                <w:sz w:val="10"/>
                <w:szCs w:val="10"/>
                <w:b w:val="1"/>
                <w:bCs w:val="1"/>
                <w:color w:val="auto"/>
                <w:w w:val="99"/>
              </w:rPr>
              <w:t>Three Months Ended</w:t>
            </w:r>
          </w:p>
        </w:tc>
      </w:tr>
      <w:tr>
        <w:trPr>
          <w:trHeight w:val="142"/>
        </w:trPr>
        <w:tc>
          <w:tcPr>
            <w:tcW w:w="3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center"/>
              <w:ind w:right="302"/>
              <w:spacing w:after="0"/>
              <w:rPr>
                <w:sz w:val="20"/>
                <w:szCs w:val="20"/>
                <w:color w:val="auto"/>
              </w:rPr>
            </w:pPr>
            <w:r>
              <w:rPr>
                <w:rFonts w:ascii="Arial" w:cs="Arial" w:eastAsia="Arial" w:hAnsi="Arial"/>
                <w:sz w:val="10"/>
                <w:szCs w:val="10"/>
                <w:b w:val="1"/>
                <w:bCs w:val="1"/>
                <w:color w:val="auto"/>
              </w:rPr>
              <w:t>March 31, 2026</w:t>
            </w:r>
          </w:p>
        </w:tc>
      </w:tr>
      <w:tr>
        <w:trPr>
          <w:trHeight w:val="134"/>
        </w:trPr>
        <w:tc>
          <w:tcPr>
            <w:tcW w:w="3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center"/>
              <w:ind w:right="302"/>
              <w:spacing w:after="0"/>
              <w:rPr>
                <w:sz w:val="20"/>
                <w:szCs w:val="20"/>
                <w:color w:val="auto"/>
              </w:rPr>
            </w:pPr>
            <w:r>
              <w:rPr>
                <w:rFonts w:ascii="Arial" w:cs="Arial" w:eastAsia="Arial" w:hAnsi="Arial"/>
                <w:sz w:val="10"/>
                <w:szCs w:val="10"/>
                <w:b w:val="1"/>
                <w:bCs w:val="1"/>
                <w:color w:val="auto"/>
                <w:w w:val="98"/>
              </w:rPr>
              <w:t>Increase</w:t>
            </w:r>
          </w:p>
        </w:tc>
      </w:tr>
      <w:tr>
        <w:trPr>
          <w:trHeight w:val="170"/>
        </w:trPr>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Pr>
          <w:p>
            <w:pPr>
              <w:jc w:val="right"/>
              <w:ind w:right="2"/>
              <w:spacing w:after="0"/>
              <w:rPr>
                <w:sz w:val="20"/>
                <w:szCs w:val="20"/>
                <w:color w:val="auto"/>
              </w:rPr>
            </w:pPr>
            <w:r>
              <w:rPr>
                <w:rFonts w:ascii="Arial" w:cs="Arial" w:eastAsia="Arial" w:hAnsi="Arial"/>
                <w:sz w:val="13"/>
                <w:szCs w:val="13"/>
                <w:color w:val="auto"/>
              </w:rPr>
              <w:t>6</w:t>
            </w:r>
          </w:p>
        </w:tc>
      </w:tr>
      <w:tr>
        <w:trPr>
          <w:trHeight w:val="191"/>
        </w:trPr>
        <w:tc>
          <w:tcPr>
            <w:tcW w:w="360" w:type="dxa"/>
            <w:vAlign w:val="bottom"/>
          </w:tcPr>
          <w:p>
            <w:pPr>
              <w:spacing w:after="0"/>
              <w:rPr>
                <w:sz w:val="16"/>
                <w:szCs w:val="16"/>
                <w:color w:val="auto"/>
              </w:rPr>
            </w:pPr>
          </w:p>
        </w:tc>
        <w:tc>
          <w:tcPr>
            <w:tcW w:w="1880" w:type="dxa"/>
            <w:vAlign w:val="bottom"/>
          </w:tcPr>
          <w:p>
            <w:pPr>
              <w:jc w:val="right"/>
              <w:ind w:right="2"/>
              <w:spacing w:after="0"/>
              <w:rPr>
                <w:sz w:val="20"/>
                <w:szCs w:val="20"/>
                <w:color w:val="auto"/>
              </w:rPr>
            </w:pPr>
            <w:r>
              <w:rPr>
                <w:rFonts w:ascii="Arial" w:cs="Arial" w:eastAsia="Arial" w:hAnsi="Arial"/>
                <w:sz w:val="13"/>
                <w:szCs w:val="13"/>
                <w:color w:val="auto"/>
              </w:rPr>
              <w:t>1</w:t>
            </w:r>
          </w:p>
        </w:tc>
      </w:tr>
      <w:tr>
        <w:trPr>
          <w:trHeight w:val="198"/>
        </w:trPr>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2</w:t>
            </w:r>
          </w:p>
        </w:tc>
      </w:tr>
      <w:tr>
        <w:trPr>
          <w:trHeight w:val="182"/>
        </w:trPr>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ectPr>
          <w:pgSz w:w="11900" w:h="16838" w:orient="portrait"/>
          <w:cols w:equalWidth="0" w:num="2">
            <w:col w:w="8320" w:space="720"/>
            <w:col w:w="2240"/>
          </w:cols>
          <w:pgMar w:left="300" w:top="316" w:right="319" w:bottom="1440" w:gutter="0" w:footer="0" w:header="0"/>
        </w:sect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Depreciation and amortization increased primarily due to ongoing capital expenditures.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Reflects the cost recovery associated with EmPOWER Maryland. Please refer to 2025 10-K Note 2 — Regulatory Matters additional information.</w:t>
      </w:r>
    </w:p>
    <w:p>
      <w:pPr>
        <w:spacing w:after="0" w:line="114"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Effective income tax rates </w:t>
      </w:r>
      <w:r>
        <w:rPr>
          <w:rFonts w:ascii="Arial" w:cs="Arial" w:eastAsia="Arial" w:hAnsi="Arial"/>
          <w:sz w:val="13"/>
          <w:szCs w:val="13"/>
          <w:color w:val="auto"/>
        </w:rPr>
        <w:t>were 19.0% and 20.5% for the three months ended March 31, 2026 and 2025, respectively. See Note 6 — Income Taxes of the Combined Notes to Consolidated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Statements for additional information regarding the components of the effective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w w:val="95"/>
              </w:rPr>
              <w:t>DPL</w:t>
            </w:r>
          </w:p>
        </w:tc>
      </w:tr>
      <w:tr>
        <w:trPr>
          <w:trHeight w:val="906"/>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 — DPL</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1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0"/>
                <w:szCs w:val="10"/>
                <w:b w:val="1"/>
                <w:bCs w:val="1"/>
                <w:color w:val="auto"/>
                <w:w w:val="98"/>
              </w:rPr>
              <w:t>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1"/>
        </w:trPr>
        <w:tc>
          <w:tcPr>
            <w:tcW w:w="1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2026</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161"/>
              <w:spacing w:after="0"/>
              <w:rPr>
                <w:sz w:val="20"/>
                <w:szCs w:val="20"/>
                <w:color w:val="auto"/>
              </w:rPr>
            </w:pPr>
            <w:r>
              <w:rPr>
                <w:rFonts w:ascii="Arial" w:cs="Arial" w:eastAsia="Arial" w:hAnsi="Arial"/>
                <w:sz w:val="10"/>
                <w:szCs w:val="10"/>
                <w:b w:val="1"/>
                <w:bCs w:val="1"/>
                <w:color w:val="auto"/>
              </w:rPr>
              <w:t>2025</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0"/>
                <w:szCs w:val="10"/>
                <w:b w:val="1"/>
                <w:bCs w:val="1"/>
                <w:color w:val="auto"/>
              </w:rPr>
              <w:t>Favorable (Unfavorable) Variance</w:t>
            </w:r>
          </w:p>
        </w:tc>
      </w:tr>
      <w:tr>
        <w:trPr>
          <w:trHeight w:val="169"/>
        </w:trPr>
        <w:tc>
          <w:tcPr>
            <w:tcW w:w="120" w:type="dxa"/>
            <w:vAlign w:val="bottom"/>
          </w:tcPr>
          <w:p>
            <w:pPr>
              <w:spacing w:after="0"/>
              <w:rPr>
                <w:sz w:val="14"/>
                <w:szCs w:val="14"/>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Operating revenues</w:t>
            </w:r>
          </w:p>
        </w:tc>
        <w:tc>
          <w:tcPr>
            <w:tcW w:w="96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21"/>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r>
      <w:tr>
        <w:trPr>
          <w:trHeight w:val="170"/>
        </w:trPr>
        <w:tc>
          <w:tcPr>
            <w:tcW w:w="1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0" w:type="dxa"/>
            <w:vAlign w:val="bottom"/>
          </w:tcPr>
          <w:p>
            <w:pPr>
              <w:spacing w:after="0"/>
              <w:rPr>
                <w:sz w:val="14"/>
                <w:szCs w:val="14"/>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Purchased power and fuel</w:t>
            </w: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r>
      <w:tr>
        <w:trPr>
          <w:trHeight w:val="169"/>
        </w:trPr>
        <w:tc>
          <w:tcPr>
            <w:tcW w:w="120" w:type="dxa"/>
            <w:vAlign w:val="bottom"/>
          </w:tcPr>
          <w:p>
            <w:pPr>
              <w:spacing w:after="0"/>
              <w:rPr>
                <w:sz w:val="14"/>
                <w:szCs w:val="14"/>
                <w:color w:val="auto"/>
              </w:rPr>
            </w:pPr>
          </w:p>
        </w:tc>
        <w:tc>
          <w:tcPr>
            <w:tcW w:w="5880" w:type="dxa"/>
            <w:vAlign w:val="bottom"/>
          </w:tcPr>
          <w:p>
            <w:pPr>
              <w:ind w:left="160"/>
              <w:spacing w:after="0"/>
              <w:rPr>
                <w:sz w:val="20"/>
                <w:szCs w:val="20"/>
                <w:color w:val="auto"/>
              </w:rPr>
            </w:pPr>
            <w:r>
              <w:rPr>
                <w:rFonts w:ascii="Arial" w:cs="Arial" w:eastAsia="Arial" w:hAnsi="Arial"/>
                <w:sz w:val="13"/>
                <w:szCs w:val="13"/>
                <w:color w:val="auto"/>
              </w:rPr>
              <w:t>Operating and maintenance</w:t>
            </w:r>
          </w:p>
        </w:tc>
        <w:tc>
          <w:tcPr>
            <w:tcW w:w="9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Depreciation and amortization</w:t>
            </w: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r>
      <w:tr>
        <w:trPr>
          <w:trHeight w:val="169"/>
        </w:trPr>
        <w:tc>
          <w:tcPr>
            <w:tcW w:w="120" w:type="dxa"/>
            <w:vAlign w:val="bottom"/>
          </w:tcPr>
          <w:p>
            <w:pPr>
              <w:spacing w:after="0"/>
              <w:rPr>
                <w:sz w:val="14"/>
                <w:szCs w:val="14"/>
                <w:color w:val="auto"/>
              </w:rPr>
            </w:pPr>
          </w:p>
        </w:tc>
        <w:tc>
          <w:tcPr>
            <w:tcW w:w="58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Taxes other than income taxes</w:t>
            </w:r>
          </w:p>
        </w:tc>
        <w:tc>
          <w:tcPr>
            <w:tcW w:w="9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9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r>
      <w:tr>
        <w:trPr>
          <w:trHeight w:val="160"/>
        </w:trPr>
        <w:tc>
          <w:tcPr>
            <w:tcW w:w="120" w:type="dxa"/>
            <w:vAlign w:val="bottom"/>
          </w:tcPr>
          <w:p>
            <w:pPr>
              <w:spacing w:after="0"/>
              <w:rPr>
                <w:sz w:val="13"/>
                <w:szCs w:val="13"/>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Operating income</w:t>
            </w: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r>
      <w:tr>
        <w:trPr>
          <w:trHeight w:val="150"/>
        </w:trPr>
        <w:tc>
          <w:tcPr>
            <w:tcW w:w="120" w:type="dxa"/>
            <w:vAlign w:val="bottom"/>
          </w:tcPr>
          <w:p>
            <w:pPr>
              <w:spacing w:after="0"/>
              <w:rPr>
                <w:sz w:val="13"/>
                <w:szCs w:val="13"/>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income and (deductions)</w:t>
            </w: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120" w:type="dxa"/>
            <w:vAlign w:val="bottom"/>
          </w:tcPr>
          <w:p>
            <w:pPr>
              <w:spacing w:after="0"/>
              <w:rPr>
                <w:sz w:val="14"/>
                <w:szCs w:val="14"/>
                <w:color w:val="auto"/>
              </w:rPr>
            </w:pPr>
          </w:p>
        </w:tc>
        <w:tc>
          <w:tcPr>
            <w:tcW w:w="5880" w:type="dxa"/>
            <w:vAlign w:val="bottom"/>
          </w:tcPr>
          <w:p>
            <w:pPr>
              <w:ind w:left="160"/>
              <w:spacing w:after="0"/>
              <w:rPr>
                <w:sz w:val="20"/>
                <w:szCs w:val="20"/>
                <w:color w:val="auto"/>
              </w:rPr>
            </w:pPr>
            <w:r>
              <w:rPr>
                <w:rFonts w:ascii="Arial" w:cs="Arial" w:eastAsia="Arial" w:hAnsi="Arial"/>
                <w:sz w:val="13"/>
                <w:szCs w:val="13"/>
                <w:color w:val="auto"/>
              </w:rPr>
              <w:t>Interest expense, net</w:t>
            </w:r>
          </w:p>
        </w:tc>
        <w:tc>
          <w:tcPr>
            <w:tcW w:w="9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net</w:t>
            </w:r>
          </w:p>
        </w:tc>
        <w:tc>
          <w:tcPr>
            <w:tcW w:w="9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59"/>
        </w:trPr>
        <w:tc>
          <w:tcPr>
            <w:tcW w:w="120" w:type="dxa"/>
            <w:vAlign w:val="bottom"/>
          </w:tcPr>
          <w:p>
            <w:pPr>
              <w:spacing w:after="0"/>
              <w:rPr>
                <w:sz w:val="13"/>
                <w:szCs w:val="13"/>
                <w:color w:val="auto"/>
              </w:rPr>
            </w:pPr>
          </w:p>
        </w:tc>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other income and (deductions)</w:t>
            </w: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r>
      <w:tr>
        <w:trPr>
          <w:trHeight w:val="162"/>
        </w:trPr>
        <w:tc>
          <w:tcPr>
            <w:tcW w:w="1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Income before income taxes</w:t>
            </w: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r>
      <w:tr>
        <w:trPr>
          <w:trHeight w:val="170"/>
        </w:trPr>
        <w:tc>
          <w:tcPr>
            <w:tcW w:w="120" w:type="dxa"/>
            <w:vAlign w:val="bottom"/>
          </w:tcPr>
          <w:p>
            <w:pPr>
              <w:spacing w:after="0"/>
              <w:rPr>
                <w:sz w:val="14"/>
                <w:szCs w:val="14"/>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Income taxes</w:t>
            </w:r>
          </w:p>
        </w:tc>
        <w:tc>
          <w:tcPr>
            <w:tcW w:w="9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r>
      <w:tr>
        <w:trPr>
          <w:trHeight w:val="185"/>
        </w:trPr>
        <w:tc>
          <w:tcPr>
            <w:tcW w:w="120" w:type="dxa"/>
            <w:vAlign w:val="bottom"/>
          </w:tcPr>
          <w:p>
            <w:pPr>
              <w:spacing w:after="0"/>
              <w:rPr>
                <w:sz w:val="15"/>
                <w:szCs w:val="15"/>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96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Three Months Ended March 31, 2026 Compared to Three Months Ended March 31, 2025. </w:t>
      </w:r>
      <w:r>
        <w:rPr>
          <w:rFonts w:ascii="Arial" w:cs="Arial" w:eastAsia="Arial" w:hAnsi="Arial"/>
          <w:sz w:val="13"/>
          <w:szCs w:val="13"/>
          <w:b w:val="1"/>
          <w:bCs w:val="1"/>
          <w:color w:val="auto"/>
        </w:rPr>
        <w:t>Net income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increased by $8 million primarily due to approved Delaware electric DSIC and natural gas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rates, favorable weather conditions at Delaware electric and natural gas service territories, partially offset by an increase in storm costs.</w:t>
      </w:r>
    </w:p>
    <w:p>
      <w:pPr>
        <w:sectPr>
          <w:pgSz w:w="11900" w:h="16838" w:orient="portrait"/>
          <w:cols w:equalWidth="0" w:num="1">
            <w:col w:w="11280"/>
          </w:cols>
          <w:pgMar w:left="300" w:top="316" w:right="31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changes in </w:t>
      </w:r>
      <w:r>
        <w:rPr>
          <w:rFonts w:ascii="Arial" w:cs="Arial" w:eastAsia="Arial" w:hAnsi="Arial"/>
          <w:sz w:val="12"/>
          <w:szCs w:val="12"/>
          <w:b w:val="1"/>
          <w:bCs w:val="1"/>
          <w:color w:val="auto"/>
        </w:rPr>
        <w:t>Operating revenues</w:t>
      </w:r>
      <w:r>
        <w:rPr>
          <w:rFonts w:ascii="Arial" w:cs="Arial" w:eastAsia="Arial" w:hAnsi="Arial"/>
          <w:sz w:val="12"/>
          <w:szCs w:val="12"/>
          <w:color w:val="auto"/>
        </w:rPr>
        <w:t xml:space="preserv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Weather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Volume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Distribution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Transmission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Regulatory required programs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increase</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center"/>
        <w:ind w:right="220"/>
        <w:spacing w:after="0"/>
        <w:rPr>
          <w:sz w:val="20"/>
          <w:szCs w:val="20"/>
          <w:color w:val="auto"/>
        </w:rPr>
      </w:pPr>
      <w:r>
        <w:rPr>
          <w:rFonts w:ascii="Arial" w:cs="Arial" w:eastAsia="Arial" w:hAnsi="Arial"/>
          <w:sz w:val="10"/>
          <w:szCs w:val="10"/>
          <w:b w:val="1"/>
          <w:bCs w:val="1"/>
          <w:color w:val="auto"/>
        </w:rPr>
        <w:t>Three Months Ended</w:t>
      </w:r>
    </w:p>
    <w:p>
      <w:pPr>
        <w:jc w:val="center"/>
        <w:ind w:right="220"/>
        <w:spacing w:after="0"/>
        <w:rPr>
          <w:sz w:val="20"/>
          <w:szCs w:val="20"/>
          <w:color w:val="auto"/>
        </w:rPr>
      </w:pPr>
      <w:r>
        <w:rPr>
          <w:rFonts w:ascii="Arial" w:cs="Arial" w:eastAsia="Arial" w:hAnsi="Arial"/>
          <w:sz w:val="10"/>
          <w:szCs w:val="10"/>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2880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88030" cy="6985"/>
                    </a:xfrm>
                    <a:prstGeom prst="rect">
                      <a:avLst/>
                    </a:prstGeom>
                    <a:noFill/>
                  </pic:spPr>
                </pic:pic>
              </a:graphicData>
            </a:graphic>
          </wp:anchor>
        </w:drawing>
      </w:r>
    </w:p>
    <w:p>
      <w:pPr>
        <w:spacing w:after="0" w:line="14" w:lineRule="exact"/>
        <w:rPr>
          <w:sz w:val="20"/>
          <w:szCs w:val="20"/>
          <w:color w:val="auto"/>
        </w:rPr>
      </w:pPr>
    </w:p>
    <w:p>
      <w:pPr>
        <w:ind w:left="2120"/>
        <w:spacing w:after="0"/>
        <w:rPr>
          <w:sz w:val="20"/>
          <w:szCs w:val="20"/>
          <w:color w:val="auto"/>
        </w:rPr>
      </w:pPr>
      <w:r>
        <w:rPr>
          <w:rFonts w:ascii="Arial" w:cs="Arial" w:eastAsia="Arial" w:hAnsi="Arial"/>
          <w:sz w:val="10"/>
          <w:szCs w:val="10"/>
          <w:b w:val="1"/>
          <w:bCs w:val="1"/>
          <w:color w:val="auto"/>
        </w:rPr>
        <w:t>Increase (Decrease)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Electric</w:t>
            </w:r>
          </w:p>
        </w:tc>
        <w:tc>
          <w:tcPr>
            <w:tcW w:w="4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Gas</w:t>
            </w:r>
          </w:p>
        </w:tc>
        <w:tc>
          <w:tcPr>
            <w:tcW w:w="4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658"/>
              <w:spacing w:after="0"/>
              <w:rPr>
                <w:sz w:val="20"/>
                <w:szCs w:val="20"/>
                <w:color w:val="auto"/>
              </w:rPr>
            </w:pPr>
            <w:r>
              <w:rPr>
                <w:rFonts w:ascii="Arial" w:cs="Arial" w:eastAsia="Arial" w:hAnsi="Arial"/>
                <w:sz w:val="10"/>
                <w:szCs w:val="10"/>
                <w:b w:val="1"/>
                <w:bCs w:val="1"/>
                <w:color w:val="auto"/>
              </w:rPr>
              <w:t>Total</w:t>
            </w:r>
          </w:p>
        </w:tc>
      </w:tr>
      <w:tr>
        <w:trPr>
          <w:trHeight w:val="169"/>
        </w:trPr>
        <w:tc>
          <w:tcPr>
            <w:tcW w:w="360" w:type="dxa"/>
            <w:vAlign w:val="bottom"/>
            <w:tcBorders>
              <w:top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91"/>
        </w:trPr>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91"/>
        </w:trPr>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98"/>
        </w:trPr>
        <w:tc>
          <w:tcPr>
            <w:tcW w:w="3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198"/>
        </w:trPr>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r>
      <w:tr>
        <w:trPr>
          <w:trHeight w:val="182"/>
        </w:trPr>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-1016635</wp:posOffset>
            </wp:positionV>
            <wp:extent cx="7026910" cy="128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26910" cy="12827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-767715</wp:posOffset>
            </wp:positionV>
            <wp:extent cx="7026910" cy="121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26910" cy="12128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-525145</wp:posOffset>
            </wp:positionV>
            <wp:extent cx="7026910" cy="121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26910" cy="12128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-275590</wp:posOffset>
            </wp:positionV>
            <wp:extent cx="7026910" cy="121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26910" cy="12128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5180" w:space="720"/>
            <w:col w:w="5380"/>
          </w:cols>
          <w:pgMar w:left="300" w:top="316" w:right="319" w:bottom="1440" w:gutter="0" w:footer="0" w:header="0"/>
          <w:type w:val="continuous"/>
        </w:sect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Revenue Decoupling. </w:t>
      </w:r>
      <w:r>
        <w:rPr>
          <w:rFonts w:ascii="Arial" w:cs="Arial" w:eastAsia="Arial" w:hAnsi="Arial"/>
          <w:sz w:val="13"/>
          <w:szCs w:val="13"/>
          <w:color w:val="auto"/>
        </w:rPr>
        <w:t>The demand for electricity is affected by weather and customer usage. However, Operating revenues from electric distribution in Maryland are not impacted by abnormal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weather or usage per customer as a result of a BSA that provides for a fixed distribution charge per customer by customer class. While Operating revenues from electric distribution customers in Maryland are not intended to be impacted by abnormal weather or usage per customer, they are impacted by changes in the number of customers.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Weather. </w:t>
      </w:r>
      <w:r>
        <w:rPr>
          <w:rFonts w:ascii="Arial" w:cs="Arial" w:eastAsia="Arial" w:hAnsi="Arial"/>
          <w:sz w:val="13"/>
          <w:szCs w:val="13"/>
          <w:color w:val="auto"/>
        </w:rPr>
        <w:t>The demand for electricity and natural gas in Delaware is affected by weather conditions. With respect to the electric business, very warm weather in summer months and, with respect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electric and natural gas businesses, very cold weather in winter months are referred to as "favorable weather conditions” because these weather conditions result in increased deliveries of electricity and natural gas. Conversely, mild weather reduces demand. During the three months ended March 31, 2026 compared to the same period in 2025, Operating revenues related to weather increased due to favorable weather conditions in DPL's Delaware electric and natural gas service territories.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DPL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Heating and cooling degree days are quantitative indices that reflect the demand for energy needed to heat or cool a home or business. Normal weather is determined based on historical average heating and cooling degree days for a 20-year period in DPL's Delaware electric service territory and a 30-year period in DPL's Delaware natural gas service territory. The changes in heating and cooling degree days in DPL's Delaware service territory for the three months ended March 31, 2026, compared to same period in 2025 and normal weather consisted of the following:</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1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14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0"/>
                <w:szCs w:val="10"/>
                <w:b w:val="1"/>
                <w:bCs w:val="1"/>
                <w:color w:val="auto"/>
              </w:rPr>
              <w:t>Three Months Ended March 31,</w:t>
            </w: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 Change</w:t>
            </w:r>
          </w:p>
        </w:tc>
      </w:tr>
      <w:tr>
        <w:trPr>
          <w:trHeight w:val="103"/>
        </w:trPr>
        <w:tc>
          <w:tcPr>
            <w:tcW w:w="314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Delaware Electric Service Territory</w:t>
            </w:r>
          </w:p>
        </w:tc>
        <w:tc>
          <w:tcPr>
            <w:tcW w:w="1520" w:type="dxa"/>
            <w:vAlign w:val="bottom"/>
          </w:tcPr>
          <w:p>
            <w:pPr>
              <w:jc w:val="right"/>
              <w:ind w:right="591"/>
              <w:spacing w:after="0" w:line="104"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8"/>
                <w:szCs w:val="8"/>
                <w:color w:val="auto"/>
              </w:rPr>
            </w:pPr>
          </w:p>
        </w:tc>
        <w:tc>
          <w:tcPr>
            <w:tcW w:w="1520" w:type="dxa"/>
            <w:vAlign w:val="bottom"/>
          </w:tcPr>
          <w:p>
            <w:pPr>
              <w:jc w:val="right"/>
              <w:ind w:right="591"/>
              <w:spacing w:after="0" w:line="104" w:lineRule="exact"/>
              <w:rPr>
                <w:sz w:val="20"/>
                <w:szCs w:val="20"/>
                <w:color w:val="auto"/>
              </w:rPr>
            </w:pPr>
            <w:r>
              <w:rPr>
                <w:rFonts w:ascii="Arial" w:cs="Arial" w:eastAsia="Arial" w:hAnsi="Arial"/>
                <w:sz w:val="10"/>
                <w:szCs w:val="10"/>
                <w:b w:val="1"/>
                <w:bCs w:val="1"/>
                <w:color w:val="auto"/>
              </w:rPr>
              <w:t>2025</w:t>
            </w:r>
          </w:p>
        </w:tc>
        <w:tc>
          <w:tcPr>
            <w:tcW w:w="120" w:type="dxa"/>
            <w:vAlign w:val="bottom"/>
          </w:tcPr>
          <w:p>
            <w:pPr>
              <w:spacing w:after="0"/>
              <w:rPr>
                <w:sz w:val="8"/>
                <w:szCs w:val="8"/>
                <w:color w:val="auto"/>
              </w:rPr>
            </w:pPr>
          </w:p>
        </w:tc>
        <w:tc>
          <w:tcPr>
            <w:tcW w:w="1580" w:type="dxa"/>
            <w:vAlign w:val="bottom"/>
            <w:gridSpan w:val="2"/>
          </w:tcPr>
          <w:p>
            <w:pPr>
              <w:ind w:left="560"/>
              <w:spacing w:after="0" w:line="104" w:lineRule="exact"/>
              <w:rPr>
                <w:sz w:val="20"/>
                <w:szCs w:val="20"/>
                <w:color w:val="auto"/>
              </w:rPr>
            </w:pPr>
            <w:r>
              <w:rPr>
                <w:rFonts w:ascii="Arial" w:cs="Arial" w:eastAsia="Arial" w:hAnsi="Arial"/>
                <w:sz w:val="10"/>
                <w:szCs w:val="10"/>
                <w:b w:val="1"/>
                <w:bCs w:val="1"/>
                <w:color w:val="auto"/>
              </w:rPr>
              <w:t>Normal</w:t>
            </w:r>
          </w:p>
        </w:tc>
        <w:tc>
          <w:tcPr>
            <w:tcW w:w="1240" w:type="dxa"/>
            <w:vAlign w:val="bottom"/>
          </w:tcPr>
          <w:p>
            <w:pPr>
              <w:ind w:left="460"/>
              <w:spacing w:after="0" w:line="104" w:lineRule="exact"/>
              <w:rPr>
                <w:sz w:val="20"/>
                <w:szCs w:val="20"/>
                <w:color w:val="auto"/>
              </w:rPr>
            </w:pPr>
            <w:r>
              <w:rPr>
                <w:rFonts w:ascii="Arial" w:cs="Arial" w:eastAsia="Arial" w:hAnsi="Arial"/>
                <w:sz w:val="10"/>
                <w:szCs w:val="10"/>
                <w:b w:val="1"/>
                <w:bCs w:val="1"/>
                <w:color w:val="auto"/>
              </w:rPr>
              <w:t>2026 vs. 2025</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ind w:left="420"/>
              <w:spacing w:after="0" w:line="104" w:lineRule="exact"/>
              <w:rPr>
                <w:sz w:val="20"/>
                <w:szCs w:val="20"/>
                <w:color w:val="auto"/>
              </w:rPr>
            </w:pPr>
            <w:r>
              <w:rPr>
                <w:rFonts w:ascii="Arial" w:cs="Arial" w:eastAsia="Arial" w:hAnsi="Arial"/>
                <w:sz w:val="10"/>
                <w:szCs w:val="10"/>
                <w:b w:val="1"/>
                <w:bCs w:val="1"/>
                <w:color w:val="auto"/>
              </w:rPr>
              <w:t>2026 vs. Normal</w:t>
            </w: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7148195" cy="114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7"/>
        </w:trPr>
        <w:tc>
          <w:tcPr>
            <w:tcW w:w="3160" w:type="dxa"/>
            <w:vAlign w:val="bottom"/>
            <w:gridSpan w:val="2"/>
          </w:tcPr>
          <w:p>
            <w:pPr>
              <w:spacing w:after="0"/>
              <w:rPr>
                <w:sz w:val="20"/>
                <w:szCs w:val="20"/>
                <w:color w:val="auto"/>
              </w:rPr>
            </w:pPr>
            <w:r>
              <w:rPr>
                <w:rFonts w:ascii="Arial" w:cs="Arial" w:eastAsia="Arial" w:hAnsi="Arial"/>
                <w:sz w:val="13"/>
                <w:szCs w:val="13"/>
                <w:color w:val="auto"/>
              </w:rPr>
              <w:t>Heating Degree-Days</w:t>
            </w:r>
          </w:p>
        </w:tc>
        <w:tc>
          <w:tcPr>
            <w:tcW w:w="1000" w:type="dxa"/>
            <w:vAlign w:val="bottom"/>
          </w:tcPr>
          <w:p>
            <w:pPr>
              <w:spacing w:after="0"/>
              <w:rPr>
                <w:sz w:val="14"/>
                <w:szCs w:val="14"/>
                <w:color w:val="auto"/>
              </w:rPr>
            </w:pPr>
          </w:p>
        </w:tc>
        <w:tc>
          <w:tcPr>
            <w:tcW w:w="520" w:type="dxa"/>
            <w:vAlign w:val="bottom"/>
          </w:tcPr>
          <w:p>
            <w:pPr>
              <w:jc w:val="right"/>
              <w:ind w:right="20"/>
              <w:spacing w:after="0"/>
              <w:rPr>
                <w:sz w:val="20"/>
                <w:szCs w:val="20"/>
                <w:color w:val="auto"/>
              </w:rPr>
            </w:pPr>
            <w:r>
              <w:rPr>
                <w:rFonts w:ascii="Arial" w:cs="Arial" w:eastAsia="Arial" w:hAnsi="Arial"/>
                <w:sz w:val="13"/>
                <w:szCs w:val="13"/>
                <w:color w:val="auto"/>
              </w:rPr>
              <w:t>2,531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2,399</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2,406</w:t>
            </w: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5.5 %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5.2 %</w:t>
            </w:r>
          </w:p>
        </w:tc>
      </w:tr>
      <w:tr>
        <w:trPr>
          <w:trHeight w:val="170"/>
        </w:trPr>
        <w:tc>
          <w:tcPr>
            <w:tcW w:w="3160" w:type="dxa"/>
            <w:vAlign w:val="bottom"/>
            <w:gridSpan w:val="2"/>
          </w:tcPr>
          <w:p>
            <w:pPr>
              <w:spacing w:after="0"/>
              <w:rPr>
                <w:sz w:val="20"/>
                <w:szCs w:val="20"/>
                <w:color w:val="auto"/>
              </w:rPr>
            </w:pPr>
            <w:r>
              <w:rPr>
                <w:rFonts w:ascii="Arial" w:cs="Arial" w:eastAsia="Arial" w:hAnsi="Arial"/>
                <w:sz w:val="13"/>
                <w:szCs w:val="13"/>
                <w:color w:val="auto"/>
              </w:rPr>
              <w:t>Cooling Degree-Days</w:t>
            </w:r>
          </w:p>
        </w:tc>
        <w:tc>
          <w:tcPr>
            <w:tcW w:w="1000" w:type="dxa"/>
            <w:vAlign w:val="bottom"/>
          </w:tcPr>
          <w:p>
            <w:pPr>
              <w:spacing w:after="0"/>
              <w:rPr>
                <w:sz w:val="14"/>
                <w:szCs w:val="14"/>
                <w:color w:val="auto"/>
              </w:rPr>
            </w:pPr>
          </w:p>
        </w:tc>
        <w:tc>
          <w:tcPr>
            <w:tcW w:w="520" w:type="dxa"/>
            <w:vAlign w:val="bottom"/>
          </w:tcPr>
          <w:p>
            <w:pPr>
              <w:jc w:val="right"/>
              <w:ind w:right="2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13"/>
                <w:szCs w:val="13"/>
                <w:color w:val="auto"/>
              </w:rPr>
              <w:t>— %</w:t>
            </w:r>
          </w:p>
        </w:tc>
        <w:tc>
          <w:tcPr>
            <w:tcW w:w="1300" w:type="dxa"/>
            <w:vAlign w:val="bottom"/>
          </w:tcPr>
          <w:p>
            <w:pPr>
              <w:jc w:val="right"/>
              <w:spacing w:after="0"/>
              <w:rPr>
                <w:sz w:val="20"/>
                <w:szCs w:val="20"/>
                <w:color w:val="auto"/>
              </w:rPr>
            </w:pPr>
            <w:r>
              <w:rPr>
                <w:rFonts w:ascii="Arial" w:cs="Arial" w:eastAsia="Arial" w:hAnsi="Arial"/>
                <w:sz w:val="13"/>
                <w:szCs w:val="13"/>
                <w:color w:val="auto"/>
              </w:rPr>
              <w:t>800.0 %</w:t>
            </w:r>
          </w:p>
        </w:tc>
      </w:tr>
      <w:tr>
        <w:trPr>
          <w:trHeight w:val="346"/>
        </w:trPr>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Borders>
              <w:bottom w:val="single" w:sz="8" w:color="auto"/>
            </w:tcBorders>
            <w:gridSpan w:val="3"/>
          </w:tcPr>
          <w:p>
            <w:pPr>
              <w:ind w:left="1400"/>
              <w:spacing w:after="0"/>
              <w:rPr>
                <w:sz w:val="20"/>
                <w:szCs w:val="20"/>
                <w:color w:val="auto"/>
              </w:rPr>
            </w:pPr>
            <w:r>
              <w:rPr>
                <w:rFonts w:ascii="Arial" w:cs="Arial" w:eastAsia="Arial" w:hAnsi="Arial"/>
                <w:sz w:val="10"/>
                <w:szCs w:val="10"/>
                <w:b w:val="1"/>
                <w:bCs w:val="1"/>
                <w:color w:val="auto"/>
              </w:rPr>
              <w:t>% Change</w:t>
            </w:r>
          </w:p>
        </w:tc>
        <w:tc>
          <w:tcPr>
            <w:tcW w:w="1300" w:type="dxa"/>
            <w:vAlign w:val="bottom"/>
            <w:tcBorders>
              <w:bottom w:val="single" w:sz="8" w:color="auto"/>
            </w:tcBorders>
          </w:tcPr>
          <w:p>
            <w:pPr>
              <w:spacing w:after="0"/>
              <w:rPr>
                <w:sz w:val="24"/>
                <w:szCs w:val="24"/>
                <w:color w:val="auto"/>
              </w:rPr>
            </w:pPr>
          </w:p>
        </w:tc>
      </w:tr>
      <w:tr>
        <w:trPr>
          <w:trHeight w:val="103"/>
        </w:trPr>
        <w:tc>
          <w:tcPr>
            <w:tcW w:w="316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Delaware Natural Gas Service Territory</w:t>
            </w:r>
          </w:p>
        </w:tc>
        <w:tc>
          <w:tcPr>
            <w:tcW w:w="1000" w:type="dxa"/>
            <w:vAlign w:val="bottom"/>
          </w:tcPr>
          <w:p>
            <w:pPr>
              <w:jc w:val="right"/>
              <w:ind w:right="71"/>
              <w:spacing w:after="0" w:line="104" w:lineRule="exact"/>
              <w:rPr>
                <w:sz w:val="20"/>
                <w:szCs w:val="20"/>
                <w:color w:val="auto"/>
              </w:rPr>
            </w:pPr>
            <w:r>
              <w:rPr>
                <w:rFonts w:ascii="Arial" w:cs="Arial" w:eastAsia="Arial" w:hAnsi="Arial"/>
                <w:sz w:val="10"/>
                <w:szCs w:val="10"/>
                <w:b w:val="1"/>
                <w:bCs w:val="1"/>
                <w:color w:val="auto"/>
              </w:rPr>
              <w:t>2026</w:t>
            </w:r>
          </w:p>
        </w:tc>
        <w:tc>
          <w:tcPr>
            <w:tcW w:w="1620" w:type="dxa"/>
            <w:vAlign w:val="bottom"/>
            <w:gridSpan w:val="3"/>
          </w:tcPr>
          <w:p>
            <w:pPr>
              <w:jc w:val="right"/>
              <w:ind w:right="140"/>
              <w:spacing w:after="0" w:line="104" w:lineRule="exact"/>
              <w:rPr>
                <w:sz w:val="20"/>
                <w:szCs w:val="20"/>
                <w:color w:val="auto"/>
              </w:rPr>
            </w:pPr>
            <w:r>
              <w:rPr>
                <w:rFonts w:ascii="Arial" w:cs="Arial" w:eastAsia="Arial" w:hAnsi="Arial"/>
                <w:sz w:val="10"/>
                <w:szCs w:val="10"/>
                <w:b w:val="1"/>
                <w:bCs w:val="1"/>
                <w:color w:val="auto"/>
              </w:rPr>
              <w:t>2025</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2"/>
          </w:tcPr>
          <w:p>
            <w:pPr>
              <w:ind w:left="560"/>
              <w:spacing w:after="0" w:line="104" w:lineRule="exact"/>
              <w:rPr>
                <w:sz w:val="20"/>
                <w:szCs w:val="20"/>
                <w:color w:val="auto"/>
              </w:rPr>
            </w:pPr>
            <w:r>
              <w:rPr>
                <w:rFonts w:ascii="Arial" w:cs="Arial" w:eastAsia="Arial" w:hAnsi="Arial"/>
                <w:sz w:val="10"/>
                <w:szCs w:val="10"/>
                <w:b w:val="1"/>
                <w:bCs w:val="1"/>
                <w:color w:val="auto"/>
              </w:rPr>
              <w:t>Normal</w:t>
            </w:r>
          </w:p>
        </w:tc>
        <w:tc>
          <w:tcPr>
            <w:tcW w:w="1980" w:type="dxa"/>
            <w:vAlign w:val="bottom"/>
            <w:gridSpan w:val="3"/>
          </w:tcPr>
          <w:p>
            <w:pPr>
              <w:ind w:left="460"/>
              <w:spacing w:after="0" w:line="104" w:lineRule="exact"/>
              <w:rPr>
                <w:sz w:val="20"/>
                <w:szCs w:val="20"/>
                <w:color w:val="auto"/>
              </w:rPr>
            </w:pPr>
            <w:r>
              <w:rPr>
                <w:rFonts w:ascii="Arial" w:cs="Arial" w:eastAsia="Arial" w:hAnsi="Arial"/>
                <w:sz w:val="10"/>
                <w:szCs w:val="10"/>
                <w:b w:val="1"/>
                <w:bCs w:val="1"/>
                <w:color w:val="auto"/>
              </w:rPr>
              <w:t>2026 vs. 2025</w:t>
            </w:r>
          </w:p>
        </w:tc>
        <w:tc>
          <w:tcPr>
            <w:tcW w:w="1300" w:type="dxa"/>
            <w:vAlign w:val="bottom"/>
          </w:tcPr>
          <w:p>
            <w:pPr>
              <w:jc w:val="right"/>
              <w:ind w:right="360"/>
              <w:spacing w:after="0" w:line="104" w:lineRule="exact"/>
              <w:rPr>
                <w:sz w:val="20"/>
                <w:szCs w:val="20"/>
                <w:color w:val="auto"/>
              </w:rPr>
            </w:pPr>
            <w:r>
              <w:rPr>
                <w:rFonts w:ascii="Arial" w:cs="Arial" w:eastAsia="Arial" w:hAnsi="Arial"/>
                <w:sz w:val="10"/>
                <w:szCs w:val="10"/>
                <w:b w:val="1"/>
                <w:bCs w:val="1"/>
                <w:color w:val="auto"/>
              </w:rPr>
              <w:t>2026 vs. Normal</w:t>
            </w:r>
          </w:p>
        </w:tc>
      </w:tr>
      <w:tr>
        <w:trPr>
          <w:trHeight w:val="20"/>
        </w:trPr>
        <w:tc>
          <w:tcPr>
            <w:tcW w:w="184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2"/>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Heating Degree-Days</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2,531</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2,449</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5.5 %</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Volume, </w:t>
      </w:r>
      <w:r>
        <w:rPr>
          <w:rFonts w:ascii="Arial" w:cs="Arial" w:eastAsia="Arial" w:hAnsi="Arial"/>
          <w:sz w:val="13"/>
          <w:szCs w:val="13"/>
          <w:color w:val="auto"/>
        </w:rPr>
        <w:t>exclusive of the effects of weather, remained relatively consistent for the three months ended March 31, 2026 compared to the same period in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60" w:type="dxa"/>
            <w:vAlign w:val="bottom"/>
            <w:gridSpan w:val="3"/>
          </w:tcPr>
          <w:p>
            <w:pPr>
              <w:jc w:val="center"/>
              <w:ind w:left="942"/>
              <w:spacing w:after="0"/>
              <w:rPr>
                <w:sz w:val="20"/>
                <w:szCs w:val="20"/>
                <w:color w:val="auto"/>
              </w:rPr>
            </w:pPr>
            <w:r>
              <w:rPr>
                <w:rFonts w:ascii="Arial" w:cs="Arial" w:eastAsia="Arial" w:hAnsi="Arial"/>
                <w:sz w:val="10"/>
                <w:szCs w:val="10"/>
                <w:b w:val="1"/>
                <w:bCs w:val="1"/>
                <w:color w:val="auto"/>
                <w:w w:val="99"/>
              </w:rPr>
              <w:t>Three Months Ended</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60" w:type="dxa"/>
            <w:vAlign w:val="bottom"/>
            <w:tcBorders>
              <w:bottom w:val="single" w:sz="8" w:color="auto"/>
            </w:tcBorders>
            <w:gridSpan w:val="3"/>
          </w:tcPr>
          <w:p>
            <w:pPr>
              <w:jc w:val="center"/>
              <w:ind w:left="982"/>
              <w:spacing w:after="0"/>
              <w:rPr>
                <w:sz w:val="20"/>
                <w:szCs w:val="20"/>
                <w:color w:val="auto"/>
              </w:rPr>
            </w:pPr>
            <w:r>
              <w:rPr>
                <w:rFonts w:ascii="Arial" w:cs="Arial" w:eastAsia="Arial" w:hAnsi="Arial"/>
                <w:sz w:val="10"/>
                <w:szCs w:val="10"/>
                <w:b w:val="1"/>
                <w:bCs w:val="1"/>
                <w:color w:val="auto"/>
                <w:w w:val="99"/>
              </w:rPr>
              <w:t>March 31,</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right"/>
              <w:ind w:right="380"/>
              <w:spacing w:after="0"/>
              <w:rPr>
                <w:sz w:val="20"/>
                <w:szCs w:val="20"/>
                <w:color w:val="auto"/>
              </w:rPr>
            </w:pPr>
            <w:r>
              <w:rPr>
                <w:rFonts w:ascii="Arial" w:cs="Arial" w:eastAsia="Arial" w:hAnsi="Arial"/>
                <w:sz w:val="10"/>
                <w:szCs w:val="10"/>
                <w:b w:val="1"/>
                <w:bCs w:val="1"/>
                <w:color w:val="auto"/>
              </w:rPr>
              <w:t>Weather - Normal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20" w:type="dxa"/>
            <w:vAlign w:val="bottom"/>
            <w:gridSpan w:val="3"/>
          </w:tcPr>
          <w:p>
            <w:pPr>
              <w:spacing w:after="0"/>
              <w:rPr>
                <w:sz w:val="20"/>
                <w:szCs w:val="20"/>
                <w:color w:val="auto"/>
              </w:rPr>
            </w:pPr>
            <w:r>
              <w:rPr>
                <w:rFonts w:ascii="Arial" w:cs="Arial" w:eastAsia="Arial" w:hAnsi="Arial"/>
                <w:sz w:val="10"/>
                <w:szCs w:val="10"/>
                <w:b w:val="1"/>
                <w:bCs w:val="1"/>
                <w:color w:val="auto"/>
              </w:rPr>
              <w:t>Electric Retail Deliveries to Delaware Customers (in GWhs)</w:t>
            </w:r>
          </w:p>
        </w:tc>
        <w:tc>
          <w:tcPr>
            <w:tcW w:w="1600" w:type="dxa"/>
            <w:vAlign w:val="bottom"/>
          </w:tcPr>
          <w:p>
            <w:pPr>
              <w:jc w:val="right"/>
              <w:ind w:right="642"/>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2025</w:t>
            </w:r>
          </w:p>
        </w:tc>
        <w:tc>
          <w:tcPr>
            <w:tcW w:w="120" w:type="dxa"/>
            <w:vAlign w:val="bottom"/>
          </w:tcPr>
          <w:p>
            <w:pPr>
              <w:spacing w:after="0"/>
              <w:rPr>
                <w:sz w:val="10"/>
                <w:szCs w:val="10"/>
                <w:color w:val="auto"/>
              </w:rPr>
            </w:pPr>
          </w:p>
        </w:tc>
        <w:tc>
          <w:tcPr>
            <w:tcW w:w="1800" w:type="dxa"/>
            <w:vAlign w:val="bottom"/>
            <w:gridSpan w:val="4"/>
          </w:tcPr>
          <w:p>
            <w:pPr>
              <w:ind w:left="600"/>
              <w:spacing w:after="0"/>
              <w:rPr>
                <w:sz w:val="20"/>
                <w:szCs w:val="20"/>
                <w:color w:val="auto"/>
              </w:rPr>
            </w:pPr>
            <w:r>
              <w:rPr>
                <w:rFonts w:ascii="Arial" w:cs="Arial" w:eastAsia="Arial" w:hAnsi="Arial"/>
                <w:sz w:val="10"/>
                <w:szCs w:val="10"/>
                <w:b w:val="1"/>
                <w:bCs w:val="1"/>
                <w:color w:val="auto"/>
              </w:rPr>
              <w:t>% Change</w:t>
            </w:r>
          </w:p>
        </w:tc>
        <w:tc>
          <w:tcPr>
            <w:tcW w:w="1720" w:type="dxa"/>
            <w:vAlign w:val="bottom"/>
          </w:tcPr>
          <w:p>
            <w:pPr>
              <w:jc w:val="right"/>
              <w:ind w:right="520"/>
              <w:spacing w:after="0" w:line="117" w:lineRule="exact"/>
              <w:rPr>
                <w:sz w:val="20"/>
                <w:szCs w:val="20"/>
                <w:color w:val="auto"/>
              </w:rPr>
            </w:pPr>
            <w:r>
              <w:rPr>
                <w:rFonts w:ascii="Arial" w:cs="Arial" w:eastAsia="Arial" w:hAnsi="Arial"/>
                <w:sz w:val="10"/>
                <w:szCs w:val="10"/>
                <w:b w:val="1"/>
                <w:bCs w:val="1"/>
                <w:color w:val="auto"/>
              </w:rPr>
              <w:t>% Change</w:t>
            </w:r>
            <w:r>
              <w:rPr>
                <w:rFonts w:ascii="Arial" w:cs="Arial" w:eastAsia="Arial" w:hAnsi="Arial"/>
                <w:sz w:val="12"/>
                <w:szCs w:val="12"/>
                <w:b w:val="1"/>
                <w:bCs w:val="1"/>
                <w:color w:val="auto"/>
                <w:vertAlign w:val="superscript"/>
              </w:rPr>
              <w:t>(b)</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Residential</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974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930</w:t>
            </w: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gridSpan w:val="3"/>
          </w:tcPr>
          <w:p>
            <w:pPr>
              <w:spacing w:after="0"/>
              <w:rPr>
                <w:sz w:val="20"/>
                <w:szCs w:val="20"/>
                <w:color w:val="auto"/>
              </w:rPr>
            </w:pPr>
            <w:r>
              <w:rPr>
                <w:rFonts w:ascii="Arial" w:cs="Arial" w:eastAsia="Arial" w:hAnsi="Arial"/>
                <w:sz w:val="13"/>
                <w:szCs w:val="13"/>
                <w:color w:val="auto"/>
              </w:rPr>
              <w:t>Small commercial &amp; industrial</w:t>
            </w:r>
          </w:p>
        </w:tc>
        <w:tc>
          <w:tcPr>
            <w:tcW w:w="1600" w:type="dxa"/>
            <w:vAlign w:val="bottom"/>
          </w:tcPr>
          <w:p>
            <w:pPr>
              <w:jc w:val="right"/>
              <w:ind w:right="2"/>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354</w:t>
            </w:r>
          </w:p>
        </w:tc>
        <w:tc>
          <w:tcPr>
            <w:tcW w:w="1820" w:type="dxa"/>
            <w:vAlign w:val="bottom"/>
            <w:gridSpan w:val="4"/>
          </w:tcPr>
          <w:p>
            <w:pPr>
              <w:jc w:val="right"/>
              <w:spacing w:after="0"/>
              <w:rPr>
                <w:sz w:val="20"/>
                <w:szCs w:val="20"/>
                <w:color w:val="auto"/>
              </w:rPr>
            </w:pPr>
            <w:r>
              <w:rPr>
                <w:rFonts w:ascii="Arial" w:cs="Arial" w:eastAsia="Arial" w:hAnsi="Arial"/>
                <w:sz w:val="13"/>
                <w:szCs w:val="13"/>
                <w:color w:val="auto"/>
              </w:rPr>
              <w:t>3.7 %</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690</w:t>
            </w: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Public authorities &amp; electric railroads</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3"/>
                <w:szCs w:val="13"/>
                <w:color w:val="auto"/>
                <w:w w:val="92"/>
              </w:rPr>
              <w:t>— %</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4320" w:type="dxa"/>
            <w:vAlign w:val="bottom"/>
            <w:tcBorders>
              <w:bottom w:val="single" w:sz="8" w:color="CCEEFF"/>
            </w:tcBorders>
            <w:gridSpan w:val="3"/>
            <w:shd w:val="clear" w:color="auto" w:fill="CCEEFF"/>
          </w:tcPr>
          <w:p>
            <w:pPr>
              <w:spacing w:after="0" w:line="161" w:lineRule="exact"/>
              <w:rPr>
                <w:sz w:val="20"/>
                <w:szCs w:val="20"/>
                <w:color w:val="auto"/>
              </w:rPr>
            </w:pPr>
            <w:r>
              <w:rPr>
                <w:rFonts w:ascii="Arial" w:cs="Arial" w:eastAsia="Arial" w:hAnsi="Arial"/>
                <w:sz w:val="13"/>
                <w:szCs w:val="13"/>
                <w:color w:val="auto"/>
              </w:rPr>
              <w:t>Total electric retail deliveries</w:t>
            </w:r>
            <w:r>
              <w:rPr>
                <w:rFonts w:ascii="Arial" w:cs="Arial" w:eastAsia="Arial" w:hAnsi="Arial"/>
                <w:sz w:val="16"/>
                <w:szCs w:val="16"/>
                <w:color w:val="auto"/>
                <w:vertAlign w:val="superscript"/>
              </w:rPr>
              <w:t>(a)</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2,035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1,981</w:t>
            </w:r>
          </w:p>
        </w:tc>
        <w:tc>
          <w:tcPr>
            <w:tcW w:w="1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gridSpan w:val="4"/>
            <w:vMerge w:val="restart"/>
          </w:tcPr>
          <w:p>
            <w:pPr>
              <w:ind w:left="1040"/>
              <w:spacing w:after="0"/>
              <w:rPr>
                <w:sz w:val="20"/>
                <w:szCs w:val="20"/>
                <w:color w:val="auto"/>
              </w:rPr>
            </w:pPr>
            <w:r>
              <w:rPr>
                <w:rFonts w:ascii="Arial" w:cs="Arial" w:eastAsia="Arial" w:hAnsi="Arial"/>
                <w:sz w:val="10"/>
                <w:szCs w:val="10"/>
                <w:b w:val="1"/>
                <w:bCs w:val="1"/>
                <w:color w:val="auto"/>
              </w:rPr>
              <w:t>At March 31,</w:t>
            </w: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vMerge w:val="continue"/>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2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Number of Total Electric Customers (Maryland and Delaware)</w:t>
            </w: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gridSpan w:val="2"/>
          </w:tcPr>
          <w:p>
            <w:pPr>
              <w:jc w:val="right"/>
              <w:ind w:right="891"/>
              <w:spacing w:after="0" w:line="104" w:lineRule="exact"/>
              <w:rPr>
                <w:sz w:val="20"/>
                <w:szCs w:val="20"/>
                <w:color w:val="auto"/>
              </w:rPr>
            </w:pPr>
            <w:r>
              <w:rPr>
                <w:rFonts w:ascii="Arial" w:cs="Arial" w:eastAsia="Arial" w:hAnsi="Arial"/>
                <w:sz w:val="10"/>
                <w:szCs w:val="10"/>
                <w:b w:val="1"/>
                <w:bCs w:val="1"/>
                <w:color w:val="auto"/>
              </w:rPr>
              <w:t>2026</w:t>
            </w: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jc w:val="right"/>
              <w:ind w:right="900"/>
              <w:spacing w:after="0" w:line="104" w:lineRule="exact"/>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Residential</w:t>
            </w: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496,074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491,907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gridSpan w:val="3"/>
          </w:tcPr>
          <w:p>
            <w:pPr>
              <w:spacing w:after="0"/>
              <w:rPr>
                <w:sz w:val="20"/>
                <w:szCs w:val="20"/>
                <w:color w:val="auto"/>
              </w:rPr>
            </w:pPr>
            <w:r>
              <w:rPr>
                <w:rFonts w:ascii="Arial" w:cs="Arial" w:eastAsia="Arial" w:hAnsi="Arial"/>
                <w:sz w:val="13"/>
                <w:szCs w:val="13"/>
                <w:color w:val="auto"/>
              </w:rPr>
              <w:t>Small commercial &amp; industrial</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2"/>
          </w:tcPr>
          <w:p>
            <w:pPr>
              <w:jc w:val="right"/>
              <w:ind w:right="11"/>
              <w:spacing w:after="0"/>
              <w:rPr>
                <w:sz w:val="20"/>
                <w:szCs w:val="20"/>
                <w:color w:val="auto"/>
              </w:rPr>
            </w:pPr>
            <w:r>
              <w:rPr>
                <w:rFonts w:ascii="Arial" w:cs="Arial" w:eastAsia="Arial" w:hAnsi="Arial"/>
                <w:sz w:val="13"/>
                <w:szCs w:val="13"/>
                <w:color w:val="auto"/>
              </w:rPr>
              <w:t>65,604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64,999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1,288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Public authorities &amp; electric railroads</w:t>
            </w:r>
          </w:p>
        </w:tc>
        <w:tc>
          <w:tcPr>
            <w:tcW w:w="1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3"/>
                <w:szCs w:val="13"/>
                <w:color w:val="auto"/>
              </w:rPr>
              <w:t>628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1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563,594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Reflects delivery volumes from customers purchasing electricity directly from DPL and customers purchasing electricity from a competitive electric generation supplier as all customers are assessed distribution charges.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Reflects the change in delivery volumes assuming normalized weather based on the historical 20-year average.</w:t>
      </w:r>
    </w:p>
    <w:p>
      <w:pPr>
        <w:spacing w:after="0" w:line="132" w:lineRule="exact"/>
        <w:rPr>
          <w:sz w:val="20"/>
          <w:szCs w:val="20"/>
          <w:color w:val="auto"/>
        </w:rPr>
      </w:pPr>
    </w:p>
    <w:p>
      <w:pPr>
        <w:ind w:left="5520"/>
        <w:spacing w:after="0"/>
        <w:rPr>
          <w:sz w:val="20"/>
          <w:szCs w:val="20"/>
          <w:color w:val="auto"/>
        </w:rPr>
      </w:pPr>
      <w:r>
        <w:rPr>
          <w:rFonts w:ascii="Arial" w:cs="Arial" w:eastAsia="Arial" w:hAnsi="Arial"/>
          <w:sz w:val="10"/>
          <w:szCs w:val="10"/>
          <w:b w:val="1"/>
          <w:bCs w:val="1"/>
          <w:color w:val="auto"/>
        </w:rPr>
        <w:t>Three Months Ended</w:t>
      </w:r>
    </w:p>
    <w:p>
      <w:pPr>
        <w:ind w:left="5800"/>
        <w:spacing w:after="0"/>
        <w:rPr>
          <w:sz w:val="20"/>
          <w:szCs w:val="20"/>
          <w:color w:val="auto"/>
        </w:rPr>
      </w:pPr>
      <w:r>
        <w:rPr>
          <w:rFonts w:ascii="Arial" w:cs="Arial" w:eastAsia="Arial" w:hAnsi="Arial"/>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17780</wp:posOffset>
            </wp:positionV>
            <wp:extent cx="210185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Natural Gas Retail Deliveries to Delaware Customers (in mmcf)</w:t>
            </w:r>
          </w:p>
        </w:tc>
        <w:tc>
          <w:tcPr>
            <w:tcW w:w="1600" w:type="dxa"/>
            <w:vAlign w:val="bottom"/>
            <w:vMerge w:val="restart"/>
          </w:tcPr>
          <w:p>
            <w:pPr>
              <w:jc w:val="right"/>
              <w:ind w:right="639"/>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0"/>
                <w:szCs w:val="10"/>
                <w:color w:val="auto"/>
              </w:rPr>
            </w:pPr>
          </w:p>
        </w:tc>
        <w:tc>
          <w:tcPr>
            <w:tcW w:w="1600" w:type="dxa"/>
            <w:vAlign w:val="bottom"/>
            <w:vMerge w:val="restart"/>
          </w:tcPr>
          <w:p>
            <w:pPr>
              <w:jc w:val="right"/>
              <w:ind w:right="619"/>
              <w:spacing w:after="0"/>
              <w:rPr>
                <w:sz w:val="20"/>
                <w:szCs w:val="20"/>
                <w:color w:val="auto"/>
              </w:rPr>
            </w:pPr>
            <w:r>
              <w:rPr>
                <w:rFonts w:ascii="Arial" w:cs="Arial" w:eastAsia="Arial" w:hAnsi="Arial"/>
                <w:sz w:val="10"/>
                <w:szCs w:val="10"/>
                <w:b w:val="1"/>
                <w:bCs w:val="1"/>
                <w:color w:val="auto"/>
              </w:rPr>
              <w:t>2025</w:t>
            </w:r>
          </w:p>
        </w:tc>
        <w:tc>
          <w:tcPr>
            <w:tcW w:w="120" w:type="dxa"/>
            <w:vAlign w:val="bottom"/>
          </w:tcPr>
          <w:p>
            <w:pPr>
              <w:spacing w:after="0"/>
              <w:rPr>
                <w:sz w:val="10"/>
                <w:szCs w:val="10"/>
                <w:color w:val="auto"/>
              </w:rPr>
            </w:pPr>
          </w:p>
        </w:tc>
        <w:tc>
          <w:tcPr>
            <w:tcW w:w="1800" w:type="dxa"/>
            <w:vAlign w:val="bottom"/>
            <w:gridSpan w:val="2"/>
            <w:vMerge w:val="restart"/>
          </w:tcPr>
          <w:p>
            <w:pPr>
              <w:ind w:left="600"/>
              <w:spacing w:after="0"/>
              <w:rPr>
                <w:sz w:val="20"/>
                <w:szCs w:val="20"/>
                <w:color w:val="auto"/>
              </w:rPr>
            </w:pPr>
            <w:r>
              <w:rPr>
                <w:rFonts w:ascii="Arial" w:cs="Arial" w:eastAsia="Arial" w:hAnsi="Arial"/>
                <w:sz w:val="10"/>
                <w:szCs w:val="10"/>
                <w:b w:val="1"/>
                <w:bCs w:val="1"/>
                <w:color w:val="auto"/>
              </w:rPr>
              <w:t>% Change</w:t>
            </w:r>
          </w:p>
        </w:tc>
        <w:tc>
          <w:tcPr>
            <w:tcW w:w="1680" w:type="dxa"/>
            <w:vAlign w:val="bottom"/>
          </w:tcPr>
          <w:p>
            <w:pPr>
              <w:jc w:val="right"/>
              <w:ind w:right="360"/>
              <w:spacing w:after="0"/>
              <w:rPr>
                <w:sz w:val="20"/>
                <w:szCs w:val="20"/>
                <w:color w:val="auto"/>
              </w:rPr>
            </w:pPr>
            <w:r>
              <w:rPr>
                <w:rFonts w:ascii="Arial" w:cs="Arial" w:eastAsia="Arial" w:hAnsi="Arial"/>
                <w:sz w:val="10"/>
                <w:szCs w:val="10"/>
                <w:b w:val="1"/>
                <w:bCs w:val="1"/>
                <w:color w:val="auto"/>
              </w:rPr>
              <w:t>Weather - Normal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60" w:type="dxa"/>
            <w:vAlign w:val="bottom"/>
            <w:gridSpan w:val="2"/>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680" w:type="dxa"/>
            <w:vAlign w:val="bottom"/>
          </w:tcPr>
          <w:p>
            <w:pPr>
              <w:jc w:val="right"/>
              <w:ind w:right="500"/>
              <w:spacing w:after="0" w:line="117" w:lineRule="exact"/>
              <w:rPr>
                <w:sz w:val="20"/>
                <w:szCs w:val="20"/>
                <w:color w:val="auto"/>
              </w:rPr>
            </w:pPr>
            <w:r>
              <w:rPr>
                <w:rFonts w:ascii="Arial" w:cs="Arial" w:eastAsia="Arial" w:hAnsi="Arial"/>
                <w:sz w:val="10"/>
                <w:szCs w:val="10"/>
                <w:b w:val="1"/>
                <w:bCs w:val="1"/>
                <w:color w:val="auto"/>
              </w:rPr>
              <w:t>% Change</w:t>
            </w:r>
            <w:r>
              <w:rPr>
                <w:rFonts w:ascii="Arial" w:cs="Arial" w:eastAsia="Arial" w:hAnsi="Arial"/>
                <w:sz w:val="12"/>
                <w:szCs w:val="12"/>
                <w:b w:val="1"/>
                <w:bCs w:val="1"/>
                <w:color w:val="auto"/>
                <w:vertAlign w:val="superscript"/>
              </w:rPr>
              <w:t>(b)</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4,678</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3"/>
                <w:szCs w:val="13"/>
                <w:color w:val="auto"/>
              </w:rPr>
              <w:t>Small commercial &amp; industrial</w:t>
            </w:r>
          </w:p>
        </w:tc>
        <w:tc>
          <w:tcPr>
            <w:tcW w:w="1600" w:type="dxa"/>
            <w:vAlign w:val="bottom"/>
          </w:tcPr>
          <w:p>
            <w:pPr>
              <w:jc w:val="right"/>
              <w:spacing w:after="0"/>
              <w:rPr>
                <w:sz w:val="20"/>
                <w:szCs w:val="20"/>
                <w:color w:val="auto"/>
              </w:rPr>
            </w:pPr>
            <w:r>
              <w:rPr>
                <w:rFonts w:ascii="Arial" w:cs="Arial" w:eastAsia="Arial" w:hAnsi="Arial"/>
                <w:sz w:val="13"/>
                <w:szCs w:val="13"/>
                <w:color w:val="auto"/>
              </w:rPr>
              <w:t>2,128</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1,970</w:t>
            </w:r>
          </w:p>
        </w:tc>
        <w:tc>
          <w:tcPr>
            <w:tcW w:w="1820" w:type="dxa"/>
            <w:vAlign w:val="bottom"/>
            <w:gridSpan w:val="2"/>
          </w:tcPr>
          <w:p>
            <w:pPr>
              <w:jc w:val="right"/>
              <w:spacing w:after="0"/>
              <w:rPr>
                <w:sz w:val="20"/>
                <w:szCs w:val="20"/>
                <w:color w:val="auto"/>
              </w:rPr>
            </w:pPr>
            <w:r>
              <w:rPr>
                <w:rFonts w:ascii="Arial" w:cs="Arial" w:eastAsia="Arial" w:hAnsi="Arial"/>
                <w:sz w:val="13"/>
                <w:szCs w:val="13"/>
                <w:color w:val="auto"/>
              </w:rPr>
              <w:t>8.0 %</w:t>
            </w: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Transportation</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2,027</w:t>
            </w:r>
          </w:p>
        </w:tc>
        <w:tc>
          <w:tcPr>
            <w:tcW w:w="10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2,106</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436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3"/>
                <w:szCs w:val="13"/>
                <w:color w:val="auto"/>
              </w:rPr>
              <w:t>Total natural gas deliveries</w:t>
            </w:r>
            <w:r>
              <w:rPr>
                <w:rFonts w:ascii="Arial" w:cs="Arial" w:eastAsia="Arial" w:hAnsi="Arial"/>
                <w:sz w:val="16"/>
                <w:szCs w:val="16"/>
                <w:color w:val="auto"/>
                <w:vertAlign w:val="superscript"/>
              </w:rPr>
              <w:t>(a)</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9,262</w:t>
            </w: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9,094</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DPL</w:t>
            </w:r>
          </w:p>
        </w:tc>
      </w:tr>
      <w:tr>
        <w:trPr>
          <w:trHeight w:val="753"/>
        </w:trPr>
        <w:tc>
          <w:tcPr>
            <w:tcW w:w="21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80" w:type="dxa"/>
            <w:vAlign w:val="bottom"/>
            <w:tcBorders>
              <w:bottom w:val="single" w:sz="8" w:color="auto"/>
            </w:tcBorders>
            <w:gridSpan w:val="3"/>
          </w:tcPr>
          <w:p>
            <w:pPr>
              <w:ind w:left="1760"/>
              <w:spacing w:after="0"/>
              <w:rPr>
                <w:sz w:val="20"/>
                <w:szCs w:val="20"/>
                <w:color w:val="auto"/>
              </w:rPr>
            </w:pPr>
            <w:r>
              <w:rPr>
                <w:rFonts w:ascii="Arial" w:cs="Arial" w:eastAsia="Arial" w:hAnsi="Arial"/>
                <w:sz w:val="10"/>
                <w:szCs w:val="10"/>
                <w:b w:val="1"/>
                <w:bCs w:val="1"/>
                <w:color w:val="auto"/>
              </w:rPr>
              <w:t>At March 31,</w:t>
            </w:r>
          </w:p>
        </w:tc>
        <w:tc>
          <w:tcPr>
            <w:tcW w:w="1440" w:type="dxa"/>
            <w:vAlign w:val="bottom"/>
            <w:tcBorders>
              <w:bottom w:val="single" w:sz="8" w:color="auto"/>
            </w:tcBorders>
          </w:tcPr>
          <w:p>
            <w:pPr>
              <w:spacing w:after="0"/>
              <w:rPr>
                <w:sz w:val="24"/>
                <w:szCs w:val="24"/>
                <w:color w:val="auto"/>
              </w:rPr>
            </w:pPr>
          </w:p>
        </w:tc>
      </w:tr>
      <w:tr>
        <w:trPr>
          <w:trHeight w:val="103"/>
        </w:trPr>
        <w:tc>
          <w:tcPr>
            <w:tcW w:w="714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Number of Delaware Natural Gas Customers</w:t>
            </w:r>
          </w:p>
        </w:tc>
        <w:tc>
          <w:tcPr>
            <w:tcW w:w="2000" w:type="dxa"/>
            <w:vAlign w:val="bottom"/>
          </w:tcPr>
          <w:p>
            <w:pPr>
              <w:jc w:val="right"/>
              <w:ind w:right="840"/>
              <w:spacing w:after="0" w:line="104"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40" w:type="dxa"/>
            <w:vAlign w:val="bottom"/>
          </w:tcPr>
          <w:p>
            <w:pPr>
              <w:jc w:val="right"/>
              <w:ind w:right="837"/>
              <w:spacing w:after="0" w:line="104" w:lineRule="exact"/>
              <w:rPr>
                <w:sz w:val="20"/>
                <w:szCs w:val="20"/>
                <w:color w:val="auto"/>
              </w:rPr>
            </w:pPr>
            <w:r>
              <w:rPr>
                <w:rFonts w:ascii="Arial" w:cs="Arial" w:eastAsia="Arial" w:hAnsi="Arial"/>
                <w:sz w:val="10"/>
                <w:szCs w:val="10"/>
                <w:b w:val="1"/>
                <w:bCs w:val="1"/>
                <w:color w:val="auto"/>
              </w:rPr>
              <w:t>2025</w:t>
            </w:r>
          </w:p>
        </w:tc>
      </w:tr>
      <w:tr>
        <w:trPr>
          <w:trHeight w:val="20"/>
        </w:trPr>
        <w:tc>
          <w:tcPr>
            <w:tcW w:w="210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52"/>
        </w:trPr>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132,419</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131,716</w:t>
            </w:r>
          </w:p>
        </w:tc>
      </w:tr>
      <w:tr>
        <w:trPr>
          <w:trHeight w:val="169"/>
        </w:trPr>
        <w:tc>
          <w:tcPr>
            <w:tcW w:w="7140" w:type="dxa"/>
            <w:vAlign w:val="bottom"/>
            <w:gridSpan w:val="2"/>
          </w:tcPr>
          <w:p>
            <w:pPr>
              <w:spacing w:after="0"/>
              <w:rPr>
                <w:sz w:val="20"/>
                <w:szCs w:val="20"/>
                <w:color w:val="auto"/>
              </w:rPr>
            </w:pPr>
            <w:r>
              <w:rPr>
                <w:rFonts w:ascii="Arial" w:cs="Arial" w:eastAsia="Arial" w:hAnsi="Arial"/>
                <w:sz w:val="13"/>
                <w:szCs w:val="13"/>
                <w:color w:val="auto"/>
              </w:rPr>
              <w:t>Small commercial &amp; industrial</w:t>
            </w:r>
          </w:p>
        </w:tc>
        <w:tc>
          <w:tcPr>
            <w:tcW w:w="2000" w:type="dxa"/>
            <w:vAlign w:val="bottom"/>
          </w:tcPr>
          <w:p>
            <w:pPr>
              <w:jc w:val="right"/>
              <w:spacing w:after="0"/>
              <w:rPr>
                <w:sz w:val="20"/>
                <w:szCs w:val="20"/>
                <w:color w:val="auto"/>
              </w:rPr>
            </w:pPr>
            <w:r>
              <w:rPr>
                <w:rFonts w:ascii="Arial" w:cs="Arial" w:eastAsia="Arial" w:hAnsi="Arial"/>
                <w:sz w:val="13"/>
                <w:szCs w:val="13"/>
                <w:color w:val="auto"/>
              </w:rPr>
              <w:t>10,285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10,254</w:t>
            </w:r>
          </w:p>
        </w:tc>
      </w:tr>
      <w:tr>
        <w:trPr>
          <w:trHeight w:val="171"/>
        </w:trPr>
        <w:tc>
          <w:tcPr>
            <w:tcW w:w="7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69"/>
        </w:trPr>
        <w:tc>
          <w:tcPr>
            <w:tcW w:w="71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Transportation</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r>
      <w:tr>
        <w:trPr>
          <w:trHeight w:val="187"/>
        </w:trPr>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142,877</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142,146</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Reflects delivery volumes from customers purchasing natural gas directly from DPL and customers purchasing natural gas from a competitive natural gas supplier as all customers are assessed distribution charges.</w:t>
      </w:r>
    </w:p>
    <w:p>
      <w:pPr>
        <w:spacing w:after="0" w:line="3" w:lineRule="exact"/>
        <w:rPr>
          <w:rFonts w:ascii="Arial" w:cs="Arial" w:eastAsia="Arial" w:hAnsi="Arial"/>
          <w:sz w:val="11"/>
          <w:szCs w:val="11"/>
          <w:color w:val="auto"/>
        </w:rPr>
      </w:pPr>
    </w:p>
    <w:p>
      <w:pPr>
        <w:ind w:left="240" w:hanging="235"/>
        <w:spacing w:after="0"/>
        <w:tabs>
          <w:tab w:leader="none" w:pos="2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Reflects the change in delivery volumes assuming normalized weather based on the historical 30-year average.</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Distribution Revenue </w:t>
      </w:r>
      <w:r>
        <w:rPr>
          <w:rFonts w:ascii="Arial" w:cs="Arial" w:eastAsia="Arial" w:hAnsi="Arial"/>
          <w:sz w:val="13"/>
          <w:szCs w:val="13"/>
          <w:color w:val="auto"/>
        </w:rPr>
        <w:t>increased for the three months ended March 31, 2026 compared to the same period in 2025 primarily due to Delaware natural gas rates that became effective in 2025 &amp; electric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DSIC rates that became effective in 2026.</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Transmission Revenue. </w:t>
      </w:r>
      <w:r>
        <w:rPr>
          <w:rFonts w:ascii="Arial" w:cs="Arial" w:eastAsia="Arial" w:hAnsi="Arial"/>
          <w:sz w:val="13"/>
          <w:szCs w:val="13"/>
          <w:color w:val="auto"/>
        </w:rPr>
        <w:t>Under a FERC-approved formula, transmission revenue varies from year to year based upon fluctuations in the underlying costs and capital investments being recovered.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During the three months ended March 31, 2026 compared to the same period in 2025, transmission revenue remained relatively consistent.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Other Revenue </w:t>
      </w:r>
      <w:r>
        <w:rPr>
          <w:rFonts w:ascii="Arial" w:cs="Arial" w:eastAsia="Arial" w:hAnsi="Arial"/>
          <w:sz w:val="13"/>
          <w:szCs w:val="13"/>
          <w:color w:val="auto"/>
        </w:rPr>
        <w:t>includes rental revenue, service connection fees, and mutual assistance revenues.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Regulatory Required Programs </w:t>
      </w:r>
      <w:r>
        <w:rPr>
          <w:rFonts w:ascii="Arial" w:cs="Arial" w:eastAsia="Arial" w:hAnsi="Arial"/>
          <w:sz w:val="13"/>
          <w:szCs w:val="13"/>
          <w:color w:val="auto"/>
        </w:rPr>
        <w:t>represent revenues collected under approved riders to recover costs incurred for regulatory programs. The riders are designed to provide full and current cost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recovery as well as a return in certain instances. All customers have the choice to purchase electricity from competitive electric generation suppliers; however, only certain commercial and industrial customers have the choice to purchase natural gas from competitive natural gas suppliers. Customer choice programs do not impact the volume of deliveries as DPL remains the distribution service provider for all customers and charges a regulated rate for distribution service. For customers that choose to purchase electric generation or natural gas from competitive suppliers, this is treated as a pass through for DPL and therefore, financial results are not impacted if customers purchase electricity or natural gas supply from these alternative suppliers. For customers that choose to purchase electric generation or natural gas from DPL, DPL is permitted to recover costs from customers.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See Note 4 — Segment Information of the Combined Notes to Consolidated Financial Statements for the presentation of DPL's revenue disaggregation.</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increase of $42 million for the three months ended March 31, 2026, respectively, compared to the same period in 2025 in </w:t>
      </w:r>
      <w:r>
        <w:rPr>
          <w:rFonts w:ascii="Arial" w:cs="Arial" w:eastAsia="Arial" w:hAnsi="Arial"/>
          <w:sz w:val="13"/>
          <w:szCs w:val="13"/>
          <w:b w:val="1"/>
          <w:bCs w:val="1"/>
          <w:color w:val="auto"/>
        </w:rPr>
        <w:t>Purchased power and fuel expense</w:t>
      </w:r>
      <w:r>
        <w:rPr>
          <w:rFonts w:ascii="Arial" w:cs="Arial" w:eastAsia="Arial" w:hAnsi="Arial"/>
          <w:sz w:val="13"/>
          <w:szCs w:val="13"/>
          <w:color w:val="auto"/>
        </w:rPr>
        <w:t xml:space="preserve"> is fully offset in Operating revenues as part of regulatory required programs.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and maintenance expense</w:t>
      </w:r>
      <w:r>
        <w:rPr>
          <w:rFonts w:ascii="Arial" w:cs="Arial" w:eastAsia="Arial" w:hAnsi="Arial"/>
          <w:sz w:val="13"/>
          <w:szCs w:val="13"/>
          <w:color w:val="auto"/>
        </w:rPr>
        <w:t xml:space="preserve">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tcPr>
          <w:p>
            <w:pPr>
              <w:jc w:val="center"/>
              <w:ind w:right="321"/>
              <w:spacing w:after="0"/>
              <w:rPr>
                <w:sz w:val="20"/>
                <w:szCs w:val="20"/>
                <w:color w:val="auto"/>
              </w:rPr>
            </w:pPr>
            <w:r>
              <w:rPr>
                <w:rFonts w:ascii="Arial" w:cs="Arial" w:eastAsia="Arial" w:hAnsi="Arial"/>
                <w:sz w:val="10"/>
                <w:szCs w:val="10"/>
                <w:b w:val="1"/>
                <w:bCs w:val="1"/>
                <w:color w:val="auto"/>
                <w:w w:val="99"/>
              </w:rPr>
              <w:t>Three Months Ended</w:t>
            </w:r>
          </w:p>
        </w:tc>
      </w:tr>
      <w:tr>
        <w:trPr>
          <w:trHeight w:val="142"/>
        </w:trPr>
        <w:tc>
          <w:tcPr>
            <w:tcW w:w="90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center"/>
              <w:ind w:right="301"/>
              <w:spacing w:after="0"/>
              <w:rPr>
                <w:sz w:val="20"/>
                <w:szCs w:val="20"/>
                <w:color w:val="auto"/>
              </w:rPr>
            </w:pPr>
            <w:r>
              <w:rPr>
                <w:rFonts w:ascii="Arial" w:cs="Arial" w:eastAsia="Arial" w:hAnsi="Arial"/>
                <w:sz w:val="10"/>
                <w:szCs w:val="10"/>
                <w:b w:val="1"/>
                <w:bCs w:val="1"/>
                <w:color w:val="auto"/>
              </w:rPr>
              <w:t>March 31, 2026</w:t>
            </w:r>
          </w:p>
        </w:tc>
      </w:tr>
      <w:tr>
        <w:trPr>
          <w:trHeight w:val="134"/>
        </w:trPr>
        <w:tc>
          <w:tcPr>
            <w:tcW w:w="90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center"/>
              <w:ind w:right="301"/>
              <w:spacing w:after="0"/>
              <w:rPr>
                <w:sz w:val="20"/>
                <w:szCs w:val="20"/>
                <w:color w:val="auto"/>
              </w:rPr>
            </w:pPr>
            <w:r>
              <w:rPr>
                <w:rFonts w:ascii="Arial" w:cs="Arial" w:eastAsia="Arial" w:hAnsi="Arial"/>
                <w:sz w:val="10"/>
                <w:szCs w:val="10"/>
                <w:b w:val="1"/>
                <w:bCs w:val="1"/>
                <w:color w:val="auto"/>
                <w:w w:val="97"/>
              </w:rPr>
              <w:t>Increase (Decrease)</w:t>
            </w:r>
          </w:p>
        </w:tc>
      </w:tr>
      <w:tr>
        <w:trPr>
          <w:trHeight w:val="162"/>
        </w:trPr>
        <w:tc>
          <w:tcPr>
            <w:tcW w:w="9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Storm-related costs</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5</w:t>
            </w:r>
          </w:p>
        </w:tc>
      </w:tr>
      <w:tr>
        <w:trPr>
          <w:trHeight w:val="169"/>
        </w:trPr>
        <w:tc>
          <w:tcPr>
            <w:tcW w:w="9040" w:type="dxa"/>
            <w:vAlign w:val="bottom"/>
          </w:tcPr>
          <w:p>
            <w:pPr>
              <w:ind w:left="20"/>
              <w:spacing w:after="0"/>
              <w:rPr>
                <w:sz w:val="20"/>
                <w:szCs w:val="20"/>
                <w:color w:val="auto"/>
              </w:rPr>
            </w:pPr>
            <w:r>
              <w:rPr>
                <w:rFonts w:ascii="Arial" w:cs="Arial" w:eastAsia="Arial" w:hAnsi="Arial"/>
                <w:sz w:val="13"/>
                <w:szCs w:val="13"/>
                <w:color w:val="auto"/>
              </w:rPr>
              <w:t>Labor, other benefits, contracting, and materials</w:t>
            </w:r>
          </w:p>
        </w:tc>
        <w:tc>
          <w:tcPr>
            <w:tcW w:w="360" w:type="dxa"/>
            <w:vAlign w:val="bottom"/>
          </w:tcPr>
          <w:p>
            <w:pPr>
              <w:spacing w:after="0"/>
              <w:rPr>
                <w:sz w:val="14"/>
                <w:szCs w:val="14"/>
                <w:color w:val="auto"/>
              </w:rPr>
            </w:pPr>
          </w:p>
        </w:tc>
        <w:tc>
          <w:tcPr>
            <w:tcW w:w="1880" w:type="dxa"/>
            <w:vAlign w:val="bottom"/>
          </w:tcPr>
          <w:p>
            <w:pPr>
              <w:jc w:val="right"/>
              <w:ind w:right="1"/>
              <w:spacing w:after="0"/>
              <w:rPr>
                <w:sz w:val="20"/>
                <w:szCs w:val="20"/>
                <w:color w:val="auto"/>
              </w:rPr>
            </w:pPr>
            <w:r>
              <w:rPr>
                <w:rFonts w:ascii="Arial" w:cs="Arial" w:eastAsia="Arial" w:hAnsi="Arial"/>
                <w:sz w:val="13"/>
                <w:szCs w:val="13"/>
                <w:color w:val="auto"/>
              </w:rPr>
              <w:t>2</w:t>
            </w:r>
          </w:p>
        </w:tc>
      </w:tr>
      <w:tr>
        <w:trPr>
          <w:trHeight w:val="170"/>
        </w:trPr>
        <w:tc>
          <w:tcPr>
            <w:tcW w:w="9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loss expense</w:t>
            </w:r>
          </w:p>
        </w:tc>
        <w:tc>
          <w:tcPr>
            <w:tcW w:w="3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0"/>
        </w:trPr>
        <w:tc>
          <w:tcPr>
            <w:tcW w:w="9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tcPr>
          <w:p>
            <w:pPr>
              <w:jc w:val="right"/>
              <w:ind w:right="1"/>
              <w:spacing w:after="0"/>
              <w:rPr>
                <w:sz w:val="20"/>
                <w:szCs w:val="20"/>
                <w:color w:val="auto"/>
              </w:rPr>
            </w:pPr>
            <w:r>
              <w:rPr>
                <w:rFonts w:ascii="Arial" w:cs="Arial" w:eastAsia="Arial" w:hAnsi="Arial"/>
                <w:sz w:val="13"/>
                <w:szCs w:val="13"/>
                <w:color w:val="auto"/>
              </w:rPr>
              <w:t>5</w:t>
            </w:r>
          </w:p>
        </w:tc>
      </w:tr>
      <w:tr>
        <w:trPr>
          <w:trHeight w:val="192"/>
        </w:trPr>
        <w:tc>
          <w:tcPr>
            <w:tcW w:w="9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required programs</w:t>
            </w:r>
            <w:r>
              <w:rPr>
                <w:rFonts w:ascii="Arial" w:cs="Arial" w:eastAsia="Arial" w:hAnsi="Arial"/>
                <w:sz w:val="16"/>
                <w:szCs w:val="16"/>
                <w:color w:val="auto"/>
                <w:vertAlign w:val="superscript"/>
              </w:rPr>
              <w:t>(a)</w:t>
            </w:r>
          </w:p>
        </w:tc>
        <w:tc>
          <w:tcPr>
            <w:tcW w:w="36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7</w:t>
            </w:r>
          </w:p>
        </w:tc>
      </w:tr>
      <w:tr>
        <w:trPr>
          <w:trHeight w:val="182"/>
        </w:trPr>
        <w:tc>
          <w:tcPr>
            <w:tcW w:w="9040" w:type="dxa"/>
            <w:vAlign w:val="bottom"/>
          </w:tcPr>
          <w:p>
            <w:pPr>
              <w:ind w:left="20"/>
              <w:spacing w:after="0"/>
              <w:rPr>
                <w:sz w:val="20"/>
                <w:szCs w:val="20"/>
                <w:color w:val="auto"/>
              </w:rPr>
            </w:pPr>
            <w:r>
              <w:rPr>
                <w:rFonts w:ascii="Arial" w:cs="Arial" w:eastAsia="Arial" w:hAnsi="Arial"/>
                <w:sz w:val="13"/>
                <w:szCs w:val="13"/>
                <w:color w:val="auto"/>
              </w:rPr>
              <w:t>Total increase</w:t>
            </w: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12</w:t>
            </w:r>
          </w:p>
        </w:tc>
      </w:tr>
      <w:tr>
        <w:trPr>
          <w:trHeight w:val="20"/>
        </w:trPr>
        <w:tc>
          <w:tcPr>
            <w:tcW w:w="9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Reflects the cost recovery associated with EmPOWER Maryland. Please refer to 2025 10-K Note 2 — Regulatory Matters of the Combined Notes to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changes in </w:t>
      </w:r>
      <w:r>
        <w:rPr>
          <w:rFonts w:ascii="Arial" w:cs="Arial" w:eastAsia="Arial" w:hAnsi="Arial"/>
          <w:sz w:val="12"/>
          <w:szCs w:val="12"/>
          <w:b w:val="1"/>
          <w:bCs w:val="1"/>
          <w:color w:val="auto"/>
        </w:rPr>
        <w:t>Depreciation and amortization expense</w:t>
      </w:r>
      <w:r>
        <w:rPr>
          <w:rFonts w:ascii="Arial" w:cs="Arial" w:eastAsia="Arial" w:hAnsi="Arial"/>
          <w:sz w:val="12"/>
          <w:szCs w:val="12"/>
          <w:color w:val="auto"/>
        </w:rPr>
        <w:t xml:space="preserv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161530"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and amortization</w:t>
      </w:r>
      <w:r>
        <w:rPr>
          <w:rFonts w:ascii="Arial" w:cs="Arial" w:eastAsia="Arial" w:hAnsi="Arial"/>
          <w:sz w:val="16"/>
          <w:szCs w:val="16"/>
          <w:color w:val="auto"/>
          <w:vertAlign w:val="superscript"/>
        </w:rPr>
        <w:t>(a)</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Regulatory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1212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Regulatory required programs</w:t>
      </w:r>
      <w:r>
        <w:rPr>
          <w:rFonts w:ascii="Arial" w:cs="Arial" w:eastAsia="Arial" w:hAnsi="Arial"/>
          <w:sz w:val="16"/>
          <w:szCs w:val="16"/>
          <w:color w:val="auto"/>
          <w:vertAlign w:val="superscript"/>
        </w:rPr>
        <w:t>(b)</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increase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0" w:type="dxa"/>
            <w:vAlign w:val="bottom"/>
          </w:tcPr>
          <w:p>
            <w:pPr>
              <w:spacing w:after="0"/>
              <w:rPr>
                <w:sz w:val="10"/>
                <w:szCs w:val="10"/>
                <w:color w:val="auto"/>
              </w:rPr>
            </w:pPr>
          </w:p>
        </w:tc>
        <w:tc>
          <w:tcPr>
            <w:tcW w:w="1880" w:type="dxa"/>
            <w:vAlign w:val="bottom"/>
          </w:tcPr>
          <w:p>
            <w:pPr>
              <w:jc w:val="center"/>
              <w:ind w:right="322"/>
              <w:spacing w:after="0"/>
              <w:rPr>
                <w:sz w:val="20"/>
                <w:szCs w:val="20"/>
                <w:color w:val="auto"/>
              </w:rPr>
            </w:pPr>
            <w:r>
              <w:rPr>
                <w:rFonts w:ascii="Arial" w:cs="Arial" w:eastAsia="Arial" w:hAnsi="Arial"/>
                <w:sz w:val="10"/>
                <w:szCs w:val="10"/>
                <w:b w:val="1"/>
                <w:bCs w:val="1"/>
                <w:color w:val="auto"/>
                <w:w w:val="99"/>
              </w:rPr>
              <w:t>Three Months Ended</w:t>
            </w:r>
          </w:p>
        </w:tc>
      </w:tr>
      <w:tr>
        <w:trPr>
          <w:trHeight w:val="139"/>
        </w:trPr>
        <w:tc>
          <w:tcPr>
            <w:tcW w:w="3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center"/>
              <w:ind w:right="302"/>
              <w:spacing w:after="0"/>
              <w:rPr>
                <w:sz w:val="20"/>
                <w:szCs w:val="20"/>
                <w:color w:val="auto"/>
              </w:rPr>
            </w:pPr>
            <w:r>
              <w:rPr>
                <w:rFonts w:ascii="Arial" w:cs="Arial" w:eastAsia="Arial" w:hAnsi="Arial"/>
                <w:sz w:val="10"/>
                <w:szCs w:val="10"/>
                <w:b w:val="1"/>
                <w:bCs w:val="1"/>
                <w:color w:val="auto"/>
              </w:rPr>
              <w:t>March 31, 2026</w:t>
            </w:r>
          </w:p>
        </w:tc>
      </w:tr>
      <w:tr>
        <w:trPr>
          <w:trHeight w:val="131"/>
        </w:trPr>
        <w:tc>
          <w:tcPr>
            <w:tcW w:w="3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center"/>
              <w:ind w:right="302"/>
              <w:spacing w:after="0"/>
              <w:rPr>
                <w:sz w:val="20"/>
                <w:szCs w:val="20"/>
                <w:color w:val="auto"/>
              </w:rPr>
            </w:pPr>
            <w:r>
              <w:rPr>
                <w:rFonts w:ascii="Arial" w:cs="Arial" w:eastAsia="Arial" w:hAnsi="Arial"/>
                <w:sz w:val="10"/>
                <w:szCs w:val="10"/>
                <w:b w:val="1"/>
                <w:bCs w:val="1"/>
                <w:color w:val="auto"/>
                <w:w w:val="98"/>
              </w:rPr>
              <w:t>Increase</w:t>
            </w:r>
          </w:p>
        </w:tc>
      </w:tr>
      <w:tr>
        <w:trPr>
          <w:trHeight w:val="170"/>
        </w:trPr>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Pr>
          <w:p>
            <w:pPr>
              <w:jc w:val="right"/>
              <w:ind w:right="2"/>
              <w:spacing w:after="0"/>
              <w:rPr>
                <w:sz w:val="20"/>
                <w:szCs w:val="20"/>
                <w:color w:val="auto"/>
              </w:rPr>
            </w:pPr>
            <w:r>
              <w:rPr>
                <w:rFonts w:ascii="Arial" w:cs="Arial" w:eastAsia="Arial" w:hAnsi="Arial"/>
                <w:sz w:val="13"/>
                <w:szCs w:val="13"/>
                <w:color w:val="auto"/>
              </w:rPr>
              <w:t>2</w:t>
            </w:r>
          </w:p>
        </w:tc>
      </w:tr>
      <w:tr>
        <w:trPr>
          <w:trHeight w:val="191"/>
        </w:trPr>
        <w:tc>
          <w:tcPr>
            <w:tcW w:w="360" w:type="dxa"/>
            <w:vAlign w:val="bottom"/>
          </w:tcPr>
          <w:p>
            <w:pPr>
              <w:spacing w:after="0"/>
              <w:rPr>
                <w:sz w:val="16"/>
                <w:szCs w:val="16"/>
                <w:color w:val="auto"/>
              </w:rPr>
            </w:pPr>
          </w:p>
        </w:tc>
        <w:tc>
          <w:tcPr>
            <w:tcW w:w="1880" w:type="dxa"/>
            <w:vAlign w:val="bottom"/>
          </w:tcPr>
          <w:p>
            <w:pPr>
              <w:jc w:val="right"/>
              <w:ind w:right="2"/>
              <w:spacing w:after="0"/>
              <w:rPr>
                <w:sz w:val="20"/>
                <w:szCs w:val="20"/>
                <w:color w:val="auto"/>
              </w:rPr>
            </w:pPr>
            <w:r>
              <w:rPr>
                <w:rFonts w:ascii="Arial" w:cs="Arial" w:eastAsia="Arial" w:hAnsi="Arial"/>
                <w:sz w:val="13"/>
                <w:szCs w:val="13"/>
                <w:color w:val="auto"/>
              </w:rPr>
              <w:t>—</w:t>
            </w:r>
          </w:p>
        </w:tc>
      </w:tr>
      <w:tr>
        <w:trPr>
          <w:trHeight w:val="198"/>
        </w:trPr>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w:t>
            </w:r>
          </w:p>
        </w:tc>
      </w:tr>
      <w:tr>
        <w:trPr>
          <w:trHeight w:val="182"/>
        </w:trPr>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ectPr>
          <w:pgSz w:w="11900" w:h="16838" w:orient="portrait"/>
          <w:cols w:equalWidth="0" w:num="2">
            <w:col w:w="8320" w:space="720"/>
            <w:col w:w="2240"/>
          </w:cols>
          <w:pgMar w:left="300" w:top="316" w:right="319" w:bottom="1440" w:gutter="0" w:footer="0" w:header="0"/>
        </w:sect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9"/>
        </w:numPr>
        <w:rPr>
          <w:rFonts w:ascii="Arial" w:cs="Arial" w:eastAsia="Arial" w:hAnsi="Arial"/>
          <w:sz w:val="11"/>
          <w:szCs w:val="11"/>
          <w:color w:val="auto"/>
        </w:rPr>
      </w:pPr>
      <w:r>
        <w:rPr>
          <w:rFonts w:ascii="Arial" w:cs="Arial" w:eastAsia="Arial" w:hAnsi="Arial"/>
          <w:sz w:val="11"/>
          <w:szCs w:val="11"/>
          <w:color w:val="auto"/>
        </w:rPr>
        <w:t>Depreciation and amortization increased primarily due to ongoing capital expenditures.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Reflects the cost recovery associated with EmPOWER Maryland. Please refer to 2025 10-K Note 2 — Regulatory Matters of the Combined Notes to Consolidated Financial Statements for additional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Taxes other than income taxes </w:t>
      </w:r>
      <w:r>
        <w:rPr>
          <w:rFonts w:ascii="Arial" w:cs="Arial" w:eastAsia="Arial" w:hAnsi="Arial"/>
          <w:sz w:val="12"/>
          <w:szCs w:val="12"/>
          <w:color w:val="auto"/>
        </w:rPr>
        <w:t>increased by $5 million for the three months ended March 31, 2026, respectively, compared to the same period in 2025 primarily due to an increase in property taxes.</w:t>
      </w:r>
    </w:p>
    <w:p>
      <w:pPr>
        <w:spacing w:after="0" w:line="148"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Effective income tax rates </w:t>
      </w:r>
      <w:r>
        <w:rPr>
          <w:rFonts w:ascii="Arial" w:cs="Arial" w:eastAsia="Arial" w:hAnsi="Arial"/>
          <w:sz w:val="13"/>
          <w:szCs w:val="13"/>
          <w:color w:val="auto"/>
        </w:rPr>
        <w:t>were 23.0% and 23.3% for the three months ended March 31, 2026 and 2025, respectively. See Note 6 — Income Taxes of the Combined Notes to Consolidated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Statements for additional information regarding the components of the effective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w w:val="90"/>
              </w:rPr>
              <w:t>ACE</w:t>
            </w:r>
          </w:p>
        </w:tc>
      </w:tr>
      <w:tr>
        <w:trPr>
          <w:trHeight w:val="906"/>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 — ACE</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7"/>
        </w:trPr>
        <w:tc>
          <w:tcPr>
            <w:tcW w:w="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0"/>
                <w:szCs w:val="10"/>
                <w:b w:val="1"/>
                <w:bCs w:val="1"/>
                <w:color w:val="auto"/>
                <w:w w:val="98"/>
              </w:rPr>
              <w:t>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2026</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161"/>
              <w:spacing w:after="0"/>
              <w:rPr>
                <w:sz w:val="20"/>
                <w:szCs w:val="20"/>
                <w:color w:val="auto"/>
              </w:rPr>
            </w:pPr>
            <w:r>
              <w:rPr>
                <w:rFonts w:ascii="Arial" w:cs="Arial" w:eastAsia="Arial" w:hAnsi="Arial"/>
                <w:sz w:val="10"/>
                <w:szCs w:val="10"/>
                <w:b w:val="1"/>
                <w:bCs w:val="1"/>
                <w:color w:val="auto"/>
              </w:rPr>
              <w:t>2025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tcPr>
          <w:p>
            <w:pPr>
              <w:ind w:left="40"/>
              <w:spacing w:after="0"/>
              <w:rPr>
                <w:sz w:val="20"/>
                <w:szCs w:val="20"/>
                <w:color w:val="auto"/>
              </w:rPr>
            </w:pPr>
            <w:r>
              <w:rPr>
                <w:rFonts w:ascii="Arial" w:cs="Arial" w:eastAsia="Arial" w:hAnsi="Arial"/>
                <w:sz w:val="10"/>
                <w:szCs w:val="10"/>
                <w:b w:val="1"/>
                <w:bCs w:val="1"/>
                <w:color w:val="auto"/>
              </w:rPr>
              <w:t>Favorable (Unfavorable) Variance</w:t>
            </w:r>
          </w:p>
        </w:tc>
      </w:tr>
      <w:tr>
        <w:trPr>
          <w:trHeight w:val="164"/>
        </w:trPr>
        <w:tc>
          <w:tcPr>
            <w:tcW w:w="80" w:type="dxa"/>
            <w:vAlign w:val="bottom"/>
          </w:tcPr>
          <w:p>
            <w:pPr>
              <w:spacing w:after="0"/>
              <w:rPr>
                <w:sz w:val="14"/>
                <w:szCs w:val="14"/>
                <w:color w:val="auto"/>
              </w:rPr>
            </w:pPr>
          </w:p>
        </w:tc>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96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21"/>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Purchased power</w:t>
            </w: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r>
      <w:tr>
        <w:trPr>
          <w:trHeight w:val="169"/>
        </w:trPr>
        <w:tc>
          <w:tcPr>
            <w:tcW w:w="80" w:type="dxa"/>
            <w:vAlign w:val="bottom"/>
          </w:tcPr>
          <w:p>
            <w:pPr>
              <w:spacing w:after="0"/>
              <w:rPr>
                <w:sz w:val="14"/>
                <w:szCs w:val="14"/>
                <w:color w:val="auto"/>
              </w:rPr>
            </w:pPr>
          </w:p>
        </w:tc>
        <w:tc>
          <w:tcPr>
            <w:tcW w:w="5940" w:type="dxa"/>
            <w:vAlign w:val="bottom"/>
          </w:tcPr>
          <w:p>
            <w:pPr>
              <w:ind w:left="180"/>
              <w:spacing w:after="0"/>
              <w:rPr>
                <w:sz w:val="20"/>
                <w:szCs w:val="20"/>
                <w:color w:val="auto"/>
              </w:rPr>
            </w:pPr>
            <w:r>
              <w:rPr>
                <w:rFonts w:ascii="Arial" w:cs="Arial" w:eastAsia="Arial" w:hAnsi="Arial"/>
                <w:sz w:val="13"/>
                <w:szCs w:val="13"/>
                <w:color w:val="auto"/>
              </w:rPr>
              <w:t>Operating and maintenance</w:t>
            </w:r>
          </w:p>
        </w:tc>
        <w:tc>
          <w:tcPr>
            <w:tcW w:w="9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r>
      <w:tr>
        <w:trPr>
          <w:trHeight w:val="171"/>
        </w:trPr>
        <w:tc>
          <w:tcPr>
            <w:tcW w:w="80" w:type="dxa"/>
            <w:vAlign w:val="bottom"/>
          </w:tcPr>
          <w:p>
            <w:pPr>
              <w:spacing w:after="0"/>
              <w:rPr>
                <w:sz w:val="14"/>
                <w:szCs w:val="14"/>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r>
      <w:tr>
        <w:trPr>
          <w:trHeight w:val="169"/>
        </w:trPr>
        <w:tc>
          <w:tcPr>
            <w:tcW w:w="80" w:type="dxa"/>
            <w:vAlign w:val="bottom"/>
          </w:tcPr>
          <w:p>
            <w:pPr>
              <w:spacing w:after="0"/>
              <w:rPr>
                <w:sz w:val="14"/>
                <w:szCs w:val="14"/>
                <w:color w:val="auto"/>
              </w:rPr>
            </w:pPr>
          </w:p>
        </w:tc>
        <w:tc>
          <w:tcPr>
            <w:tcW w:w="5940" w:type="dxa"/>
            <w:vAlign w:val="bottom"/>
          </w:tcPr>
          <w:p>
            <w:pPr>
              <w:ind w:left="180"/>
              <w:spacing w:after="0"/>
              <w:rPr>
                <w:sz w:val="20"/>
                <w:szCs w:val="20"/>
                <w:color w:val="auto"/>
              </w:rPr>
            </w:pPr>
            <w:r>
              <w:rPr>
                <w:rFonts w:ascii="Arial" w:cs="Arial" w:eastAsia="Arial" w:hAnsi="Arial"/>
                <w:sz w:val="13"/>
                <w:szCs w:val="13"/>
                <w:color w:val="auto"/>
              </w:rPr>
              <w:t>Taxes other than income taxes</w:t>
            </w:r>
          </w:p>
        </w:tc>
        <w:tc>
          <w:tcPr>
            <w:tcW w:w="9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80" w:type="dxa"/>
            <w:vAlign w:val="bottom"/>
          </w:tcPr>
          <w:p>
            <w:pPr>
              <w:spacing w:after="0"/>
              <w:rPr>
                <w:sz w:val="14"/>
                <w:szCs w:val="14"/>
                <w:color w:val="auto"/>
              </w:rPr>
            </w:pPr>
          </w:p>
        </w:tc>
        <w:tc>
          <w:tcPr>
            <w:tcW w:w="59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Total operating expenses</w:t>
            </w: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r>
      <w:tr>
        <w:trPr>
          <w:trHeight w:val="160"/>
        </w:trPr>
        <w:tc>
          <w:tcPr>
            <w:tcW w:w="80" w:type="dxa"/>
            <w:vAlign w:val="bottom"/>
          </w:tcPr>
          <w:p>
            <w:pPr>
              <w:spacing w:after="0"/>
              <w:rPr>
                <w:sz w:val="13"/>
                <w:szCs w:val="13"/>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Operating income</w:t>
            </w: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r>
      <w:tr>
        <w:trPr>
          <w:trHeight w:val="150"/>
        </w:trPr>
        <w:tc>
          <w:tcPr>
            <w:tcW w:w="80" w:type="dxa"/>
            <w:vAlign w:val="bottom"/>
          </w:tcPr>
          <w:p>
            <w:pPr>
              <w:spacing w:after="0"/>
              <w:rPr>
                <w:sz w:val="13"/>
                <w:szCs w:val="13"/>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and (deductions)</w:t>
            </w: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80" w:type="dxa"/>
            <w:vAlign w:val="bottom"/>
          </w:tcPr>
          <w:p>
            <w:pPr>
              <w:spacing w:after="0"/>
              <w:rPr>
                <w:sz w:val="14"/>
                <w:szCs w:val="14"/>
                <w:color w:val="auto"/>
              </w:rPr>
            </w:pPr>
          </w:p>
        </w:tc>
        <w:tc>
          <w:tcPr>
            <w:tcW w:w="5940" w:type="dxa"/>
            <w:vAlign w:val="bottom"/>
          </w:tcPr>
          <w:p>
            <w:pPr>
              <w:ind w:left="180"/>
              <w:spacing w:after="0"/>
              <w:rPr>
                <w:sz w:val="20"/>
                <w:szCs w:val="20"/>
                <w:color w:val="auto"/>
              </w:rPr>
            </w:pPr>
            <w:r>
              <w:rPr>
                <w:rFonts w:ascii="Arial" w:cs="Arial" w:eastAsia="Arial" w:hAnsi="Arial"/>
                <w:sz w:val="13"/>
                <w:szCs w:val="13"/>
                <w:color w:val="auto"/>
              </w:rPr>
              <w:t>Interest expense, net</w:t>
            </w:r>
          </w:p>
        </w:tc>
        <w:tc>
          <w:tcPr>
            <w:tcW w:w="9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r>
      <w:tr>
        <w:trPr>
          <w:trHeight w:val="171"/>
        </w:trPr>
        <w:tc>
          <w:tcPr>
            <w:tcW w:w="80" w:type="dxa"/>
            <w:vAlign w:val="bottom"/>
          </w:tcPr>
          <w:p>
            <w:pPr>
              <w:spacing w:after="0"/>
              <w:rPr>
                <w:sz w:val="14"/>
                <w:szCs w:val="14"/>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9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r>
      <w:tr>
        <w:trPr>
          <w:trHeight w:val="159"/>
        </w:trPr>
        <w:tc>
          <w:tcPr>
            <w:tcW w:w="80" w:type="dxa"/>
            <w:vAlign w:val="bottom"/>
          </w:tcPr>
          <w:p>
            <w:pPr>
              <w:spacing w:after="0"/>
              <w:rPr>
                <w:sz w:val="13"/>
                <w:szCs w:val="13"/>
                <w:color w:val="auto"/>
              </w:rPr>
            </w:pPr>
          </w:p>
        </w:tc>
        <w:tc>
          <w:tcPr>
            <w:tcW w:w="594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Total other income and (deductions)</w:t>
            </w: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r>
      <w:tr>
        <w:trPr>
          <w:trHeight w:val="162"/>
        </w:trPr>
        <w:tc>
          <w:tcPr>
            <w:tcW w:w="80" w:type="dxa"/>
            <w:vAlign w:val="bottom"/>
          </w:tcPr>
          <w:p>
            <w:pPr>
              <w:spacing w:after="0"/>
              <w:rPr>
                <w:sz w:val="14"/>
                <w:szCs w:val="14"/>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Income taxes</w:t>
            </w:r>
          </w:p>
        </w:tc>
        <w:tc>
          <w:tcPr>
            <w:tcW w:w="9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r>
      <w:tr>
        <w:trPr>
          <w:trHeight w:val="185"/>
        </w:trPr>
        <w:tc>
          <w:tcPr>
            <w:tcW w:w="80" w:type="dxa"/>
            <w:vAlign w:val="bottom"/>
          </w:tcPr>
          <w:p>
            <w:pPr>
              <w:spacing w:after="0"/>
              <w:rPr>
                <w:sz w:val="15"/>
                <w:szCs w:val="15"/>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96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Three Months Ended March 31, 2026 Compared to Three Months Ended March 31, 2025</w:t>
      </w:r>
      <w:r>
        <w:rPr>
          <w:rFonts w:ascii="Arial" w:cs="Arial" w:eastAsia="Arial" w:hAnsi="Arial"/>
          <w:sz w:val="13"/>
          <w:szCs w:val="13"/>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b w:val="1"/>
          <w:bCs w:val="1"/>
          <w:color w:val="auto"/>
        </w:rPr>
        <w:t>Net income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decreased by $4 million primarily due to an increase in storms costs and depreciation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expense, partially offset by an increase in approved transmission rates.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revenues</w:t>
      </w:r>
      <w:r>
        <w:rPr>
          <w:rFonts w:ascii="Arial" w:cs="Arial" w:eastAsia="Arial" w:hAnsi="Arial"/>
          <w:sz w:val="13"/>
          <w:szCs w:val="13"/>
          <w:color w:val="auto"/>
        </w:rPr>
        <w:t xml:space="preserve"> consisted of the following:</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tcPr>
          <w:p>
            <w:pPr>
              <w:jc w:val="center"/>
              <w:ind w:right="262"/>
              <w:spacing w:after="0"/>
              <w:rPr>
                <w:sz w:val="20"/>
                <w:szCs w:val="20"/>
                <w:color w:val="auto"/>
              </w:rPr>
            </w:pPr>
            <w:r>
              <w:rPr>
                <w:rFonts w:ascii="Arial" w:cs="Arial" w:eastAsia="Arial" w:hAnsi="Arial"/>
                <w:sz w:val="10"/>
                <w:szCs w:val="10"/>
                <w:b w:val="1"/>
                <w:bCs w:val="1"/>
                <w:color w:val="auto"/>
                <w:w w:val="99"/>
              </w:rPr>
              <w:t>Three Months Ended</w:t>
            </w:r>
          </w:p>
        </w:tc>
      </w:tr>
      <w:tr>
        <w:trPr>
          <w:trHeight w:val="142"/>
        </w:trPr>
        <w:tc>
          <w:tcPr>
            <w:tcW w:w="9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right="262"/>
              <w:spacing w:after="0"/>
              <w:rPr>
                <w:sz w:val="20"/>
                <w:szCs w:val="20"/>
                <w:color w:val="auto"/>
              </w:rPr>
            </w:pPr>
            <w:r>
              <w:rPr>
                <w:rFonts w:ascii="Arial" w:cs="Arial" w:eastAsia="Arial" w:hAnsi="Arial"/>
                <w:sz w:val="10"/>
                <w:szCs w:val="10"/>
                <w:b w:val="1"/>
                <w:bCs w:val="1"/>
                <w:color w:val="auto"/>
                <w:w w:val="98"/>
              </w:rPr>
              <w:t>March 31, 2026</w:t>
            </w:r>
          </w:p>
        </w:tc>
      </w:tr>
      <w:tr>
        <w:trPr>
          <w:trHeight w:val="134"/>
        </w:trPr>
        <w:tc>
          <w:tcPr>
            <w:tcW w:w="9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center"/>
              <w:ind w:right="282"/>
              <w:spacing w:after="0"/>
              <w:rPr>
                <w:sz w:val="20"/>
                <w:szCs w:val="20"/>
                <w:color w:val="auto"/>
              </w:rPr>
            </w:pPr>
            <w:r>
              <w:rPr>
                <w:rFonts w:ascii="Arial" w:cs="Arial" w:eastAsia="Arial" w:hAnsi="Arial"/>
                <w:sz w:val="10"/>
                <w:szCs w:val="10"/>
                <w:b w:val="1"/>
                <w:bCs w:val="1"/>
                <w:color w:val="auto"/>
                <w:w w:val="97"/>
              </w:rPr>
              <w:t>(Decrease) Increase</w:t>
            </w:r>
          </w:p>
        </w:tc>
      </w:tr>
      <w:tr>
        <w:trPr>
          <w:trHeight w:val="162"/>
        </w:trPr>
        <w:tc>
          <w:tcPr>
            <w:tcW w:w="9160" w:type="dxa"/>
            <w:vAlign w:val="bottom"/>
            <w:shd w:val="clear" w:color="auto" w:fill="CCEEFF"/>
          </w:tcPr>
          <w:p>
            <w:pPr>
              <w:spacing w:after="0"/>
              <w:rPr>
                <w:sz w:val="20"/>
                <w:szCs w:val="20"/>
                <w:color w:val="auto"/>
              </w:rPr>
            </w:pPr>
            <w:r>
              <w:rPr>
                <w:rFonts w:ascii="Arial" w:cs="Arial" w:eastAsia="Arial" w:hAnsi="Arial"/>
                <w:sz w:val="13"/>
                <w:szCs w:val="13"/>
                <w:color w:val="auto"/>
              </w:rPr>
              <w:t>Distribution</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91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Transmission</w:t>
            </w: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3</w:t>
            </w:r>
          </w:p>
        </w:tc>
      </w:tr>
      <w:tr>
        <w:trPr>
          <w:trHeight w:val="162"/>
        </w:trPr>
        <w:tc>
          <w:tcPr>
            <w:tcW w:w="9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w:t>
            </w:r>
          </w:p>
        </w:tc>
      </w:tr>
      <w:tr>
        <w:trPr>
          <w:trHeight w:val="169"/>
        </w:trPr>
        <w:tc>
          <w:tcPr>
            <w:tcW w:w="91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Regulatory required programs</w:t>
            </w: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46</w:t>
            </w:r>
          </w:p>
        </w:tc>
      </w:tr>
      <w:tr>
        <w:trPr>
          <w:trHeight w:val="187"/>
        </w:trPr>
        <w:tc>
          <w:tcPr>
            <w:tcW w:w="9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increase</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48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Revenue Decoupling. </w:t>
      </w:r>
      <w:r>
        <w:rPr>
          <w:rFonts w:ascii="Arial" w:cs="Arial" w:eastAsia="Arial" w:hAnsi="Arial"/>
          <w:sz w:val="13"/>
          <w:szCs w:val="13"/>
          <w:color w:val="auto"/>
        </w:rPr>
        <w:t>The demand for electricity is affected by weather and customer usage. However, Operating revenues from electric distribution in New Jersey are not intended to be impacted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abnormal weather or usage per customer as a result of the CIP which compares current distribution revenues by customer class to approved target revenues established in ACE’s most recent distribution base rate case. The CIP is calculated annually, and recovery is subject to certain conditions, including an earnings test and ceilings on customer rate increases. While Operating revenues are not impacted by abnormal weather or usage per customer, they are impacted by changes in the number of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ACE</w:t>
            </w:r>
          </w:p>
        </w:tc>
      </w:tr>
      <w:tr>
        <w:trPr>
          <w:trHeight w:val="753"/>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20" w:type="dxa"/>
            <w:vAlign w:val="bottom"/>
            <w:tcBorders>
              <w:bottom w:val="single" w:sz="8" w:color="auto"/>
            </w:tcBorders>
            <w:gridSpan w:val="3"/>
          </w:tcPr>
          <w:p>
            <w:pPr>
              <w:ind w:left="1880"/>
              <w:spacing w:after="0"/>
              <w:rPr>
                <w:sz w:val="20"/>
                <w:szCs w:val="20"/>
                <w:color w:val="auto"/>
              </w:rPr>
            </w:pPr>
            <w:r>
              <w:rPr>
                <w:rFonts w:ascii="Arial" w:cs="Arial" w:eastAsia="Arial" w:hAnsi="Arial"/>
                <w:sz w:val="10"/>
                <w:szCs w:val="10"/>
                <w:b w:val="1"/>
                <w:bCs w:val="1"/>
                <w:color w:val="auto"/>
              </w:rPr>
              <w:t>At March 31,</w:t>
            </w:r>
          </w:p>
        </w:tc>
        <w:tc>
          <w:tcPr>
            <w:tcW w:w="1520" w:type="dxa"/>
            <w:vAlign w:val="bottom"/>
            <w:tcBorders>
              <w:bottom w:val="single" w:sz="8" w:color="auto"/>
            </w:tcBorders>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692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Number of Electric Customers</w:t>
            </w:r>
          </w:p>
        </w:tc>
        <w:tc>
          <w:tcPr>
            <w:tcW w:w="2120" w:type="dxa"/>
            <w:vAlign w:val="bottom"/>
          </w:tcPr>
          <w:p>
            <w:pPr>
              <w:jc w:val="right"/>
              <w:ind w:right="900"/>
              <w:spacing w:after="0" w:line="104" w:lineRule="exact"/>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20" w:type="dxa"/>
            <w:vAlign w:val="bottom"/>
          </w:tcPr>
          <w:p>
            <w:pPr>
              <w:jc w:val="right"/>
              <w:ind w:right="877"/>
              <w:spacing w:after="0" w:line="104" w:lineRule="exact"/>
              <w:rPr>
                <w:sz w:val="20"/>
                <w:szCs w:val="20"/>
                <w:color w:val="auto"/>
              </w:rPr>
            </w:pPr>
            <w:r>
              <w:rPr>
                <w:rFonts w:ascii="Arial" w:cs="Arial" w:eastAsia="Arial" w:hAnsi="Arial"/>
                <w:sz w:val="10"/>
                <w:szCs w:val="10"/>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510,569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508,354</w:t>
            </w:r>
          </w:p>
        </w:tc>
      </w:tr>
      <w:tr>
        <w:trPr>
          <w:trHeight w:val="169"/>
        </w:trPr>
        <w:tc>
          <w:tcPr>
            <w:tcW w:w="20" w:type="dxa"/>
            <w:vAlign w:val="bottom"/>
          </w:tcPr>
          <w:p>
            <w:pPr>
              <w:spacing w:after="0"/>
              <w:rPr>
                <w:sz w:val="14"/>
                <w:szCs w:val="14"/>
                <w:color w:val="auto"/>
              </w:rPr>
            </w:pPr>
          </w:p>
        </w:tc>
        <w:tc>
          <w:tcPr>
            <w:tcW w:w="6920" w:type="dxa"/>
            <w:vAlign w:val="bottom"/>
            <w:gridSpan w:val="2"/>
          </w:tcPr>
          <w:p>
            <w:pPr>
              <w:spacing w:after="0"/>
              <w:rPr>
                <w:sz w:val="20"/>
                <w:szCs w:val="20"/>
                <w:color w:val="auto"/>
              </w:rPr>
            </w:pPr>
            <w:r>
              <w:rPr>
                <w:rFonts w:ascii="Arial" w:cs="Arial" w:eastAsia="Arial" w:hAnsi="Arial"/>
                <w:sz w:val="13"/>
                <w:szCs w:val="13"/>
                <w:color w:val="auto"/>
              </w:rPr>
              <w:t>Small commercial &amp; industrial</w:t>
            </w:r>
          </w:p>
        </w:tc>
        <w:tc>
          <w:tcPr>
            <w:tcW w:w="2120" w:type="dxa"/>
            <w:vAlign w:val="bottom"/>
          </w:tcPr>
          <w:p>
            <w:pPr>
              <w:jc w:val="right"/>
              <w:spacing w:after="0"/>
              <w:rPr>
                <w:sz w:val="20"/>
                <w:szCs w:val="20"/>
                <w:color w:val="auto"/>
              </w:rPr>
            </w:pPr>
            <w:r>
              <w:rPr>
                <w:rFonts w:ascii="Arial" w:cs="Arial" w:eastAsia="Arial" w:hAnsi="Arial"/>
                <w:sz w:val="13"/>
                <w:szCs w:val="13"/>
                <w:color w:val="auto"/>
              </w:rPr>
              <w:t>63,174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62,861</w:t>
            </w:r>
          </w:p>
        </w:tc>
      </w:tr>
      <w:tr>
        <w:trPr>
          <w:trHeight w:val="171"/>
        </w:trPr>
        <w:tc>
          <w:tcPr>
            <w:tcW w:w="20" w:type="dxa"/>
            <w:vAlign w:val="bottom"/>
            <w:shd w:val="clear" w:color="auto" w:fill="CCEEFF"/>
          </w:tcPr>
          <w:p>
            <w:pPr>
              <w:spacing w:after="0"/>
              <w:rPr>
                <w:sz w:val="14"/>
                <w:szCs w:val="14"/>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Large commercial &amp; industrial</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2,824</w:t>
            </w:r>
          </w:p>
        </w:tc>
      </w:tr>
      <w:tr>
        <w:trPr>
          <w:trHeight w:val="169"/>
        </w:trPr>
        <w:tc>
          <w:tcPr>
            <w:tcW w:w="20" w:type="dxa"/>
            <w:vAlign w:val="bottom"/>
            <w:tcBorders>
              <w:bottom w:val="single" w:sz="8" w:color="CCEEFF"/>
            </w:tcBorders>
          </w:tcPr>
          <w:p>
            <w:pPr>
              <w:spacing w:after="0"/>
              <w:rPr>
                <w:sz w:val="14"/>
                <w:szCs w:val="14"/>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Public authorities &amp; electric railroads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756</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w:t>
            </w: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577,159</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574,762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Distribution Revenue </w:t>
      </w:r>
      <w:r>
        <w:rPr>
          <w:rFonts w:ascii="Arial" w:cs="Arial" w:eastAsia="Arial" w:hAnsi="Arial"/>
          <w:sz w:val="13"/>
          <w:szCs w:val="13"/>
          <w:color w:val="auto"/>
        </w:rPr>
        <w:t>remained relatively consistent for the three months ended March 31, 2026 compared to the same period in 2025.</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Transmission Revenues </w:t>
      </w:r>
      <w:r>
        <w:rPr>
          <w:rFonts w:ascii="Arial" w:cs="Arial" w:eastAsia="Arial" w:hAnsi="Arial"/>
          <w:sz w:val="12"/>
          <w:szCs w:val="12"/>
          <w:color w:val="auto"/>
        </w:rPr>
        <w:t>Under a FERC-approved formula, transmission revenue varies from year to year based upon fluctuations in the underlying costs and capital investments being recovered.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Transmission revenue increased for the three months ended March 31, 2026 compared to the same period in 2025 primarily due to increases in underlying costs and capital investment.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Other Revenue </w:t>
      </w:r>
      <w:r>
        <w:rPr>
          <w:rFonts w:ascii="Arial" w:cs="Arial" w:eastAsia="Arial" w:hAnsi="Arial"/>
          <w:sz w:val="13"/>
          <w:szCs w:val="13"/>
          <w:color w:val="auto"/>
        </w:rPr>
        <w:t>includes rental revenue, revenue related to late payment charges, mutual assistance revenues, and recoveries of other taxes.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Regulatory Required Programs </w:t>
      </w:r>
      <w:r>
        <w:rPr>
          <w:rFonts w:ascii="Arial" w:cs="Arial" w:eastAsia="Arial" w:hAnsi="Arial"/>
          <w:sz w:val="13"/>
          <w:szCs w:val="13"/>
          <w:color w:val="auto"/>
        </w:rPr>
        <w:t>represent revenues collected under approved riders to recover costs incurred for regulatory programs. The riders are designed to provide full and current cost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recovery as well as a return in certain instances. Customers have the choice to purchase electricity from competitive electric generation suppliers. Customer choice programs do not impact the volume of deliveries as ACE remains the distribution service provider for all customers and charges a regulated rate for distribution service. For customers that choose to purchase electric generation from competitive suppliers, this is treated as a pass through for ACE and therefore, financial results are not impacted if customers purchase electricity supply from these alternative suppliers. For customers that choose to purchase electric generation from ACE, ACE is permitted to recover costs from customers.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See Note 4 — Segment Information of the Combined Notes to Consolidated Financial Statements for the presentation of ACE's revenue disaggregation.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 xml:space="preserve">The increase of $48 million for the three months ended March 31, 2026, respectively, compared to the same period in 2025 in </w:t>
      </w:r>
      <w:r>
        <w:rPr>
          <w:rFonts w:ascii="Arial" w:cs="Arial" w:eastAsia="Arial" w:hAnsi="Arial"/>
          <w:sz w:val="13"/>
          <w:szCs w:val="13"/>
          <w:b w:val="1"/>
          <w:bCs w:val="1"/>
          <w:color w:val="auto"/>
        </w:rPr>
        <w:t>Purchased power expense</w:t>
      </w:r>
      <w:r>
        <w:rPr>
          <w:rFonts w:ascii="Arial" w:cs="Arial" w:eastAsia="Arial" w:hAnsi="Arial"/>
          <w:sz w:val="13"/>
          <w:szCs w:val="13"/>
          <w:color w:val="auto"/>
        </w:rPr>
        <w:t xml:space="preserve"> is fully offset in Operating revenues as part of regulatory required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color w:val="auto"/>
        </w:rPr>
        <w:t>Operating and maintenance expense</w:t>
      </w:r>
      <w:r>
        <w:rPr>
          <w:rFonts w:ascii="Arial" w:cs="Arial" w:eastAsia="Arial" w:hAnsi="Arial"/>
          <w:sz w:val="13"/>
          <w:szCs w:val="13"/>
          <w:color w:val="auto"/>
        </w:rPr>
        <w:t xml:space="preserv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161530" cy="1212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Storm-related costs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Credit Loss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61530" cy="1212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Regulatory required programs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increase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changes in </w:t>
      </w:r>
      <w:r>
        <w:rPr>
          <w:rFonts w:ascii="Arial" w:cs="Arial" w:eastAsia="Arial" w:hAnsi="Arial"/>
          <w:sz w:val="12"/>
          <w:szCs w:val="12"/>
          <w:b w:val="1"/>
          <w:bCs w:val="1"/>
          <w:color w:val="auto"/>
        </w:rPr>
        <w:t>Depreciation and amortization expense</w:t>
      </w:r>
      <w:r>
        <w:rPr>
          <w:rFonts w:ascii="Arial" w:cs="Arial" w:eastAsia="Arial" w:hAnsi="Arial"/>
          <w:sz w:val="12"/>
          <w:szCs w:val="12"/>
          <w:color w:val="auto"/>
        </w:rPr>
        <w:t xml:space="preserv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161530" cy="114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and amortization</w:t>
      </w:r>
      <w:r>
        <w:rPr>
          <w:rFonts w:ascii="Arial" w:cs="Arial" w:eastAsia="Arial" w:hAnsi="Arial"/>
          <w:sz w:val="16"/>
          <w:szCs w:val="16"/>
          <w:color w:val="auto"/>
          <w:vertAlign w:val="superscript"/>
        </w:rPr>
        <w:t>(a)</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Regulatory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07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Regulatory required programs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increase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Three Months 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42811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4" w:lineRule="exact"/>
        <w:rPr>
          <w:sz w:val="20"/>
          <w:szCs w:val="20"/>
          <w:color w:val="auto"/>
        </w:rPr>
      </w:pPr>
    </w:p>
    <w:p>
      <w:pPr>
        <w:ind w:left="660"/>
        <w:spacing w:after="0"/>
        <w:rPr>
          <w:sz w:val="20"/>
          <w:szCs w:val="20"/>
          <w:color w:val="auto"/>
        </w:rPr>
      </w:pPr>
      <w:r>
        <w:rPr>
          <w:rFonts w:ascii="Arial" w:cs="Arial" w:eastAsia="Arial" w:hAnsi="Arial"/>
          <w:sz w:val="10"/>
          <w:szCs w:val="10"/>
          <w:b w:val="1"/>
          <w:bCs w:val="1"/>
          <w:color w:val="auto"/>
        </w:rPr>
        <w:t>(Decrease) Increase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Pr>
          <w:p>
            <w:pPr>
              <w:jc w:val="right"/>
              <w:ind w:right="95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r>
    </w:tbl>
    <w:p>
      <w:pPr>
        <w:spacing w:after="0" w:line="24"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(2)</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42811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3"/>
          <w:szCs w:val="13"/>
          <w:color w:val="auto"/>
        </w:rPr>
        <w:t>1</w:t>
      </w:r>
    </w:p>
    <w:p>
      <w:pPr>
        <w:spacing w:after="0" w:line="41" w:lineRule="exact"/>
        <w:rPr>
          <w:sz w:val="20"/>
          <w:szCs w:val="20"/>
          <w:color w:val="auto"/>
        </w:rPr>
      </w:pPr>
    </w:p>
    <w:p>
      <w:pPr>
        <w:ind w:left="21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42811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00" w:type="dxa"/>
            <w:vAlign w:val="bottom"/>
            <w:tcBorders>
              <w:bottom w:val="single" w:sz="8" w:color="auto"/>
            </w:tcBorders>
          </w:tcPr>
          <w:p>
            <w:pPr>
              <w:jc w:val="right"/>
              <w:ind w:right="95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Three Months 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42811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4" w:lineRule="exact"/>
        <w:rPr>
          <w:sz w:val="20"/>
          <w:szCs w:val="20"/>
          <w:color w:val="auto"/>
        </w:rPr>
      </w:pPr>
    </w:p>
    <w:p>
      <w:pPr>
        <w:ind w:left="660"/>
        <w:spacing w:after="0"/>
        <w:rPr>
          <w:sz w:val="20"/>
          <w:szCs w:val="20"/>
          <w:color w:val="auto"/>
        </w:rPr>
      </w:pPr>
      <w:r>
        <w:rPr>
          <w:rFonts w:ascii="Arial" w:cs="Arial" w:eastAsia="Arial" w:hAnsi="Arial"/>
          <w:sz w:val="10"/>
          <w:szCs w:val="10"/>
          <w:b w:val="1"/>
          <w:bCs w:val="1"/>
          <w:color w:val="auto"/>
        </w:rPr>
        <w:t>Increase (Decrease)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Borders>
              <w:top w:val="single" w:sz="8" w:color="auto"/>
            </w:tcBorders>
          </w:tcPr>
          <w:p>
            <w:pPr>
              <w:jc w:val="right"/>
              <w:ind w:right="9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r>
    </w:tbl>
    <w:p>
      <w:pPr>
        <w:jc w:val="right"/>
        <w:ind w:right="6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0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ectPr>
          <w:pgSz w:w="11900" w:h="16838" w:orient="portrait"/>
          <w:cols w:equalWidth="0" w:num="2">
            <w:col w:w="8320" w:space="720"/>
            <w:col w:w="2240"/>
          </w:cols>
          <w:pgMar w:left="300" w:top="316" w:right="319" w:bottom="1440" w:gutter="0" w:footer="0" w:header="0"/>
        </w:sect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Depreciation and amortization increased primarily due to ongoing capital expenditures.</w:t>
      </w:r>
    </w:p>
    <w:p>
      <w:pPr>
        <w:spacing w:after="0" w:line="318"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color w:val="auto"/>
        </w:rPr>
        <w:t xml:space="preserve">Effective income tax rates </w:t>
      </w:r>
      <w:r>
        <w:rPr>
          <w:rFonts w:ascii="Arial" w:cs="Arial" w:eastAsia="Arial" w:hAnsi="Arial"/>
          <w:sz w:val="13"/>
          <w:szCs w:val="13"/>
          <w:color w:val="auto"/>
        </w:rPr>
        <w:t>were 25.0% and 26.2% for the three months ended March 31, 2026 and 2025, respectively. See Note 6 — Income Taxes of the Combined Notes to Consolidated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Statements for additional information regarding the components of the effective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 (All Registrants)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All results included throughout the liquidity and capital resources section are presented on a GAAP basis.</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Registrants’ operating and capital expenditures requirements are provided by internally generated cash flows from operations, as well as funds from external sources in the capital markets and through bank borrowings. The Registrants’ businesses are capital intensive and require considerable capital resources. Each of the Registrants annually evaluates its financing plan, dividend practices, and credit line sizing, focusing on maintaining its investment grade ratings while meeting its cash needs to fund capital requirements, including construction expenditures, retire debt, pay dividends, and fund pension and OPEB obligations. The Registrants spend a significant amount of cash on capital improvements and construction projects that have a long-term return on investment. Additionally, the Utility Registrants operate in rate-regulated environments in which the amount of new investment recovery may be delayed or limited and where such recovery takes place over an extended period of time. Each Registrant’s access to external financing on reasonable terms depends on its credit ratings and current overall capital market business conditions, including that of the utility industry in general. If these conditions deteriorate to the extent that the Registrants no longer have access to the capital markets at reasonable terms, the Registrants have access to credit facilities with aggregate bank commitments of $4.0 billion. The Registrants utilize their credit facilities to support their commercial paper programs, provide for other short-term borrowings, and to issue letters of credit. See the “Credit Matters and Cash Requirements” section below for additional information. The Registrants expect cash flows to be sufficient to meet operating expenses, financing costs, and capital expenditure requirements. See Note 9 — Debt and Credit Agreements of the Combined Notes to Consolidated Financial Statements for additional information on the Registrants’ debt and credit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Utility Registrants' cash flows from operating activities primarily result from the transmission and distribution of electricity and, in the case of PECO, BGE, and DPL, gas distribution services. The Utility Registrants' distribution services are provided to an established and diverse base of retail customers. The Utility Registrants' future cash flows may be affected by the economy, weather conditions, future legislative initiatives, future regulatory proceedings with respect to their rates or operations, and their ability to achieve operating cost reductions. Additionally, ComEd is required to purchase CMCs from participating nuclear-powered generating facilities for a five-year period that began in June 2022, and all of its costs of doing so will be recovered through a rider. The price to be paid for each CMC is established through a competitive bidding process. ComEd will provide net payments to, or collect net payments from, customers for the difference between customer credits issued and the credit to be received from the participating nuclear-powered generating facilities. ComEd’s cash flows are affected by the establishment of CMC prices and the timing of recovering costs through the CMC regulatory asset.</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Note 2 — Regulatory Matters of the 2025 Form 10-K and Notes 2 — Regulatory Matters and 11 — Commitments and Contingencies of the Combined Notes to Consolidated Financial Statements for additional information on regulatory and legal proceedings and proposed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summary of the change in cash flows from operating activities for the three months ended March 31, 2026 and 2025 by Registrant: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600" w:type="dxa"/>
            <w:vAlign w:val="bottom"/>
          </w:tcPr>
          <w:p>
            <w:pPr>
              <w:ind w:left="20"/>
              <w:spacing w:after="0"/>
              <w:rPr>
                <w:sz w:val="20"/>
                <w:szCs w:val="20"/>
                <w:color w:val="auto"/>
              </w:rPr>
            </w:pPr>
            <w:r>
              <w:rPr>
                <w:rFonts w:ascii="Arial" w:cs="Arial" w:eastAsia="Arial" w:hAnsi="Arial"/>
                <w:sz w:val="10"/>
                <w:szCs w:val="10"/>
                <w:b w:val="1"/>
                <w:bCs w:val="1"/>
                <w:color w:val="auto"/>
              </w:rPr>
              <w:t>Increase (decrease) in cash flows from operating activities</w:t>
            </w:r>
          </w:p>
        </w:tc>
        <w:tc>
          <w:tcPr>
            <w:tcW w:w="18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Exelon</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18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18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0"/>
                <w:szCs w:val="10"/>
                <w:b w:val="1"/>
                <w:bCs w:val="1"/>
                <w:color w:val="auto"/>
              </w:rPr>
              <w:t>DPL</w:t>
            </w:r>
          </w:p>
        </w:tc>
        <w:tc>
          <w:tcPr>
            <w:tcW w:w="200" w:type="dxa"/>
            <w:vAlign w:val="bottom"/>
          </w:tcPr>
          <w:p>
            <w:pPr>
              <w:spacing w:after="0"/>
              <w:rPr>
                <w:sz w:val="12"/>
                <w:szCs w:val="12"/>
                <w:color w:val="auto"/>
              </w:rPr>
            </w:pPr>
          </w:p>
        </w:tc>
        <w:tc>
          <w:tcPr>
            <w:tcW w:w="660" w:type="dxa"/>
            <w:vAlign w:val="bottom"/>
          </w:tcPr>
          <w:p>
            <w:pPr>
              <w:jc w:val="right"/>
              <w:ind w:right="258"/>
              <w:spacing w:after="0"/>
              <w:rPr>
                <w:sz w:val="20"/>
                <w:szCs w:val="20"/>
                <w:color w:val="auto"/>
              </w:rPr>
            </w:pPr>
            <w:r>
              <w:rPr>
                <w:rFonts w:ascii="Arial" w:cs="Arial" w:eastAsia="Arial" w:hAnsi="Arial"/>
                <w:sz w:val="10"/>
                <w:szCs w:val="10"/>
                <w:b w:val="1"/>
                <w:bCs w:val="1"/>
                <w:color w:val="auto"/>
              </w:rPr>
              <w:t>ACE</w:t>
            </w:r>
          </w:p>
        </w:tc>
        <w:tc>
          <w:tcPr>
            <w:tcW w:w="0" w:type="dxa"/>
            <w:vAlign w:val="bottom"/>
          </w:tcPr>
          <w:p>
            <w:pPr>
              <w:spacing w:after="0"/>
              <w:rPr>
                <w:sz w:val="1"/>
                <w:szCs w:val="1"/>
                <w:color w:val="auto"/>
              </w:rPr>
            </w:pPr>
          </w:p>
        </w:tc>
      </w:tr>
      <w:tr>
        <w:trPr>
          <w:trHeight w:val="164"/>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Adjustments to reconcile net income to cash:</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Non-cash operating activities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9"/>
        </w:trPr>
        <w:tc>
          <w:tcPr>
            <w:tcW w:w="3600" w:type="dxa"/>
            <w:vAlign w:val="bottom"/>
          </w:tcPr>
          <w:p>
            <w:pPr>
              <w:ind w:left="180"/>
              <w:spacing w:after="0"/>
              <w:rPr>
                <w:sz w:val="20"/>
                <w:szCs w:val="20"/>
                <w:color w:val="auto"/>
              </w:rPr>
            </w:pPr>
            <w:r>
              <w:rPr>
                <w:rFonts w:ascii="Arial" w:cs="Arial" w:eastAsia="Arial" w:hAnsi="Arial"/>
                <w:sz w:val="13"/>
                <w:szCs w:val="13"/>
                <w:color w:val="auto"/>
              </w:rPr>
              <w:t>Collateral received, net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27"/>
        </w:trPr>
        <w:tc>
          <w:tcPr>
            <w:tcW w:w="3600" w:type="dxa"/>
            <w:vAlign w:val="bottom"/>
          </w:tcPr>
          <w:p>
            <w:pPr>
              <w:ind w:left="180"/>
              <w:spacing w:after="0" w:line="128" w:lineRule="exact"/>
              <w:rPr>
                <w:sz w:val="20"/>
                <w:szCs w:val="20"/>
                <w:color w:val="auto"/>
              </w:rPr>
            </w:pPr>
            <w:r>
              <w:rPr>
                <w:rFonts w:ascii="Arial" w:cs="Arial" w:eastAsia="Arial" w:hAnsi="Arial"/>
                <w:sz w:val="13"/>
                <w:szCs w:val="13"/>
                <w:color w:val="auto"/>
              </w:rPr>
              <w:t>Pension and non-pension postretirement benefit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04"/>
        </w:trPr>
        <w:tc>
          <w:tcPr>
            <w:tcW w:w="3600" w:type="dxa"/>
            <w:vAlign w:val="bottom"/>
            <w:vMerge w:val="restart"/>
          </w:tcPr>
          <w:p>
            <w:pPr>
              <w:ind w:left="180"/>
              <w:spacing w:after="0"/>
              <w:rPr>
                <w:sz w:val="20"/>
                <w:szCs w:val="20"/>
                <w:color w:val="auto"/>
              </w:rPr>
            </w:pPr>
            <w:r>
              <w:rPr>
                <w:rFonts w:ascii="Arial" w:cs="Arial" w:eastAsia="Arial" w:hAnsi="Arial"/>
                <w:sz w:val="13"/>
                <w:szCs w:val="13"/>
                <w:color w:val="auto"/>
              </w:rPr>
              <w:t>contributions</w:t>
            </w: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Regulatory assets and liabilities, net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Changes in working capital and other assets and liabilities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Increase (decrease) in cash flows from operating activities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Changes in the Registrants' cash flows from operations were generally consistent with changes in each Registrant’s respective results of operations, as adjusted by changes in working capital in the normal course of business, except as discussed below.</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Significant changes in cash flows from operating activities were primarily due to the following:</w:t>
      </w:r>
    </w:p>
    <w:p>
      <w:pPr>
        <w:spacing w:after="0" w:line="126" w:lineRule="exact"/>
        <w:rPr>
          <w:sz w:val="20"/>
          <w:szCs w:val="20"/>
          <w:color w:val="auto"/>
        </w:rPr>
      </w:pPr>
    </w:p>
    <w:p>
      <w:pPr>
        <w:ind w:left="760" w:hanging="246"/>
        <w:spacing w:after="0" w:line="293" w:lineRule="auto"/>
        <w:tabs>
          <w:tab w:leader="none" w:pos="751"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See Note 14 — Supplemental Financial Information of the Combined Notes to Consolidated Financial Statements and the Registrants’ Consolidated Statements of Cash Flows for additional information on </w:t>
      </w:r>
      <w:r>
        <w:rPr>
          <w:rFonts w:ascii="Arial" w:cs="Arial" w:eastAsia="Arial" w:hAnsi="Arial"/>
          <w:sz w:val="13"/>
          <w:szCs w:val="13"/>
          <w:b w:val="1"/>
          <w:bCs w:val="1"/>
          <w:color w:val="auto"/>
        </w:rPr>
        <w:t>non-cash operating activities</w:t>
      </w:r>
      <w:r>
        <w:rPr>
          <w:rFonts w:ascii="Arial" w:cs="Arial" w:eastAsia="Arial" w:hAnsi="Arial"/>
          <w:sz w:val="13"/>
          <w:szCs w:val="13"/>
          <w:color w:val="auto"/>
        </w:rPr>
        <w:t>.</w:t>
      </w:r>
    </w:p>
    <w:p>
      <w:pPr>
        <w:spacing w:after="0" w:line="69" w:lineRule="exact"/>
        <w:rPr>
          <w:rFonts w:ascii="Arial" w:cs="Arial" w:eastAsia="Arial" w:hAnsi="Arial"/>
          <w:sz w:val="13"/>
          <w:szCs w:val="13"/>
          <w:color w:val="auto"/>
        </w:rPr>
      </w:pPr>
    </w:p>
    <w:p>
      <w:pPr>
        <w:jc w:val="both"/>
        <w:ind w:left="760" w:hanging="246"/>
        <w:spacing w:after="0" w:line="271" w:lineRule="auto"/>
        <w:tabs>
          <w:tab w:leader="none" w:pos="751" w:val="left"/>
        </w:tabs>
        <w:numPr>
          <w:ilvl w:val="0"/>
          <w:numId w:val="40"/>
        </w:numPr>
        <w:rPr>
          <w:rFonts w:ascii="Arial" w:cs="Arial" w:eastAsia="Arial" w:hAnsi="Arial"/>
          <w:sz w:val="12"/>
          <w:szCs w:val="12"/>
          <w:color w:val="auto"/>
        </w:rPr>
      </w:pPr>
      <w:r>
        <w:rPr>
          <w:rFonts w:ascii="Arial" w:cs="Arial" w:eastAsia="Arial" w:hAnsi="Arial"/>
          <w:sz w:val="12"/>
          <w:szCs w:val="12"/>
          <w:color w:val="auto"/>
        </w:rPr>
        <w:t xml:space="preserve">Changes in </w:t>
      </w:r>
      <w:r>
        <w:rPr>
          <w:rFonts w:ascii="Arial" w:cs="Arial" w:eastAsia="Arial" w:hAnsi="Arial"/>
          <w:sz w:val="12"/>
          <w:szCs w:val="12"/>
          <w:b w:val="1"/>
          <w:bCs w:val="1"/>
          <w:color w:val="auto"/>
        </w:rPr>
        <w:t>collateral</w:t>
      </w:r>
      <w:r>
        <w:rPr>
          <w:rFonts w:ascii="Arial" w:cs="Arial" w:eastAsia="Arial" w:hAnsi="Arial"/>
          <w:sz w:val="12"/>
          <w:szCs w:val="12"/>
          <w:color w:val="auto"/>
        </w:rPr>
        <w:t xml:space="preserve"> depended upon whether the Registrant was in a net mark-to-market liability or asset position, and collateral may have been required to be posted with or collected from its counterparties. In addition, the collateral posting and collection requirements differed depending on whether the transactions were on an exchange or in the over-the-counter markets. Changes in collateral for the Registrants are dependent upon the credit exposure of procurement contracts that may require suppliers to post collateral. The amount of cash collateral received from external counterparties remained relatively consistent comparing the three months ended March 31, 2026 to the three months ended March 31, 2025. See Note 8</w:t>
      </w:r>
    </w:p>
    <w:p>
      <w:pPr>
        <w:ind w:left="760"/>
        <w:spacing w:after="0"/>
        <w:rPr>
          <w:rFonts w:ascii="Arial" w:cs="Arial" w:eastAsia="Arial" w:hAnsi="Arial"/>
          <w:sz w:val="12"/>
          <w:szCs w:val="12"/>
          <w:color w:val="auto"/>
        </w:rPr>
      </w:pPr>
      <w:r>
        <w:rPr>
          <w:rFonts w:ascii="Arial" w:cs="Arial" w:eastAsia="Arial" w:hAnsi="Arial"/>
          <w:sz w:val="13"/>
          <w:szCs w:val="13"/>
          <w:color w:val="auto"/>
        </w:rPr>
        <w:t>— Derivative Financial Instruments for additional information.</w:t>
      </w:r>
    </w:p>
    <w:p>
      <w:pPr>
        <w:spacing w:after="0" w:line="118" w:lineRule="exact"/>
        <w:rPr>
          <w:rFonts w:ascii="Arial" w:cs="Arial" w:eastAsia="Arial" w:hAnsi="Arial"/>
          <w:sz w:val="12"/>
          <w:szCs w:val="12"/>
          <w:color w:val="auto"/>
        </w:rPr>
      </w:pPr>
    </w:p>
    <w:p>
      <w:pPr>
        <w:ind w:left="760" w:hanging="246"/>
        <w:spacing w:after="0" w:line="276" w:lineRule="auto"/>
        <w:tabs>
          <w:tab w:leader="none" w:pos="751"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See Note 6 — Income Taxes of the Combined Notes to Consolidated Financial Statements and the Registrants' Consolidated Statements of Cash Flows for additional information on </w:t>
      </w:r>
      <w:r>
        <w:rPr>
          <w:rFonts w:ascii="Arial" w:cs="Arial" w:eastAsia="Arial" w:hAnsi="Arial"/>
          <w:sz w:val="13"/>
          <w:szCs w:val="13"/>
          <w:b w:val="1"/>
          <w:bCs w:val="1"/>
          <w:color w:val="auto"/>
        </w:rPr>
        <w:t>income taxes</w:t>
      </w:r>
      <w:r>
        <w:rPr>
          <w:rFonts w:ascii="Arial" w:cs="Arial" w:eastAsia="Arial" w:hAnsi="Arial"/>
          <w:sz w:val="13"/>
          <w:szCs w:val="13"/>
          <w:color w:val="auto"/>
        </w:rPr>
        <w:t>.</w:t>
      </w:r>
    </w:p>
    <w:p>
      <w:pPr>
        <w:spacing w:after="0" w:line="91" w:lineRule="exact"/>
        <w:rPr>
          <w:rFonts w:ascii="Arial" w:cs="Arial" w:eastAsia="Arial" w:hAnsi="Arial"/>
          <w:sz w:val="13"/>
          <w:szCs w:val="13"/>
          <w:color w:val="auto"/>
        </w:rPr>
      </w:pPr>
    </w:p>
    <w:p>
      <w:pPr>
        <w:ind w:left="760" w:hanging="246"/>
        <w:spacing w:after="0" w:line="266" w:lineRule="auto"/>
        <w:tabs>
          <w:tab w:leader="none" w:pos="751"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Changes in </w:t>
      </w:r>
      <w:r>
        <w:rPr>
          <w:rFonts w:ascii="Arial" w:cs="Arial" w:eastAsia="Arial" w:hAnsi="Arial"/>
          <w:sz w:val="13"/>
          <w:szCs w:val="13"/>
          <w:b w:val="1"/>
          <w:bCs w:val="1"/>
          <w:color w:val="auto"/>
        </w:rPr>
        <w:t>Pension and non-pension postretirement benefit contributions</w:t>
      </w:r>
      <w:r>
        <w:rPr>
          <w:rFonts w:ascii="Arial" w:cs="Arial" w:eastAsia="Arial" w:hAnsi="Arial"/>
          <w:sz w:val="13"/>
          <w:szCs w:val="13"/>
          <w:color w:val="auto"/>
        </w:rPr>
        <w:t xml:space="preserve"> relates to Exelon's increased contributions to the Qualified Plans during the three months ended March 31, 2026. See Note 12 — Retirement Benefits of the 2025 Form 10-K for additional information.</w:t>
      </w:r>
    </w:p>
    <w:p>
      <w:pPr>
        <w:spacing w:after="0" w:line="103" w:lineRule="exact"/>
        <w:rPr>
          <w:rFonts w:ascii="Arial" w:cs="Arial" w:eastAsia="Arial" w:hAnsi="Arial"/>
          <w:sz w:val="13"/>
          <w:szCs w:val="13"/>
          <w:color w:val="auto"/>
        </w:rPr>
      </w:pPr>
    </w:p>
    <w:p>
      <w:pPr>
        <w:jc w:val="both"/>
        <w:ind w:left="760" w:hanging="246"/>
        <w:spacing w:after="0" w:line="254" w:lineRule="auto"/>
        <w:tabs>
          <w:tab w:leader="none" w:pos="751"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Changes in </w:t>
      </w:r>
      <w:r>
        <w:rPr>
          <w:rFonts w:ascii="Arial" w:cs="Arial" w:eastAsia="Arial" w:hAnsi="Arial"/>
          <w:sz w:val="13"/>
          <w:szCs w:val="13"/>
          <w:b w:val="1"/>
          <w:bCs w:val="1"/>
          <w:color w:val="auto"/>
        </w:rPr>
        <w:t>regulatory assets and liabilities, net,</w:t>
      </w:r>
      <w:r>
        <w:rPr>
          <w:rFonts w:ascii="Arial" w:cs="Arial" w:eastAsia="Arial" w:hAnsi="Arial"/>
          <w:sz w:val="13"/>
          <w:szCs w:val="13"/>
          <w:color w:val="auto"/>
        </w:rPr>
        <w:t xml:space="preserve"> are due to the timing of cash payments for costs recoverable, or cash receipts for costs recovered, under our regulatory mechanisms differing from the recovery period of those costs. ComEd recognized a reduction in regulatory liabilities of $236 million and a reduction in regulatory assets of $162 million related to carbon mitigation credits for the three months ended March 31, 2026 and 2025, respectively. Included within the change in 2026 are payments for CMC nuclear production tax credits, which relate to a decrease in Accounts Receivable. ComEd's energy efficiency program recognized changes of $84 million for the three months ended March 31, 2026 and 2025, respectively. Additionally, ComEd recognized changes in the distributed generation rebates programs of $29 million and $19 million for the three months ended March 31, 2026 and 2025, respectively. Also included within the changes is energy efficiency and demand response programs spend for DPL and ACE of $1 million and $15 million for the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760"/>
        <w:spacing w:after="0" w:line="261" w:lineRule="auto"/>
        <w:rPr>
          <w:sz w:val="20"/>
          <w:szCs w:val="20"/>
          <w:color w:val="auto"/>
        </w:rPr>
      </w:pPr>
      <w:r>
        <w:rPr>
          <w:rFonts w:ascii="Arial" w:cs="Arial" w:eastAsia="Arial" w:hAnsi="Arial"/>
          <w:sz w:val="13"/>
          <w:szCs w:val="13"/>
          <w:color w:val="auto"/>
        </w:rPr>
        <w:t>months ended March 31, 2026 and $3 million, and $5 million for the three months ended March 31, 2025, respectively. BGE and Pepco had no energy efficiency and demand response programs spend recorded to the regulatory asset for the three months ended March 31, 2026 and $22 million and $6 million for three months ended March 31, 2025. PECO had no energy efficiency and demand response programs spend recorded to the regulatory asset for the three months ended March 31, 2026 and 2025.</w:t>
      </w:r>
    </w:p>
    <w:p>
      <w:pPr>
        <w:spacing w:after="0" w:line="96" w:lineRule="exact"/>
        <w:rPr>
          <w:sz w:val="20"/>
          <w:szCs w:val="20"/>
          <w:color w:val="auto"/>
        </w:rPr>
      </w:pPr>
    </w:p>
    <w:p>
      <w:pPr>
        <w:jc w:val="both"/>
        <w:ind w:left="760" w:hanging="246"/>
        <w:spacing w:after="0" w:line="250" w:lineRule="auto"/>
        <w:tabs>
          <w:tab w:leader="none" w:pos="751"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Changes in working capital and other assets and liabilities </w:t>
      </w:r>
      <w:r>
        <w:rPr>
          <w:rFonts w:ascii="Arial" w:cs="Arial" w:eastAsia="Arial" w:hAnsi="Arial"/>
          <w:sz w:val="13"/>
          <w:szCs w:val="13"/>
          <w:color w:val="auto"/>
        </w:rPr>
        <w:t>for the Utility Registrants and Exelon Corporate totaled $922 million and $1,036 million, respectively. The change in</w:t>
      </w:r>
      <w:r>
        <w:rPr>
          <w:rFonts w:ascii="Arial" w:cs="Arial" w:eastAsia="Arial" w:hAnsi="Arial"/>
          <w:sz w:val="13"/>
          <w:szCs w:val="13"/>
          <w:b w:val="1"/>
          <w:bCs w:val="1"/>
          <w:color w:val="auto"/>
        </w:rPr>
        <w:t xml:space="preserve"> </w:t>
      </w:r>
      <w:r>
        <w:rPr>
          <w:rFonts w:ascii="Arial" w:cs="Arial" w:eastAsia="Arial" w:hAnsi="Arial"/>
          <w:sz w:val="13"/>
          <w:szCs w:val="13"/>
          <w:color w:val="auto"/>
        </w:rPr>
        <w:t>working capital and other noncurrent assets and liabilities for Exelon Corporate and the Utility Registrants is dependent upon the normal course of operations for all Registrants. For ComEd, it is also dependent upon whether the participating nuclear-powered generating facilities are owed money from ComEd as a result of the established pricing for CMCs. For the three months ended March 31, 2026, the established pricing has resulted in ComEd receiving payments from nuclear-powered generating facilities, which is reported within the cash flows from operations as a change in Accounts receivable. This change corresponds to a decrease in the Carbon mitigation credit regulatory liability. See Note 2 — Regulatory Matters of the Combined Notes to Consolidated Financial Statements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summary of the change in cash flows from investing activities for the three months ended March 31, 2026 and 2025 by Registrant: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20" w:type="dxa"/>
            <w:vAlign w:val="bottom"/>
          </w:tcPr>
          <w:p>
            <w:pPr>
              <w:ind w:left="20"/>
              <w:spacing w:after="0"/>
              <w:rPr>
                <w:sz w:val="20"/>
                <w:szCs w:val="20"/>
                <w:color w:val="auto"/>
              </w:rPr>
            </w:pPr>
            <w:r>
              <w:rPr>
                <w:rFonts w:ascii="Arial" w:cs="Arial" w:eastAsia="Arial" w:hAnsi="Arial"/>
                <w:sz w:val="10"/>
                <w:szCs w:val="10"/>
                <w:b w:val="1"/>
                <w:bCs w:val="1"/>
                <w:color w:val="auto"/>
              </w:rPr>
              <w:t>(Decrease) increase in cash flows from investing activities</w:t>
            </w:r>
          </w:p>
        </w:tc>
        <w:tc>
          <w:tcPr>
            <w:tcW w:w="20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Exelon</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ComEd</w:t>
            </w: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PECO</w:t>
            </w:r>
          </w:p>
        </w:tc>
        <w:tc>
          <w:tcPr>
            <w:tcW w:w="2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0"/>
                <w:szCs w:val="10"/>
                <w:b w:val="1"/>
                <w:bCs w:val="1"/>
                <w:color w:val="auto"/>
              </w:rPr>
              <w:t>PHI</w:t>
            </w:r>
          </w:p>
        </w:tc>
        <w:tc>
          <w:tcPr>
            <w:tcW w:w="20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Pepco</w:t>
            </w:r>
          </w:p>
        </w:tc>
        <w:tc>
          <w:tcPr>
            <w:tcW w:w="600" w:type="dxa"/>
            <w:vAlign w:val="bottom"/>
          </w:tcPr>
          <w:p>
            <w:pPr>
              <w:jc w:val="right"/>
              <w:ind w:right="1"/>
              <w:spacing w:after="0"/>
              <w:rPr>
                <w:sz w:val="20"/>
                <w:szCs w:val="20"/>
                <w:color w:val="auto"/>
              </w:rPr>
            </w:pPr>
            <w:r>
              <w:rPr>
                <w:rFonts w:ascii="Arial" w:cs="Arial" w:eastAsia="Arial" w:hAnsi="Arial"/>
                <w:sz w:val="10"/>
                <w:szCs w:val="10"/>
                <w:b w:val="1"/>
                <w:bCs w:val="1"/>
                <w:color w:val="auto"/>
              </w:rPr>
              <w:t>DPL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ind w:left="120"/>
              <w:spacing w:after="0"/>
              <w:rPr>
                <w:sz w:val="20"/>
                <w:szCs w:val="20"/>
                <w:color w:val="auto"/>
              </w:rPr>
            </w:pPr>
            <w:r>
              <w:rPr>
                <w:rFonts w:ascii="Arial" w:cs="Arial" w:eastAsia="Arial" w:hAnsi="Arial"/>
                <w:sz w:val="10"/>
                <w:szCs w:val="10"/>
                <w:b w:val="1"/>
                <w:bCs w:val="1"/>
                <w:color w:val="auto"/>
              </w:rPr>
              <w:t>ACE</w:t>
            </w:r>
          </w:p>
        </w:tc>
      </w:tr>
      <w:tr>
        <w:trPr>
          <w:trHeight w:val="164"/>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Capital expenditures</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center"/>
              <w:ind w:left="359"/>
              <w:spacing w:after="0"/>
              <w:rPr>
                <w:sz w:val="20"/>
                <w:szCs w:val="20"/>
                <w:color w:val="auto"/>
              </w:rPr>
            </w:pPr>
            <w:r>
              <w:rPr>
                <w:rFonts w:ascii="Arial" w:cs="Arial" w:eastAsia="Arial" w:hAnsi="Arial"/>
                <w:sz w:val="13"/>
                <w:szCs w:val="13"/>
                <w:color w:val="auto"/>
                <w:w w:val="94"/>
              </w:rPr>
              <w:t>(45)</w:t>
            </w:r>
          </w:p>
        </w:tc>
        <w:tc>
          <w:tcPr>
            <w:tcW w:w="1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center"/>
              <w:ind w:left="339"/>
              <w:spacing w:after="0"/>
              <w:rPr>
                <w:sz w:val="20"/>
                <w:szCs w:val="20"/>
                <w:color w:val="auto"/>
              </w:rPr>
            </w:pPr>
            <w:r>
              <w:rPr>
                <w:rFonts w:ascii="Arial" w:cs="Arial" w:eastAsia="Arial" w:hAnsi="Arial"/>
                <w:sz w:val="13"/>
                <w:szCs w:val="13"/>
                <w:color w:val="auto"/>
                <w:w w:val="94"/>
              </w:rPr>
              <w:t>(17)</w:t>
            </w:r>
          </w:p>
        </w:tc>
      </w:tr>
      <w:tr>
        <w:trPr>
          <w:trHeight w:val="169"/>
        </w:trPr>
        <w:tc>
          <w:tcPr>
            <w:tcW w:w="3420" w:type="dxa"/>
            <w:vAlign w:val="bottom"/>
          </w:tcPr>
          <w:p>
            <w:pPr>
              <w:ind w:left="20"/>
              <w:spacing w:after="0"/>
              <w:rPr>
                <w:sz w:val="20"/>
                <w:szCs w:val="20"/>
                <w:color w:val="auto"/>
              </w:rPr>
            </w:pPr>
            <w:r>
              <w:rPr>
                <w:rFonts w:ascii="Arial" w:cs="Arial" w:eastAsia="Arial" w:hAnsi="Arial"/>
                <w:sz w:val="13"/>
                <w:szCs w:val="13"/>
                <w:color w:val="auto"/>
              </w:rPr>
              <w:t>Proceeds from sales of assets</w:t>
            </w:r>
          </w:p>
        </w:tc>
        <w:tc>
          <w:tcPr>
            <w:tcW w:w="20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center"/>
              <w:ind w:left="279"/>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center"/>
              <w:ind w:left="359"/>
              <w:spacing w:after="0"/>
              <w:rPr>
                <w:sz w:val="20"/>
                <w:szCs w:val="20"/>
                <w:color w:val="auto"/>
              </w:rPr>
            </w:pPr>
            <w:r>
              <w:rPr>
                <w:rFonts w:ascii="Arial" w:cs="Arial" w:eastAsia="Arial" w:hAnsi="Arial"/>
                <w:sz w:val="13"/>
                <w:szCs w:val="13"/>
                <w:color w:val="auto"/>
                <w:w w:val="91"/>
              </w:rPr>
              <w:t>—</w:t>
            </w:r>
          </w:p>
        </w:tc>
      </w:tr>
      <w:tr>
        <w:trPr>
          <w:trHeight w:val="17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intercompany money pool</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left="279"/>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359"/>
              <w:spacing w:after="0"/>
              <w:rPr>
                <w:sz w:val="20"/>
                <w:szCs w:val="20"/>
                <w:color w:val="auto"/>
              </w:rPr>
            </w:pPr>
            <w:r>
              <w:rPr>
                <w:rFonts w:ascii="Arial" w:cs="Arial" w:eastAsia="Arial" w:hAnsi="Arial"/>
                <w:sz w:val="13"/>
                <w:szCs w:val="13"/>
                <w:color w:val="auto"/>
                <w:w w:val="91"/>
              </w:rPr>
              <w:t>—</w:t>
            </w:r>
          </w:p>
        </w:tc>
      </w:tr>
      <w:tr>
        <w:trPr>
          <w:trHeight w:val="169"/>
        </w:trPr>
        <w:tc>
          <w:tcPr>
            <w:tcW w:w="3420" w:type="dxa"/>
            <w:vAlign w:val="bottom"/>
          </w:tcPr>
          <w:p>
            <w:pPr>
              <w:ind w:left="20"/>
              <w:spacing w:after="0"/>
              <w:rPr>
                <w:sz w:val="20"/>
                <w:szCs w:val="20"/>
                <w:color w:val="auto"/>
              </w:rPr>
            </w:pPr>
            <w:r>
              <w:rPr>
                <w:rFonts w:ascii="Arial" w:cs="Arial" w:eastAsia="Arial" w:hAnsi="Arial"/>
                <w:sz w:val="13"/>
                <w:szCs w:val="13"/>
                <w:color w:val="auto"/>
              </w:rPr>
              <w:t>Other investing activities</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center"/>
              <w:ind w:left="279"/>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center"/>
              <w:ind w:left="359"/>
              <w:spacing w:after="0"/>
              <w:rPr>
                <w:sz w:val="20"/>
                <w:szCs w:val="20"/>
                <w:color w:val="auto"/>
              </w:rPr>
            </w:pPr>
            <w:r>
              <w:rPr>
                <w:rFonts w:ascii="Arial" w:cs="Arial" w:eastAsia="Arial" w:hAnsi="Arial"/>
                <w:sz w:val="13"/>
                <w:szCs w:val="13"/>
                <w:color w:val="auto"/>
                <w:w w:val="91"/>
              </w:rPr>
              <w:t>—</w:t>
            </w:r>
          </w:p>
        </w:tc>
      </w:tr>
      <w:tr>
        <w:trPr>
          <w:trHeight w:val="185"/>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(Decrease) increase in cash flows from investing activities</w:t>
            </w: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center"/>
              <w:ind w:left="359"/>
              <w:spacing w:after="0"/>
              <w:rPr>
                <w:sz w:val="20"/>
                <w:szCs w:val="20"/>
                <w:color w:val="auto"/>
              </w:rPr>
            </w:pPr>
            <w:r>
              <w:rPr>
                <w:rFonts w:ascii="Arial" w:cs="Arial" w:eastAsia="Arial" w:hAnsi="Arial"/>
                <w:sz w:val="13"/>
                <w:szCs w:val="13"/>
                <w:color w:val="auto"/>
                <w:w w:val="94"/>
              </w:rPr>
              <w:t>(45)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3"/>
                <w:szCs w:val="13"/>
                <w:color w:val="auto"/>
                <w:w w:val="94"/>
              </w:rPr>
              <w:t>(17)</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Significant changes in cash flows from investing activities were primarily due to the following:</w:t>
      </w:r>
    </w:p>
    <w:p>
      <w:pPr>
        <w:spacing w:after="0" w:line="126" w:lineRule="exact"/>
        <w:rPr>
          <w:sz w:val="20"/>
          <w:szCs w:val="20"/>
          <w:color w:val="auto"/>
        </w:rPr>
      </w:pPr>
    </w:p>
    <w:p>
      <w:pPr>
        <w:ind w:left="760" w:hanging="246"/>
        <w:spacing w:after="0" w:line="266" w:lineRule="auto"/>
        <w:tabs>
          <w:tab w:leader="none" w:pos="751" w:val="left"/>
        </w:tabs>
        <w:numPr>
          <w:ilvl w:val="0"/>
          <w:numId w:val="42"/>
        </w:numPr>
        <w:rPr>
          <w:rFonts w:ascii="Arial" w:cs="Arial" w:eastAsia="Arial" w:hAnsi="Arial"/>
          <w:sz w:val="13"/>
          <w:szCs w:val="13"/>
          <w:b w:val="1"/>
          <w:bCs w:val="1"/>
          <w:color w:val="auto"/>
        </w:rPr>
      </w:pPr>
      <w:r>
        <w:rPr>
          <w:rFonts w:ascii="Arial" w:cs="Arial" w:eastAsia="Arial" w:hAnsi="Arial"/>
          <w:sz w:val="13"/>
          <w:szCs w:val="13"/>
          <w:color w:val="auto"/>
        </w:rPr>
        <w:t xml:space="preserve">Changes in </w:t>
      </w:r>
      <w:r>
        <w:rPr>
          <w:rFonts w:ascii="Arial" w:cs="Arial" w:eastAsia="Arial" w:hAnsi="Arial"/>
          <w:sz w:val="13"/>
          <w:szCs w:val="13"/>
          <w:b w:val="1"/>
          <w:bCs w:val="1"/>
          <w:color w:val="auto"/>
        </w:rPr>
        <w:t>capital expenditures</w:t>
      </w:r>
      <w:r>
        <w:rPr>
          <w:rFonts w:ascii="Arial" w:cs="Arial" w:eastAsia="Arial" w:hAnsi="Arial"/>
          <w:sz w:val="13"/>
          <w:szCs w:val="13"/>
          <w:color w:val="auto"/>
        </w:rPr>
        <w:t xml:space="preserve"> are primarily due to the timing of cash expenditures for capital projects. See the "Credit Matters and Cash Requirements" section below for additional information on projected capital expenditure spending for the Utility Registrants.</w:t>
      </w:r>
    </w:p>
    <w:p>
      <w:pPr>
        <w:spacing w:after="0" w:line="103" w:lineRule="exact"/>
        <w:rPr>
          <w:rFonts w:ascii="Arial" w:cs="Arial" w:eastAsia="Arial" w:hAnsi="Arial"/>
          <w:sz w:val="13"/>
          <w:szCs w:val="13"/>
          <w:b w:val="1"/>
          <w:bCs w:val="1"/>
          <w:color w:val="auto"/>
        </w:rPr>
      </w:pPr>
    </w:p>
    <w:p>
      <w:pPr>
        <w:ind w:left="760" w:hanging="246"/>
        <w:spacing w:after="0"/>
        <w:tabs>
          <w:tab w:leader="none" w:pos="7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 xml:space="preserve">Changes in </w:t>
      </w:r>
      <w:r>
        <w:rPr>
          <w:rFonts w:ascii="Arial" w:cs="Arial" w:eastAsia="Arial" w:hAnsi="Arial"/>
          <w:sz w:val="13"/>
          <w:szCs w:val="13"/>
          <w:b w:val="1"/>
          <w:bCs w:val="1"/>
          <w:color w:val="auto"/>
        </w:rPr>
        <w:t>intercompany money pool</w:t>
      </w:r>
      <w:r>
        <w:rPr>
          <w:rFonts w:ascii="Arial" w:cs="Arial" w:eastAsia="Arial" w:hAnsi="Arial"/>
          <w:sz w:val="13"/>
          <w:szCs w:val="13"/>
          <w:color w:val="auto"/>
        </w:rPr>
        <w:t xml:space="preserve"> are driven by short-term borrowing needs. Refer to more information regarding the intercompany money pool below.</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summary of the change in cash flows from financing activities for the three months ended March 31, 2026 and 2025 by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3420" w:type="dxa"/>
            <w:vAlign w:val="bottom"/>
          </w:tcPr>
          <w:p>
            <w:pPr>
              <w:spacing w:after="0"/>
              <w:rPr>
                <w:sz w:val="20"/>
                <w:szCs w:val="20"/>
                <w:color w:val="auto"/>
              </w:rPr>
            </w:pPr>
            <w:r>
              <w:rPr>
                <w:rFonts w:ascii="Arial" w:cs="Arial" w:eastAsia="Arial" w:hAnsi="Arial"/>
                <w:sz w:val="10"/>
                <w:szCs w:val="10"/>
                <w:b w:val="1"/>
                <w:bCs w:val="1"/>
                <w:color w:val="auto"/>
              </w:rPr>
              <w:t>(Decrease) increase in cash flows from financing activities</w:t>
            </w:r>
          </w:p>
        </w:tc>
        <w:tc>
          <w:tcPr>
            <w:tcW w:w="18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Exelon</w:t>
            </w:r>
          </w:p>
        </w:tc>
        <w:tc>
          <w:tcPr>
            <w:tcW w:w="20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ComEd</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PECO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BGE</w:t>
            </w:r>
          </w:p>
        </w:tc>
        <w:tc>
          <w:tcPr>
            <w:tcW w:w="22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0"/>
                <w:szCs w:val="10"/>
                <w:b w:val="1"/>
                <w:bCs w:val="1"/>
                <w:color w:val="auto"/>
              </w:rPr>
              <w:t>PHI</w:t>
            </w:r>
          </w:p>
        </w:tc>
        <w:tc>
          <w:tcPr>
            <w:tcW w:w="18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0"/>
                <w:szCs w:val="10"/>
                <w:b w:val="1"/>
                <w:bCs w:val="1"/>
                <w:color w:val="auto"/>
              </w:rPr>
              <w:t>Pepco</w:t>
            </w:r>
          </w:p>
        </w:tc>
        <w:tc>
          <w:tcPr>
            <w:tcW w:w="2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DPL</w:t>
            </w:r>
          </w:p>
        </w:tc>
        <w:tc>
          <w:tcPr>
            <w:tcW w:w="200" w:type="dxa"/>
            <w:vAlign w:val="bottom"/>
          </w:tcPr>
          <w:p>
            <w:pPr>
              <w:spacing w:after="0"/>
              <w:rPr>
                <w:sz w:val="12"/>
                <w:szCs w:val="12"/>
                <w:color w:val="auto"/>
              </w:rPr>
            </w:pPr>
          </w:p>
        </w:tc>
        <w:tc>
          <w:tcPr>
            <w:tcW w:w="680" w:type="dxa"/>
            <w:vAlign w:val="bottom"/>
          </w:tcPr>
          <w:p>
            <w:pPr>
              <w:jc w:val="right"/>
              <w:ind w:right="278"/>
              <w:spacing w:after="0"/>
              <w:rPr>
                <w:sz w:val="20"/>
                <w:szCs w:val="20"/>
                <w:color w:val="auto"/>
              </w:rPr>
            </w:pPr>
            <w:r>
              <w:rPr>
                <w:rFonts w:ascii="Arial" w:cs="Arial" w:eastAsia="Arial" w:hAnsi="Arial"/>
                <w:sz w:val="10"/>
                <w:szCs w:val="10"/>
                <w:b w:val="1"/>
                <w:bCs w:val="1"/>
                <w:color w:val="auto"/>
              </w:rPr>
              <w:t>ACE</w:t>
            </w:r>
          </w:p>
        </w:tc>
      </w:tr>
      <w:tr>
        <w:trPr>
          <w:trHeight w:val="164"/>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Changes in short-term borrowings, net</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192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center"/>
              <w:ind w:left="338"/>
              <w:spacing w:after="0"/>
              <w:rPr>
                <w:sz w:val="20"/>
                <w:szCs w:val="20"/>
                <w:color w:val="auto"/>
              </w:rPr>
            </w:pPr>
            <w:r>
              <w:rPr>
                <w:rFonts w:ascii="Arial" w:cs="Arial" w:eastAsia="Arial" w:hAnsi="Arial"/>
                <w:sz w:val="13"/>
                <w:szCs w:val="13"/>
                <w:color w:val="auto"/>
                <w:w w:val="94"/>
              </w:rPr>
              <w:t>(62)</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9"/>
        </w:trPr>
        <w:tc>
          <w:tcPr>
            <w:tcW w:w="3420" w:type="dxa"/>
            <w:vAlign w:val="bottom"/>
          </w:tcPr>
          <w:p>
            <w:pPr>
              <w:spacing w:after="0"/>
              <w:rPr>
                <w:sz w:val="20"/>
                <w:szCs w:val="20"/>
                <w:color w:val="auto"/>
              </w:rPr>
            </w:pPr>
            <w:r>
              <w:rPr>
                <w:rFonts w:ascii="Arial" w:cs="Arial" w:eastAsia="Arial" w:hAnsi="Arial"/>
                <w:sz w:val="13"/>
                <w:szCs w:val="13"/>
                <w:color w:val="auto"/>
              </w:rPr>
              <w:t>Long-term debt, net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center"/>
              <w:ind w:left="238"/>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Changes in intercompany money pool</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3420" w:type="dxa"/>
            <w:vAlign w:val="bottom"/>
          </w:tcPr>
          <w:p>
            <w:pPr>
              <w:spacing w:after="0"/>
              <w:rPr>
                <w:sz w:val="20"/>
                <w:szCs w:val="20"/>
                <w:color w:val="auto"/>
              </w:rPr>
            </w:pPr>
            <w:r>
              <w:rPr>
                <w:rFonts w:ascii="Arial" w:cs="Arial" w:eastAsia="Arial" w:hAnsi="Arial"/>
                <w:sz w:val="13"/>
                <w:szCs w:val="13"/>
                <w:color w:val="auto"/>
              </w:rPr>
              <w:t>Issuance of common stock</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center"/>
              <w:ind w:left="238"/>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Dividends paid on common stock</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338"/>
              <w:spacing w:after="0"/>
              <w:rPr>
                <w:sz w:val="20"/>
                <w:szCs w:val="20"/>
                <w:color w:val="auto"/>
              </w:rPr>
            </w:pPr>
            <w:r>
              <w:rPr>
                <w:rFonts w:ascii="Arial" w:cs="Arial" w:eastAsia="Arial" w:hAnsi="Arial"/>
                <w:sz w:val="13"/>
                <w:szCs w:val="13"/>
                <w:color w:val="auto"/>
                <w:w w:val="94"/>
              </w:rPr>
              <w:t>(16)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3420" w:type="dxa"/>
            <w:vAlign w:val="bottom"/>
          </w:tcPr>
          <w:p>
            <w:pPr>
              <w:spacing w:after="0"/>
              <w:rPr>
                <w:sz w:val="20"/>
                <w:szCs w:val="20"/>
                <w:color w:val="auto"/>
              </w:rPr>
            </w:pPr>
            <w:r>
              <w:rPr>
                <w:rFonts w:ascii="Arial" w:cs="Arial" w:eastAsia="Arial" w:hAnsi="Arial"/>
                <w:sz w:val="13"/>
                <w:szCs w:val="13"/>
                <w:color w:val="auto"/>
              </w:rPr>
              <w:t>Distributions to member</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center"/>
              <w:ind w:left="238"/>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Contributions from parent/member</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3420" w:type="dxa"/>
            <w:vAlign w:val="bottom"/>
          </w:tcPr>
          <w:p>
            <w:pPr>
              <w:spacing w:after="0"/>
              <w:rPr>
                <w:sz w:val="20"/>
                <w:szCs w:val="20"/>
                <w:color w:val="auto"/>
              </w:rPr>
            </w:pPr>
            <w:r>
              <w:rPr>
                <w:rFonts w:ascii="Arial" w:cs="Arial" w:eastAsia="Arial" w:hAnsi="Arial"/>
                <w:sz w:val="13"/>
                <w:szCs w:val="13"/>
                <w:color w:val="auto"/>
              </w:rPr>
              <w:t>Other financing activities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center"/>
              <w:ind w:left="238"/>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85"/>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(Decrease) increase in cash flows from financing activities</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center"/>
              <w:ind w:left="338"/>
              <w:spacing w:after="0"/>
              <w:rPr>
                <w:sz w:val="20"/>
                <w:szCs w:val="20"/>
                <w:color w:val="auto"/>
              </w:rPr>
            </w:pPr>
            <w:r>
              <w:rPr>
                <w:rFonts w:ascii="Arial" w:cs="Arial" w:eastAsia="Arial" w:hAnsi="Arial"/>
                <w:sz w:val="13"/>
                <w:szCs w:val="13"/>
                <w:color w:val="auto"/>
                <w:w w:val="94"/>
              </w:rPr>
              <w:t>(78)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Significant changes in cash flows from financing activities were primarily due to the following:</w:t>
      </w:r>
    </w:p>
    <w:p>
      <w:pPr>
        <w:spacing w:after="0" w:line="137" w:lineRule="exact"/>
        <w:rPr>
          <w:sz w:val="20"/>
          <w:szCs w:val="20"/>
          <w:color w:val="auto"/>
        </w:rPr>
      </w:pPr>
    </w:p>
    <w:p>
      <w:pPr>
        <w:ind w:left="760" w:hanging="246"/>
        <w:spacing w:after="0" w:line="266" w:lineRule="auto"/>
        <w:tabs>
          <w:tab w:leader="none" w:pos="751"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Changes in short-term borrowings, net</w:t>
      </w:r>
      <w:r>
        <w:rPr>
          <w:rFonts w:ascii="Arial" w:cs="Arial" w:eastAsia="Arial" w:hAnsi="Arial"/>
          <w:sz w:val="13"/>
          <w:szCs w:val="13"/>
          <w:color w:val="auto"/>
        </w:rPr>
        <w:t>, is driven by repayments on and issuances of notes due in less than 365 days. See Note 9 — Debt and Credit Agreements of the Combined</w:t>
      </w:r>
      <w:r>
        <w:rPr>
          <w:rFonts w:ascii="Arial" w:cs="Arial" w:eastAsia="Arial" w:hAnsi="Arial"/>
          <w:sz w:val="13"/>
          <w:szCs w:val="13"/>
          <w:b w:val="1"/>
          <w:bCs w:val="1"/>
          <w:color w:val="auto"/>
        </w:rPr>
        <w:t xml:space="preserve"> </w:t>
      </w:r>
      <w:r>
        <w:rPr>
          <w:rFonts w:ascii="Arial" w:cs="Arial" w:eastAsia="Arial" w:hAnsi="Arial"/>
          <w:sz w:val="13"/>
          <w:szCs w:val="13"/>
          <w:color w:val="auto"/>
        </w:rPr>
        <w:t>Notes to Consolidated Financial Statements for additional information on short-term borrowings for the Registrants.</w:t>
      </w:r>
    </w:p>
    <w:p>
      <w:pPr>
        <w:spacing w:after="0" w:line="93" w:lineRule="exact"/>
        <w:rPr>
          <w:rFonts w:ascii="Arial" w:cs="Arial" w:eastAsia="Arial" w:hAnsi="Arial"/>
          <w:sz w:val="13"/>
          <w:szCs w:val="13"/>
          <w:color w:val="auto"/>
        </w:rPr>
      </w:pPr>
    </w:p>
    <w:p>
      <w:pPr>
        <w:ind w:left="760" w:hanging="246"/>
        <w:spacing w:after="0" w:line="283" w:lineRule="auto"/>
        <w:tabs>
          <w:tab w:leader="none" w:pos="751"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Long-term debt, net</w:t>
      </w:r>
      <w:r>
        <w:rPr>
          <w:rFonts w:ascii="Arial" w:cs="Arial" w:eastAsia="Arial" w:hAnsi="Arial"/>
          <w:sz w:val="13"/>
          <w:szCs w:val="13"/>
          <w:color w:val="auto"/>
        </w:rPr>
        <w:t>, varies due to debt issuances and redemptions each year. See Note 9 — Debt and Credit Agreements of the Combined Notes to Consolidated Financial Statements</w:t>
      </w:r>
      <w:r>
        <w:rPr>
          <w:rFonts w:ascii="Arial" w:cs="Arial" w:eastAsia="Arial" w:hAnsi="Arial"/>
          <w:sz w:val="13"/>
          <w:szCs w:val="13"/>
          <w:b w:val="1"/>
          <w:bCs w:val="1"/>
          <w:color w:val="auto"/>
        </w:rPr>
        <w:t xml:space="preserve"> </w:t>
      </w:r>
      <w:r>
        <w:rPr>
          <w:rFonts w:ascii="Arial" w:cs="Arial" w:eastAsia="Arial" w:hAnsi="Arial"/>
          <w:sz w:val="13"/>
          <w:szCs w:val="13"/>
          <w:color w:val="auto"/>
        </w:rPr>
        <w:t>for additional information on debt issuances. Refer to the "Debt" section below for additional information.</w:t>
      </w:r>
    </w:p>
    <w:p>
      <w:pPr>
        <w:spacing w:after="0" w:line="82" w:lineRule="exact"/>
        <w:rPr>
          <w:rFonts w:ascii="Arial" w:cs="Arial" w:eastAsia="Arial" w:hAnsi="Arial"/>
          <w:sz w:val="13"/>
          <w:szCs w:val="13"/>
          <w:color w:val="auto"/>
        </w:rPr>
      </w:pPr>
    </w:p>
    <w:p>
      <w:pPr>
        <w:ind w:left="760" w:hanging="246"/>
        <w:spacing w:after="0"/>
        <w:tabs>
          <w:tab w:leader="none" w:pos="760"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 xml:space="preserve">Changes in intercompany money pool </w:t>
      </w:r>
      <w:r>
        <w:rPr>
          <w:rFonts w:ascii="Arial" w:cs="Arial" w:eastAsia="Arial" w:hAnsi="Arial"/>
          <w:sz w:val="13"/>
          <w:szCs w:val="13"/>
          <w:color w:val="auto"/>
        </w:rPr>
        <w:t>are driven by short-term borrowing needs. Refer below for more information regarding the intercompany money pool.</w:t>
      </w:r>
    </w:p>
    <w:p>
      <w:pPr>
        <w:spacing w:after="0" w:line="136" w:lineRule="exact"/>
        <w:rPr>
          <w:rFonts w:ascii="Arial" w:cs="Arial" w:eastAsia="Arial" w:hAnsi="Arial"/>
          <w:sz w:val="13"/>
          <w:szCs w:val="13"/>
          <w:color w:val="auto"/>
        </w:rPr>
      </w:pPr>
    </w:p>
    <w:p>
      <w:pPr>
        <w:ind w:left="760" w:hanging="246"/>
        <w:spacing w:after="0" w:line="266" w:lineRule="auto"/>
        <w:tabs>
          <w:tab w:leader="none" w:pos="751"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 xml:space="preserve">Issuance of common stock </w:t>
      </w:r>
      <w:r>
        <w:rPr>
          <w:rFonts w:ascii="Arial" w:cs="Arial" w:eastAsia="Arial" w:hAnsi="Arial"/>
          <w:sz w:val="13"/>
          <w:szCs w:val="13"/>
          <w:color w:val="auto"/>
        </w:rPr>
        <w:t>relates to issuances of Exelon common stock during the first quarter of 2025. See Note 12 — Shareholders' Equity of the Combined Notes to Consolidated</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Statements for additional information.</w:t>
      </w:r>
    </w:p>
    <w:p>
      <w:pPr>
        <w:spacing w:after="0" w:line="93" w:lineRule="exact"/>
        <w:rPr>
          <w:rFonts w:ascii="Arial" w:cs="Arial" w:eastAsia="Arial" w:hAnsi="Arial"/>
          <w:sz w:val="13"/>
          <w:szCs w:val="13"/>
          <w:color w:val="auto"/>
        </w:rPr>
      </w:pPr>
    </w:p>
    <w:p>
      <w:pPr>
        <w:jc w:val="both"/>
        <w:ind w:left="760" w:hanging="246"/>
        <w:spacing w:after="0" w:line="261" w:lineRule="auto"/>
        <w:tabs>
          <w:tab w:leader="none" w:pos="751" w:val="left"/>
        </w:tabs>
        <w:numPr>
          <w:ilvl w:val="0"/>
          <w:numId w:val="43"/>
        </w:numPr>
        <w:rPr>
          <w:rFonts w:ascii="Arial" w:cs="Arial" w:eastAsia="Arial" w:hAnsi="Arial"/>
          <w:sz w:val="13"/>
          <w:szCs w:val="13"/>
          <w:color w:val="auto"/>
        </w:rPr>
      </w:pPr>
      <w:r>
        <w:rPr>
          <w:rFonts w:ascii="Arial" w:cs="Arial" w:eastAsia="Arial" w:hAnsi="Arial"/>
          <w:sz w:val="13"/>
          <w:szCs w:val="13"/>
          <w:color w:val="auto"/>
        </w:rPr>
        <w:t xml:space="preserve">Exelon’s ability to pay </w:t>
      </w:r>
      <w:r>
        <w:rPr>
          <w:rFonts w:ascii="Arial" w:cs="Arial" w:eastAsia="Arial" w:hAnsi="Arial"/>
          <w:sz w:val="13"/>
          <w:szCs w:val="13"/>
          <w:b w:val="1"/>
          <w:bCs w:val="1"/>
          <w:color w:val="auto"/>
        </w:rPr>
        <w:t>dividends</w:t>
      </w:r>
      <w:r>
        <w:rPr>
          <w:rFonts w:ascii="Arial" w:cs="Arial" w:eastAsia="Arial" w:hAnsi="Arial"/>
          <w:sz w:val="13"/>
          <w:szCs w:val="13"/>
          <w:color w:val="auto"/>
        </w:rPr>
        <w:t xml:space="preserve"> on its common stock depends on the receipt of dividends paid by its operating subsidiaries. The payments of dividends to Exelon by its subsidiaries in turn depend on their results of operations and cash flows and other items affecting retained earnings. See Note 16 — Commitments and Contingencies of the 2025 Form 10-K for additional information on dividend restrictions. See below for quarterly dividends declared.</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See Note 9 — Debt and Credit Agreements of the Combined Notes to Consolidated Financial Statements for additional information on the Registrants’ debt issuances.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During the three months ended March 31, 2026, no long-term debt was retired and/or redeemed. Exelon repaid $750 million of its Senior Notes on the maturity date of April 15, 2026.</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Dividends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Quarterly dividends declared by the Exelon Board of Directors during the three months ended March 31, 2026 and for the second quarter of 2026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Borders>
              <w:bottom w:val="single" w:sz="8" w:color="auto"/>
            </w:tcBorders>
          </w:tcPr>
          <w:p>
            <w:pPr>
              <w:ind w:left="1000"/>
              <w:spacing w:after="0"/>
              <w:rPr>
                <w:sz w:val="20"/>
                <w:szCs w:val="20"/>
                <w:color w:val="auto"/>
              </w:rPr>
            </w:pPr>
            <w:r>
              <w:rPr>
                <w:rFonts w:ascii="Arial" w:cs="Arial" w:eastAsia="Arial" w:hAnsi="Arial"/>
                <w:sz w:val="10"/>
                <w:szCs w:val="10"/>
                <w:b w:val="1"/>
                <w:bCs w:val="1"/>
                <w:color w:val="auto"/>
              </w:rPr>
              <w:t>Period</w:t>
            </w:r>
          </w:p>
        </w:tc>
        <w:tc>
          <w:tcPr>
            <w:tcW w:w="100" w:type="dxa"/>
            <w:vAlign w:val="bottom"/>
            <w:tcBorders>
              <w:bottom w:val="single" w:sz="8" w:color="CCEEFF"/>
            </w:tcBorders>
          </w:tcPr>
          <w:p>
            <w:pPr>
              <w:spacing w:after="0"/>
              <w:rPr>
                <w:sz w:val="12"/>
                <w:szCs w:val="12"/>
                <w:color w:val="auto"/>
              </w:rPr>
            </w:pPr>
          </w:p>
        </w:tc>
        <w:tc>
          <w:tcPr>
            <w:tcW w:w="200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Declaration Date</w:t>
            </w:r>
          </w:p>
        </w:tc>
        <w:tc>
          <w:tcPr>
            <w:tcW w:w="80" w:type="dxa"/>
            <w:vAlign w:val="bottom"/>
            <w:tcBorders>
              <w:bottom w:val="single" w:sz="8" w:color="CCEEFF"/>
            </w:tcBorders>
          </w:tcPr>
          <w:p>
            <w:pPr>
              <w:spacing w:after="0"/>
              <w:rPr>
                <w:sz w:val="12"/>
                <w:szCs w:val="12"/>
                <w:color w:val="auto"/>
              </w:rPr>
            </w:pPr>
          </w:p>
        </w:tc>
        <w:tc>
          <w:tcPr>
            <w:tcW w:w="26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Shareholder of Record Date</w:t>
            </w:r>
          </w:p>
        </w:tc>
        <w:tc>
          <w:tcPr>
            <w:tcW w:w="120" w:type="dxa"/>
            <w:vAlign w:val="bottom"/>
            <w:tcBorders>
              <w:bottom w:val="single" w:sz="8" w:color="CCEEFF"/>
            </w:tcBorders>
          </w:tcPr>
          <w:p>
            <w:pPr>
              <w:spacing w:after="0"/>
              <w:rPr>
                <w:sz w:val="12"/>
                <w:szCs w:val="12"/>
                <w:color w:val="auto"/>
              </w:rPr>
            </w:pPr>
          </w:p>
        </w:tc>
        <w:tc>
          <w:tcPr>
            <w:tcW w:w="216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Dividend Payable Date</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Cash per Share</w:t>
            </w:r>
            <w:r>
              <w:rPr>
                <w:rFonts w:ascii="Arial" w:cs="Arial" w:eastAsia="Arial" w:hAnsi="Arial"/>
                <w:sz w:val="12"/>
                <w:szCs w:val="12"/>
                <w:b w:val="1"/>
                <w:bCs w:val="1"/>
                <w:color w:val="auto"/>
                <w:vertAlign w:val="superscript"/>
              </w:rPr>
              <w:t>(a)</w:t>
            </w:r>
          </w:p>
        </w:tc>
      </w:tr>
      <w:tr>
        <w:trPr>
          <w:trHeight w:val="160"/>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First Quarter 2026</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February 12, 2026</w:t>
            </w: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2, 2026</w:t>
            </w: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13, 2026</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0.4200</w:t>
            </w:r>
          </w:p>
        </w:tc>
      </w:tr>
      <w:tr>
        <w:trPr>
          <w:trHeight w:val="167"/>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Second Quarter 2026</w:t>
            </w:r>
          </w:p>
        </w:tc>
        <w:tc>
          <w:tcPr>
            <w:tcW w:w="2080" w:type="dxa"/>
            <w:vAlign w:val="bottom"/>
            <w:gridSpan w:val="2"/>
          </w:tcPr>
          <w:p>
            <w:pPr>
              <w:jc w:val="right"/>
              <w:ind w:right="100"/>
              <w:spacing w:after="0"/>
              <w:rPr>
                <w:sz w:val="20"/>
                <w:szCs w:val="20"/>
                <w:color w:val="auto"/>
              </w:rPr>
            </w:pPr>
            <w:r>
              <w:rPr>
                <w:rFonts w:ascii="Arial" w:cs="Arial" w:eastAsia="Arial" w:hAnsi="Arial"/>
                <w:sz w:val="13"/>
                <w:szCs w:val="13"/>
                <w:color w:val="auto"/>
              </w:rPr>
              <w:t>April 28, 2026</w:t>
            </w:r>
          </w:p>
        </w:tc>
        <w:tc>
          <w:tcPr>
            <w:tcW w:w="2760" w:type="dxa"/>
            <w:vAlign w:val="bottom"/>
            <w:gridSpan w:val="2"/>
          </w:tcPr>
          <w:p>
            <w:pPr>
              <w:jc w:val="right"/>
              <w:ind w:right="120"/>
              <w:spacing w:after="0"/>
              <w:rPr>
                <w:sz w:val="20"/>
                <w:szCs w:val="20"/>
                <w:color w:val="auto"/>
              </w:rPr>
            </w:pPr>
            <w:r>
              <w:rPr>
                <w:rFonts w:ascii="Arial" w:cs="Arial" w:eastAsia="Arial" w:hAnsi="Arial"/>
                <w:sz w:val="13"/>
                <w:szCs w:val="13"/>
                <w:color w:val="auto"/>
              </w:rPr>
              <w:t>June 4, 2026</w:t>
            </w:r>
          </w:p>
        </w:tc>
        <w:tc>
          <w:tcPr>
            <w:tcW w:w="2280" w:type="dxa"/>
            <w:vAlign w:val="bottom"/>
            <w:gridSpan w:val="2"/>
          </w:tcPr>
          <w:p>
            <w:pPr>
              <w:jc w:val="right"/>
              <w:ind w:right="120"/>
              <w:spacing w:after="0"/>
              <w:rPr>
                <w:sz w:val="20"/>
                <w:szCs w:val="20"/>
                <w:color w:val="auto"/>
              </w:rPr>
            </w:pPr>
            <w:r>
              <w:rPr>
                <w:rFonts w:ascii="Arial" w:cs="Arial" w:eastAsia="Arial" w:hAnsi="Arial"/>
                <w:sz w:val="13"/>
                <w:szCs w:val="13"/>
                <w:color w:val="auto"/>
              </w:rPr>
              <w:t>June 15, 2026</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1"/>
              <w:spacing w:after="0"/>
              <w:rPr>
                <w:sz w:val="20"/>
                <w:szCs w:val="20"/>
                <w:color w:val="auto"/>
              </w:rPr>
            </w:pPr>
            <w:r>
              <w:rPr>
                <w:rFonts w:ascii="Arial" w:cs="Arial" w:eastAsia="Arial" w:hAnsi="Arial"/>
                <w:sz w:val="13"/>
                <w:szCs w:val="13"/>
                <w:color w:val="auto"/>
              </w:rPr>
              <w:t>0.4200</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Exelon's Board of Directors approved an updated dividend policy for 2026. The 2026 quarterly dividend will be $0.42 per share.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Matters and Cash Requirements</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Registrants fund liquidity needs for capital investment, working capital, energy hedging, and other financial commitments through cash flows from continuing operations, public debt offerings, commercial paper markets, and large, diversified credit facilities. The credit facilities include $4.0 billion in aggregate total commitments of which $3.8 billion was available to support additional commercial paper as of March 31, 2026, and of which no financial institution has more than 6.2% of the aggregate commitments for the Registrants. The Registrants had access to the commercial paper markets and had availability under their revolving credit facilities during the three months ended March 31, 2026 to fund their short-term liquidity needs, when necessary. Exelon Corporate and the Utility Registrants each have a 5-year revolving credit facility. See Note 9 — Debt and Credit Agreements of the Combined Notes to Consolidated Financial Statements for additional information. The Registrants routinely review the sufficiency of their liquidity position, including appropriate sizing of credit facility commitments, by performing various stress test scenarios, such as commodity price movements, increases in margin-related transactions, changes in hedging levels, and the impacts of hypothetical credit downgrades. The Registrants have continued to closely monitor events in the financial markets and the financial institutions associated with the credit facilities, including monitoring credit ratings and outlooks, credit default swap levels, capital raising, and merger activity. See PART I. ITEM 1A. RISK FACTORS of the 2025 Form 10-K for additional information regarding the effects of uncertainty in the capital and credit markets.</w:t>
      </w:r>
    </w:p>
    <w:p>
      <w:pPr>
        <w:spacing w:after="0" w:line="116" w:lineRule="exact"/>
        <w:rPr>
          <w:sz w:val="20"/>
          <w:szCs w:val="20"/>
          <w:color w:val="auto"/>
        </w:rPr>
      </w:pPr>
    </w:p>
    <w:p>
      <w:pPr>
        <w:ind w:right="480"/>
        <w:spacing w:after="0" w:line="442" w:lineRule="auto"/>
        <w:rPr>
          <w:sz w:val="20"/>
          <w:szCs w:val="20"/>
          <w:color w:val="auto"/>
        </w:rPr>
      </w:pPr>
      <w:r>
        <w:rPr>
          <w:rFonts w:ascii="Arial" w:cs="Arial" w:eastAsia="Arial" w:hAnsi="Arial"/>
          <w:sz w:val="13"/>
          <w:szCs w:val="13"/>
          <w:color w:val="auto"/>
        </w:rPr>
        <w:t xml:space="preserve">The Registrants believe their cash flows from operating activities, access to credit markets, and their credit facilities provide sufficient liquidity to support the estimated future cash requirements. </w:t>
      </w:r>
      <w:r>
        <w:rPr>
          <w:rFonts w:ascii="Arial" w:cs="Arial" w:eastAsia="Arial" w:hAnsi="Arial"/>
          <w:sz w:val="13"/>
          <w:szCs w:val="13"/>
          <w:b w:val="1"/>
          <w:bCs w:val="1"/>
          <w:i w:val="1"/>
          <w:iCs w:val="1"/>
          <w:color w:val="auto"/>
        </w:rPr>
        <w:t>At-the-Market Program</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On May 2, 2025, Exelon executed an equity distribution agreement ("2025 Equity Distribution Agreement"), with certain sales agents and forward sellers and certain forward purchasers, establishing an ATM equity distribution program which it may offer and sell shares of its Common stock, having an aggregate gross sales price of up to $2.5 billion through May 2, 2028. Exelon has no obligation to offer or sell any shares of Common stock under the 2025 Equity Distribution Agreement and may, at any time, suspend or terminate offers and sales under the 2025 Equity Distribution Agreement.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the first quarter of 2026, Exelon entered into various forward sale agreements under the 2025 ATM programs. The forward sale agreements require Exelon to, at its election prior to the maturity date, either (i) physically settle the transactions by issuing shares of its Common stock to the forward counterparties in exchange for net proceeds at the then-applicable forward sale price specified by the agreements or (ii) net settle the transactions in whole or in part through the delivery to the forward counterparties or receipt from the forward counterparties of cash or shares in accordance with the provisions of the agreements. The following forward sale agreements were entered into under Exelon’s ATM program in the first quarter of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2"/>
          </w:tcPr>
          <w:p>
            <w:pPr>
              <w:ind w:left="1000"/>
              <w:spacing w:after="0"/>
              <w:rPr>
                <w:sz w:val="20"/>
                <w:szCs w:val="20"/>
                <w:color w:val="auto"/>
              </w:rPr>
            </w:pPr>
            <w:r>
              <w:rPr>
                <w:rFonts w:ascii="Arial" w:cs="Arial" w:eastAsia="Arial" w:hAnsi="Arial"/>
                <w:sz w:val="10"/>
                <w:szCs w:val="10"/>
                <w:b w:val="1"/>
                <w:bCs w:val="1"/>
                <w:color w:val="auto"/>
              </w:rPr>
              <w:t>Shares Available</w:t>
            </w:r>
          </w:p>
        </w:tc>
        <w:tc>
          <w:tcPr>
            <w:tcW w:w="4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920" w:type="dxa"/>
            <w:vAlign w:val="bottom"/>
          </w:tcPr>
          <w:p>
            <w:pPr>
              <w:spacing w:after="0"/>
              <w:rPr>
                <w:sz w:val="10"/>
                <w:szCs w:val="10"/>
                <w:color w:val="auto"/>
              </w:rPr>
            </w:pPr>
          </w:p>
        </w:tc>
      </w:tr>
      <w:tr>
        <w:trPr>
          <w:trHeight w:val="139"/>
        </w:trPr>
        <w:tc>
          <w:tcPr>
            <w:tcW w:w="250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Effective Period</w:t>
            </w:r>
          </w:p>
        </w:tc>
        <w:tc>
          <w:tcPr>
            <w:tcW w:w="120" w:type="dxa"/>
            <w:vAlign w:val="bottom"/>
            <w:tcBorders>
              <w:bottom w:val="single" w:sz="8" w:color="CCEEFF"/>
            </w:tcBorders>
          </w:tcPr>
          <w:p>
            <w:pPr>
              <w:spacing w:after="0"/>
              <w:rPr>
                <w:sz w:val="12"/>
                <w:szCs w:val="12"/>
                <w:color w:val="auto"/>
              </w:rPr>
            </w:pPr>
          </w:p>
        </w:tc>
        <w:tc>
          <w:tcPr>
            <w:tcW w:w="2800" w:type="dxa"/>
            <w:vAlign w:val="bottom"/>
            <w:tcBorders>
              <w:bottom w:val="single" w:sz="8" w:color="auto"/>
            </w:tcBorders>
          </w:tcPr>
          <w:p>
            <w:pPr>
              <w:jc w:val="right"/>
              <w:ind w:right="1063"/>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rPr>
              <w:t>Weighted-Average Net Price</w:t>
            </w:r>
          </w:p>
        </w:tc>
        <w:tc>
          <w:tcPr>
            <w:tcW w:w="2920" w:type="dxa"/>
            <w:vAlign w:val="bottom"/>
            <w:tcBorders>
              <w:bottom w:val="single" w:sz="8" w:color="auto"/>
            </w:tcBorders>
          </w:tcPr>
          <w:p>
            <w:pPr>
              <w:ind w:left="1180"/>
              <w:spacing w:after="0"/>
              <w:rPr>
                <w:sz w:val="20"/>
                <w:szCs w:val="20"/>
                <w:color w:val="auto"/>
              </w:rPr>
            </w:pPr>
            <w:r>
              <w:rPr>
                <w:rFonts w:ascii="Arial" w:cs="Arial" w:eastAsia="Arial" w:hAnsi="Arial"/>
                <w:sz w:val="10"/>
                <w:szCs w:val="10"/>
                <w:b w:val="1"/>
                <w:bCs w:val="1"/>
                <w:color w:val="auto"/>
              </w:rPr>
              <w:t>Maturity Date</w:t>
            </w:r>
          </w:p>
        </w:tc>
      </w:tr>
      <w:tr>
        <w:trPr>
          <w:trHeight w:val="17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Q1 2026</w:t>
            </w:r>
          </w:p>
        </w:tc>
        <w:tc>
          <w:tcPr>
            <w:tcW w:w="2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4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47.67</w:t>
            </w:r>
          </w:p>
        </w:tc>
        <w:tc>
          <w:tcPr>
            <w:tcW w:w="2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July 30, 2027</w:t>
            </w:r>
          </w:p>
        </w:tc>
      </w:tr>
      <w:tr>
        <w:trPr>
          <w:trHeight w:val="167"/>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Q1 2026</w:t>
            </w:r>
          </w:p>
        </w:tc>
        <w:tc>
          <w:tcPr>
            <w:tcW w:w="280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420" w:type="dxa"/>
            <w:vAlign w:val="bottom"/>
          </w:tcPr>
          <w:p>
            <w:pPr>
              <w:jc w:val="right"/>
              <w:ind w:right="41"/>
              <w:spacing w:after="0"/>
              <w:rPr>
                <w:sz w:val="20"/>
                <w:szCs w:val="20"/>
                <w:color w:val="auto"/>
              </w:rPr>
            </w:pPr>
            <w:r>
              <w:rPr>
                <w:rFonts w:ascii="Arial" w:cs="Arial" w:eastAsia="Arial" w:hAnsi="Arial"/>
                <w:sz w:val="13"/>
                <w:szCs w:val="13"/>
                <w:color w:val="auto"/>
              </w:rPr>
              <w:t>48.68</w:t>
            </w:r>
          </w:p>
        </w:tc>
        <w:tc>
          <w:tcPr>
            <w:tcW w:w="2920" w:type="dxa"/>
            <w:vAlign w:val="bottom"/>
          </w:tcPr>
          <w:p>
            <w:pPr>
              <w:ind w:left="80"/>
              <w:spacing w:after="0"/>
              <w:rPr>
                <w:sz w:val="20"/>
                <w:szCs w:val="20"/>
                <w:color w:val="auto"/>
              </w:rPr>
            </w:pPr>
            <w:r>
              <w:rPr>
                <w:rFonts w:ascii="Arial" w:cs="Arial" w:eastAsia="Arial" w:hAnsi="Arial"/>
                <w:sz w:val="13"/>
                <w:szCs w:val="13"/>
                <w:color w:val="auto"/>
              </w:rPr>
              <w:t>September 2, 2027</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Additionally, the following forward sale agreements were entered into during the twelve months ended 2025 under Exelon’s ATM program and were not settled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2"/>
          </w:tcPr>
          <w:p>
            <w:pPr>
              <w:ind w:left="1000"/>
              <w:spacing w:after="0"/>
              <w:rPr>
                <w:sz w:val="20"/>
                <w:szCs w:val="20"/>
                <w:color w:val="auto"/>
              </w:rPr>
            </w:pPr>
            <w:r>
              <w:rPr>
                <w:rFonts w:ascii="Arial" w:cs="Arial" w:eastAsia="Arial" w:hAnsi="Arial"/>
                <w:sz w:val="10"/>
                <w:szCs w:val="10"/>
                <w:b w:val="1"/>
                <w:bCs w:val="1"/>
                <w:color w:val="auto"/>
              </w:rPr>
              <w:t>Shares Available</w:t>
            </w:r>
          </w:p>
        </w:tc>
        <w:tc>
          <w:tcPr>
            <w:tcW w:w="4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49"/>
        </w:trPr>
        <w:tc>
          <w:tcPr>
            <w:tcW w:w="2500" w:type="dxa"/>
            <w:vAlign w:val="bottom"/>
            <w:tcBorders>
              <w:bottom w:val="single" w:sz="8" w:color="auto"/>
            </w:tcBorders>
          </w:tcPr>
          <w:p>
            <w:pPr>
              <w:ind w:left="880"/>
              <w:spacing w:after="0"/>
              <w:rPr>
                <w:sz w:val="20"/>
                <w:szCs w:val="20"/>
                <w:color w:val="auto"/>
              </w:rPr>
            </w:pPr>
            <w:r>
              <w:rPr>
                <w:rFonts w:ascii="Arial" w:cs="Arial" w:eastAsia="Arial" w:hAnsi="Arial"/>
                <w:sz w:val="10"/>
                <w:szCs w:val="10"/>
                <w:b w:val="1"/>
                <w:bCs w:val="1"/>
                <w:color w:val="auto"/>
              </w:rPr>
              <w:t>Effective Period</w:t>
            </w:r>
          </w:p>
        </w:tc>
        <w:tc>
          <w:tcPr>
            <w:tcW w:w="120" w:type="dxa"/>
            <w:vAlign w:val="bottom"/>
            <w:tcBorders>
              <w:bottom w:val="single" w:sz="8" w:color="CCEEFF"/>
            </w:tcBorders>
          </w:tcPr>
          <w:p>
            <w:pPr>
              <w:spacing w:after="0"/>
              <w:rPr>
                <w:sz w:val="12"/>
                <w:szCs w:val="12"/>
                <w:color w:val="auto"/>
              </w:rPr>
            </w:pPr>
          </w:p>
        </w:tc>
        <w:tc>
          <w:tcPr>
            <w:tcW w:w="2800" w:type="dxa"/>
            <w:vAlign w:val="bottom"/>
            <w:tcBorders>
              <w:bottom w:val="single" w:sz="8" w:color="auto"/>
            </w:tcBorders>
          </w:tcPr>
          <w:p>
            <w:pPr>
              <w:jc w:val="right"/>
              <w:ind w:right="1062"/>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jc w:val="right"/>
              <w:ind w:right="680"/>
              <w:spacing w:after="0"/>
              <w:rPr>
                <w:sz w:val="20"/>
                <w:szCs w:val="20"/>
                <w:color w:val="auto"/>
              </w:rPr>
            </w:pPr>
            <w:r>
              <w:rPr>
                <w:rFonts w:ascii="Arial" w:cs="Arial" w:eastAsia="Arial" w:hAnsi="Arial"/>
                <w:sz w:val="10"/>
                <w:szCs w:val="10"/>
                <w:b w:val="1"/>
                <w:bCs w:val="1"/>
                <w:color w:val="auto"/>
              </w:rPr>
              <w:t>Weighted-Average Net Price</w:t>
            </w:r>
          </w:p>
        </w:tc>
        <w:tc>
          <w:tcPr>
            <w:tcW w:w="100" w:type="dxa"/>
            <w:vAlign w:val="bottom"/>
            <w:tcBorders>
              <w:bottom w:val="single" w:sz="8" w:color="CCEEFF"/>
            </w:tcBorders>
          </w:tcPr>
          <w:p>
            <w:pPr>
              <w:spacing w:after="0"/>
              <w:rPr>
                <w:sz w:val="12"/>
                <w:szCs w:val="12"/>
                <w:color w:val="auto"/>
              </w:rPr>
            </w:pPr>
          </w:p>
        </w:tc>
        <w:tc>
          <w:tcPr>
            <w:tcW w:w="2860" w:type="dxa"/>
            <w:vAlign w:val="bottom"/>
            <w:tcBorders>
              <w:bottom w:val="single" w:sz="8" w:color="auto"/>
            </w:tcBorders>
          </w:tcPr>
          <w:p>
            <w:pPr>
              <w:ind w:left="1120"/>
              <w:spacing w:after="0"/>
              <w:rPr>
                <w:sz w:val="20"/>
                <w:szCs w:val="20"/>
                <w:color w:val="auto"/>
              </w:rPr>
            </w:pPr>
            <w:r>
              <w:rPr>
                <w:rFonts w:ascii="Arial" w:cs="Arial" w:eastAsia="Arial" w:hAnsi="Arial"/>
                <w:sz w:val="10"/>
                <w:szCs w:val="10"/>
                <w:b w:val="1"/>
                <w:bCs w:val="1"/>
                <w:color w:val="auto"/>
              </w:rPr>
              <w:t>Maturity Date</w:t>
            </w:r>
          </w:p>
        </w:tc>
      </w:tr>
      <w:tr>
        <w:trPr>
          <w:trHeight w:val="17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Q2 2025</w:t>
            </w:r>
          </w:p>
        </w:tc>
        <w:tc>
          <w:tcPr>
            <w:tcW w:w="2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43.17</w:t>
            </w:r>
          </w:p>
        </w:tc>
        <w:tc>
          <w:tcPr>
            <w:tcW w:w="100" w:type="dxa"/>
            <w:vAlign w:val="bottom"/>
            <w:shd w:val="clear" w:color="auto" w:fill="CCEEFF"/>
          </w:tcPr>
          <w:p>
            <w:pPr>
              <w:spacing w:after="0"/>
              <w:rPr>
                <w:sz w:val="15"/>
                <w:szCs w:val="15"/>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November 16, 2026</w:t>
            </w:r>
          </w:p>
        </w:tc>
      </w:tr>
      <w:tr>
        <w:trPr>
          <w:trHeight w:val="174"/>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Q3 2025</w:t>
            </w:r>
          </w:p>
        </w:tc>
        <w:tc>
          <w:tcPr>
            <w:tcW w:w="2800" w:type="dxa"/>
            <w:vAlign w:val="bottom"/>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5"/>
                <w:szCs w:val="15"/>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380" w:type="dxa"/>
            <w:vAlign w:val="bottom"/>
          </w:tcPr>
          <w:p>
            <w:pPr>
              <w:jc w:val="right"/>
              <w:spacing w:after="0"/>
              <w:rPr>
                <w:sz w:val="20"/>
                <w:szCs w:val="20"/>
                <w:color w:val="auto"/>
              </w:rPr>
            </w:pPr>
            <w:r>
              <w:rPr>
                <w:rFonts w:ascii="Arial" w:cs="Arial" w:eastAsia="Arial" w:hAnsi="Arial"/>
                <w:sz w:val="13"/>
                <w:szCs w:val="13"/>
                <w:color w:val="auto"/>
              </w:rPr>
              <w:t>43.73</w:t>
            </w:r>
          </w:p>
        </w:tc>
        <w:tc>
          <w:tcPr>
            <w:tcW w:w="100" w:type="dxa"/>
            <w:vAlign w:val="bottom"/>
          </w:tcPr>
          <w:p>
            <w:pPr>
              <w:spacing w:after="0"/>
              <w:rPr>
                <w:sz w:val="15"/>
                <w:szCs w:val="15"/>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December 15, 2026</w:t>
            </w:r>
          </w:p>
        </w:tc>
      </w:tr>
      <w:tr>
        <w:trPr>
          <w:trHeight w:val="187"/>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Q4 2025</w:t>
            </w:r>
          </w:p>
        </w:tc>
        <w:tc>
          <w:tcPr>
            <w:tcW w:w="2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w:t>
            </w:r>
          </w:p>
        </w:tc>
        <w:tc>
          <w:tcPr>
            <w:tcW w:w="100" w:type="dxa"/>
            <w:vAlign w:val="bottom"/>
            <w:shd w:val="clear" w:color="auto" w:fill="CCEEFF"/>
          </w:tcPr>
          <w:p>
            <w:pPr>
              <w:spacing w:after="0"/>
              <w:rPr>
                <w:sz w:val="16"/>
                <w:szCs w:val="16"/>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15, 2026</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No amounts have been or will be recorded on Exelon's balance sheet with respect to the equity offerings until the equity forward sale agreements have been settled. Each initial forward sale price is subject to adjustment on a daily basis based on a floating interest rate factor and will decrease by other fixed amounts specified in the agreements. Until settlement of the equity forward, earnings per share dilution resulting from the agreement, if any, will be determined under the treasury stock method. For the three months ended March 31, 2026, approximately 26.5 million shares under the forward sale agreements were not included in the calculation of diluted earnings per share because their effect would have been antidilutive.</w:t>
      </w:r>
    </w:p>
    <w:p>
      <w:pPr>
        <w:spacing w:after="0" w:line="102" w:lineRule="exact"/>
        <w:rPr>
          <w:sz w:val="20"/>
          <w:szCs w:val="20"/>
          <w:color w:val="auto"/>
        </w:rPr>
      </w:pPr>
    </w:p>
    <w:p>
      <w:pPr>
        <w:ind w:right="2000"/>
        <w:spacing w:after="0" w:line="451" w:lineRule="auto"/>
        <w:rPr>
          <w:sz w:val="20"/>
          <w:szCs w:val="20"/>
          <w:color w:val="auto"/>
        </w:rPr>
      </w:pPr>
      <w:r>
        <w:rPr>
          <w:rFonts w:ascii="Arial" w:cs="Arial" w:eastAsia="Arial" w:hAnsi="Arial"/>
          <w:sz w:val="13"/>
          <w:szCs w:val="13"/>
          <w:color w:val="auto"/>
        </w:rPr>
        <w:t xml:space="preserve">Inclusive of the impact of the forward sale agreements, $1.0 billion of Common stock remained available for sale pursuant to the ATM program as of March 31, 2026. </w:t>
      </w:r>
      <w:r>
        <w:rPr>
          <w:rFonts w:ascii="Arial" w:cs="Arial" w:eastAsia="Arial" w:hAnsi="Arial"/>
          <w:sz w:val="13"/>
          <w:szCs w:val="13"/>
          <w:b w:val="1"/>
          <w:bCs w:val="1"/>
          <w:i w:val="1"/>
          <w:iCs w:val="1"/>
          <w:color w:val="auto"/>
        </w:rPr>
        <w:t>Incremental Collateral Requirements</w:t>
      </w:r>
    </w:p>
    <w:p>
      <w:pPr>
        <w:spacing w:after="0"/>
        <w:rPr>
          <w:sz w:val="20"/>
          <w:szCs w:val="20"/>
          <w:color w:val="auto"/>
        </w:rPr>
      </w:pPr>
      <w:r>
        <w:rPr>
          <w:rFonts w:ascii="Arial" w:cs="Arial" w:eastAsia="Arial" w:hAnsi="Arial"/>
          <w:sz w:val="13"/>
          <w:szCs w:val="13"/>
          <w:color w:val="auto"/>
        </w:rPr>
        <w:t>The following table presents the incremental collateral that each Utility Registrant would have been required to provide in the event each Utility Registrant lost its investment grade credit rating at</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March 31, 2026 and available credit facility capacity prior to any incremental collateral at March 31,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6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tcPr>
          <w:p>
            <w:pPr>
              <w:jc w:val="right"/>
              <w:ind w:right="120"/>
              <w:spacing w:after="0"/>
              <w:rPr>
                <w:sz w:val="20"/>
                <w:szCs w:val="20"/>
                <w:color w:val="auto"/>
              </w:rPr>
            </w:pPr>
            <w:r>
              <w:rPr>
                <w:rFonts w:ascii="Arial" w:cs="Arial" w:eastAsia="Arial" w:hAnsi="Arial"/>
                <w:sz w:val="10"/>
                <w:szCs w:val="10"/>
                <w:b w:val="1"/>
                <w:bCs w:val="1"/>
                <w:color w:val="auto"/>
                <w:w w:val="99"/>
              </w:rPr>
              <w:t>Available Credit Facility Capacity Prior to Any</w:t>
            </w:r>
          </w:p>
        </w:tc>
      </w:tr>
      <w:tr>
        <w:trPr>
          <w:trHeight w:val="153"/>
        </w:trPr>
        <w:tc>
          <w:tcPr>
            <w:tcW w:w="360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PJM Credit Policy Collateral</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Other Incremental Collateral Required</w:t>
            </w:r>
            <w:r>
              <w:rPr>
                <w:rFonts w:ascii="Arial" w:cs="Arial" w:eastAsia="Arial" w:hAnsi="Arial"/>
                <w:sz w:val="12"/>
                <w:szCs w:val="12"/>
                <w:b w:val="1"/>
                <w:bCs w:val="1"/>
                <w:color w:val="auto"/>
                <w:vertAlign w:val="superscript"/>
              </w:rPr>
              <w:t>(a)</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jc w:val="right"/>
              <w:ind w:right="660"/>
              <w:spacing w:after="0"/>
              <w:rPr>
                <w:sz w:val="20"/>
                <w:szCs w:val="20"/>
                <w:color w:val="auto"/>
              </w:rPr>
            </w:pPr>
            <w:r>
              <w:rPr>
                <w:rFonts w:ascii="Arial" w:cs="Arial" w:eastAsia="Arial" w:hAnsi="Arial"/>
                <w:sz w:val="10"/>
                <w:szCs w:val="10"/>
                <w:b w:val="1"/>
                <w:bCs w:val="1"/>
                <w:color w:val="auto"/>
              </w:rPr>
              <w:t>Incremental Collateral</w:t>
            </w:r>
          </w:p>
        </w:tc>
      </w:tr>
      <w:tr>
        <w:trPr>
          <w:trHeight w:val="160"/>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ComEd</w:t>
            </w:r>
          </w:p>
        </w:tc>
        <w:tc>
          <w:tcPr>
            <w:tcW w:w="2080" w:type="dxa"/>
            <w:vAlign w:val="bottom"/>
            <w:shd w:val="clear" w:color="auto" w:fill="CCEEFF"/>
          </w:tcPr>
          <w:p>
            <w:pPr>
              <w:jc w:val="right"/>
              <w:ind w:right="194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3"/>
                <w:szCs w:val="13"/>
                <w:color w:val="auto"/>
              </w:rPr>
            </w:pPr>
          </w:p>
        </w:tc>
        <w:tc>
          <w:tcPr>
            <w:tcW w:w="2220" w:type="dxa"/>
            <w:vAlign w:val="bottom"/>
            <w:shd w:val="clear" w:color="auto" w:fill="CCEEFF"/>
          </w:tcPr>
          <w:p>
            <w:pPr>
              <w:jc w:val="right"/>
              <w:ind w:right="2083"/>
              <w:spacing w:after="0"/>
              <w:rPr>
                <w:sz w:val="20"/>
                <w:szCs w:val="20"/>
                <w:color w:val="auto"/>
              </w:rPr>
            </w:pPr>
            <w:r>
              <w:rPr>
                <w:rFonts w:ascii="Arial" w:cs="Arial" w:eastAsia="Arial" w:hAnsi="Arial"/>
                <w:sz w:val="13"/>
                <w:szCs w:val="13"/>
                <w:color w:val="auto"/>
                <w:w w:val="82"/>
              </w:rPr>
              <w:t>$</w:t>
            </w:r>
          </w:p>
        </w:tc>
        <w:tc>
          <w:tcPr>
            <w:tcW w:w="5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   $</w:t>
            </w: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PECO</w:t>
            </w:r>
          </w:p>
        </w:tc>
        <w:tc>
          <w:tcPr>
            <w:tcW w:w="20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Arial" w:cs="Arial" w:eastAsia="Arial" w:hAnsi="Arial"/>
                <w:sz w:val="13"/>
                <w:szCs w:val="13"/>
                <w:color w:val="auto"/>
              </w:rPr>
              <w:t>595</w:t>
            </w: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BGE</w:t>
            </w:r>
          </w:p>
        </w:tc>
        <w:tc>
          <w:tcPr>
            <w:tcW w:w="20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Pepco</w:t>
            </w:r>
          </w:p>
        </w:tc>
        <w:tc>
          <w:tcPr>
            <w:tcW w:w="20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20" w:type="dxa"/>
            <w:vAlign w:val="bottom"/>
          </w:tcPr>
          <w:p>
            <w:pPr>
              <w:spacing w:after="0"/>
              <w:rPr>
                <w:sz w:val="14"/>
                <w:szCs w:val="14"/>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2360" w:type="dxa"/>
            <w:vAlign w:val="bottom"/>
          </w:tcPr>
          <w:p>
            <w:pPr>
              <w:jc w:val="right"/>
              <w:spacing w:after="0"/>
              <w:rPr>
                <w:sz w:val="20"/>
                <w:szCs w:val="20"/>
                <w:color w:val="auto"/>
              </w:rPr>
            </w:pPr>
            <w:r>
              <w:rPr>
                <w:rFonts w:ascii="Arial" w:cs="Arial" w:eastAsia="Arial" w:hAnsi="Arial"/>
                <w:sz w:val="13"/>
                <w:szCs w:val="13"/>
                <w:color w:val="auto"/>
              </w:rPr>
              <w:t>225</w:t>
            </w: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DPL</w:t>
            </w:r>
          </w:p>
        </w:tc>
        <w:tc>
          <w:tcPr>
            <w:tcW w:w="20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r>
      <w:tr>
        <w:trPr>
          <w:trHeight w:val="186"/>
        </w:trPr>
        <w:tc>
          <w:tcPr>
            <w:tcW w:w="3600" w:type="dxa"/>
            <w:vAlign w:val="bottom"/>
          </w:tcPr>
          <w:p>
            <w:pPr>
              <w:ind w:left="20"/>
              <w:spacing w:after="0"/>
              <w:rPr>
                <w:sz w:val="20"/>
                <w:szCs w:val="20"/>
                <w:color w:val="auto"/>
              </w:rPr>
            </w:pPr>
            <w:r>
              <w:rPr>
                <w:rFonts w:ascii="Arial" w:cs="Arial" w:eastAsia="Arial" w:hAnsi="Arial"/>
                <w:sz w:val="13"/>
                <w:szCs w:val="13"/>
                <w:color w:val="auto"/>
              </w:rPr>
              <w:t>ACE</w:t>
            </w:r>
          </w:p>
        </w:tc>
        <w:tc>
          <w:tcPr>
            <w:tcW w:w="20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20" w:type="dxa"/>
            <w:vAlign w:val="bottom"/>
          </w:tcPr>
          <w:p>
            <w:pPr>
              <w:spacing w:after="0"/>
              <w:rPr>
                <w:sz w:val="16"/>
                <w:szCs w:val="16"/>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2360" w:type="dxa"/>
            <w:vAlign w:val="bottom"/>
          </w:tcPr>
          <w:p>
            <w:pPr>
              <w:jc w:val="right"/>
              <w:spacing w:after="0"/>
              <w:rPr>
                <w:sz w:val="20"/>
                <w:szCs w:val="20"/>
                <w:color w:val="auto"/>
              </w:rPr>
            </w:pPr>
            <w:r>
              <w:rPr>
                <w:rFonts w:ascii="Arial" w:cs="Arial" w:eastAsia="Arial" w:hAnsi="Arial"/>
                <w:sz w:val="13"/>
                <w:szCs w:val="13"/>
                <w:color w:val="auto"/>
              </w:rPr>
              <w:t>299</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Represents incremental collateral related to natural gas procurement contracts.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 Expenditure Spending</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2026, the most recent estimates of capital expenditures for plant additions and improvements for 2026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4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1360" w:type="dxa"/>
            <w:vAlign w:val="bottom"/>
          </w:tcPr>
          <w:p>
            <w:pPr>
              <w:ind w:left="600"/>
              <w:spacing w:after="0"/>
              <w:rPr>
                <w:sz w:val="20"/>
                <w:szCs w:val="20"/>
                <w:color w:val="auto"/>
              </w:rPr>
            </w:pPr>
            <w:r>
              <w:rPr>
                <w:rFonts w:ascii="Arial" w:cs="Arial" w:eastAsia="Arial" w:hAnsi="Arial"/>
                <w:sz w:val="10"/>
                <w:szCs w:val="10"/>
                <w:b w:val="1"/>
                <w:bCs w:val="1"/>
                <w:color w:val="auto"/>
              </w:rPr>
              <w:t>Transmission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ind w:left="660"/>
              <w:spacing w:after="0"/>
              <w:rPr>
                <w:sz w:val="20"/>
                <w:szCs w:val="20"/>
                <w:color w:val="auto"/>
              </w:rPr>
            </w:pPr>
            <w:r>
              <w:rPr>
                <w:rFonts w:ascii="Arial" w:cs="Arial" w:eastAsia="Arial" w:hAnsi="Arial"/>
                <w:sz w:val="10"/>
                <w:szCs w:val="10"/>
                <w:b w:val="1"/>
                <w:bCs w:val="1"/>
                <w:color w:val="auto"/>
              </w:rPr>
              <w:t>Distribution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ind w:left="840"/>
              <w:spacing w:after="0"/>
              <w:rPr>
                <w:sz w:val="20"/>
                <w:szCs w:val="20"/>
                <w:color w:val="auto"/>
              </w:rPr>
            </w:pPr>
            <w:r>
              <w:rPr>
                <w:rFonts w:ascii="Arial" w:cs="Arial" w:eastAsia="Arial" w:hAnsi="Arial"/>
                <w:sz w:val="10"/>
                <w:szCs w:val="10"/>
                <w:b w:val="1"/>
                <w:bCs w:val="1"/>
                <w:color w:val="auto"/>
              </w:rPr>
              <w:t>Gas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jc w:val="right"/>
              <w:ind w:right="718"/>
              <w:spacing w:after="0"/>
              <w:rPr>
                <w:sz w:val="20"/>
                <w:szCs w:val="20"/>
                <w:color w:val="auto"/>
              </w:rPr>
            </w:pPr>
            <w:r>
              <w:rPr>
                <w:rFonts w:ascii="Arial" w:cs="Arial" w:eastAsia="Arial" w:hAnsi="Arial"/>
                <w:sz w:val="10"/>
                <w:szCs w:val="10"/>
                <w:b w:val="1"/>
                <w:bCs w:val="1"/>
                <w:color w:val="auto"/>
              </w:rPr>
              <w:t>Total</w:t>
            </w:r>
            <w:r>
              <w:rPr>
                <w:rFonts w:ascii="Arial" w:cs="Arial" w:eastAsia="Arial" w:hAnsi="Arial"/>
                <w:sz w:val="12"/>
                <w:szCs w:val="12"/>
                <w:b w:val="1"/>
                <w:bCs w:val="1"/>
                <w:color w:val="auto"/>
                <w:vertAlign w:val="superscript"/>
              </w:rPr>
              <w:t>(a)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Exelon</w:t>
            </w:r>
          </w:p>
        </w:tc>
        <w:tc>
          <w:tcPr>
            <w:tcW w:w="1360" w:type="dxa"/>
            <w:vAlign w:val="bottom"/>
            <w:shd w:val="clear" w:color="auto" w:fill="CCEEFF"/>
          </w:tcPr>
          <w:p>
            <w:pPr>
              <w:spacing w:after="0"/>
              <w:rPr>
                <w:sz w:val="13"/>
                <w:szCs w:val="13"/>
                <w:color w:val="auto"/>
              </w:rPr>
            </w:pPr>
          </w:p>
        </w:tc>
        <w:tc>
          <w:tcPr>
            <w:tcW w:w="192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N/A</w:t>
            </w:r>
          </w:p>
        </w:tc>
        <w:tc>
          <w:tcPr>
            <w:tcW w:w="19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N/A</w:t>
            </w: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rPr>
              <w:t>N/A  $</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9,900</w:t>
            </w:r>
          </w:p>
        </w:tc>
      </w:tr>
      <w:tr>
        <w:trPr>
          <w:trHeight w:val="169"/>
        </w:trPr>
        <w:tc>
          <w:tcPr>
            <w:tcW w:w="2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Arial" w:cs="Arial" w:eastAsia="Arial" w:hAnsi="Arial"/>
                <w:sz w:val="13"/>
                <w:szCs w:val="13"/>
                <w:color w:val="auto"/>
              </w:rPr>
              <w:t>ComEd</w:t>
            </w:r>
          </w:p>
        </w:tc>
        <w:tc>
          <w:tcPr>
            <w:tcW w:w="1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1,100</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2,400</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gridSpan w:val="3"/>
          </w:tcPr>
          <w:p>
            <w:pPr>
              <w:ind w:left="340"/>
              <w:spacing w:after="0"/>
              <w:rPr>
                <w:sz w:val="20"/>
                <w:szCs w:val="20"/>
                <w:color w:val="auto"/>
              </w:rPr>
            </w:pPr>
            <w:r>
              <w:rPr>
                <w:rFonts w:ascii="Arial" w:cs="Arial" w:eastAsia="Arial" w:hAnsi="Arial"/>
                <w:sz w:val="13"/>
                <w:szCs w:val="13"/>
                <w:color w:val="auto"/>
              </w:rPr>
              <w:t>N/A</w:t>
            </w:r>
          </w:p>
        </w:tc>
        <w:tc>
          <w:tcPr>
            <w:tcW w:w="1420" w:type="dxa"/>
            <w:vAlign w:val="bottom"/>
          </w:tcPr>
          <w:p>
            <w:pPr>
              <w:jc w:val="right"/>
              <w:spacing w:after="0"/>
              <w:rPr>
                <w:sz w:val="20"/>
                <w:szCs w:val="20"/>
                <w:color w:val="auto"/>
              </w:rPr>
            </w:pPr>
            <w:r>
              <w:rPr>
                <w:rFonts w:ascii="Arial" w:cs="Arial" w:eastAsia="Arial" w:hAnsi="Arial"/>
                <w:sz w:val="13"/>
                <w:szCs w:val="13"/>
                <w:color w:val="auto"/>
              </w:rPr>
              <w:t>3,500</w:t>
            </w: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PECO</w:t>
            </w:r>
          </w:p>
        </w:tc>
        <w:tc>
          <w:tcPr>
            <w:tcW w:w="1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w:t>
            </w:r>
          </w:p>
        </w:tc>
      </w:tr>
      <w:tr>
        <w:trPr>
          <w:trHeight w:val="169"/>
        </w:trPr>
        <w:tc>
          <w:tcPr>
            <w:tcW w:w="2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Arial" w:cs="Arial" w:eastAsia="Arial" w:hAnsi="Arial"/>
                <w:sz w:val="13"/>
                <w:szCs w:val="13"/>
                <w:color w:val="auto"/>
              </w:rPr>
              <w:t>BGE</w:t>
            </w:r>
          </w:p>
        </w:tc>
        <w:tc>
          <w:tcPr>
            <w:tcW w:w="1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2,175</w:t>
            </w: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w:t>
            </w:r>
          </w:p>
        </w:tc>
        <w:tc>
          <w:tcPr>
            <w:tcW w:w="1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w:t>
            </w:r>
          </w:p>
        </w:tc>
      </w:tr>
      <w:tr>
        <w:trPr>
          <w:trHeight w:val="169"/>
        </w:trPr>
        <w:tc>
          <w:tcPr>
            <w:tcW w:w="2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Arial" w:cs="Arial" w:eastAsia="Arial" w:hAnsi="Arial"/>
                <w:sz w:val="13"/>
                <w:szCs w:val="13"/>
                <w:color w:val="auto"/>
              </w:rPr>
              <w:t>Pepco</w:t>
            </w:r>
          </w:p>
        </w:tc>
        <w:tc>
          <w:tcPr>
            <w:tcW w:w="1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gridSpan w:val="3"/>
          </w:tcPr>
          <w:p>
            <w:pPr>
              <w:ind w:left="340"/>
              <w:spacing w:after="0"/>
              <w:rPr>
                <w:sz w:val="20"/>
                <w:szCs w:val="20"/>
                <w:color w:val="auto"/>
              </w:rPr>
            </w:pPr>
            <w:r>
              <w:rPr>
                <w:rFonts w:ascii="Arial" w:cs="Arial" w:eastAsia="Arial" w:hAnsi="Arial"/>
                <w:sz w:val="13"/>
                <w:szCs w:val="13"/>
                <w:color w:val="auto"/>
              </w:rPr>
              <w:t>N/A</w:t>
            </w:r>
          </w:p>
        </w:tc>
        <w:tc>
          <w:tcPr>
            <w:tcW w:w="1420" w:type="dxa"/>
            <w:vAlign w:val="bottom"/>
          </w:tcPr>
          <w:p>
            <w:pPr>
              <w:jc w:val="right"/>
              <w:spacing w:after="0"/>
              <w:rPr>
                <w:sz w:val="20"/>
                <w:szCs w:val="20"/>
                <w:color w:val="auto"/>
              </w:rPr>
            </w:pPr>
            <w:r>
              <w:rPr>
                <w:rFonts w:ascii="Arial" w:cs="Arial" w:eastAsia="Arial" w:hAnsi="Arial"/>
                <w:sz w:val="13"/>
                <w:szCs w:val="13"/>
                <w:color w:val="auto"/>
              </w:rPr>
              <w:t>975</w:t>
            </w:r>
          </w:p>
        </w:tc>
      </w:tr>
      <w:tr>
        <w:trPr>
          <w:trHeight w:val="171"/>
        </w:trPr>
        <w:tc>
          <w:tcPr>
            <w:tcW w:w="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DPL</w:t>
            </w:r>
          </w:p>
        </w:tc>
        <w:tc>
          <w:tcPr>
            <w:tcW w:w="1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r>
      <w:tr>
        <w:trPr>
          <w:trHeight w:val="167"/>
        </w:trPr>
        <w:tc>
          <w:tcPr>
            <w:tcW w:w="2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Arial" w:cs="Arial" w:eastAsia="Arial" w:hAnsi="Arial"/>
                <w:sz w:val="13"/>
                <w:szCs w:val="13"/>
                <w:color w:val="auto"/>
              </w:rPr>
              <w:t>ACE</w:t>
            </w:r>
          </w:p>
        </w:tc>
        <w:tc>
          <w:tcPr>
            <w:tcW w:w="1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gridSpan w:val="3"/>
          </w:tcPr>
          <w:p>
            <w:pPr>
              <w:ind w:left="340"/>
              <w:spacing w:after="0"/>
              <w:rPr>
                <w:sz w:val="20"/>
                <w:szCs w:val="20"/>
                <w:color w:val="auto"/>
              </w:rPr>
            </w:pPr>
            <w:r>
              <w:rPr>
                <w:rFonts w:ascii="Arial" w:cs="Arial" w:eastAsia="Arial" w:hAnsi="Arial"/>
                <w:sz w:val="13"/>
                <w:szCs w:val="13"/>
                <w:color w:val="auto"/>
              </w:rPr>
              <w:t>N/A</w:t>
            </w:r>
          </w:p>
        </w:tc>
        <w:tc>
          <w:tcPr>
            <w:tcW w:w="1420" w:type="dxa"/>
            <w:vAlign w:val="bottom"/>
          </w:tcPr>
          <w:p>
            <w:pPr>
              <w:jc w:val="right"/>
              <w:spacing w:after="0"/>
              <w:rPr>
                <w:sz w:val="20"/>
                <w:szCs w:val="20"/>
                <w:color w:val="auto"/>
              </w:rPr>
            </w:pPr>
            <w:r>
              <w:rPr>
                <w:rFonts w:ascii="Arial" w:cs="Arial" w:eastAsia="Arial" w:hAnsi="Arial"/>
                <w:sz w:val="13"/>
                <w:szCs w:val="13"/>
                <w:color w:val="auto"/>
              </w:rPr>
              <w:t>450</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Numbers rounded to the nearest $25M and may not sum due to rounding.</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Projected capital expenditures and other investments are subject to periodic review and revision to reflect changes in economic conditions and other factors.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Retirement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Management considers various factors when making pension funding decisions, including actuarially determined minimum contribution requirements under ERISA, contributions required to avoid benefit restrictions and at-risk status as defined by the Pension Protection Act of 2006 (the Act), management of the pension obligation, and regulatory implications. The Act requires the attainment of certain funding levels to avoid benefit restrictions (such as an inability to pay lump sums or to accrue benefits prospectively), and at-risk status (which triggers higher minimum contribution requirements and participant notification). The projected contributions reflect a funding strategy to make annual contributions with the objective of achieving 100% funded status on an ABO basis over time. This funding strategy helps minimize volatility of future period required pension contributions. Exelon’s estimated annual qualified pension contributions will be $325 million in 2026. Unlike the qualified pension plans, Exelon’s non-qualified pension plans are not funded, given that they are not subject to statutory minimum contribution requirements.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While OPEB plans are also not subject to statutory minimum contribution requirements, Exelon does fund certain of its plans. For Exelon's funded OPEB plans, contributions generally equal accounting costs, however, Exelon’s management has historically considered several factors in determining the level of contributions to its OPEB plans, including liabilities management, levels of benefit claims paid, and regulatory implications (amounts deemed prudent to meet regulatory expectations and best assure continued rate recovery).</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To the extent interest rates decline significantly or the pension and OPEB plans earn less than the expected asset returns, annual pension contribution requirements in future years could increase. Conversely, to the extent interest rates increase significantly or the pension and OPEB plans earn greater than the expected asset returns, annual pension and OPEB contribution requirements in future years could decrease. Additionally, expected contributions could change if Exelon changes its pension or OPEB funding strategy.</w:t>
      </w:r>
    </w:p>
    <w:p>
      <w:pPr>
        <w:spacing w:after="0" w:line="113" w:lineRule="exact"/>
        <w:rPr>
          <w:sz w:val="20"/>
          <w:szCs w:val="20"/>
          <w:color w:val="auto"/>
        </w:rPr>
      </w:pPr>
    </w:p>
    <w:p>
      <w:pPr>
        <w:ind w:right="940"/>
        <w:spacing w:after="0" w:line="442" w:lineRule="auto"/>
        <w:rPr>
          <w:sz w:val="20"/>
          <w:szCs w:val="20"/>
          <w:color w:val="auto"/>
        </w:rPr>
      </w:pPr>
      <w:r>
        <w:rPr>
          <w:rFonts w:ascii="Arial" w:cs="Arial" w:eastAsia="Arial" w:hAnsi="Arial"/>
          <w:sz w:val="13"/>
          <w:szCs w:val="13"/>
          <w:color w:val="auto"/>
        </w:rPr>
        <w:t xml:space="preserve">See Note 12 — Retirement Benefits of the Combined Notes to Consolidated Financial Statements of the 2025 Form 10-K for additional information on pension and OPEB contributions. </w:t>
      </w:r>
      <w:r>
        <w:rPr>
          <w:rFonts w:ascii="Arial" w:cs="Arial" w:eastAsia="Arial" w:hAnsi="Arial"/>
          <w:sz w:val="13"/>
          <w:szCs w:val="13"/>
          <w:b w:val="1"/>
          <w:bCs w:val="1"/>
          <w:i w:val="1"/>
          <w:iCs w:val="1"/>
          <w:color w:val="auto"/>
        </w:rPr>
        <w:t>Credit Facilities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Exelon Corporate, ComEd, and BGE meet their short-term liquidity requirements primarily through the issuance of commercial paper. PECO meets its short-term liquidity requirements primarily through the issuance of commercial paper and borrowings from the Exelon intercompany money pool. Pepco, DPL, and ACE meet their short-term liquidity requirements primarily through the issuance of commercial paper and borrowings from the PHI intercompany money pool. PHI Corporate meets its short-term liquidity requirements primarily through the issuance of short-term notes and the Exelon intercompany money pool. The Registrants may use their respective credit facilities for general corporate purposes, including meeting short-term funding requirements and the issuance of letters of credit.</w:t>
      </w:r>
    </w:p>
    <w:p>
      <w:pPr>
        <w:spacing w:after="0" w:line="100" w:lineRule="exact"/>
        <w:rPr>
          <w:sz w:val="20"/>
          <w:szCs w:val="20"/>
          <w:color w:val="auto"/>
        </w:rPr>
      </w:pPr>
    </w:p>
    <w:p>
      <w:pPr>
        <w:ind w:right="80"/>
        <w:spacing w:after="0" w:line="451" w:lineRule="auto"/>
        <w:rPr>
          <w:sz w:val="20"/>
          <w:szCs w:val="20"/>
          <w:color w:val="auto"/>
        </w:rPr>
      </w:pPr>
      <w:r>
        <w:rPr>
          <w:rFonts w:ascii="Arial" w:cs="Arial" w:eastAsia="Arial" w:hAnsi="Arial"/>
          <w:sz w:val="13"/>
          <w:szCs w:val="13"/>
          <w:color w:val="auto"/>
        </w:rPr>
        <w:t xml:space="preserve">See Note 9 — Debt and Credit Agreements of the Combined Notes to Consolidated Financial Statements for additional information on the Registrants’ credit facilities and short term borrowing activity. </w:t>
      </w:r>
      <w:r>
        <w:rPr>
          <w:rFonts w:ascii="Arial" w:cs="Arial" w:eastAsia="Arial" w:hAnsi="Arial"/>
          <w:sz w:val="13"/>
          <w:szCs w:val="13"/>
          <w:b w:val="1"/>
          <w:bCs w:val="1"/>
          <w:i w:val="1"/>
          <w:iCs w:val="1"/>
          <w:color w:val="auto"/>
        </w:rPr>
        <w:t>Security Ratings</w:t>
      </w:r>
    </w:p>
    <w:p>
      <w:pPr>
        <w:jc w:val="both"/>
        <w:spacing w:after="0" w:line="283" w:lineRule="auto"/>
        <w:rPr>
          <w:sz w:val="20"/>
          <w:szCs w:val="20"/>
          <w:color w:val="auto"/>
        </w:rPr>
      </w:pPr>
      <w:r>
        <w:rPr>
          <w:rFonts w:ascii="Arial" w:cs="Arial" w:eastAsia="Arial" w:hAnsi="Arial"/>
          <w:sz w:val="13"/>
          <w:szCs w:val="13"/>
          <w:color w:val="auto"/>
        </w:rPr>
        <w:t>The Registrants’ access to the capital markets, including the commercial paper market, and their respective financing costs in those markets, may depend on the securities ratings of the entity that is accessing the capital markets.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Registrants’ borrowings are not subject to default or prepayment as a result of a downgrading of securities, although such a downgrading of a Registrant’s securities could increase fees and interest charges under that Registrant’s credit agreements.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part of the normal course of business, the Registrants enter into contracts that contain express provisions or otherwise permit the Registrants and their counterparties to demand adequate assurance of future performance when there are reasonable grounds for doing so. In accordance with the contracts and applicable contracts law, if the Registrants are downgraded by a credit rating agency, it is possible that a counterparty would attempt to rely on such a downgrade as a basis for making a demand for adequate assurance of future performance, which could include the posting of collateral. See Note 8 — Derivative Financial Instruments of the Combined Notes to Consolidated Financial Statements for additional information on collateral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credit ratings for the Registrants did not change for the three months ended March 31, 2026. On April 30, 2026, S&amp;P lowered its long-term issuer credit rating and senior unsecured debt rating for BGE from 'A' to 'A-'. S&amp;P also lowered its short-term and commercial paper rating for BGE from 'A-1' to 'A-2'.</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Intercompany Money Pool</w:t>
      </w:r>
    </w:p>
    <w:p>
      <w:pPr>
        <w:spacing w:after="0" w:line="126"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To provide an additional short-term borrowing option that will generally be more favorable to the borrowing participants than the cost of external financing, both Exelon and PHI operate an intercompany money pool. Maximum amounts contributed to and borrowed from the money pool by participant and the net contribution or borrowing as of March 31, 2026, are presented in the following table: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40" w:type="dxa"/>
            <w:vAlign w:val="bottom"/>
            <w:tcBorders>
              <w:bottom w:val="single" w:sz="8" w:color="auto"/>
            </w:tcBorders>
            <w:gridSpan w:val="4"/>
          </w:tcPr>
          <w:p>
            <w:pPr>
              <w:ind w:left="820"/>
              <w:spacing w:after="0"/>
              <w:rPr>
                <w:sz w:val="20"/>
                <w:szCs w:val="20"/>
                <w:color w:val="auto"/>
              </w:rPr>
            </w:pPr>
            <w:r>
              <w:rPr>
                <w:rFonts w:ascii="Arial" w:cs="Arial" w:eastAsia="Arial" w:hAnsi="Arial"/>
                <w:sz w:val="10"/>
                <w:szCs w:val="10"/>
                <w:b w:val="1"/>
                <w:bCs w:val="1"/>
                <w:color w:val="auto"/>
              </w:rPr>
              <w:t>During the Three Months Ended March 31, 2026</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right="242"/>
              <w:spacing w:after="0"/>
              <w:rPr>
                <w:sz w:val="20"/>
                <w:szCs w:val="20"/>
                <w:color w:val="auto"/>
              </w:rPr>
            </w:pPr>
            <w:r>
              <w:rPr>
                <w:rFonts w:ascii="Arial" w:cs="Arial" w:eastAsia="Arial" w:hAnsi="Arial"/>
                <w:sz w:val="10"/>
                <w:szCs w:val="10"/>
                <w:b w:val="1"/>
                <w:bCs w:val="1"/>
                <w:color w:val="auto"/>
                <w:w w:val="99"/>
              </w:rPr>
              <w:t>At March 31, 2026</w:t>
            </w:r>
          </w:p>
        </w:tc>
        <w:tc>
          <w:tcPr>
            <w:tcW w:w="0" w:type="dxa"/>
            <w:vAlign w:val="bottom"/>
          </w:tcPr>
          <w:p>
            <w:pPr>
              <w:spacing w:after="0"/>
              <w:rPr>
                <w:sz w:val="1"/>
                <w:szCs w:val="1"/>
                <w:color w:val="auto"/>
              </w:rPr>
            </w:pPr>
          </w:p>
        </w:tc>
      </w:tr>
      <w:tr>
        <w:trPr>
          <w:trHeight w:val="89"/>
        </w:trPr>
        <w:tc>
          <w:tcPr>
            <w:tcW w:w="53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Exelon Intercompany Money Pool</w:t>
            </w:r>
          </w:p>
        </w:tc>
        <w:tc>
          <w:tcPr>
            <w:tcW w:w="100" w:type="dxa"/>
            <w:vAlign w:val="bottom"/>
            <w:vMerge w:val="restart"/>
          </w:tcPr>
          <w:p>
            <w:pPr>
              <w:spacing w:after="0"/>
              <w:rPr>
                <w:sz w:val="7"/>
                <w:szCs w:val="7"/>
                <w:color w:val="auto"/>
              </w:rPr>
            </w:pPr>
          </w:p>
        </w:tc>
        <w:tc>
          <w:tcPr>
            <w:tcW w:w="1420" w:type="dxa"/>
            <w:vAlign w:val="bottom"/>
          </w:tcPr>
          <w:p>
            <w:pPr>
              <w:jc w:val="center"/>
              <w:ind w:left="387"/>
              <w:spacing w:after="0" w:line="90" w:lineRule="exact"/>
              <w:rPr>
                <w:sz w:val="20"/>
                <w:szCs w:val="20"/>
                <w:color w:val="auto"/>
              </w:rPr>
            </w:pPr>
            <w:r>
              <w:rPr>
                <w:rFonts w:ascii="Arial" w:cs="Arial" w:eastAsia="Arial" w:hAnsi="Arial"/>
                <w:sz w:val="10"/>
                <w:szCs w:val="10"/>
                <w:b w:val="1"/>
                <w:bCs w:val="1"/>
                <w:color w:val="auto"/>
                <w:w w:val="99"/>
              </w:rPr>
              <w:t>Maximum</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ind w:left="720"/>
              <w:spacing w:after="0" w:line="90" w:lineRule="exact"/>
              <w:rPr>
                <w:sz w:val="20"/>
                <w:szCs w:val="20"/>
                <w:color w:val="auto"/>
              </w:rPr>
            </w:pPr>
            <w:r>
              <w:rPr>
                <w:rFonts w:ascii="Arial" w:cs="Arial" w:eastAsia="Arial" w:hAnsi="Arial"/>
                <w:sz w:val="10"/>
                <w:szCs w:val="10"/>
                <w:b w:val="1"/>
                <w:bCs w:val="1"/>
                <w:color w:val="auto"/>
              </w:rPr>
              <w:t>Maximum</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jc w:val="center"/>
              <w:ind w:right="242"/>
              <w:spacing w:after="0" w:line="90" w:lineRule="exact"/>
              <w:rPr>
                <w:sz w:val="20"/>
                <w:szCs w:val="20"/>
                <w:color w:val="auto"/>
              </w:rPr>
            </w:pPr>
            <w:r>
              <w:rPr>
                <w:rFonts w:ascii="Arial" w:cs="Arial" w:eastAsia="Arial" w:hAnsi="Arial"/>
                <w:sz w:val="10"/>
                <w:szCs w:val="10"/>
                <w:b w:val="1"/>
                <w:bCs w:val="1"/>
                <w:color w:val="auto"/>
                <w:w w:val="98"/>
              </w:rPr>
              <w:t>Contributed</w:t>
            </w:r>
          </w:p>
        </w:tc>
        <w:tc>
          <w:tcPr>
            <w:tcW w:w="0" w:type="dxa"/>
            <w:vAlign w:val="bottom"/>
          </w:tcPr>
          <w:p>
            <w:pPr>
              <w:spacing w:after="0"/>
              <w:rPr>
                <w:sz w:val="1"/>
                <w:szCs w:val="1"/>
                <w:color w:val="auto"/>
              </w:rPr>
            </w:pPr>
          </w:p>
        </w:tc>
      </w:tr>
      <w:tr>
        <w:trPr>
          <w:trHeight w:val="145"/>
        </w:trPr>
        <w:tc>
          <w:tcPr>
            <w:tcW w:w="5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420" w:type="dxa"/>
            <w:vAlign w:val="bottom"/>
            <w:tcBorders>
              <w:bottom w:val="single" w:sz="8" w:color="auto"/>
            </w:tcBorders>
          </w:tcPr>
          <w:p>
            <w:pPr>
              <w:jc w:val="center"/>
              <w:ind w:left="407"/>
              <w:spacing w:after="0"/>
              <w:rPr>
                <w:sz w:val="20"/>
                <w:szCs w:val="20"/>
                <w:color w:val="auto"/>
              </w:rPr>
            </w:pPr>
            <w:r>
              <w:rPr>
                <w:rFonts w:ascii="Arial" w:cs="Arial" w:eastAsia="Arial" w:hAnsi="Arial"/>
                <w:sz w:val="10"/>
                <w:szCs w:val="10"/>
                <w:b w:val="1"/>
                <w:bCs w:val="1"/>
                <w:color w:val="auto"/>
                <w:w w:val="98"/>
              </w:rPr>
              <w:t>Contributed</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700"/>
              <w:spacing w:after="0"/>
              <w:rPr>
                <w:sz w:val="20"/>
                <w:szCs w:val="20"/>
                <w:color w:val="auto"/>
              </w:rPr>
            </w:pPr>
            <w:r>
              <w:rPr>
                <w:rFonts w:ascii="Arial" w:cs="Arial" w:eastAsia="Arial" w:hAnsi="Arial"/>
                <w:sz w:val="10"/>
                <w:szCs w:val="10"/>
                <w:b w:val="1"/>
                <w:bCs w:val="1"/>
                <w:color w:val="auto"/>
              </w:rPr>
              <w:t>Borrowed</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right="242"/>
              <w:spacing w:after="0"/>
              <w:rPr>
                <w:sz w:val="20"/>
                <w:szCs w:val="20"/>
                <w:color w:val="auto"/>
              </w:rPr>
            </w:pPr>
            <w:r>
              <w:rPr>
                <w:rFonts w:ascii="Arial" w:cs="Arial" w:eastAsia="Arial" w:hAnsi="Arial"/>
                <w:sz w:val="10"/>
                <w:szCs w:val="10"/>
                <w:b w:val="1"/>
                <w:bCs w:val="1"/>
                <w:color w:val="auto"/>
                <w:w w:val="97"/>
              </w:rPr>
              <w:t>(Borrowed)</w:t>
            </w:r>
          </w:p>
        </w:tc>
        <w:tc>
          <w:tcPr>
            <w:tcW w:w="0" w:type="dxa"/>
            <w:vAlign w:val="bottom"/>
          </w:tcPr>
          <w:p>
            <w:pPr>
              <w:spacing w:after="0"/>
              <w:rPr>
                <w:sz w:val="1"/>
                <w:szCs w:val="1"/>
                <w:color w:val="auto"/>
              </w:rPr>
            </w:pPr>
          </w:p>
        </w:tc>
      </w:tr>
      <w:tr>
        <w:trPr>
          <w:trHeight w:val="164"/>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Exelon Corporate</w:t>
            </w:r>
          </w:p>
        </w:tc>
        <w:tc>
          <w:tcPr>
            <w:tcW w:w="1420" w:type="dxa"/>
            <w:vAlign w:val="bottom"/>
            <w:shd w:val="clear" w:color="auto" w:fill="CCEEFF"/>
          </w:tcPr>
          <w:p>
            <w:pPr>
              <w:jc w:val="right"/>
              <w:ind w:right="128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69"/>
        </w:trPr>
        <w:tc>
          <w:tcPr>
            <w:tcW w:w="5440" w:type="dxa"/>
            <w:vAlign w:val="bottom"/>
            <w:gridSpan w:val="2"/>
          </w:tcPr>
          <w:p>
            <w:pPr>
              <w:ind w:left="20"/>
              <w:spacing w:after="0"/>
              <w:rPr>
                <w:sz w:val="20"/>
                <w:szCs w:val="20"/>
                <w:color w:val="auto"/>
              </w:rPr>
            </w:pPr>
            <w:r>
              <w:rPr>
                <w:rFonts w:ascii="Arial" w:cs="Arial" w:eastAsia="Arial" w:hAnsi="Arial"/>
                <w:sz w:val="13"/>
                <w:szCs w:val="13"/>
                <w:color w:val="auto"/>
              </w:rPr>
              <w:t>PECO</w:t>
            </w:r>
          </w:p>
        </w:tc>
        <w:tc>
          <w:tcPr>
            <w:tcW w:w="1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343</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ind w:right="2"/>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BSC</w:t>
            </w:r>
          </w:p>
        </w:tc>
        <w:tc>
          <w:tcPr>
            <w:tcW w:w="14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169"/>
        </w:trPr>
        <w:tc>
          <w:tcPr>
            <w:tcW w:w="5440" w:type="dxa"/>
            <w:vAlign w:val="bottom"/>
            <w:gridSpan w:val="2"/>
          </w:tcPr>
          <w:p>
            <w:pPr>
              <w:ind w:left="20"/>
              <w:spacing w:after="0"/>
              <w:rPr>
                <w:sz w:val="20"/>
                <w:szCs w:val="20"/>
                <w:color w:val="auto"/>
              </w:rPr>
            </w:pPr>
            <w:r>
              <w:rPr>
                <w:rFonts w:ascii="Arial" w:cs="Arial" w:eastAsia="Arial" w:hAnsi="Arial"/>
                <w:sz w:val="13"/>
                <w:szCs w:val="13"/>
                <w:color w:val="auto"/>
              </w:rPr>
              <w:t>PHI Corporate</w:t>
            </w:r>
          </w:p>
        </w:tc>
        <w:tc>
          <w:tcPr>
            <w:tcW w:w="14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1"/>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PCI</w:t>
            </w: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94"/>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tcBorders>
              <w:bottom w:val="single" w:sz="8" w:color="auto"/>
            </w:tcBorders>
            <w:gridSpan w:val="4"/>
          </w:tcPr>
          <w:p>
            <w:pPr>
              <w:ind w:left="820"/>
              <w:spacing w:after="0"/>
              <w:rPr>
                <w:sz w:val="20"/>
                <w:szCs w:val="20"/>
                <w:color w:val="auto"/>
              </w:rPr>
            </w:pPr>
            <w:r>
              <w:rPr>
                <w:rFonts w:ascii="Arial" w:cs="Arial" w:eastAsia="Arial" w:hAnsi="Arial"/>
                <w:sz w:val="10"/>
                <w:szCs w:val="10"/>
                <w:b w:val="1"/>
                <w:bCs w:val="1"/>
                <w:color w:val="auto"/>
              </w:rPr>
              <w:t>During the Three Months Ended March 31, 2026</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242"/>
              <w:spacing w:after="0"/>
              <w:rPr>
                <w:sz w:val="20"/>
                <w:szCs w:val="20"/>
                <w:color w:val="auto"/>
              </w:rPr>
            </w:pPr>
            <w:r>
              <w:rPr>
                <w:rFonts w:ascii="Arial" w:cs="Arial" w:eastAsia="Arial" w:hAnsi="Arial"/>
                <w:sz w:val="10"/>
                <w:szCs w:val="10"/>
                <w:b w:val="1"/>
                <w:bCs w:val="1"/>
                <w:color w:val="auto"/>
                <w:w w:val="99"/>
              </w:rPr>
              <w:t>At March 31, 2026</w:t>
            </w:r>
          </w:p>
        </w:tc>
        <w:tc>
          <w:tcPr>
            <w:tcW w:w="0" w:type="dxa"/>
            <w:vAlign w:val="bottom"/>
          </w:tcPr>
          <w:p>
            <w:pPr>
              <w:spacing w:after="0"/>
              <w:rPr>
                <w:sz w:val="1"/>
                <w:szCs w:val="1"/>
                <w:color w:val="auto"/>
              </w:rPr>
            </w:pPr>
          </w:p>
        </w:tc>
      </w:tr>
      <w:tr>
        <w:trPr>
          <w:trHeight w:val="191"/>
        </w:trPr>
        <w:tc>
          <w:tcPr>
            <w:tcW w:w="53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PHI Intercompany Money Pool</w:t>
            </w:r>
          </w:p>
        </w:tc>
        <w:tc>
          <w:tcPr>
            <w:tcW w:w="100" w:type="dxa"/>
            <w:vAlign w:val="bottom"/>
            <w:vMerge w:val="restart"/>
          </w:tcPr>
          <w:p>
            <w:pPr>
              <w:spacing w:after="0"/>
              <w:rPr>
                <w:sz w:val="16"/>
                <w:szCs w:val="16"/>
                <w:color w:val="auto"/>
              </w:rPr>
            </w:pPr>
          </w:p>
        </w:tc>
        <w:tc>
          <w:tcPr>
            <w:tcW w:w="1420" w:type="dxa"/>
            <w:vAlign w:val="bottom"/>
          </w:tcPr>
          <w:p>
            <w:pPr>
              <w:jc w:val="center"/>
              <w:ind w:left="387"/>
              <w:spacing w:after="0"/>
              <w:rPr>
                <w:sz w:val="20"/>
                <w:szCs w:val="20"/>
                <w:color w:val="auto"/>
              </w:rPr>
            </w:pPr>
            <w:r>
              <w:rPr>
                <w:rFonts w:ascii="Arial" w:cs="Arial" w:eastAsia="Arial" w:hAnsi="Arial"/>
                <w:sz w:val="10"/>
                <w:szCs w:val="10"/>
                <w:b w:val="1"/>
                <w:bCs w:val="1"/>
                <w:color w:val="auto"/>
                <w:w w:val="99"/>
              </w:rPr>
              <w:t>Maximum</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ind w:left="720"/>
              <w:spacing w:after="0"/>
              <w:rPr>
                <w:sz w:val="20"/>
                <w:szCs w:val="20"/>
                <w:color w:val="auto"/>
              </w:rPr>
            </w:pPr>
            <w:r>
              <w:rPr>
                <w:rFonts w:ascii="Arial" w:cs="Arial" w:eastAsia="Arial" w:hAnsi="Arial"/>
                <w:sz w:val="10"/>
                <w:szCs w:val="10"/>
                <w:b w:val="1"/>
                <w:bCs w:val="1"/>
                <w:color w:val="auto"/>
              </w:rPr>
              <w:t>Maximum</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center"/>
              <w:ind w:right="242"/>
              <w:spacing w:after="0"/>
              <w:rPr>
                <w:sz w:val="20"/>
                <w:szCs w:val="20"/>
                <w:color w:val="auto"/>
              </w:rPr>
            </w:pPr>
            <w:r>
              <w:rPr>
                <w:rFonts w:ascii="Arial" w:cs="Arial" w:eastAsia="Arial" w:hAnsi="Arial"/>
                <w:sz w:val="10"/>
                <w:szCs w:val="10"/>
                <w:b w:val="1"/>
                <w:bCs w:val="1"/>
                <w:color w:val="auto"/>
                <w:w w:val="98"/>
              </w:rPr>
              <w:t>Contributed</w:t>
            </w:r>
          </w:p>
        </w:tc>
        <w:tc>
          <w:tcPr>
            <w:tcW w:w="0" w:type="dxa"/>
            <w:vAlign w:val="bottom"/>
          </w:tcPr>
          <w:p>
            <w:pPr>
              <w:spacing w:after="0"/>
              <w:rPr>
                <w:sz w:val="1"/>
                <w:szCs w:val="1"/>
                <w:color w:val="auto"/>
              </w:rPr>
            </w:pPr>
          </w:p>
        </w:tc>
      </w:tr>
      <w:tr>
        <w:trPr>
          <w:trHeight w:val="139"/>
        </w:trPr>
        <w:tc>
          <w:tcPr>
            <w:tcW w:w="5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420" w:type="dxa"/>
            <w:vAlign w:val="bottom"/>
            <w:tcBorders>
              <w:bottom w:val="single" w:sz="8" w:color="auto"/>
            </w:tcBorders>
          </w:tcPr>
          <w:p>
            <w:pPr>
              <w:jc w:val="center"/>
              <w:ind w:left="407"/>
              <w:spacing w:after="0"/>
              <w:rPr>
                <w:sz w:val="20"/>
                <w:szCs w:val="20"/>
                <w:color w:val="auto"/>
              </w:rPr>
            </w:pPr>
            <w:r>
              <w:rPr>
                <w:rFonts w:ascii="Arial" w:cs="Arial" w:eastAsia="Arial" w:hAnsi="Arial"/>
                <w:sz w:val="10"/>
                <w:szCs w:val="10"/>
                <w:b w:val="1"/>
                <w:bCs w:val="1"/>
                <w:color w:val="auto"/>
                <w:w w:val="98"/>
              </w:rPr>
              <w:t>Contributed</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700"/>
              <w:spacing w:after="0"/>
              <w:rPr>
                <w:sz w:val="20"/>
                <w:szCs w:val="20"/>
                <w:color w:val="auto"/>
              </w:rPr>
            </w:pPr>
            <w:r>
              <w:rPr>
                <w:rFonts w:ascii="Arial" w:cs="Arial" w:eastAsia="Arial" w:hAnsi="Arial"/>
                <w:sz w:val="10"/>
                <w:szCs w:val="10"/>
                <w:b w:val="1"/>
                <w:bCs w:val="1"/>
                <w:color w:val="auto"/>
              </w:rPr>
              <w:t>Borrowed</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right="242"/>
              <w:spacing w:after="0"/>
              <w:rPr>
                <w:sz w:val="20"/>
                <w:szCs w:val="20"/>
                <w:color w:val="auto"/>
              </w:rPr>
            </w:pPr>
            <w:r>
              <w:rPr>
                <w:rFonts w:ascii="Arial" w:cs="Arial" w:eastAsia="Arial" w:hAnsi="Arial"/>
                <w:sz w:val="10"/>
                <w:szCs w:val="10"/>
                <w:b w:val="1"/>
                <w:bCs w:val="1"/>
                <w:color w:val="auto"/>
                <w:w w:val="97"/>
              </w:rPr>
              <w:t>(Borrowed)</w:t>
            </w:r>
          </w:p>
        </w:tc>
        <w:tc>
          <w:tcPr>
            <w:tcW w:w="0" w:type="dxa"/>
            <w:vAlign w:val="bottom"/>
          </w:tcPr>
          <w:p>
            <w:pPr>
              <w:spacing w:after="0"/>
              <w:rPr>
                <w:sz w:val="1"/>
                <w:szCs w:val="1"/>
                <w:color w:val="auto"/>
              </w:rPr>
            </w:pPr>
          </w:p>
        </w:tc>
      </w:tr>
      <w:tr>
        <w:trPr>
          <w:trHeight w:val="164"/>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Pepco</w:t>
            </w:r>
          </w:p>
        </w:tc>
        <w:tc>
          <w:tcPr>
            <w:tcW w:w="1420" w:type="dxa"/>
            <w:vAlign w:val="bottom"/>
            <w:shd w:val="clear" w:color="auto" w:fill="CCEEFF"/>
          </w:tcPr>
          <w:p>
            <w:pPr>
              <w:jc w:val="right"/>
              <w:ind w:right="128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440" w:type="dxa"/>
            <w:vAlign w:val="bottom"/>
            <w:gridSpan w:val="2"/>
          </w:tcPr>
          <w:p>
            <w:pPr>
              <w:ind w:left="20"/>
              <w:spacing w:after="0"/>
              <w:rPr>
                <w:sz w:val="20"/>
                <w:szCs w:val="20"/>
                <w:color w:val="auto"/>
              </w:rPr>
            </w:pPr>
            <w:r>
              <w:rPr>
                <w:rFonts w:ascii="Arial" w:cs="Arial" w:eastAsia="Arial" w:hAnsi="Arial"/>
                <w:sz w:val="13"/>
                <w:szCs w:val="13"/>
                <w:color w:val="auto"/>
              </w:rPr>
              <w:t>DPL</w:t>
            </w:r>
          </w:p>
        </w:tc>
        <w:tc>
          <w:tcPr>
            <w:tcW w:w="14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ACE</w:t>
            </w:r>
          </w:p>
        </w:tc>
        <w:tc>
          <w:tcPr>
            <w:tcW w:w="14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Shelf Registration Statements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February 13, 2025, Exelon and ComEd filed a combined shelf registration statement on Form S-3 registering $12.6 billion in aggregate amount of securities, which was declared effective by the SEC on April 8, 2025. The shelf registration statement may be used to issue Exelon debt and equity securities as well as ComEd debt securities through the expiration date of April 8, 2028. On February 21, 2024, PECO and BGE filed with the SEC a standalone automatically effective shelf registration statement, unlimited in amount, which can be used to issue PECO and BGE debt securities through the expiration date of February 20, 2027. The ability of Exelon, ComEd, PECO and BGE to sell securities off their corresponding registration statements will depend on a number of factors at the time of the proposed sale, including other required regulatory approvals, as applicable, the current financial condition of the Registrant, its securities ratings, and market conditions.</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Pepco, DPL, and ACE periodically issue securities through the private placement markets. Pepco, DPL and ACE's ability to access the private placement markets will depend on a number of factors at the time of the proposed sale, including other required regulatory approvals, as applicable, current financial condition, securities ratings and market conditions.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Regulatory Authorizations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Utility Registrants are required to obtain short-term and long-term financing authority from Federal and State Commissions as follows: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13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At March 31, 2026</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39"/>
        </w:trPr>
        <w:tc>
          <w:tcPr>
            <w:tcW w:w="13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Short-term Financing Authority</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Remaining Long-term Financing Authority</w:t>
            </w:r>
          </w:p>
        </w:tc>
        <w:tc>
          <w:tcPr>
            <w:tcW w:w="800" w:type="dxa"/>
            <w:vAlign w:val="bottom"/>
            <w:tcBorders>
              <w:bottom w:val="single" w:sz="8" w:color="auto"/>
            </w:tcBorders>
          </w:tcPr>
          <w:p>
            <w:pPr>
              <w:spacing w:after="0"/>
              <w:rPr>
                <w:sz w:val="12"/>
                <w:szCs w:val="12"/>
                <w:color w:val="auto"/>
              </w:rPr>
            </w:pPr>
          </w:p>
        </w:tc>
      </w:tr>
      <w:tr>
        <w:trPr>
          <w:trHeight w:val="139"/>
        </w:trPr>
        <w:tc>
          <w:tcPr>
            <w:tcW w:w="13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Commission</w:t>
            </w:r>
          </w:p>
        </w:tc>
        <w:tc>
          <w:tcPr>
            <w:tcW w:w="100" w:type="dxa"/>
            <w:vAlign w:val="bottom"/>
            <w:tcBorders>
              <w:bottom w:val="single" w:sz="8" w:color="CCEEFF"/>
            </w:tcBorders>
          </w:tcPr>
          <w:p>
            <w:pPr>
              <w:spacing w:after="0"/>
              <w:rPr>
                <w:sz w:val="12"/>
                <w:szCs w:val="12"/>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Expiration Date</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center"/>
              <w:ind w:left="338"/>
              <w:spacing w:after="0"/>
              <w:rPr>
                <w:sz w:val="20"/>
                <w:szCs w:val="20"/>
                <w:color w:val="auto"/>
              </w:rPr>
            </w:pPr>
            <w:r>
              <w:rPr>
                <w:rFonts w:ascii="Arial" w:cs="Arial" w:eastAsia="Arial" w:hAnsi="Arial"/>
                <w:sz w:val="10"/>
                <w:szCs w:val="10"/>
                <w:b w:val="1"/>
                <w:bCs w:val="1"/>
                <w:color w:val="auto"/>
                <w:w w:val="99"/>
              </w:rPr>
              <w:t>Commission</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Expiration Date</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Amount</w:t>
            </w:r>
          </w:p>
        </w:tc>
      </w:tr>
      <w:tr>
        <w:trPr>
          <w:trHeight w:val="121"/>
        </w:trPr>
        <w:tc>
          <w:tcPr>
            <w:tcW w:w="13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ComEd</w:t>
            </w:r>
          </w:p>
        </w:tc>
        <w:tc>
          <w:tcPr>
            <w:tcW w:w="128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5"/>
              </w:rPr>
              <w:t>FERC</w:t>
            </w:r>
          </w:p>
        </w:tc>
        <w:tc>
          <w:tcPr>
            <w:tcW w:w="222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8"/>
              </w:rPr>
              <w:t>December 31, 2027</w:t>
            </w:r>
          </w:p>
        </w:tc>
        <w:tc>
          <w:tcPr>
            <w:tcW w:w="200" w:type="dxa"/>
            <w:vAlign w:val="bottom"/>
            <w:shd w:val="clear" w:color="auto" w:fill="CCEEFF"/>
          </w:tcPr>
          <w:p>
            <w:pPr>
              <w:jc w:val="right"/>
              <w:ind w:right="56"/>
              <w:spacing w:after="0" w:line="121"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2,500</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jc w:val="center"/>
              <w:ind w:left="338"/>
              <w:spacing w:after="0" w:line="121" w:lineRule="exact"/>
              <w:rPr>
                <w:sz w:val="20"/>
                <w:szCs w:val="20"/>
                <w:color w:val="auto"/>
              </w:rPr>
            </w:pPr>
            <w:r>
              <w:rPr>
                <w:rFonts w:ascii="Arial" w:cs="Arial" w:eastAsia="Arial" w:hAnsi="Arial"/>
                <w:sz w:val="13"/>
                <w:szCs w:val="13"/>
                <w:color w:val="auto"/>
                <w:w w:val="89"/>
              </w:rPr>
              <w:t>ICC</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20" w:type="dxa"/>
            <w:vAlign w:val="bottom"/>
            <w:gridSpan w:val="3"/>
            <w:shd w:val="clear" w:color="auto" w:fill="CCEEFF"/>
          </w:tcPr>
          <w:p>
            <w:pPr>
              <w:ind w:left="140"/>
              <w:spacing w:after="0" w:line="121" w:lineRule="exact"/>
              <w:rPr>
                <w:sz w:val="20"/>
                <w:szCs w:val="20"/>
                <w:color w:val="auto"/>
              </w:rPr>
            </w:pPr>
            <w:r>
              <w:rPr>
                <w:rFonts w:ascii="Arial" w:cs="Arial" w:eastAsia="Arial" w:hAnsi="Arial"/>
                <w:sz w:val="13"/>
                <w:szCs w:val="13"/>
                <w:color w:val="auto"/>
                <w:w w:val="82"/>
              </w:rPr>
              <w:t>January 1, 2027, May 1, 2027, &amp;$</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4,393</w:t>
            </w:r>
          </w:p>
        </w:tc>
      </w:tr>
      <w:tr>
        <w:trPr>
          <w:trHeight w:val="170"/>
        </w:trPr>
        <w:tc>
          <w:tcPr>
            <w:tcW w:w="1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20" w:type="dxa"/>
            <w:vAlign w:val="bottom"/>
            <w:gridSpan w:val="3"/>
            <w:shd w:val="clear" w:color="auto" w:fill="CCEEFF"/>
          </w:tcPr>
          <w:p>
            <w:pPr>
              <w:jc w:val="center"/>
              <w:ind w:right="300"/>
              <w:spacing w:after="0"/>
              <w:rPr>
                <w:sz w:val="20"/>
                <w:szCs w:val="20"/>
                <w:color w:val="auto"/>
              </w:rPr>
            </w:pPr>
            <w:r>
              <w:rPr>
                <w:rFonts w:ascii="Arial" w:cs="Arial" w:eastAsia="Arial" w:hAnsi="Arial"/>
                <w:sz w:val="13"/>
                <w:szCs w:val="13"/>
                <w:color w:val="auto"/>
                <w:w w:val="98"/>
              </w:rPr>
              <w:t>January 1, 2029</w:t>
            </w:r>
          </w:p>
        </w:tc>
        <w:tc>
          <w:tcPr>
            <w:tcW w:w="800" w:type="dxa"/>
            <w:vAlign w:val="bottom"/>
            <w:shd w:val="clear" w:color="auto" w:fill="CCEEFF"/>
          </w:tcPr>
          <w:p>
            <w:pPr>
              <w:spacing w:after="0"/>
              <w:rPr>
                <w:sz w:val="14"/>
                <w:szCs w:val="14"/>
                <w:color w:val="auto"/>
              </w:rPr>
            </w:pPr>
          </w:p>
        </w:tc>
      </w:tr>
      <w:tr>
        <w:trPr>
          <w:trHeight w:val="169"/>
        </w:trPr>
        <w:tc>
          <w:tcPr>
            <w:tcW w:w="1360" w:type="dxa"/>
            <w:vAlign w:val="bottom"/>
          </w:tcPr>
          <w:p>
            <w:pPr>
              <w:ind w:left="20"/>
              <w:spacing w:after="0"/>
              <w:rPr>
                <w:sz w:val="20"/>
                <w:szCs w:val="20"/>
                <w:color w:val="auto"/>
              </w:rPr>
            </w:pPr>
            <w:r>
              <w:rPr>
                <w:rFonts w:ascii="Arial" w:cs="Arial" w:eastAsia="Arial" w:hAnsi="Arial"/>
                <w:sz w:val="13"/>
                <w:szCs w:val="13"/>
                <w:color w:val="auto"/>
              </w:rPr>
              <w:t>PECO</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FERC</w:t>
            </w:r>
          </w:p>
        </w:tc>
        <w:tc>
          <w:tcPr>
            <w:tcW w:w="222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December 31, 2027</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1560" w:type="dxa"/>
            <w:vAlign w:val="bottom"/>
          </w:tcPr>
          <w:p>
            <w:pPr>
              <w:jc w:val="center"/>
              <w:ind w:left="338"/>
              <w:spacing w:after="0"/>
              <w:rPr>
                <w:sz w:val="20"/>
                <w:szCs w:val="20"/>
                <w:color w:val="auto"/>
              </w:rPr>
            </w:pPr>
            <w:r>
              <w:rPr>
                <w:rFonts w:ascii="Arial" w:cs="Arial" w:eastAsia="Arial" w:hAnsi="Arial"/>
                <w:sz w:val="13"/>
                <w:szCs w:val="13"/>
                <w:color w:val="auto"/>
                <w:w w:val="98"/>
              </w:rPr>
              <w:t>PAPUC</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3"/>
          </w:tcPr>
          <w:p>
            <w:pPr>
              <w:jc w:val="center"/>
              <w:ind w:right="300"/>
              <w:spacing w:after="0"/>
              <w:rPr>
                <w:sz w:val="20"/>
                <w:szCs w:val="20"/>
                <w:color w:val="auto"/>
              </w:rPr>
            </w:pPr>
            <w:r>
              <w:rPr>
                <w:rFonts w:ascii="Arial" w:cs="Arial" w:eastAsia="Arial" w:hAnsi="Arial"/>
                <w:sz w:val="13"/>
                <w:szCs w:val="13"/>
                <w:color w:val="auto"/>
                <w:w w:val="98"/>
              </w:rPr>
              <w:t>December 31, 2027</w:t>
            </w:r>
          </w:p>
        </w:tc>
        <w:tc>
          <w:tcPr>
            <w:tcW w:w="800" w:type="dxa"/>
            <w:vAlign w:val="bottom"/>
          </w:tcPr>
          <w:p>
            <w:pPr>
              <w:jc w:val="right"/>
              <w:spacing w:after="0"/>
              <w:rPr>
                <w:sz w:val="20"/>
                <w:szCs w:val="20"/>
                <w:color w:val="auto"/>
              </w:rPr>
            </w:pPr>
            <w:r>
              <w:rPr>
                <w:rFonts w:ascii="Arial" w:cs="Arial" w:eastAsia="Arial" w:hAnsi="Arial"/>
                <w:sz w:val="13"/>
                <w:szCs w:val="13"/>
                <w:color w:val="auto"/>
              </w:rPr>
              <w:t>1,850</w:t>
            </w:r>
          </w:p>
        </w:tc>
      </w:tr>
      <w:tr>
        <w:trPr>
          <w:trHeight w:val="171"/>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BGE</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FERC</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December 31, 2027</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center"/>
              <w:ind w:left="318"/>
              <w:spacing w:after="0"/>
              <w:rPr>
                <w:sz w:val="20"/>
                <w:szCs w:val="20"/>
                <w:color w:val="auto"/>
              </w:rPr>
            </w:pPr>
            <w:r>
              <w:rPr>
                <w:rFonts w:ascii="Arial" w:cs="Arial" w:eastAsia="Arial" w:hAnsi="Arial"/>
                <w:sz w:val="13"/>
                <w:szCs w:val="13"/>
                <w:color w:val="auto"/>
                <w:w w:val="97"/>
              </w:rPr>
              <w:t>MDPSC</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20" w:type="dxa"/>
            <w:vAlign w:val="bottom"/>
            <w:gridSpan w:val="3"/>
            <w:shd w:val="clear" w:color="auto" w:fill="CCEEFF"/>
          </w:tcPr>
          <w:p>
            <w:pPr>
              <w:jc w:val="center"/>
              <w:ind w:right="300"/>
              <w:spacing w:after="0"/>
              <w:rPr>
                <w:sz w:val="20"/>
                <w:szCs w:val="20"/>
                <w:color w:val="auto"/>
              </w:rPr>
            </w:pPr>
            <w:r>
              <w:rPr>
                <w:rFonts w:ascii="Arial" w:cs="Arial" w:eastAsia="Arial" w:hAnsi="Arial"/>
                <w:sz w:val="13"/>
                <w:szCs w:val="13"/>
                <w:color w:val="auto"/>
                <w:w w:val="92"/>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w:t>
            </w:r>
          </w:p>
        </w:tc>
      </w:tr>
      <w:tr>
        <w:trPr>
          <w:trHeight w:val="170"/>
        </w:trPr>
        <w:tc>
          <w:tcPr>
            <w:tcW w:w="1360" w:type="dxa"/>
            <w:vAlign w:val="bottom"/>
          </w:tcPr>
          <w:p>
            <w:pPr>
              <w:ind w:left="20"/>
              <w:spacing w:after="0" w:line="170" w:lineRule="exact"/>
              <w:rPr>
                <w:sz w:val="20"/>
                <w:szCs w:val="20"/>
                <w:color w:val="auto"/>
              </w:rPr>
            </w:pPr>
            <w:r>
              <w:rPr>
                <w:rFonts w:ascii="Arial" w:cs="Arial" w:eastAsia="Arial" w:hAnsi="Arial"/>
                <w:sz w:val="13"/>
                <w:szCs w:val="13"/>
                <w:color w:val="auto"/>
              </w:rPr>
              <w:t>Pepco</w:t>
            </w:r>
            <w:r>
              <w:rPr>
                <w:rFonts w:ascii="Arial" w:cs="Arial" w:eastAsia="Arial" w:hAnsi="Arial"/>
                <w:sz w:val="16"/>
                <w:szCs w:val="16"/>
                <w:color w:val="auto"/>
                <w:vertAlign w:val="superscript"/>
              </w:rPr>
              <w:t>(a)</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FERC</w:t>
            </w:r>
          </w:p>
        </w:tc>
        <w:tc>
          <w:tcPr>
            <w:tcW w:w="222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December 31, 2027</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4"/>
                <w:szCs w:val="14"/>
                <w:color w:val="auto"/>
              </w:rPr>
            </w:pPr>
          </w:p>
        </w:tc>
        <w:tc>
          <w:tcPr>
            <w:tcW w:w="1560" w:type="dxa"/>
            <w:vAlign w:val="bottom"/>
          </w:tcPr>
          <w:p>
            <w:pPr>
              <w:jc w:val="center"/>
              <w:ind w:left="338"/>
              <w:spacing w:after="0"/>
              <w:rPr>
                <w:sz w:val="20"/>
                <w:szCs w:val="20"/>
                <w:color w:val="auto"/>
              </w:rPr>
            </w:pPr>
            <w:r>
              <w:rPr>
                <w:rFonts w:ascii="Arial" w:cs="Arial" w:eastAsia="Arial" w:hAnsi="Arial"/>
                <w:sz w:val="13"/>
                <w:szCs w:val="13"/>
                <w:color w:val="auto"/>
                <w:w w:val="96"/>
              </w:rPr>
              <w:t>MDPSC / DCPSC</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3"/>
          </w:tcPr>
          <w:p>
            <w:pPr>
              <w:jc w:val="center"/>
              <w:ind w:right="300"/>
              <w:spacing w:after="0"/>
              <w:rPr>
                <w:sz w:val="20"/>
                <w:szCs w:val="20"/>
                <w:color w:val="auto"/>
              </w:rPr>
            </w:pPr>
            <w:r>
              <w:rPr>
                <w:rFonts w:ascii="Arial" w:cs="Arial" w:eastAsia="Arial" w:hAnsi="Arial"/>
                <w:sz w:val="13"/>
                <w:szCs w:val="13"/>
                <w:color w:val="auto"/>
                <w:w w:val="98"/>
              </w:rPr>
              <w:t>December 31, 2028</w:t>
            </w:r>
          </w:p>
        </w:tc>
        <w:tc>
          <w:tcPr>
            <w:tcW w:w="800" w:type="dxa"/>
            <w:vAlign w:val="bottom"/>
          </w:tcPr>
          <w:p>
            <w:pPr>
              <w:jc w:val="right"/>
              <w:spacing w:after="0"/>
              <w:rPr>
                <w:sz w:val="20"/>
                <w:szCs w:val="20"/>
                <w:color w:val="auto"/>
              </w:rPr>
            </w:pPr>
            <w:r>
              <w:rPr>
                <w:rFonts w:ascii="Arial" w:cs="Arial" w:eastAsia="Arial" w:hAnsi="Arial"/>
                <w:sz w:val="13"/>
                <w:szCs w:val="13"/>
                <w:color w:val="auto"/>
              </w:rPr>
              <w:t>930</w:t>
            </w:r>
          </w:p>
        </w:tc>
      </w:tr>
      <w:tr>
        <w:trPr>
          <w:trHeight w:val="170"/>
        </w:trPr>
        <w:tc>
          <w:tcPr>
            <w:tcW w:w="13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DPL</w:t>
            </w:r>
            <w:r>
              <w:rPr>
                <w:rFonts w:ascii="Arial" w:cs="Arial" w:eastAsia="Arial" w:hAnsi="Arial"/>
                <w:sz w:val="16"/>
                <w:szCs w:val="16"/>
                <w:color w:val="auto"/>
                <w:vertAlign w:val="superscript"/>
              </w:rPr>
              <w:t>(a)</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FERC</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December 31, 2027</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center"/>
              <w:ind w:left="338"/>
              <w:spacing w:after="0"/>
              <w:rPr>
                <w:sz w:val="20"/>
                <w:szCs w:val="20"/>
                <w:color w:val="auto"/>
              </w:rPr>
            </w:pPr>
            <w:r>
              <w:rPr>
                <w:rFonts w:ascii="Arial" w:cs="Arial" w:eastAsia="Arial" w:hAnsi="Arial"/>
                <w:sz w:val="13"/>
                <w:szCs w:val="13"/>
                <w:color w:val="auto"/>
                <w:w w:val="97"/>
              </w:rPr>
              <w:t>MDPSC / DEPSC</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20" w:type="dxa"/>
            <w:vAlign w:val="bottom"/>
            <w:gridSpan w:val="3"/>
            <w:shd w:val="clear" w:color="auto" w:fill="CCEEFF"/>
          </w:tcPr>
          <w:p>
            <w:pPr>
              <w:jc w:val="center"/>
              <w:ind w:right="300"/>
              <w:spacing w:after="0"/>
              <w:rPr>
                <w:sz w:val="20"/>
                <w:szCs w:val="20"/>
                <w:color w:val="auto"/>
              </w:rPr>
            </w:pPr>
            <w:r>
              <w:rPr>
                <w:rFonts w:ascii="Arial" w:cs="Arial" w:eastAsia="Arial" w:hAnsi="Arial"/>
                <w:sz w:val="13"/>
                <w:szCs w:val="13"/>
                <w:color w:val="auto"/>
                <w:w w:val="98"/>
              </w:rPr>
              <w:t>December 31, 2028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r>
      <w:tr>
        <w:trPr>
          <w:trHeight w:val="167"/>
        </w:trPr>
        <w:tc>
          <w:tcPr>
            <w:tcW w:w="1360" w:type="dxa"/>
            <w:vAlign w:val="bottom"/>
          </w:tcPr>
          <w:p>
            <w:pPr>
              <w:ind w:left="20"/>
              <w:spacing w:after="0"/>
              <w:rPr>
                <w:sz w:val="20"/>
                <w:szCs w:val="20"/>
                <w:color w:val="auto"/>
              </w:rPr>
            </w:pPr>
            <w:r>
              <w:rPr>
                <w:rFonts w:ascii="Arial" w:cs="Arial" w:eastAsia="Arial" w:hAnsi="Arial"/>
                <w:sz w:val="13"/>
                <w:szCs w:val="13"/>
                <w:color w:val="auto"/>
              </w:rPr>
              <w:t>ACE</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NJBPU</w:t>
            </w:r>
          </w:p>
        </w:tc>
        <w:tc>
          <w:tcPr>
            <w:tcW w:w="222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January 1, 2028</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1560" w:type="dxa"/>
            <w:vAlign w:val="bottom"/>
          </w:tcPr>
          <w:p>
            <w:pPr>
              <w:jc w:val="center"/>
              <w:ind w:left="338"/>
              <w:spacing w:after="0"/>
              <w:rPr>
                <w:sz w:val="20"/>
                <w:szCs w:val="20"/>
                <w:color w:val="auto"/>
              </w:rPr>
            </w:pPr>
            <w:r>
              <w:rPr>
                <w:rFonts w:ascii="Arial" w:cs="Arial" w:eastAsia="Arial" w:hAnsi="Arial"/>
                <w:sz w:val="13"/>
                <w:szCs w:val="13"/>
                <w:color w:val="auto"/>
                <w:w w:val="93"/>
              </w:rPr>
              <w:t>NJBPU</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3"/>
          </w:tcPr>
          <w:p>
            <w:pPr>
              <w:jc w:val="center"/>
              <w:ind w:right="300"/>
              <w:spacing w:after="0"/>
              <w:rPr>
                <w:sz w:val="20"/>
                <w:szCs w:val="20"/>
                <w:color w:val="auto"/>
              </w:rPr>
            </w:pPr>
            <w:r>
              <w:rPr>
                <w:rFonts w:ascii="Arial" w:cs="Arial" w:eastAsia="Arial" w:hAnsi="Arial"/>
                <w:sz w:val="13"/>
                <w:szCs w:val="13"/>
                <w:color w:val="auto"/>
                <w:w w:val="98"/>
              </w:rPr>
              <w:t>December 31, 2026</w:t>
            </w:r>
          </w:p>
        </w:tc>
        <w:tc>
          <w:tcPr>
            <w:tcW w:w="800" w:type="dxa"/>
            <w:vAlign w:val="bottom"/>
          </w:tcPr>
          <w:p>
            <w:pPr>
              <w:jc w:val="right"/>
              <w:spacing w:after="0"/>
              <w:rPr>
                <w:sz w:val="20"/>
                <w:szCs w:val="20"/>
                <w:color w:val="auto"/>
              </w:rPr>
            </w:pPr>
            <w:r>
              <w:rPr>
                <w:rFonts w:ascii="Arial" w:cs="Arial" w:eastAsia="Arial" w:hAnsi="Arial"/>
                <w:sz w:val="13"/>
                <w:szCs w:val="13"/>
                <w:color w:val="auto"/>
              </w:rPr>
              <w:t>525</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The financing authority filed with MDPSC does not have an expiration date, while the financing authority filed with DCPSC and DEPSC have an expiration date of December 31,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tab/>
        <w:t>QUANTITATIVE AND QUALITATIVE DISCLOSURE ABOUT MARKET RISK</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Registrants hold commodity and financial instruments that are exposed to the following market risks:</w:t>
      </w:r>
    </w:p>
    <w:p>
      <w:pPr>
        <w:spacing w:after="0" w:line="126" w:lineRule="exact"/>
        <w:rPr>
          <w:sz w:val="20"/>
          <w:szCs w:val="20"/>
          <w:color w:val="auto"/>
        </w:rPr>
      </w:pPr>
    </w:p>
    <w:p>
      <w:pPr>
        <w:ind w:left="500" w:hanging="240"/>
        <w:spacing w:after="0"/>
        <w:tabs>
          <w:tab w:leader="none" w:pos="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Commodity price risk, which is discussed further below.</w:t>
      </w:r>
    </w:p>
    <w:p>
      <w:pPr>
        <w:spacing w:after="0" w:line="136" w:lineRule="exact"/>
        <w:rPr>
          <w:rFonts w:ascii="Arial" w:cs="Arial" w:eastAsia="Arial" w:hAnsi="Arial"/>
          <w:sz w:val="13"/>
          <w:szCs w:val="13"/>
          <w:color w:val="auto"/>
        </w:rPr>
      </w:pPr>
    </w:p>
    <w:p>
      <w:pPr>
        <w:jc w:val="both"/>
        <w:ind w:left="520" w:hanging="260"/>
        <w:spacing w:after="0" w:line="253" w:lineRule="auto"/>
        <w:tabs>
          <w:tab w:leader="none" w:pos="511"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Counterparty credit risk associated with non-performance by counterparties on executed derivative instruments and participation in all, or some of the established, wholesale spot energy markets that are administered by PJM. The credit policies of PJM may, under certain circumstances, require that losses arising from the default of one member on spot energy market transactions be shared by the remaining participants. See Note 8 — Derivative Financial Instruments of the Combined Notes to Consolidated Financial Statements for a detailed discussion of counterparty credit risk related to derivative instruments.</w:t>
      </w:r>
    </w:p>
    <w:p>
      <w:pPr>
        <w:spacing w:after="0" w:line="101" w:lineRule="exact"/>
        <w:rPr>
          <w:rFonts w:ascii="Arial" w:cs="Arial" w:eastAsia="Arial" w:hAnsi="Arial"/>
          <w:sz w:val="13"/>
          <w:szCs w:val="13"/>
          <w:color w:val="auto"/>
        </w:rPr>
      </w:pPr>
    </w:p>
    <w:p>
      <w:pPr>
        <w:ind w:left="500" w:hanging="240"/>
        <w:spacing w:after="0"/>
        <w:tabs>
          <w:tab w:leader="none" w:pos="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Equity price and interest rate risk associated with Exelon’s pension and OPEB plan trusts. See Note 12 — Retirement Benefits of the 2025 Form 10-K for additional information.</w:t>
      </w:r>
    </w:p>
    <w:p>
      <w:pPr>
        <w:spacing w:after="0" w:line="136" w:lineRule="exact"/>
        <w:rPr>
          <w:rFonts w:ascii="Arial" w:cs="Arial" w:eastAsia="Arial" w:hAnsi="Arial"/>
          <w:sz w:val="13"/>
          <w:szCs w:val="13"/>
          <w:color w:val="auto"/>
        </w:rPr>
      </w:pPr>
    </w:p>
    <w:p>
      <w:pPr>
        <w:jc w:val="both"/>
        <w:ind w:left="520" w:hanging="260"/>
        <w:spacing w:after="0" w:line="249" w:lineRule="auto"/>
        <w:tabs>
          <w:tab w:leader="none" w:pos="511"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Interest rate risk associated with changes in interest rates for the Registrants’ outstanding long-term debt. This risk is significantly reduced as substantially all of the Registrants’ outstanding debt has fixed interest rates. There is inherent interest rate risk related to refinancing maturing debt by issuing new long-term debt. The Registrants use a combination of hybrid, convertible, fixed-rate and variable-rate debt to manage interest rate exposure. See Note 9 — Debt and Credit Agreements of the Combined Notes to Consolidated Financial Statements for additional information. In addition, Exelon Corporate may utilize interest rate derivatives to lock in rate levels in anticipation of future financings, which are typically designated as cash flow hedges. See Note 8 — Derivative Financial Instruments of the Combined Notes to Consolidated Financial Statements for additional information.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Utility Registrants operate primarily under cost-based rate regulation limiting exposure to the effects of market risk. Hedging programs are utilized to reduce exposure to energy and natural gas price volatility and have no direct earnings impacts as the costs are fully recovered through regulatory-approved recovery mechanisms.</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Exelon manages these risks through risk management policies and objectives for risk assessment, control and valuation, counterparty credit approval, and the monitoring and reporting of risk exposures. Risk management issues are reported to Exelon’s Board of Directors, Exelon's Audit and Risk Committee, and/or the applicable Utility Board Registrant. The Registrants do not execute derivatives for speculative or proprietary trading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Commodity Price Risk (All Registrants)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Commodity price risk is associated with price movements resulting from changes in supply and demand, fuel costs, market liquidity, weather conditions, governmental regulatory and environmental policies, and other factors. To the extent the total amount of energy Exelon purchases differs from the amount of energy it has contracted to sell, Exelon is exposed to market fluctuations in commodity prices. Exelon seeks to mitigate its commodity price risk through the sale and purchase of electricity and natural gas.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ComEd entered into 20-year floating-to-fixed renewable energy swap contracts beginning in June 2012, which are considered an economic hedge and have changes in fair value recorded to an offsetting regulatory asset or liability. ComEd has block energy contracts to procure electric supply that are executed through a competitive procurement process, which are considered derivatives and qualify for NPNS, and as a result are accounted for on an accrual basis of accounting. PECO, BGE, Pepco, DPL, and ACE have contracts to procure electric supply that are executed through a competitive procurement process. PECO, BGE, Pepco, DPL, and ACE have certain full requirements contracts, which are considered derivatives and qualify for NPNS, and as a result are accounted for on an accrual basis of accounting. Other full requirements contracts are not derivatives.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PECO, BGE, and DPL also have executed derivative natural gas contracts, which qualify for NPNS, to hedge their long-term price risk in the natural gas market.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For additional information on these contracts, see Note 2 — Regulatory Matters and Note 8 — Derivative Financial Instruments of the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following table presents the maturity and source of fair value for Exelon’s and ComEd’s mark-to-market commodity contract net liabilities. These net liabilities are associated with ComEd’s floating-to-fixed energy swap contracts with unaffiliated suppliers. The table provides two fundamental pieces of information. First, the table provides the source of fair value used in determining the carrying amount of Exelon's and ComEd's total mark-to-market liabilities. Second, the table shows the maturity, by year, of Exelon's and ComEd's commodity contract liabilities giving an indication of when these mark-to-market amounts will settle and require cash. See Note 10 — Fair Value of Financial Assets and Liabilities of the Combined Notes to Consolidated Financial Statements for additional information regarding fair value measurements and the fair value hierarchy.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7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ind w:left="380"/>
              <w:spacing w:after="0"/>
              <w:rPr>
                <w:sz w:val="20"/>
                <w:szCs w:val="20"/>
                <w:color w:val="auto"/>
              </w:rPr>
            </w:pPr>
            <w:r>
              <w:rPr>
                <w:rFonts w:ascii="Arial" w:cs="Arial" w:eastAsia="Arial" w:hAnsi="Arial"/>
                <w:sz w:val="10"/>
                <w:szCs w:val="10"/>
                <w:b w:val="1"/>
                <w:bCs w:val="1"/>
                <w:color w:val="auto"/>
              </w:rPr>
              <w:t>Maturities Within</w:t>
            </w: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Commodity derivative contracts</w:t>
            </w:r>
            <w:r>
              <w:rPr>
                <w:rFonts w:ascii="Arial" w:cs="Arial" w:eastAsia="Arial" w:hAnsi="Arial"/>
                <w:sz w:val="14"/>
                <w:szCs w:val="14"/>
                <w:b w:val="1"/>
                <w:bCs w:val="1"/>
                <w:color w:val="auto"/>
                <w:vertAlign w:val="superscript"/>
              </w:rPr>
              <w:t>(a)</w:t>
            </w:r>
            <w:r>
              <w:rPr>
                <w:rFonts w:ascii="Arial" w:cs="Arial" w:eastAsia="Arial" w:hAnsi="Arial"/>
                <w:sz w:val="11"/>
                <w:szCs w:val="11"/>
                <w:b w:val="1"/>
                <w:bCs w:val="1"/>
                <w:color w:val="auto"/>
              </w:rPr>
              <w:t>:</w:t>
            </w:r>
          </w:p>
        </w:tc>
        <w:tc>
          <w:tcPr>
            <w:tcW w:w="180" w:type="dxa"/>
            <w:vAlign w:val="bottom"/>
          </w:tcPr>
          <w:p>
            <w:pPr>
              <w:spacing w:after="0"/>
              <w:rPr>
                <w:sz w:val="8"/>
                <w:szCs w:val="8"/>
                <w:color w:val="auto"/>
              </w:rPr>
            </w:pPr>
          </w:p>
        </w:tc>
        <w:tc>
          <w:tcPr>
            <w:tcW w:w="580" w:type="dxa"/>
            <w:vAlign w:val="bottom"/>
            <w:vMerge w:val="restart"/>
          </w:tcPr>
          <w:p>
            <w:pPr>
              <w:jc w:val="right"/>
              <w:ind w:right="223"/>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restart"/>
          </w:tcPr>
          <w:p>
            <w:pPr>
              <w:jc w:val="right"/>
              <w:ind w:right="203"/>
              <w:spacing w:after="0"/>
              <w:rPr>
                <w:sz w:val="20"/>
                <w:szCs w:val="20"/>
                <w:color w:val="auto"/>
              </w:rPr>
            </w:pPr>
            <w:r>
              <w:rPr>
                <w:rFonts w:ascii="Arial" w:cs="Arial" w:eastAsia="Arial" w:hAnsi="Arial"/>
                <w:sz w:val="10"/>
                <w:szCs w:val="10"/>
                <w:b w:val="1"/>
                <w:bCs w:val="1"/>
                <w:color w:val="auto"/>
              </w:rPr>
              <w:t>2027</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0"/>
                <w:szCs w:val="10"/>
                <w:b w:val="1"/>
                <w:bCs w:val="1"/>
                <w:color w:val="auto"/>
              </w:rPr>
              <w:t>2028</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restart"/>
          </w:tcPr>
          <w:p>
            <w:pPr>
              <w:jc w:val="right"/>
              <w:ind w:right="203"/>
              <w:spacing w:after="0"/>
              <w:rPr>
                <w:sz w:val="20"/>
                <w:szCs w:val="20"/>
                <w:color w:val="auto"/>
              </w:rPr>
            </w:pPr>
            <w:r>
              <w:rPr>
                <w:rFonts w:ascii="Arial" w:cs="Arial" w:eastAsia="Arial" w:hAnsi="Arial"/>
                <w:sz w:val="10"/>
                <w:szCs w:val="10"/>
                <w:b w:val="1"/>
                <w:bCs w:val="1"/>
                <w:color w:val="auto"/>
              </w:rPr>
              <w:t>2029</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restart"/>
          </w:tcPr>
          <w:p>
            <w:pPr>
              <w:jc w:val="right"/>
              <w:ind w:right="203"/>
              <w:spacing w:after="0"/>
              <w:rPr>
                <w:sz w:val="20"/>
                <w:szCs w:val="20"/>
                <w:color w:val="auto"/>
              </w:rPr>
            </w:pPr>
            <w:r>
              <w:rPr>
                <w:rFonts w:ascii="Arial" w:cs="Arial" w:eastAsia="Arial" w:hAnsi="Arial"/>
                <w:sz w:val="10"/>
                <w:szCs w:val="10"/>
                <w:b w:val="1"/>
                <w:bCs w:val="1"/>
                <w:color w:val="auto"/>
              </w:rPr>
              <w:t>2030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right"/>
              <w:ind w:right="63"/>
              <w:spacing w:after="0"/>
              <w:rPr>
                <w:sz w:val="20"/>
                <w:szCs w:val="20"/>
                <w:color w:val="auto"/>
              </w:rPr>
            </w:pPr>
            <w:r>
              <w:rPr>
                <w:rFonts w:ascii="Arial" w:cs="Arial" w:eastAsia="Arial" w:hAnsi="Arial"/>
                <w:sz w:val="10"/>
                <w:szCs w:val="10"/>
                <w:b w:val="1"/>
                <w:bCs w:val="1"/>
                <w:color w:val="auto"/>
                <w:w w:val="99"/>
              </w:rPr>
              <w:t>2031 and Beyond</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166"/>
              <w:spacing w:after="0" w:line="93" w:lineRule="exact"/>
              <w:rPr>
                <w:sz w:val="20"/>
                <w:szCs w:val="20"/>
                <w:color w:val="auto"/>
              </w:rPr>
            </w:pPr>
            <w:r>
              <w:rPr>
                <w:rFonts w:ascii="Arial" w:cs="Arial" w:eastAsia="Arial" w:hAnsi="Arial"/>
                <w:sz w:val="10"/>
                <w:szCs w:val="10"/>
                <w:b w:val="1"/>
                <w:bCs w:val="1"/>
                <w:color w:val="auto"/>
                <w:w w:val="97"/>
              </w:rPr>
              <w:t>Total Fair</w:t>
            </w:r>
          </w:p>
        </w:tc>
        <w:tc>
          <w:tcPr>
            <w:tcW w:w="0" w:type="dxa"/>
            <w:vAlign w:val="bottom"/>
          </w:tcPr>
          <w:p>
            <w:pPr>
              <w:spacing w:after="0"/>
              <w:rPr>
                <w:sz w:val="1"/>
                <w:szCs w:val="1"/>
                <w:color w:val="auto"/>
              </w:rPr>
            </w:pPr>
          </w:p>
        </w:tc>
      </w:tr>
      <w:tr>
        <w:trPr>
          <w:trHeight w:val="149"/>
        </w:trPr>
        <w:tc>
          <w:tcPr>
            <w:tcW w:w="474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46"/>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60"/>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Prices based on model or other valuation methods (Level 3)</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Represents ComEd's net liabilities associated with the floating-to-fixed energy swap contracts with unaffiliated suppliers.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 Risk (All Registrants)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Credit risk for the Utility Registrants is governed by credit and collection policies, which are aligned with state regulatory requirements. The Utility Registrants are currently obligated to provide service to all electric customers within their franchised territories. The Utility Registrants record an allowance for credit losses, based upon historical experience, current information, and forward-looking risk factors, to provide for the potential loss from nonpayment by these customers. The Utility Registrants will monitor nonpayment from customers and will make any necessary adjustments to the allowance for credit losses. See Note 1 — Significant Accounting Policies of the Combined Notes to Consolidated Financial Statements of the 2025 Form 10-K for the allowance for credit losses policy. The Utility Registrants did not have any customers representing over 10% of their revenues as of March 31, 2026. See Note 2 — Regulatory Matters of the Combined Notes to the Consolidated Financial Statements for additional information.</w:t>
      </w:r>
    </w:p>
    <w:p>
      <w:pPr>
        <w:spacing w:after="0" w:line="11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4.</w:t>
        <w:tab/>
        <w:t>CONTROLS AND PROCEDURES</w:t>
      </w:r>
    </w:p>
    <w:p>
      <w:pPr>
        <w:spacing w:after="0" w:line="140" w:lineRule="exact"/>
        <w:rPr>
          <w:sz w:val="20"/>
          <w:szCs w:val="20"/>
          <w:color w:val="auto"/>
        </w:rPr>
      </w:pPr>
    </w:p>
    <w:p>
      <w:pPr>
        <w:jc w:val="both"/>
        <w:spacing w:after="0" w:line="154" w:lineRule="exact"/>
        <w:rPr>
          <w:sz w:val="20"/>
          <w:szCs w:val="20"/>
          <w:color w:val="auto"/>
        </w:rPr>
      </w:pPr>
      <w:r>
        <w:rPr>
          <w:rFonts w:ascii="Arial" w:cs="Arial" w:eastAsia="Arial" w:hAnsi="Arial"/>
          <w:sz w:val="13"/>
          <w:szCs w:val="13"/>
          <w:color w:val="auto"/>
        </w:rPr>
        <w:t>During the first quarter of 2026, each of the Registrants' management, including its principal executive officer and principal financial officer, evaluated its disclosure controls and procedures (as defined in Exchange Act Rules 13a</w:t>
      </w:r>
      <w:r>
        <w:rPr>
          <w:rFonts w:ascii="MS PGothic" w:cs="MS PGothic" w:eastAsia="MS PGothic" w:hAnsi="MS PGothic"/>
          <w:sz w:val="13"/>
          <w:szCs w:val="13"/>
          <w:color w:val="auto"/>
        </w:rPr>
        <w:t>‑</w:t>
      </w:r>
      <w:r>
        <w:rPr>
          <w:rFonts w:ascii="Arial" w:cs="Arial" w:eastAsia="Arial" w:hAnsi="Arial"/>
          <w:sz w:val="13"/>
          <w:szCs w:val="13"/>
          <w:color w:val="auto"/>
        </w:rPr>
        <w:t>15(e) and 15d</w:t>
      </w:r>
      <w:r>
        <w:rPr>
          <w:rFonts w:ascii="MS PGothic" w:cs="MS PGothic" w:eastAsia="MS PGothic" w:hAnsi="MS PGothic"/>
          <w:sz w:val="13"/>
          <w:szCs w:val="13"/>
          <w:color w:val="auto"/>
        </w:rPr>
        <w:t>‑</w:t>
      </w:r>
      <w:r>
        <w:rPr>
          <w:rFonts w:ascii="Arial" w:cs="Arial" w:eastAsia="Arial" w:hAnsi="Arial"/>
          <w:sz w:val="13"/>
          <w:szCs w:val="13"/>
          <w:color w:val="auto"/>
        </w:rPr>
        <w:t>15(e)) as of the end of the period covered by this report, pursuant to Exchange Act Rules 13a</w:t>
      </w:r>
      <w:r>
        <w:rPr>
          <w:rFonts w:ascii="MS PGothic" w:cs="MS PGothic" w:eastAsia="MS PGothic" w:hAnsi="MS PGothic"/>
          <w:sz w:val="13"/>
          <w:szCs w:val="13"/>
          <w:color w:val="auto"/>
        </w:rPr>
        <w:t>‑</w:t>
      </w:r>
      <w:r>
        <w:rPr>
          <w:rFonts w:ascii="Arial" w:cs="Arial" w:eastAsia="Arial" w:hAnsi="Arial"/>
          <w:sz w:val="13"/>
          <w:szCs w:val="13"/>
          <w:color w:val="auto"/>
        </w:rPr>
        <w:t>15(b) and 15d</w:t>
      </w:r>
      <w:r>
        <w:rPr>
          <w:rFonts w:ascii="MS PGothic" w:cs="MS PGothic" w:eastAsia="MS PGothic" w:hAnsi="MS PGothic"/>
          <w:sz w:val="13"/>
          <w:szCs w:val="13"/>
          <w:color w:val="auto"/>
        </w:rPr>
        <w:t>‑</w:t>
      </w:r>
      <w:r>
        <w:rPr>
          <w:rFonts w:ascii="Arial" w:cs="Arial" w:eastAsia="Arial" w:hAnsi="Arial"/>
          <w:sz w:val="13"/>
          <w:szCs w:val="13"/>
          <w:color w:val="auto"/>
        </w:rPr>
        <w:t>15(b). These disclosure controls and procedures have been designed by the Registrants to ensure that (a) material information relating to that Registrant, including its consolidated subsidiaries, is accumulated and made known to that Registrant's management, including its principal executive officer and principal financial officer, by other employees of that Registrant and its subsidiaries as appropriate to allow timely decisions regarding required disclosure, and (b) this information is recorded, processed, summarized, evaluated, and reported, as applicable, within the time periods specified in the SEC’s rules and forms. Due to the inherent limitations of control systems, not all misstatements may be detected. These inherent limitations include the realities that judgments in decision-making can be faulty and that breakdowns can occur because of simple error or mistake. Additionally, controls could be circumvented by the individual acts of some persons or by collusion of two or more people.</w:t>
      </w:r>
    </w:p>
    <w:p>
      <w:pPr>
        <w:spacing w:after="0" w:line="111" w:lineRule="exact"/>
        <w:rPr>
          <w:sz w:val="20"/>
          <w:szCs w:val="20"/>
          <w:color w:val="auto"/>
        </w:rPr>
      </w:pPr>
    </w:p>
    <w:p>
      <w:pPr>
        <w:jc w:val="both"/>
        <w:spacing w:after="0" w:line="172" w:lineRule="exact"/>
        <w:rPr>
          <w:sz w:val="20"/>
          <w:szCs w:val="20"/>
          <w:color w:val="auto"/>
        </w:rPr>
      </w:pPr>
      <w:r>
        <w:rPr>
          <w:rFonts w:ascii="Arial" w:cs="Arial" w:eastAsia="Arial" w:hAnsi="Arial"/>
          <w:sz w:val="13"/>
          <w:szCs w:val="13"/>
          <w:color w:val="auto"/>
        </w:rPr>
        <w:t>Accordingly, as of March 31, 2026, the principal executive officer and principal financial officer of each of the Registrants concluded that such Registrant’s disclosure controls and procedures were effective (Item 307 of Regulation S</w:t>
      </w:r>
      <w:r>
        <w:rPr>
          <w:rFonts w:ascii="MS PGothic" w:cs="MS PGothic" w:eastAsia="MS PGothic" w:hAnsi="MS PGothic"/>
          <w:sz w:val="13"/>
          <w:szCs w:val="13"/>
          <w:color w:val="auto"/>
        </w:rPr>
        <w:t>‑</w:t>
      </w:r>
      <w:r>
        <w:rPr>
          <w:rFonts w:ascii="Arial" w:cs="Arial" w:eastAsia="Arial" w:hAnsi="Arial"/>
          <w:sz w:val="13"/>
          <w:szCs w:val="13"/>
          <w:color w:val="auto"/>
        </w:rPr>
        <w:t>K).</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Registrants continually strive to improve disclosure controls and procedures to enhance the quality of financial reporting and to maintain dynamic systems that change as conditions warrant. During the first quarter of 2026, a new ERP system was implemented for a majority of the financial accounting systems, which is expected to improve the efficiency of certain financial and related transaction processes. As part of the implementation of the ERP, the Registrants modified certain existing internal controls and implemented certain new controls in order to align the financial accounting processes with the new ERP system. The Registrants do not believe that any of these modifications or new controls have materially affected, or are reasonably likely to affect, internal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over financial reporting. There have been no other changes in internal control over financial reporting that occurred during the first quarter of 2026 that have materially affected, or are reasonably likely to materially affect, any of the Registrants' internal control over financial reporting.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tab/>
        <w:t>LEGAL PROCEEDINGS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Registrants are parties to various lawsuits and regulatory proceedings in the ordinary course of their respective businesses. For information regarding material lawsuits and proceedings, see</w:t>
      </w:r>
    </w:p>
    <w:p>
      <w:pPr>
        <w:spacing w:after="0" w:line="11" w:lineRule="exact"/>
        <w:rPr>
          <w:sz w:val="20"/>
          <w:szCs w:val="20"/>
          <w:color w:val="auto"/>
        </w:rPr>
      </w:pPr>
    </w:p>
    <w:p>
      <w:pPr>
        <w:jc w:val="both"/>
        <w:ind w:firstLine="5"/>
        <w:spacing w:after="0" w:line="251" w:lineRule="auto"/>
        <w:tabs>
          <w:tab w:leader="none" w:pos="203" w:val="left"/>
        </w:tabs>
        <w:numPr>
          <w:ilvl w:val="0"/>
          <w:numId w:val="45"/>
        </w:numPr>
        <w:rPr>
          <w:rFonts w:ascii="Arial" w:cs="Arial" w:eastAsia="Arial" w:hAnsi="Arial"/>
          <w:sz w:val="13"/>
          <w:szCs w:val="13"/>
          <w:color w:val="auto"/>
        </w:rPr>
      </w:pPr>
      <w:r>
        <w:rPr>
          <w:rFonts w:ascii="Arial" w:cs="Arial" w:eastAsia="Arial" w:hAnsi="Arial"/>
          <w:sz w:val="13"/>
          <w:szCs w:val="13"/>
          <w:color w:val="auto"/>
        </w:rPr>
        <w:t>ITEM 3. LEGAL PROCEEDINGS of the 2025 Form 10-K, (b) Notes 2 — Regulatory Matters and 16 — Commitments and Contingencies of the 2025 Form 10-K, and (c) Notes 2 — Regulatory Matters and 11 — Commitments and Contingencies of the Combined Notes to Consolidated Financial Statements in PART I, ITEM 1. FINANCIAL STATEMENTS of this Report. Such descriptions are incorporated herein by these references.</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Risks Related to All Registrants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At March 31, 2026, the Registrants' risk factors were consistent with the risk factors described in the Registrants' combined 2025 Form 10-K in ITEM 1A. RISK FACTORS.</w:t>
      </w:r>
    </w:p>
    <w:p>
      <w:pPr>
        <w:spacing w:after="0" w:line="12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5.</w:t>
        <w:tab/>
        <w:t>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 Registrants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None of our officers or directors, as defined in Rule 16a-1(f) of the Securities Exchange Act of 1934, adopted, modified, or terminated a “Rule 10b5-1 trading arrangement” or a “non-Rule 10b5-1 trading arrangement,” as defined in Item 408 of Regulation S-K, during the three months ended March 31, 2026, except as follows:</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March 13, 2026, Calvin G. Butler, Jr., President and Chief Executive Officer, Exelon Corporation, adopted a Rule 10b5-1 trading arrangement that is intended to satisfy the affirmative defense of Rule 10b5-1(c) for the sale of up to 246,000 shares of Exelon's common stock in multiple transactions, subject to certain price limitations set forth in the trading arrangement. Mr. Butler's 10b5-1 trading arrangement will terminate on December 19, 2026, unless sooner terminated according to its terms.</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of the following exhibits are incorporated herein by reference under Rule 12b-32 of the Securities and Exchange Act of 1934, as amended. Certain other instruments which would otherwise be required to be listed below have not been so listed because such instruments do not authorize securities in an amount which exceeds 10% of the total assets of the applicable Registrant and its subsidiaries on a consolidated basis, and the applicable Registrant agrees to furnish a copy of any such instrument to the Commission upon request.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(4)</w:t>
            </w:r>
          </w:p>
        </w:tc>
        <w:tc>
          <w:tcPr>
            <w:tcW w:w="520" w:type="dxa"/>
            <w:vAlign w:val="bottom"/>
          </w:tcPr>
          <w:p>
            <w:pPr>
              <w:spacing w:after="0"/>
              <w:rPr>
                <w:sz w:val="15"/>
                <w:szCs w:val="15"/>
                <w:color w:val="auto"/>
              </w:rPr>
            </w:pPr>
          </w:p>
        </w:tc>
        <w:tc>
          <w:tcPr>
            <w:tcW w:w="124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Instruments</w:t>
            </w:r>
          </w:p>
        </w:tc>
        <w:tc>
          <w:tcPr>
            <w:tcW w:w="1340" w:type="dxa"/>
            <w:vAlign w:val="bottom"/>
          </w:tcPr>
          <w:p>
            <w:pPr>
              <w:ind w:left="440"/>
              <w:spacing w:after="0"/>
              <w:rPr>
                <w:sz w:val="20"/>
                <w:szCs w:val="20"/>
                <w:color w:val="auto"/>
              </w:rPr>
            </w:pPr>
            <w:r>
              <w:rPr>
                <w:rFonts w:ascii="Arial" w:cs="Arial" w:eastAsia="Arial" w:hAnsi="Arial"/>
                <w:sz w:val="13"/>
                <w:szCs w:val="13"/>
                <w:b w:val="1"/>
                <w:bCs w:val="1"/>
                <w:i w:val="1"/>
                <w:iCs w:val="1"/>
                <w:color w:val="auto"/>
              </w:rPr>
              <w:t>Defining</w:t>
            </w:r>
          </w:p>
        </w:tc>
        <w:tc>
          <w:tcPr>
            <w:tcW w:w="940" w:type="dxa"/>
            <w:vAlign w:val="bottom"/>
          </w:tcPr>
          <w:p>
            <w:pPr>
              <w:ind w:left="380"/>
              <w:spacing w:after="0"/>
              <w:rPr>
                <w:sz w:val="20"/>
                <w:szCs w:val="20"/>
                <w:color w:val="auto"/>
              </w:rPr>
            </w:pPr>
            <w:r>
              <w:rPr>
                <w:rFonts w:ascii="Arial" w:cs="Arial" w:eastAsia="Arial" w:hAnsi="Arial"/>
                <w:sz w:val="13"/>
                <w:szCs w:val="13"/>
                <w:b w:val="1"/>
                <w:bCs w:val="1"/>
                <w:i w:val="1"/>
                <w:iCs w:val="1"/>
                <w:color w:val="auto"/>
              </w:rPr>
              <w:t>the</w:t>
            </w:r>
          </w:p>
        </w:tc>
        <w:tc>
          <w:tcPr>
            <w:tcW w:w="1160" w:type="dxa"/>
            <w:vAlign w:val="bottom"/>
          </w:tcPr>
          <w:p>
            <w:pPr>
              <w:ind w:left="380"/>
              <w:spacing w:after="0"/>
              <w:rPr>
                <w:sz w:val="20"/>
                <w:szCs w:val="20"/>
                <w:color w:val="auto"/>
              </w:rPr>
            </w:pPr>
            <w:r>
              <w:rPr>
                <w:rFonts w:ascii="Arial" w:cs="Arial" w:eastAsia="Arial" w:hAnsi="Arial"/>
                <w:sz w:val="13"/>
                <w:szCs w:val="13"/>
                <w:b w:val="1"/>
                <w:bCs w:val="1"/>
                <w:i w:val="1"/>
                <w:iCs w:val="1"/>
                <w:color w:val="auto"/>
              </w:rPr>
              <w:t>Rights</w:t>
            </w:r>
          </w:p>
        </w:tc>
        <w:tc>
          <w:tcPr>
            <w:tcW w:w="1200" w:type="dxa"/>
            <w:vAlign w:val="bottom"/>
          </w:tcPr>
          <w:p>
            <w:pPr>
              <w:ind w:left="380"/>
              <w:spacing w:after="0"/>
              <w:rPr>
                <w:sz w:val="20"/>
                <w:szCs w:val="20"/>
                <w:color w:val="auto"/>
              </w:rPr>
            </w:pPr>
            <w:r>
              <w:rPr>
                <w:rFonts w:ascii="Arial" w:cs="Arial" w:eastAsia="Arial" w:hAnsi="Arial"/>
                <w:sz w:val="13"/>
                <w:szCs w:val="13"/>
                <w:b w:val="1"/>
                <w:bCs w:val="1"/>
                <w:i w:val="1"/>
                <w:iCs w:val="1"/>
                <w:color w:val="auto"/>
              </w:rPr>
              <w:t>of</w:t>
            </w:r>
          </w:p>
        </w:tc>
        <w:tc>
          <w:tcPr>
            <w:tcW w:w="1060" w:type="dxa"/>
            <w:vAlign w:val="bottom"/>
            <w:gridSpan w:val="2"/>
          </w:tcPr>
          <w:p>
            <w:pPr>
              <w:jc w:val="right"/>
              <w:ind w:right="343"/>
              <w:spacing w:after="0"/>
              <w:rPr>
                <w:sz w:val="20"/>
                <w:szCs w:val="20"/>
                <w:color w:val="auto"/>
              </w:rPr>
            </w:pPr>
            <w:r>
              <w:rPr>
                <w:rFonts w:ascii="Arial" w:cs="Arial" w:eastAsia="Arial" w:hAnsi="Arial"/>
                <w:sz w:val="13"/>
                <w:szCs w:val="13"/>
                <w:b w:val="1"/>
                <w:bCs w:val="1"/>
                <w:i w:val="1"/>
                <w:iCs w:val="1"/>
                <w:color w:val="auto"/>
              </w:rPr>
              <w:t>Securities</w:t>
            </w:r>
          </w:p>
        </w:tc>
        <w:tc>
          <w:tcPr>
            <w:tcW w:w="1260" w:type="dxa"/>
            <w:vAlign w:val="bottom"/>
          </w:tcPr>
          <w:p>
            <w:pPr>
              <w:ind w:left="360"/>
              <w:spacing w:after="0"/>
              <w:rPr>
                <w:sz w:val="20"/>
                <w:szCs w:val="20"/>
                <w:color w:val="auto"/>
              </w:rPr>
            </w:pPr>
            <w:r>
              <w:rPr>
                <w:rFonts w:ascii="Arial" w:cs="Arial" w:eastAsia="Arial" w:hAnsi="Arial"/>
                <w:sz w:val="13"/>
                <w:szCs w:val="13"/>
                <w:b w:val="1"/>
                <w:bCs w:val="1"/>
                <w:i w:val="1"/>
                <w:iCs w:val="1"/>
                <w:color w:val="auto"/>
              </w:rPr>
              <w:t>Holders,</w:t>
            </w:r>
          </w:p>
        </w:tc>
        <w:tc>
          <w:tcPr>
            <w:tcW w:w="1320" w:type="dxa"/>
            <w:vAlign w:val="bottom"/>
          </w:tcPr>
          <w:p>
            <w:pPr>
              <w:ind w:left="380"/>
              <w:spacing w:after="0"/>
              <w:rPr>
                <w:sz w:val="20"/>
                <w:szCs w:val="20"/>
                <w:color w:val="auto"/>
              </w:rPr>
            </w:pPr>
            <w:r>
              <w:rPr>
                <w:rFonts w:ascii="Arial" w:cs="Arial" w:eastAsia="Arial" w:hAnsi="Arial"/>
                <w:sz w:val="13"/>
                <w:szCs w:val="13"/>
                <w:b w:val="1"/>
                <w:bCs w:val="1"/>
                <w:i w:val="1"/>
                <w:iCs w:val="1"/>
                <w:color w:val="auto"/>
              </w:rPr>
              <w:t>Including</w:t>
            </w:r>
          </w:p>
        </w:tc>
        <w:tc>
          <w:tcPr>
            <w:tcW w:w="1040" w:type="dxa"/>
            <w:vAlign w:val="bottom"/>
            <w:gridSpan w:val="2"/>
          </w:tcPr>
          <w:p>
            <w:pPr>
              <w:ind w:left="380"/>
              <w:spacing w:after="0"/>
              <w:rPr>
                <w:sz w:val="20"/>
                <w:szCs w:val="20"/>
                <w:color w:val="auto"/>
              </w:rPr>
            </w:pPr>
            <w:r>
              <w:rPr>
                <w:rFonts w:ascii="Arial" w:cs="Arial" w:eastAsia="Arial" w:hAnsi="Arial"/>
                <w:sz w:val="13"/>
                <w:szCs w:val="13"/>
                <w:b w:val="1"/>
                <w:bCs w:val="1"/>
                <w:i w:val="1"/>
                <w:iCs w:val="1"/>
                <w:color w:val="auto"/>
                <w:w w:val="96"/>
              </w:rPr>
              <w:t>Indentures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40" w:type="dxa"/>
            <w:vAlign w:val="bottom"/>
            <w:gridSpan w:val="3"/>
          </w:tcPr>
          <w:p>
            <w:pPr>
              <w:spacing w:after="0"/>
              <w:rPr>
                <w:sz w:val="20"/>
                <w:szCs w:val="20"/>
                <w:color w:val="auto"/>
              </w:rPr>
            </w:pPr>
            <w:r>
              <w:rPr>
                <w:rFonts w:ascii="Arial" w:cs="Arial" w:eastAsia="Arial" w:hAnsi="Arial"/>
                <w:sz w:val="13"/>
                <w:szCs w:val="13"/>
                <w:color w:val="auto"/>
              </w:rPr>
              <w:t>Exelon Corporation</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1240" w:type="dxa"/>
            <w:vAlign w:val="bottom"/>
          </w:tcPr>
          <w:p>
            <w:pPr>
              <w:spacing w:after="0"/>
              <w:rPr>
                <w:sz w:val="13"/>
                <w:szCs w:val="13"/>
                <w:color w:val="auto"/>
              </w:rPr>
            </w:pPr>
          </w:p>
        </w:tc>
        <w:tc>
          <w:tcPr>
            <w:tcW w:w="1340" w:type="dxa"/>
            <w:vAlign w:val="bottom"/>
          </w:tcPr>
          <w:p>
            <w:pPr>
              <w:ind w:left="320"/>
              <w:spacing w:after="0"/>
              <w:rPr>
                <w:sz w:val="20"/>
                <w:szCs w:val="20"/>
                <w:color w:val="auto"/>
              </w:rPr>
            </w:pPr>
            <w:r>
              <w:rPr>
                <w:rFonts w:ascii="Arial" w:cs="Arial" w:eastAsia="Arial" w:hAnsi="Arial"/>
                <w:sz w:val="10"/>
                <w:szCs w:val="10"/>
                <w:b w:val="1"/>
                <w:bCs w:val="1"/>
                <w:color w:val="auto"/>
              </w:rPr>
              <w:t>Description</w:t>
            </w: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23"/>
              <w:spacing w:after="0"/>
              <w:rPr>
                <w:sz w:val="20"/>
                <w:szCs w:val="20"/>
                <w:color w:val="auto"/>
              </w:rPr>
            </w:pPr>
            <w:r>
              <w:rPr>
                <w:rFonts w:ascii="Arial" w:cs="Arial" w:eastAsia="Arial" w:hAnsi="Arial"/>
                <w:sz w:val="10"/>
                <w:szCs w:val="10"/>
                <w:b w:val="1"/>
                <w:bCs w:val="1"/>
                <w:color w:val="auto"/>
                <w:w w:val="95"/>
              </w:rPr>
              <w:t>Location</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20" w:type="dxa"/>
            <w:vAlign w:val="bottom"/>
            <w:gridSpan w:val="5"/>
          </w:tcPr>
          <w:p>
            <w:pPr>
              <w:spacing w:after="0"/>
              <w:rPr>
                <w:rFonts w:ascii="Arial" w:cs="Arial" w:eastAsia="Arial" w:hAnsi="Arial"/>
                <w:sz w:val="13"/>
                <w:szCs w:val="13"/>
                <w:color w:val="0000FF"/>
              </w:rPr>
            </w:pPr>
            <w:hyperlink r:id="rId179">
              <w:r>
                <w:rPr>
                  <w:rFonts w:ascii="Arial" w:cs="Arial" w:eastAsia="Arial" w:hAnsi="Arial"/>
                  <w:sz w:val="13"/>
                  <w:szCs w:val="13"/>
                  <w:color w:val="0000FF"/>
                </w:rPr>
                <w:t>File No. 001-16169, Form 8-K dated February 20, 2026, Exhibit 4.2</w:t>
              </w:r>
            </w:hyperlink>
          </w:p>
        </w:tc>
        <w:tc>
          <w:tcPr>
            <w:tcW w:w="0" w:type="dxa"/>
            <w:vAlign w:val="bottom"/>
          </w:tcPr>
          <w:p>
            <w:pPr>
              <w:spacing w:after="0"/>
              <w:rPr>
                <w:sz w:val="1"/>
                <w:szCs w:val="1"/>
                <w:color w:val="auto"/>
              </w:rPr>
            </w:pPr>
          </w:p>
        </w:tc>
      </w:tr>
      <w:tr>
        <w:trPr>
          <w:trHeight w:val="224"/>
        </w:trPr>
        <w:tc>
          <w:tcPr>
            <w:tcW w:w="200" w:type="dxa"/>
            <w:vAlign w:val="bottom"/>
            <w:gridSpan w:val="2"/>
            <w:vMerge w:val="restart"/>
          </w:tcPr>
          <w:p>
            <w:pPr>
              <w:ind w:left="20"/>
              <w:spacing w:after="0"/>
              <w:rPr>
                <w:rFonts w:ascii="Arial" w:cs="Arial" w:eastAsia="Arial" w:hAnsi="Arial"/>
                <w:sz w:val="13"/>
                <w:szCs w:val="13"/>
                <w:color w:val="0000FF"/>
                <w:w w:val="84"/>
              </w:rPr>
            </w:pPr>
            <w:hyperlink r:id="rId179">
              <w:r>
                <w:rPr>
                  <w:rFonts w:ascii="Arial" w:cs="Arial" w:eastAsia="Arial" w:hAnsi="Arial"/>
                  <w:sz w:val="13"/>
                  <w:szCs w:val="13"/>
                  <w:color w:val="0000FF"/>
                  <w:w w:val="84"/>
                </w:rPr>
                <w:t>4-1</w:t>
              </w:r>
            </w:hyperlink>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40" w:type="dxa"/>
            <w:vAlign w:val="bottom"/>
            <w:gridSpan w:val="4"/>
          </w:tcPr>
          <w:p>
            <w:pPr>
              <w:ind w:left="320"/>
              <w:spacing w:after="0"/>
              <w:rPr>
                <w:sz w:val="20"/>
                <w:szCs w:val="20"/>
                <w:color w:val="auto"/>
              </w:rPr>
            </w:pPr>
            <w:r>
              <w:rPr>
                <w:rFonts w:ascii="Arial" w:cs="Arial" w:eastAsia="Arial" w:hAnsi="Arial"/>
                <w:sz w:val="13"/>
                <w:szCs w:val="13"/>
                <w:color w:val="auto"/>
                <w:w w:val="98"/>
              </w:rPr>
              <w:t>Ninth Supplemental Indenture, dated as of February 1, 2026, among Exelon</w:t>
            </w:r>
          </w:p>
        </w:tc>
        <w:tc>
          <w:tcPr>
            <w:tcW w:w="260" w:type="dxa"/>
            <w:vAlign w:val="bottom"/>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1260" w:type="dxa"/>
            <w:vAlign w:val="bottom"/>
            <w:tcBorders>
              <w:top w:val="single" w:sz="8" w:color="0000FF"/>
            </w:tcBorders>
          </w:tcPr>
          <w:p>
            <w:pPr>
              <w:spacing w:after="0"/>
              <w:rPr>
                <w:sz w:val="19"/>
                <w:szCs w:val="19"/>
                <w:color w:val="auto"/>
              </w:rPr>
            </w:pPr>
          </w:p>
        </w:tc>
        <w:tc>
          <w:tcPr>
            <w:tcW w:w="13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700" w:type="dxa"/>
            <w:vAlign w:val="bottom"/>
            <w:gridSpan w:val="6"/>
          </w:tcPr>
          <w:p>
            <w:pPr>
              <w:ind w:left="320"/>
              <w:spacing w:after="0" w:line="138" w:lineRule="exact"/>
              <w:rPr>
                <w:sz w:val="20"/>
                <w:szCs w:val="20"/>
                <w:color w:val="auto"/>
              </w:rPr>
            </w:pPr>
            <w:r>
              <w:rPr>
                <w:rFonts w:ascii="Arial" w:cs="Arial" w:eastAsia="Arial" w:hAnsi="Arial"/>
                <w:sz w:val="13"/>
                <w:szCs w:val="13"/>
                <w:color w:val="auto"/>
              </w:rPr>
              <w:t>Corporation and The Bank of New York Mellon Trust Company, N.A., as trustee</w:t>
            </w: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Atlantic City Electric Company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210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tcPr>
          <w:p>
            <w:pPr>
              <w:ind w:left="160"/>
              <w:spacing w:after="0"/>
              <w:rPr>
                <w:sz w:val="20"/>
                <w:szCs w:val="20"/>
                <w:color w:val="auto"/>
              </w:rPr>
            </w:pPr>
            <w:r>
              <w:rPr>
                <w:rFonts w:ascii="Arial" w:cs="Arial" w:eastAsia="Arial" w:hAnsi="Arial"/>
                <w:sz w:val="10"/>
                <w:szCs w:val="10"/>
                <w:b w:val="1"/>
                <w:bCs w:val="1"/>
                <w:color w:val="auto"/>
              </w:rPr>
              <w:t>Description</w:t>
            </w:r>
          </w:p>
        </w:tc>
        <w:tc>
          <w:tcPr>
            <w:tcW w:w="3620" w:type="dxa"/>
            <w:vAlign w:val="bottom"/>
            <w:gridSpan w:val="2"/>
          </w:tcPr>
          <w:p>
            <w:pPr>
              <w:spacing w:after="0"/>
              <w:rPr>
                <w:sz w:val="20"/>
                <w:szCs w:val="20"/>
                <w:color w:val="auto"/>
              </w:rPr>
            </w:pPr>
            <w:r>
              <w:rPr>
                <w:rFonts w:ascii="Arial" w:cs="Arial" w:eastAsia="Arial" w:hAnsi="Arial"/>
                <w:sz w:val="10"/>
                <w:szCs w:val="10"/>
                <w:b w:val="1"/>
                <w:bCs w:val="1"/>
                <w:color w:val="auto"/>
              </w:rPr>
              <w:t>Location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620" w:type="dxa"/>
            <w:vAlign w:val="bottom"/>
            <w:tcBorders>
              <w:bottom w:val="single" w:sz="8" w:color="0000FF"/>
            </w:tcBorders>
            <w:gridSpan w:val="2"/>
          </w:tcPr>
          <w:p>
            <w:pPr>
              <w:spacing w:after="0"/>
              <w:rPr>
                <w:rFonts w:ascii="Arial" w:cs="Arial" w:eastAsia="Arial" w:hAnsi="Arial"/>
                <w:sz w:val="13"/>
                <w:szCs w:val="13"/>
                <w:color w:val="0000FF"/>
                <w:w w:val="97"/>
              </w:rPr>
            </w:pPr>
            <w:hyperlink r:id="rId181">
              <w:r>
                <w:rPr>
                  <w:rFonts w:ascii="Arial" w:cs="Arial" w:eastAsia="Arial" w:hAnsi="Arial"/>
                  <w:sz w:val="13"/>
                  <w:szCs w:val="13"/>
                  <w:color w:val="0000FF"/>
                  <w:w w:val="97"/>
                </w:rPr>
                <w:t>File No. 001-03559, Form 8-K dated March 19, 2026, Exhibit 4.2</w:t>
              </w:r>
            </w:hyperlink>
          </w:p>
        </w:tc>
        <w:tc>
          <w:tcPr>
            <w:tcW w:w="0" w:type="dxa"/>
            <w:vAlign w:val="bottom"/>
          </w:tcPr>
          <w:p>
            <w:pPr>
              <w:spacing w:after="0"/>
              <w:rPr>
                <w:sz w:val="1"/>
                <w:szCs w:val="1"/>
                <w:color w:val="auto"/>
              </w:rPr>
            </w:pPr>
          </w:p>
        </w:tc>
      </w:tr>
      <w:tr>
        <w:trPr>
          <w:trHeight w:val="224"/>
        </w:trPr>
        <w:tc>
          <w:tcPr>
            <w:tcW w:w="200" w:type="dxa"/>
            <w:vAlign w:val="bottom"/>
            <w:gridSpan w:val="2"/>
            <w:vMerge w:val="restart"/>
          </w:tcPr>
          <w:p>
            <w:pPr>
              <w:ind w:left="20"/>
              <w:spacing w:after="0"/>
              <w:rPr>
                <w:rFonts w:ascii="Arial" w:cs="Arial" w:eastAsia="Arial" w:hAnsi="Arial"/>
                <w:sz w:val="13"/>
                <w:szCs w:val="13"/>
                <w:color w:val="0000FF"/>
                <w:w w:val="84"/>
              </w:rPr>
            </w:pPr>
            <w:hyperlink r:id="rId182">
              <w:r>
                <w:rPr>
                  <w:rFonts w:ascii="Arial" w:cs="Arial" w:eastAsia="Arial" w:hAnsi="Arial"/>
                  <w:sz w:val="13"/>
                  <w:szCs w:val="13"/>
                  <w:color w:val="0000FF"/>
                  <w:w w:val="84"/>
                </w:rPr>
                <w:t>4-2</w:t>
              </w:r>
            </w:hyperlink>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3"/>
                <w:szCs w:val="13"/>
                <w:color w:val="auto"/>
              </w:rPr>
              <w:t>ACE Supplemental Indenture to the Mortgage and Deed of Trust, dated as of</w:t>
            </w:r>
          </w:p>
        </w:tc>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740" w:type="dxa"/>
            <w:vAlign w:val="bottom"/>
          </w:tcPr>
          <w:p>
            <w:pPr>
              <w:ind w:left="160"/>
              <w:spacing w:after="0" w:line="138" w:lineRule="exact"/>
              <w:rPr>
                <w:sz w:val="20"/>
                <w:szCs w:val="20"/>
                <w:color w:val="auto"/>
              </w:rPr>
            </w:pPr>
            <w:r>
              <w:rPr>
                <w:rFonts w:ascii="Arial" w:cs="Arial" w:eastAsia="Arial" w:hAnsi="Arial"/>
                <w:sz w:val="13"/>
                <w:szCs w:val="13"/>
                <w:color w:val="auto"/>
              </w:rPr>
              <w:t>March 1, 2026</w:t>
            </w:r>
          </w:p>
        </w:tc>
        <w:tc>
          <w:tcPr>
            <w:tcW w:w="8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Delmarva Power &amp; Light Company</w:t>
            </w:r>
          </w:p>
        </w:tc>
        <w:tc>
          <w:tcPr>
            <w:tcW w:w="4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tcPr>
          <w:p>
            <w:pPr>
              <w:ind w:left="160"/>
              <w:spacing w:after="0"/>
              <w:rPr>
                <w:sz w:val="20"/>
                <w:szCs w:val="20"/>
                <w:color w:val="auto"/>
              </w:rPr>
            </w:pPr>
            <w:r>
              <w:rPr>
                <w:rFonts w:ascii="Arial" w:cs="Arial" w:eastAsia="Arial" w:hAnsi="Arial"/>
                <w:sz w:val="10"/>
                <w:szCs w:val="10"/>
                <w:b w:val="1"/>
                <w:bCs w:val="1"/>
                <w:color w:val="auto"/>
              </w:rPr>
              <w:t>Description</w:t>
            </w:r>
          </w:p>
        </w:tc>
        <w:tc>
          <w:tcPr>
            <w:tcW w:w="3620" w:type="dxa"/>
            <w:vAlign w:val="bottom"/>
            <w:gridSpan w:val="2"/>
          </w:tcPr>
          <w:p>
            <w:pPr>
              <w:spacing w:after="0"/>
              <w:rPr>
                <w:sz w:val="20"/>
                <w:szCs w:val="20"/>
                <w:color w:val="auto"/>
              </w:rPr>
            </w:pPr>
            <w:r>
              <w:rPr>
                <w:rFonts w:ascii="Arial" w:cs="Arial" w:eastAsia="Arial" w:hAnsi="Arial"/>
                <w:sz w:val="10"/>
                <w:szCs w:val="10"/>
                <w:b w:val="1"/>
                <w:bCs w:val="1"/>
                <w:color w:val="auto"/>
              </w:rPr>
              <w:t>Location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620" w:type="dxa"/>
            <w:vAlign w:val="bottom"/>
            <w:tcBorders>
              <w:bottom w:val="single" w:sz="8" w:color="0000FF"/>
            </w:tcBorders>
            <w:gridSpan w:val="2"/>
          </w:tcPr>
          <w:p>
            <w:pPr>
              <w:spacing w:after="0"/>
              <w:rPr>
                <w:rFonts w:ascii="Arial" w:cs="Arial" w:eastAsia="Arial" w:hAnsi="Arial"/>
                <w:sz w:val="13"/>
                <w:szCs w:val="13"/>
                <w:color w:val="0000FF"/>
                <w:w w:val="97"/>
              </w:rPr>
            </w:pPr>
            <w:hyperlink r:id="rId183">
              <w:r>
                <w:rPr>
                  <w:rFonts w:ascii="Arial" w:cs="Arial" w:eastAsia="Arial" w:hAnsi="Arial"/>
                  <w:sz w:val="13"/>
                  <w:szCs w:val="13"/>
                  <w:color w:val="0000FF"/>
                  <w:w w:val="97"/>
                </w:rPr>
                <w:t>File No. 001-01405, Form 8-K dated March 19, 2026, Exhibit 4.4</w:t>
              </w:r>
            </w:hyperlink>
          </w:p>
        </w:tc>
        <w:tc>
          <w:tcPr>
            <w:tcW w:w="0" w:type="dxa"/>
            <w:vAlign w:val="bottom"/>
          </w:tcPr>
          <w:p>
            <w:pPr>
              <w:spacing w:after="0"/>
              <w:rPr>
                <w:sz w:val="1"/>
                <w:szCs w:val="1"/>
                <w:color w:val="auto"/>
              </w:rPr>
            </w:pPr>
          </w:p>
        </w:tc>
      </w:tr>
      <w:tr>
        <w:trPr>
          <w:trHeight w:val="224"/>
        </w:trPr>
        <w:tc>
          <w:tcPr>
            <w:tcW w:w="200" w:type="dxa"/>
            <w:vAlign w:val="bottom"/>
            <w:gridSpan w:val="2"/>
            <w:vMerge w:val="restart"/>
          </w:tcPr>
          <w:p>
            <w:pPr>
              <w:ind w:left="20"/>
              <w:spacing w:after="0"/>
              <w:rPr>
                <w:rFonts w:ascii="Arial" w:cs="Arial" w:eastAsia="Arial" w:hAnsi="Arial"/>
                <w:sz w:val="13"/>
                <w:szCs w:val="13"/>
                <w:color w:val="0000FF"/>
                <w:w w:val="84"/>
              </w:rPr>
            </w:pPr>
            <w:hyperlink r:id="rId183">
              <w:r>
                <w:rPr>
                  <w:rFonts w:ascii="Arial" w:cs="Arial" w:eastAsia="Arial" w:hAnsi="Arial"/>
                  <w:sz w:val="13"/>
                  <w:szCs w:val="13"/>
                  <w:color w:val="0000FF"/>
                  <w:w w:val="84"/>
                </w:rPr>
                <w:t>4-3</w:t>
              </w:r>
            </w:hyperlink>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3"/>
                <w:szCs w:val="13"/>
                <w:color w:val="auto"/>
              </w:rPr>
              <w:t>DPL Supplemental Indenture to the Mortgage and Deed of Trust, dated as of</w:t>
            </w:r>
          </w:p>
        </w:tc>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740" w:type="dxa"/>
            <w:vAlign w:val="bottom"/>
          </w:tcPr>
          <w:p>
            <w:pPr>
              <w:ind w:left="160"/>
              <w:spacing w:after="0" w:line="138" w:lineRule="exact"/>
              <w:rPr>
                <w:sz w:val="20"/>
                <w:szCs w:val="20"/>
                <w:color w:val="auto"/>
              </w:rPr>
            </w:pPr>
            <w:r>
              <w:rPr>
                <w:rFonts w:ascii="Arial" w:cs="Arial" w:eastAsia="Arial" w:hAnsi="Arial"/>
                <w:sz w:val="13"/>
                <w:szCs w:val="13"/>
                <w:color w:val="auto"/>
              </w:rPr>
              <w:t>March 1, 2026</w:t>
            </w:r>
          </w:p>
        </w:tc>
        <w:tc>
          <w:tcPr>
            <w:tcW w:w="8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Potomac Electric Power Company</w:t>
            </w:r>
          </w:p>
        </w:tc>
        <w:tc>
          <w:tcPr>
            <w:tcW w:w="4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tcPr>
          <w:p>
            <w:pPr>
              <w:ind w:left="160"/>
              <w:spacing w:after="0"/>
              <w:rPr>
                <w:sz w:val="20"/>
                <w:szCs w:val="20"/>
                <w:color w:val="auto"/>
              </w:rPr>
            </w:pPr>
            <w:r>
              <w:rPr>
                <w:rFonts w:ascii="Arial" w:cs="Arial" w:eastAsia="Arial" w:hAnsi="Arial"/>
                <w:sz w:val="10"/>
                <w:szCs w:val="10"/>
                <w:b w:val="1"/>
                <w:bCs w:val="1"/>
                <w:color w:val="auto"/>
              </w:rPr>
              <w:t>Description</w:t>
            </w:r>
          </w:p>
        </w:tc>
        <w:tc>
          <w:tcPr>
            <w:tcW w:w="3620" w:type="dxa"/>
            <w:vAlign w:val="bottom"/>
            <w:gridSpan w:val="2"/>
          </w:tcPr>
          <w:p>
            <w:pPr>
              <w:spacing w:after="0"/>
              <w:rPr>
                <w:sz w:val="20"/>
                <w:szCs w:val="20"/>
                <w:color w:val="auto"/>
              </w:rPr>
            </w:pPr>
            <w:r>
              <w:rPr>
                <w:rFonts w:ascii="Arial" w:cs="Arial" w:eastAsia="Arial" w:hAnsi="Arial"/>
                <w:sz w:val="10"/>
                <w:szCs w:val="10"/>
                <w:b w:val="1"/>
                <w:bCs w:val="1"/>
                <w:color w:val="auto"/>
              </w:rPr>
              <w:t>Location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620" w:type="dxa"/>
            <w:vAlign w:val="bottom"/>
            <w:tcBorders>
              <w:bottom w:val="single" w:sz="8" w:color="0000FF"/>
            </w:tcBorders>
            <w:gridSpan w:val="2"/>
          </w:tcPr>
          <w:p>
            <w:pPr>
              <w:spacing w:after="0"/>
              <w:rPr>
                <w:rFonts w:ascii="Arial" w:cs="Arial" w:eastAsia="Arial" w:hAnsi="Arial"/>
                <w:sz w:val="13"/>
                <w:szCs w:val="13"/>
                <w:color w:val="0000FF"/>
                <w:w w:val="97"/>
              </w:rPr>
            </w:pPr>
            <w:hyperlink r:id="rId184">
              <w:r>
                <w:rPr>
                  <w:rFonts w:ascii="Arial" w:cs="Arial" w:eastAsia="Arial" w:hAnsi="Arial"/>
                  <w:sz w:val="13"/>
                  <w:szCs w:val="13"/>
                  <w:color w:val="0000FF"/>
                  <w:w w:val="97"/>
                </w:rPr>
                <w:t>File No. 001-01072, Form 8-K dated March 19, 2026, Exhibit 4.6</w:t>
              </w:r>
            </w:hyperlink>
          </w:p>
        </w:tc>
        <w:tc>
          <w:tcPr>
            <w:tcW w:w="0" w:type="dxa"/>
            <w:vAlign w:val="bottom"/>
          </w:tcPr>
          <w:p>
            <w:pPr>
              <w:spacing w:after="0"/>
              <w:rPr>
                <w:sz w:val="1"/>
                <w:szCs w:val="1"/>
                <w:color w:val="auto"/>
              </w:rPr>
            </w:pPr>
          </w:p>
        </w:tc>
      </w:tr>
      <w:tr>
        <w:trPr>
          <w:trHeight w:val="224"/>
        </w:trPr>
        <w:tc>
          <w:tcPr>
            <w:tcW w:w="200" w:type="dxa"/>
            <w:vAlign w:val="bottom"/>
            <w:gridSpan w:val="2"/>
            <w:vMerge w:val="restart"/>
          </w:tcPr>
          <w:p>
            <w:pPr>
              <w:ind w:left="20"/>
              <w:spacing w:after="0"/>
              <w:rPr>
                <w:rFonts w:ascii="Arial" w:cs="Arial" w:eastAsia="Arial" w:hAnsi="Arial"/>
                <w:sz w:val="13"/>
                <w:szCs w:val="13"/>
                <w:color w:val="0000FF"/>
                <w:w w:val="84"/>
              </w:rPr>
            </w:pPr>
            <w:hyperlink r:id="rId184">
              <w:r>
                <w:rPr>
                  <w:rFonts w:ascii="Arial" w:cs="Arial" w:eastAsia="Arial" w:hAnsi="Arial"/>
                  <w:sz w:val="13"/>
                  <w:szCs w:val="13"/>
                  <w:color w:val="0000FF"/>
                  <w:w w:val="84"/>
                </w:rPr>
                <w:t>4-4</w:t>
              </w:r>
            </w:hyperlink>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3"/>
                <w:szCs w:val="13"/>
                <w:color w:val="auto"/>
              </w:rPr>
              <w:t>Pepco Supplemental Indenture to the Mortgage and Deed of Trust, dated as of</w:t>
            </w:r>
          </w:p>
        </w:tc>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740" w:type="dxa"/>
            <w:vAlign w:val="bottom"/>
          </w:tcPr>
          <w:p>
            <w:pPr>
              <w:ind w:left="160"/>
              <w:spacing w:after="0" w:line="138" w:lineRule="exact"/>
              <w:rPr>
                <w:sz w:val="20"/>
                <w:szCs w:val="20"/>
                <w:color w:val="auto"/>
              </w:rPr>
            </w:pPr>
            <w:r>
              <w:rPr>
                <w:rFonts w:ascii="Arial" w:cs="Arial" w:eastAsia="Arial" w:hAnsi="Arial"/>
                <w:sz w:val="13"/>
                <w:szCs w:val="13"/>
                <w:color w:val="auto"/>
              </w:rPr>
              <w:t>March 1, 2026</w:t>
            </w:r>
          </w:p>
        </w:tc>
        <w:tc>
          <w:tcPr>
            <w:tcW w:w="8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12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(10) Material Contracts</w:t>
            </w:r>
          </w:p>
        </w:tc>
        <w:tc>
          <w:tcPr>
            <w:tcW w:w="4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Exelon Corporation</w:t>
            </w:r>
          </w:p>
        </w:tc>
        <w:tc>
          <w:tcPr>
            <w:tcW w:w="4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tcPr>
          <w:p>
            <w:pPr>
              <w:ind w:left="160"/>
              <w:spacing w:after="0"/>
              <w:rPr>
                <w:sz w:val="20"/>
                <w:szCs w:val="20"/>
                <w:color w:val="auto"/>
              </w:rPr>
            </w:pPr>
            <w:r>
              <w:rPr>
                <w:rFonts w:ascii="Arial" w:cs="Arial" w:eastAsia="Arial" w:hAnsi="Arial"/>
                <w:sz w:val="10"/>
                <w:szCs w:val="10"/>
                <w:b w:val="1"/>
                <w:bCs w:val="1"/>
                <w:color w:val="auto"/>
              </w:rPr>
              <w:t>Description</w:t>
            </w:r>
          </w:p>
        </w:tc>
        <w:tc>
          <w:tcPr>
            <w:tcW w:w="3620" w:type="dxa"/>
            <w:vAlign w:val="bottom"/>
            <w:gridSpan w:val="2"/>
          </w:tcPr>
          <w:p>
            <w:pPr>
              <w:spacing w:after="0"/>
              <w:rPr>
                <w:sz w:val="20"/>
                <w:szCs w:val="20"/>
                <w:color w:val="auto"/>
              </w:rPr>
            </w:pPr>
            <w:r>
              <w:rPr>
                <w:rFonts w:ascii="Arial" w:cs="Arial" w:eastAsia="Arial" w:hAnsi="Arial"/>
                <w:sz w:val="10"/>
                <w:szCs w:val="10"/>
                <w:b w:val="1"/>
                <w:bCs w:val="1"/>
                <w:color w:val="auto"/>
              </w:rPr>
              <w:t>Location</w:t>
            </w:r>
          </w:p>
        </w:tc>
        <w:tc>
          <w:tcPr>
            <w:tcW w:w="0" w:type="dxa"/>
            <w:vAlign w:val="bottom"/>
          </w:tcPr>
          <w:p>
            <w:pPr>
              <w:spacing w:after="0"/>
              <w:rPr>
                <w:sz w:val="1"/>
                <w:szCs w:val="1"/>
                <w:color w:val="auto"/>
              </w:rPr>
            </w:pPr>
          </w:p>
        </w:tc>
      </w:tr>
      <w:tr>
        <w:trPr>
          <w:trHeight w:val="144"/>
        </w:trPr>
        <w:tc>
          <w:tcPr>
            <w:tcW w:w="280" w:type="dxa"/>
            <w:vAlign w:val="bottom"/>
            <w:gridSpan w:val="3"/>
            <w:vMerge w:val="restart"/>
          </w:tcPr>
          <w:p>
            <w:pPr>
              <w:ind w:left="20"/>
              <w:spacing w:after="0"/>
              <w:rPr>
                <w:sz w:val="20"/>
                <w:szCs w:val="20"/>
                <w:color w:val="auto"/>
              </w:rPr>
            </w:pPr>
            <w:r>
              <w:rPr>
                <w:rFonts w:ascii="Arial" w:cs="Arial" w:eastAsia="Arial" w:hAnsi="Arial"/>
                <w:sz w:val="13"/>
                <w:szCs w:val="13"/>
                <w:color w:val="0000FF"/>
                <w:w w:val="92"/>
              </w:rPr>
              <w:t>10-1</w:t>
            </w:r>
          </w:p>
        </w:tc>
        <w:tc>
          <w:tcPr>
            <w:tcW w:w="1840" w:type="dxa"/>
            <w:vAlign w:val="bottom"/>
          </w:tcPr>
          <w:p>
            <w:pPr>
              <w:spacing w:after="0"/>
              <w:rPr>
                <w:sz w:val="12"/>
                <w:szCs w:val="12"/>
                <w:color w:val="auto"/>
              </w:rPr>
            </w:pPr>
          </w:p>
        </w:tc>
        <w:tc>
          <w:tcPr>
            <w:tcW w:w="4740" w:type="dxa"/>
            <w:vAlign w:val="bottom"/>
          </w:tcPr>
          <w:p>
            <w:pPr>
              <w:ind w:left="160"/>
              <w:spacing w:after="0" w:line="144" w:lineRule="exact"/>
              <w:rPr>
                <w:sz w:val="20"/>
                <w:szCs w:val="20"/>
                <w:color w:val="auto"/>
              </w:rPr>
            </w:pPr>
            <w:r>
              <w:rPr>
                <w:rFonts w:ascii="Arial" w:cs="Arial" w:eastAsia="Arial" w:hAnsi="Arial"/>
                <w:sz w:val="13"/>
                <w:szCs w:val="13"/>
                <w:color w:val="auto"/>
              </w:rPr>
              <w:t>Form of Restricted Stock Unit Award Notice and Agreement under the Non-</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0000FF"/>
              </w:rPr>
              <w:t>Filed herewith.</w:t>
            </w:r>
          </w:p>
        </w:tc>
        <w:tc>
          <w:tcPr>
            <w:tcW w:w="0" w:type="dxa"/>
            <w:vAlign w:val="bottom"/>
          </w:tcPr>
          <w:p>
            <w:pPr>
              <w:spacing w:after="0"/>
              <w:rPr>
                <w:sz w:val="1"/>
                <w:szCs w:val="1"/>
                <w:color w:val="auto"/>
              </w:rPr>
            </w:pPr>
          </w:p>
        </w:tc>
      </w:tr>
      <w:tr>
        <w:trPr>
          <w:trHeight w:val="138"/>
        </w:trPr>
        <w:tc>
          <w:tcPr>
            <w:tcW w:w="28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4740" w:type="dxa"/>
            <w:vAlign w:val="bottom"/>
          </w:tcPr>
          <w:p>
            <w:pPr>
              <w:ind w:left="160"/>
              <w:spacing w:after="0" w:line="138" w:lineRule="exact"/>
              <w:rPr>
                <w:sz w:val="20"/>
                <w:szCs w:val="20"/>
                <w:color w:val="auto"/>
              </w:rPr>
            </w:pPr>
            <w:r>
              <w:rPr>
                <w:rFonts w:ascii="Arial" w:cs="Arial" w:eastAsia="Arial" w:hAnsi="Arial"/>
                <w:sz w:val="13"/>
                <w:szCs w:val="13"/>
                <w:color w:val="auto"/>
              </w:rPr>
              <w:t>Employee Directors’ Restricted Stock Unit Program</w:t>
            </w:r>
          </w:p>
        </w:tc>
        <w:tc>
          <w:tcPr>
            <w:tcW w:w="3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80"/>
          </w:cols>
          <w:pgMar w:left="300" w:top="125" w:right="11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Certifications Pursuant to Rule 13a-14(a) and 15d-14(a) of the Securities and Exchange Act of 1934 as to the Quarterly Report on Form 10-Q for the quarterly period ended March 31, 2026 filed by the following officers for the following companies: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Exelon Corporation</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31-1</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gridSpan w:val="14"/>
          </w:tcPr>
          <w:p>
            <w:pPr>
              <w:spacing w:after="0"/>
              <w:rPr>
                <w:sz w:val="20"/>
                <w:szCs w:val="20"/>
                <w:color w:val="auto"/>
              </w:rPr>
            </w:pPr>
            <w:r>
              <w:rPr>
                <w:rFonts w:ascii="Arial" w:cs="Arial" w:eastAsia="Arial" w:hAnsi="Arial"/>
                <w:sz w:val="13"/>
                <w:szCs w:val="13"/>
                <w:color w:val="0000FF"/>
              </w:rPr>
              <w:t>Filed by Calvin G. Butler, Jr. for Exelon Corporation</w:t>
            </w:r>
          </w:p>
        </w:tc>
      </w:tr>
      <w:tr>
        <w:trPr>
          <w:trHeight w:val="192"/>
        </w:trPr>
        <w:tc>
          <w:tcPr>
            <w:tcW w:w="26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92"/>
              </w:rPr>
              <w:t>31-2</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rPr>
              <w:t>Filed by Jeanne M. Jones for Exelon Corporation</w:t>
            </w:r>
          </w:p>
        </w:tc>
        <w:tc>
          <w:tcPr>
            <w:tcW w:w="1780" w:type="dxa"/>
            <w:vAlign w:val="bottom"/>
            <w:gridSpan w:val="11"/>
          </w:tcPr>
          <w:p>
            <w:pPr>
              <w:spacing w:after="0"/>
              <w:rPr>
                <w:sz w:val="16"/>
                <w:szCs w:val="16"/>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6520" w:type="dxa"/>
            <w:vAlign w:val="bottom"/>
            <w:gridSpan w:val="18"/>
          </w:tcPr>
          <w:p>
            <w:pPr>
              <w:spacing w:after="0"/>
              <w:rPr>
                <w:sz w:val="20"/>
                <w:szCs w:val="20"/>
                <w:color w:val="auto"/>
              </w:rPr>
            </w:pPr>
            <w:r>
              <w:rPr>
                <w:rFonts w:ascii="Arial" w:cs="Arial" w:eastAsia="Arial" w:hAnsi="Arial"/>
                <w:sz w:val="13"/>
                <w:szCs w:val="13"/>
                <w:color w:val="auto"/>
              </w:rPr>
              <w:t>Commonwealth Edison Company</w:t>
            </w:r>
          </w:p>
        </w:tc>
      </w:tr>
      <w:tr>
        <w:trPr>
          <w:trHeight w:val="14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31-3</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gridSpan w:val="14"/>
          </w:tcPr>
          <w:p>
            <w:pPr>
              <w:spacing w:after="0"/>
              <w:rPr>
                <w:sz w:val="20"/>
                <w:szCs w:val="20"/>
                <w:color w:val="auto"/>
              </w:rPr>
            </w:pPr>
            <w:r>
              <w:rPr>
                <w:rFonts w:ascii="Arial" w:cs="Arial" w:eastAsia="Arial" w:hAnsi="Arial"/>
                <w:sz w:val="13"/>
                <w:szCs w:val="13"/>
                <w:color w:val="0000FF"/>
              </w:rPr>
              <w:t>Filed by Gil C. Quiniones for Commonwealth Edison Company</w:t>
            </w:r>
          </w:p>
        </w:tc>
      </w:tr>
      <w:tr>
        <w:trPr>
          <w:trHeight w:val="192"/>
        </w:trPr>
        <w:tc>
          <w:tcPr>
            <w:tcW w:w="26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92"/>
              </w:rPr>
              <w:t>31-4</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tcBorders>
              <w:top w:val="single" w:sz="8" w:color="0000FF"/>
            </w:tcBorders>
            <w:gridSpan w:val="7"/>
          </w:tcPr>
          <w:p>
            <w:pPr>
              <w:spacing w:after="0"/>
              <w:rPr>
                <w:sz w:val="20"/>
                <w:szCs w:val="20"/>
                <w:color w:val="auto"/>
              </w:rPr>
            </w:pPr>
            <w:r>
              <w:rPr>
                <w:rFonts w:ascii="Arial" w:cs="Arial" w:eastAsia="Arial" w:hAnsi="Arial"/>
                <w:sz w:val="13"/>
                <w:szCs w:val="13"/>
                <w:color w:val="0000FF"/>
                <w:w w:val="98"/>
              </w:rPr>
              <w:t>Filed by Joshua S. Levin for Commonwealth Edison Company</w:t>
            </w:r>
          </w:p>
        </w:tc>
        <w:tc>
          <w:tcPr>
            <w:tcW w:w="1140" w:type="dxa"/>
            <w:vAlign w:val="bottom"/>
            <w:gridSpan w:val="7"/>
          </w:tcPr>
          <w:p>
            <w:pPr>
              <w:spacing w:after="0"/>
              <w:rPr>
                <w:sz w:val="16"/>
                <w:szCs w:val="16"/>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780" w:type="dxa"/>
            <w:vAlign w:val="bottom"/>
            <w:gridSpan w:val="3"/>
          </w:tcPr>
          <w:p>
            <w:pPr>
              <w:spacing w:after="0"/>
              <w:rPr>
                <w:sz w:val="20"/>
                <w:szCs w:val="20"/>
                <w:color w:val="auto"/>
              </w:rPr>
            </w:pPr>
            <w:r>
              <w:rPr>
                <w:rFonts w:ascii="Arial" w:cs="Arial" w:eastAsia="Arial" w:hAnsi="Arial"/>
                <w:sz w:val="13"/>
                <w:szCs w:val="13"/>
                <w:color w:val="auto"/>
              </w:rPr>
              <w:t>PECO Energy Company</w:t>
            </w:r>
          </w:p>
        </w:tc>
        <w:tc>
          <w:tcPr>
            <w:tcW w:w="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31-5</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gridSpan w:val="14"/>
          </w:tcPr>
          <w:p>
            <w:pPr>
              <w:spacing w:after="0"/>
              <w:rPr>
                <w:sz w:val="20"/>
                <w:szCs w:val="20"/>
                <w:color w:val="auto"/>
              </w:rPr>
            </w:pPr>
            <w:r>
              <w:rPr>
                <w:rFonts w:ascii="Arial" w:cs="Arial" w:eastAsia="Arial" w:hAnsi="Arial"/>
                <w:sz w:val="13"/>
                <w:szCs w:val="13"/>
                <w:color w:val="0000FF"/>
              </w:rPr>
              <w:t>Filed by Michael A. Innocenzo for PECO Energy Company</w:t>
            </w: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2"/>
              </w:rPr>
              <w:t>31-6</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7"/>
              </w:rPr>
              <w:t>Filed by Marissa E. Humphrey for PECO Energy Company</w:t>
            </w:r>
          </w:p>
        </w:tc>
        <w:tc>
          <w:tcPr>
            <w:tcW w:w="1340" w:type="dxa"/>
            <w:vAlign w:val="bottom"/>
            <w:gridSpan w:val="9"/>
          </w:tcPr>
          <w:p>
            <w:pPr>
              <w:spacing w:after="0"/>
              <w:rPr>
                <w:sz w:val="16"/>
                <w:szCs w:val="16"/>
                <w:color w:val="auto"/>
              </w:rPr>
            </w:pPr>
          </w:p>
        </w:tc>
      </w:tr>
      <w:tr>
        <w:trPr>
          <w:trHeight w:val="222"/>
        </w:trPr>
        <w:tc>
          <w:tcPr>
            <w:tcW w:w="6520" w:type="dxa"/>
            <w:vAlign w:val="bottom"/>
            <w:gridSpan w:val="18"/>
          </w:tcPr>
          <w:p>
            <w:pPr>
              <w:spacing w:after="0"/>
              <w:rPr>
                <w:sz w:val="20"/>
                <w:szCs w:val="20"/>
                <w:color w:val="auto"/>
              </w:rPr>
            </w:pPr>
            <w:r>
              <w:rPr>
                <w:rFonts w:ascii="Arial" w:cs="Arial" w:eastAsia="Arial" w:hAnsi="Arial"/>
                <w:sz w:val="13"/>
                <w:szCs w:val="13"/>
                <w:color w:val="auto"/>
              </w:rPr>
              <w:t>Baltimore Gas and Electric Company</w:t>
            </w:r>
          </w:p>
        </w:tc>
      </w:tr>
      <w:tr>
        <w:trPr>
          <w:trHeight w:val="14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31-7</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gridSpan w:val="14"/>
          </w:tcPr>
          <w:p>
            <w:pPr>
              <w:spacing w:after="0"/>
              <w:rPr>
                <w:sz w:val="20"/>
                <w:szCs w:val="20"/>
                <w:color w:val="auto"/>
              </w:rPr>
            </w:pPr>
            <w:r>
              <w:rPr>
                <w:rFonts w:ascii="Arial" w:cs="Arial" w:eastAsia="Arial" w:hAnsi="Arial"/>
                <w:sz w:val="13"/>
                <w:szCs w:val="13"/>
                <w:color w:val="0000FF"/>
              </w:rPr>
              <w:t>Filed by Tamla A. Olivier for Baltimore Gas and Electric Company</w:t>
            </w: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60" w:type="dxa"/>
            <w:vAlign w:val="bottom"/>
          </w:tcPr>
          <w:p>
            <w:pPr>
              <w:spacing w:after="0"/>
              <w:rPr>
                <w:sz w:val="20"/>
                <w:szCs w:val="20"/>
                <w:color w:val="auto"/>
              </w:rPr>
            </w:pPr>
            <w:r>
              <w:rPr>
                <w:rFonts w:ascii="Arial" w:cs="Arial" w:eastAsia="Arial" w:hAnsi="Arial"/>
                <w:sz w:val="13"/>
                <w:szCs w:val="13"/>
                <w:color w:val="0000FF"/>
                <w:w w:val="92"/>
              </w:rPr>
              <w:t>31-8</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60" w:type="dxa"/>
            <w:vAlign w:val="bottom"/>
            <w:gridSpan w:val="14"/>
          </w:tcPr>
          <w:p>
            <w:pPr>
              <w:spacing w:after="0"/>
              <w:rPr>
                <w:sz w:val="20"/>
                <w:szCs w:val="20"/>
                <w:color w:val="auto"/>
              </w:rPr>
            </w:pPr>
            <w:r>
              <w:rPr>
                <w:rFonts w:ascii="Arial" w:cs="Arial" w:eastAsia="Arial" w:hAnsi="Arial"/>
                <w:sz w:val="13"/>
                <w:szCs w:val="13"/>
                <w:color w:val="0000FF"/>
              </w:rPr>
              <w:t>Filed by Michael J. Cloyd for Baltimore Gas and Electric Company</w:t>
            </w: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780" w:type="dxa"/>
            <w:vAlign w:val="bottom"/>
            <w:gridSpan w:val="3"/>
          </w:tcPr>
          <w:p>
            <w:pPr>
              <w:spacing w:after="0"/>
              <w:rPr>
                <w:sz w:val="20"/>
                <w:szCs w:val="20"/>
                <w:color w:val="auto"/>
              </w:rPr>
            </w:pPr>
            <w:r>
              <w:rPr>
                <w:rFonts w:ascii="Arial" w:cs="Arial" w:eastAsia="Arial" w:hAnsi="Arial"/>
                <w:sz w:val="13"/>
                <w:szCs w:val="13"/>
                <w:color w:val="auto"/>
              </w:rPr>
              <w:t>Pepco Holdings LLC</w:t>
            </w:r>
          </w:p>
        </w:tc>
        <w:tc>
          <w:tcPr>
            <w:tcW w:w="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31-9</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gridSpan w:val="14"/>
          </w:tcPr>
          <w:p>
            <w:pPr>
              <w:spacing w:after="0"/>
              <w:rPr>
                <w:sz w:val="20"/>
                <w:szCs w:val="20"/>
                <w:color w:val="auto"/>
              </w:rPr>
            </w:pPr>
            <w:r>
              <w:rPr>
                <w:rFonts w:ascii="Arial" w:cs="Arial" w:eastAsia="Arial" w:hAnsi="Arial"/>
                <w:sz w:val="13"/>
                <w:szCs w:val="13"/>
                <w:color w:val="0000FF"/>
              </w:rPr>
              <w:t>Filed by J. Tyler Anthony for Pepco Holdings LLC</w:t>
            </w: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0"/>
              </w:rPr>
              <w:t>31-10</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tcBorders>
              <w:bottom w:val="single" w:sz="8" w:color="0000FF"/>
            </w:tcBorders>
            <w:gridSpan w:val="11"/>
          </w:tcPr>
          <w:p>
            <w:pPr>
              <w:spacing w:after="0"/>
              <w:rPr>
                <w:sz w:val="20"/>
                <w:szCs w:val="20"/>
                <w:color w:val="auto"/>
              </w:rPr>
            </w:pPr>
            <w:r>
              <w:rPr>
                <w:rFonts w:ascii="Arial" w:cs="Arial" w:eastAsia="Arial" w:hAnsi="Arial"/>
                <w:sz w:val="13"/>
                <w:szCs w:val="13"/>
                <w:color w:val="0000FF"/>
                <w:w w:val="97"/>
              </w:rPr>
              <w:t>Filed by Elizabeth Morgan Downs O'Donnell for Pepco Holdings LLC</w:t>
            </w:r>
          </w:p>
        </w:tc>
        <w:tc>
          <w:tcPr>
            <w:tcW w:w="780" w:type="dxa"/>
            <w:vAlign w:val="bottom"/>
            <w:gridSpan w:val="3"/>
          </w:tcPr>
          <w:p>
            <w:pPr>
              <w:spacing w:after="0"/>
              <w:rPr>
                <w:sz w:val="16"/>
                <w:szCs w:val="16"/>
                <w:color w:val="auto"/>
              </w:rPr>
            </w:pPr>
          </w:p>
        </w:tc>
      </w:tr>
      <w:tr>
        <w:trPr>
          <w:trHeight w:val="222"/>
        </w:trPr>
        <w:tc>
          <w:tcPr>
            <w:tcW w:w="6520" w:type="dxa"/>
            <w:vAlign w:val="bottom"/>
            <w:gridSpan w:val="18"/>
          </w:tcPr>
          <w:p>
            <w:pPr>
              <w:spacing w:after="0"/>
              <w:rPr>
                <w:sz w:val="20"/>
                <w:szCs w:val="20"/>
                <w:color w:val="auto"/>
              </w:rPr>
            </w:pPr>
            <w:r>
              <w:rPr>
                <w:rFonts w:ascii="Arial" w:cs="Arial" w:eastAsia="Arial" w:hAnsi="Arial"/>
                <w:sz w:val="13"/>
                <w:szCs w:val="13"/>
                <w:color w:val="auto"/>
              </w:rPr>
              <w:t>Potomac Electric Power Company</w:t>
            </w:r>
          </w:p>
        </w:tc>
      </w:tr>
      <w:tr>
        <w:trPr>
          <w:trHeight w:val="14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0"/>
              </w:rPr>
              <w:t>31-11</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7"/>
              </w:rPr>
              <w:t>Filed by J. Tyler Anthony for Potomac Electric Power Company</w:t>
            </w:r>
          </w:p>
        </w:tc>
        <w:tc>
          <w:tcPr>
            <w:tcW w:w="1100" w:type="dxa"/>
            <w:vAlign w:val="bottom"/>
            <w:gridSpan w:val="6"/>
          </w:tcPr>
          <w:p>
            <w:pPr>
              <w:spacing w:after="0"/>
              <w:rPr>
                <w:sz w:val="13"/>
                <w:szCs w:val="13"/>
                <w:color w:val="auto"/>
              </w:rPr>
            </w:pPr>
          </w:p>
        </w:tc>
      </w:tr>
      <w:tr>
        <w:trPr>
          <w:trHeight w:val="192"/>
        </w:trPr>
        <w:tc>
          <w:tcPr>
            <w:tcW w:w="320" w:type="dxa"/>
            <w:vAlign w:val="bottom"/>
            <w:gridSpan w:val="2"/>
          </w:tcPr>
          <w:p>
            <w:pPr>
              <w:spacing w:after="0"/>
              <w:rPr>
                <w:sz w:val="20"/>
                <w:szCs w:val="20"/>
                <w:color w:val="auto"/>
              </w:rPr>
            </w:pPr>
            <w:r>
              <w:rPr>
                <w:rFonts w:ascii="Arial" w:cs="Arial" w:eastAsia="Arial" w:hAnsi="Arial"/>
                <w:sz w:val="13"/>
                <w:szCs w:val="13"/>
                <w:color w:val="0000FF"/>
                <w:w w:val="90"/>
              </w:rPr>
              <w:t>31-12</w:t>
            </w:r>
          </w:p>
        </w:tc>
        <w:tc>
          <w:tcPr>
            <w:tcW w:w="1460" w:type="dxa"/>
            <w:vAlign w:val="bottom"/>
          </w:tcPr>
          <w:p>
            <w:pPr>
              <w:spacing w:after="0"/>
              <w:rPr>
                <w:sz w:val="16"/>
                <w:szCs w:val="16"/>
                <w:color w:val="auto"/>
              </w:rPr>
            </w:pPr>
          </w:p>
        </w:tc>
        <w:tc>
          <w:tcPr>
            <w:tcW w:w="4740" w:type="dxa"/>
            <w:vAlign w:val="bottom"/>
            <w:gridSpan w:val="15"/>
          </w:tcPr>
          <w:p>
            <w:pPr>
              <w:ind w:left="80"/>
              <w:spacing w:after="0"/>
              <w:rPr>
                <w:sz w:val="20"/>
                <w:szCs w:val="20"/>
                <w:color w:val="auto"/>
              </w:rPr>
            </w:pPr>
            <w:r>
              <w:rPr>
                <w:rFonts w:ascii="Arial" w:cs="Arial" w:eastAsia="Arial" w:hAnsi="Arial"/>
                <w:sz w:val="13"/>
                <w:szCs w:val="13"/>
                <w:color w:val="0000FF"/>
                <w:w w:val="97"/>
              </w:rPr>
              <w:t>Filed by Elizabeth Morgan Downs O'Donnell for Potomac Electric Power Company</w:t>
            </w:r>
          </w:p>
        </w:tc>
      </w:tr>
      <w:tr>
        <w:trPr>
          <w:trHeight w:val="222"/>
        </w:trPr>
        <w:tc>
          <w:tcPr>
            <w:tcW w:w="6500" w:type="dxa"/>
            <w:vAlign w:val="bottom"/>
            <w:tcBorders>
              <w:top w:val="single" w:sz="8" w:color="0000FF"/>
            </w:tcBorders>
            <w:gridSpan w:val="17"/>
          </w:tcPr>
          <w:p>
            <w:pPr>
              <w:spacing w:after="0"/>
              <w:rPr>
                <w:sz w:val="20"/>
                <w:szCs w:val="20"/>
                <w:color w:val="auto"/>
              </w:rPr>
            </w:pPr>
            <w:r>
              <w:rPr>
                <w:rFonts w:ascii="Arial" w:cs="Arial" w:eastAsia="Arial" w:hAnsi="Arial"/>
                <w:sz w:val="13"/>
                <w:szCs w:val="13"/>
                <w:color w:val="auto"/>
              </w:rPr>
              <w:t>Delmarva Power &amp; Light Company</w:t>
            </w:r>
          </w:p>
        </w:tc>
        <w:tc>
          <w:tcPr>
            <w:tcW w:w="20" w:type="dxa"/>
            <w:vAlign w:val="bottom"/>
          </w:tcPr>
          <w:p>
            <w:pPr>
              <w:spacing w:after="0"/>
              <w:rPr>
                <w:sz w:val="19"/>
                <w:szCs w:val="19"/>
                <w:color w:val="auto"/>
              </w:rPr>
            </w:pPr>
          </w:p>
        </w:tc>
      </w:tr>
      <w:tr>
        <w:trPr>
          <w:trHeight w:val="14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0"/>
              </w:rPr>
              <w:t>31-13</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7"/>
              </w:rPr>
              <w:t>Filed by J. Tyler Anthony for Delmarva Power &amp; Light Company</w:t>
            </w:r>
          </w:p>
        </w:tc>
        <w:tc>
          <w:tcPr>
            <w:tcW w:w="1080" w:type="dxa"/>
            <w:vAlign w:val="bottom"/>
            <w:gridSpan w:val="5"/>
          </w:tcPr>
          <w:p>
            <w:pPr>
              <w:spacing w:after="0"/>
              <w:rPr>
                <w:sz w:val="13"/>
                <w:szCs w:val="13"/>
                <w:color w:val="auto"/>
              </w:rPr>
            </w:pPr>
          </w:p>
        </w:tc>
      </w:tr>
      <w:tr>
        <w:trPr>
          <w:trHeight w:val="212"/>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0"/>
              </w:rPr>
              <w:t>31-14</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Borders>
              <w:bottom w:val="single" w:sz="8" w:color="0000FF"/>
            </w:tcBorders>
            <w:gridSpan w:val="14"/>
          </w:tcPr>
          <w:p>
            <w:pPr>
              <w:spacing w:after="0"/>
              <w:rPr>
                <w:sz w:val="20"/>
                <w:szCs w:val="20"/>
                <w:color w:val="auto"/>
              </w:rPr>
            </w:pPr>
            <w:r>
              <w:rPr>
                <w:rFonts w:ascii="Arial" w:cs="Arial" w:eastAsia="Arial" w:hAnsi="Arial"/>
                <w:sz w:val="13"/>
                <w:szCs w:val="13"/>
                <w:color w:val="0000FF"/>
                <w:w w:val="97"/>
              </w:rPr>
              <w:t>Filed by Elizabeth Morgan Downs O'Donnell for Delmarva Power &amp; Light Company</w:t>
            </w:r>
          </w:p>
        </w:tc>
      </w:tr>
      <w:tr>
        <w:trPr>
          <w:trHeight w:val="202"/>
        </w:trPr>
        <w:tc>
          <w:tcPr>
            <w:tcW w:w="1780" w:type="dxa"/>
            <w:vAlign w:val="bottom"/>
            <w:gridSpan w:val="3"/>
          </w:tcPr>
          <w:p>
            <w:pPr>
              <w:spacing w:after="0"/>
              <w:rPr>
                <w:sz w:val="20"/>
                <w:szCs w:val="20"/>
                <w:color w:val="auto"/>
              </w:rPr>
            </w:pPr>
            <w:r>
              <w:rPr>
                <w:rFonts w:ascii="Arial" w:cs="Arial" w:eastAsia="Arial" w:hAnsi="Arial"/>
                <w:sz w:val="13"/>
                <w:szCs w:val="13"/>
                <w:color w:val="auto"/>
              </w:rPr>
              <w:t>Atlantic City Electric Company</w:t>
            </w:r>
          </w:p>
        </w:tc>
        <w:tc>
          <w:tcPr>
            <w:tcW w:w="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474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r>
      <w:tr>
        <w:trPr>
          <w:trHeight w:val="155"/>
        </w:trPr>
        <w:tc>
          <w:tcPr>
            <w:tcW w:w="320" w:type="dxa"/>
            <w:vAlign w:val="bottom"/>
            <w:gridSpan w:val="2"/>
          </w:tcPr>
          <w:p>
            <w:pPr>
              <w:spacing w:after="0"/>
              <w:rPr>
                <w:sz w:val="20"/>
                <w:szCs w:val="20"/>
                <w:color w:val="auto"/>
              </w:rPr>
            </w:pPr>
            <w:r>
              <w:rPr>
                <w:rFonts w:ascii="Arial" w:cs="Arial" w:eastAsia="Arial" w:hAnsi="Arial"/>
                <w:sz w:val="13"/>
                <w:szCs w:val="13"/>
                <w:color w:val="0000FF"/>
                <w:w w:val="90"/>
              </w:rPr>
              <w:t>31-15</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gridSpan w:val="14"/>
          </w:tcPr>
          <w:p>
            <w:pPr>
              <w:spacing w:after="0"/>
              <w:rPr>
                <w:sz w:val="20"/>
                <w:szCs w:val="20"/>
                <w:color w:val="auto"/>
              </w:rPr>
            </w:pPr>
            <w:r>
              <w:rPr>
                <w:rFonts w:ascii="Arial" w:cs="Arial" w:eastAsia="Arial" w:hAnsi="Arial"/>
                <w:sz w:val="13"/>
                <w:szCs w:val="13"/>
                <w:color w:val="0000FF"/>
              </w:rPr>
              <w:t>Filed by J. Tyler Anthony for Atlantic City Electric Company</w:t>
            </w: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2"/>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0"/>
              </w:rPr>
              <w:t>31-16</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Borders>
              <w:bottom w:val="single" w:sz="8" w:color="0000FF"/>
            </w:tcBorders>
            <w:gridSpan w:val="12"/>
          </w:tcPr>
          <w:p>
            <w:pPr>
              <w:spacing w:after="0"/>
              <w:rPr>
                <w:sz w:val="20"/>
                <w:szCs w:val="20"/>
                <w:color w:val="auto"/>
              </w:rPr>
            </w:pPr>
            <w:r>
              <w:rPr>
                <w:rFonts w:ascii="Arial" w:cs="Arial" w:eastAsia="Arial" w:hAnsi="Arial"/>
                <w:sz w:val="13"/>
                <w:szCs w:val="13"/>
                <w:color w:val="0000FF"/>
                <w:w w:val="97"/>
              </w:rPr>
              <w:t>Filed by Elizabeth Morgan Downs O'Donnell for Atlantic City Electric Company</w:t>
            </w:r>
          </w:p>
        </w:tc>
        <w:tc>
          <w:tcPr>
            <w:tcW w:w="240" w:type="dxa"/>
            <w:vAlign w:val="bottom"/>
            <w:gridSpan w:val="2"/>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-2613660</wp:posOffset>
            </wp:positionV>
            <wp:extent cx="1017270"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1017270" cy="94615"/>
                    </a:xfrm>
                    <a:prstGeom prst="rect">
                      <a:avLst/>
                    </a:prstGeom>
                    <a:noFill/>
                  </pic:spPr>
                </pic:pic>
              </a:graphicData>
            </a:graphic>
          </wp:anchor>
        </w:drawing>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Certifications Pursuant to Section 1350 of Chapter 63 of Title 18 United States Code (Sarbanes-Oxley Act of 2002) as to the Quarterly Report on Form 10-Q for the quarterly period ended March 31, 2026 filed by the following officers for the following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Exelon Corporation</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922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32-1</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40" w:type="dxa"/>
            <w:vAlign w:val="bottom"/>
            <w:gridSpan w:val="14"/>
          </w:tcPr>
          <w:p>
            <w:pPr>
              <w:spacing w:after="0"/>
              <w:rPr>
                <w:sz w:val="20"/>
                <w:szCs w:val="20"/>
                <w:color w:val="auto"/>
              </w:rPr>
            </w:pPr>
            <w:r>
              <w:rPr>
                <w:rFonts w:ascii="Arial" w:cs="Arial" w:eastAsia="Arial" w:hAnsi="Arial"/>
                <w:sz w:val="13"/>
                <w:szCs w:val="13"/>
                <w:color w:val="0000FF"/>
              </w:rPr>
              <w:t>Filed by Calvin G. Butler, Jr. for Exelon Corporation</w:t>
            </w:r>
          </w:p>
        </w:tc>
        <w:tc>
          <w:tcPr>
            <w:tcW w:w="0" w:type="dxa"/>
            <w:vAlign w:val="bottom"/>
          </w:tcPr>
          <w:p>
            <w:pPr>
              <w:spacing w:after="0"/>
              <w:rPr>
                <w:sz w:val="1"/>
                <w:szCs w:val="1"/>
                <w:color w:val="auto"/>
              </w:rPr>
            </w:pPr>
          </w:p>
        </w:tc>
      </w:tr>
      <w:tr>
        <w:trPr>
          <w:trHeight w:val="192"/>
        </w:trPr>
        <w:tc>
          <w:tcPr>
            <w:tcW w:w="26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92"/>
              </w:rPr>
              <w:t>32-2</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rPr>
              <w:t>Filed by Jeanne M. Jones for Exelon Corporation</w:t>
            </w:r>
          </w:p>
        </w:tc>
        <w:tc>
          <w:tcPr>
            <w:tcW w:w="62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000" w:type="dxa"/>
            <w:vAlign w:val="bottom"/>
            <w:gridSpan w:val="18"/>
          </w:tcPr>
          <w:p>
            <w:pPr>
              <w:spacing w:after="0"/>
              <w:rPr>
                <w:sz w:val="20"/>
                <w:szCs w:val="20"/>
                <w:color w:val="auto"/>
              </w:rPr>
            </w:pPr>
            <w:r>
              <w:rPr>
                <w:rFonts w:ascii="Arial" w:cs="Arial" w:eastAsia="Arial" w:hAnsi="Arial"/>
                <w:sz w:val="13"/>
                <w:szCs w:val="13"/>
                <w:color w:val="auto"/>
              </w:rPr>
              <w:t>Commonwealth Edison Company</w:t>
            </w:r>
          </w:p>
        </w:tc>
        <w:tc>
          <w:tcPr>
            <w:tcW w:w="0" w:type="dxa"/>
            <w:vAlign w:val="bottom"/>
          </w:tcPr>
          <w:p>
            <w:pPr>
              <w:spacing w:after="0"/>
              <w:rPr>
                <w:sz w:val="1"/>
                <w:szCs w:val="1"/>
                <w:color w:val="auto"/>
              </w:rPr>
            </w:pPr>
          </w:p>
        </w:tc>
      </w:tr>
      <w:tr>
        <w:trPr>
          <w:trHeight w:val="15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922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32-3</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40" w:type="dxa"/>
            <w:vAlign w:val="bottom"/>
            <w:gridSpan w:val="14"/>
          </w:tcPr>
          <w:p>
            <w:pPr>
              <w:spacing w:after="0"/>
              <w:rPr>
                <w:sz w:val="20"/>
                <w:szCs w:val="20"/>
                <w:color w:val="auto"/>
              </w:rPr>
            </w:pPr>
            <w:r>
              <w:rPr>
                <w:rFonts w:ascii="Arial" w:cs="Arial" w:eastAsia="Arial" w:hAnsi="Arial"/>
                <w:sz w:val="13"/>
                <w:szCs w:val="13"/>
                <w:color w:val="0000FF"/>
              </w:rPr>
              <w:t>Filed by Gil C. Quiniones for Commonwealth Edison Company</w:t>
            </w:r>
          </w:p>
        </w:tc>
        <w:tc>
          <w:tcPr>
            <w:tcW w:w="0" w:type="dxa"/>
            <w:vAlign w:val="bottom"/>
          </w:tcPr>
          <w:p>
            <w:pPr>
              <w:spacing w:after="0"/>
              <w:rPr>
                <w:sz w:val="1"/>
                <w:szCs w:val="1"/>
                <w:color w:val="auto"/>
              </w:rPr>
            </w:pPr>
          </w:p>
        </w:tc>
      </w:tr>
      <w:tr>
        <w:trPr>
          <w:trHeight w:val="192"/>
        </w:trPr>
        <w:tc>
          <w:tcPr>
            <w:tcW w:w="26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92"/>
              </w:rPr>
              <w:t>32-4</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tcBorders>
              <w:top w:val="single" w:sz="8" w:color="0000FF"/>
            </w:tcBorders>
            <w:gridSpan w:val="7"/>
          </w:tcPr>
          <w:p>
            <w:pPr>
              <w:spacing w:after="0"/>
              <w:rPr>
                <w:sz w:val="20"/>
                <w:szCs w:val="20"/>
                <w:color w:val="auto"/>
              </w:rPr>
            </w:pPr>
            <w:r>
              <w:rPr>
                <w:rFonts w:ascii="Arial" w:cs="Arial" w:eastAsia="Arial" w:hAnsi="Arial"/>
                <w:sz w:val="13"/>
                <w:szCs w:val="13"/>
                <w:color w:val="0000FF"/>
                <w:w w:val="98"/>
              </w:rPr>
              <w:t>Filed by Joshua S. Levin for Commonwealth Edison Company</w:t>
            </w:r>
          </w:p>
        </w:tc>
        <w:tc>
          <w:tcPr>
            <w:tcW w:w="56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780" w:type="dxa"/>
            <w:vAlign w:val="bottom"/>
            <w:gridSpan w:val="3"/>
          </w:tcPr>
          <w:p>
            <w:pPr>
              <w:spacing w:after="0"/>
              <w:rPr>
                <w:sz w:val="20"/>
                <w:szCs w:val="20"/>
                <w:color w:val="auto"/>
              </w:rPr>
            </w:pPr>
            <w:r>
              <w:rPr>
                <w:rFonts w:ascii="Arial" w:cs="Arial" w:eastAsia="Arial" w:hAnsi="Arial"/>
                <w:sz w:val="13"/>
                <w:szCs w:val="13"/>
                <w:color w:val="auto"/>
              </w:rPr>
              <w:t>PECO Energy Company</w:t>
            </w:r>
          </w:p>
        </w:tc>
        <w:tc>
          <w:tcPr>
            <w:tcW w:w="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922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32-5</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40" w:type="dxa"/>
            <w:vAlign w:val="bottom"/>
            <w:gridSpan w:val="14"/>
          </w:tcPr>
          <w:p>
            <w:pPr>
              <w:spacing w:after="0"/>
              <w:rPr>
                <w:sz w:val="20"/>
                <w:szCs w:val="20"/>
                <w:color w:val="auto"/>
              </w:rPr>
            </w:pPr>
            <w:r>
              <w:rPr>
                <w:rFonts w:ascii="Arial" w:cs="Arial" w:eastAsia="Arial" w:hAnsi="Arial"/>
                <w:sz w:val="13"/>
                <w:szCs w:val="13"/>
                <w:color w:val="0000FF"/>
              </w:rPr>
              <w:t>Filed by Michael A. Innocenzo for PECO Energy Company</w:t>
            </w: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2"/>
              </w:rPr>
              <w:t>32-6</w:t>
            </w:r>
          </w:p>
        </w:tc>
        <w:tc>
          <w:tcPr>
            <w:tcW w:w="60" w:type="dxa"/>
            <w:vAlign w:val="bottom"/>
            <w:tcBorders>
              <w:bottom w:val="single" w:sz="8" w:color="0000FF"/>
            </w:tcBorders>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7"/>
              </w:rPr>
              <w:t>Filed by Marissa E. Humphrey for PECO Energy Company</w:t>
            </w:r>
          </w:p>
        </w:tc>
        <w:tc>
          <w:tcPr>
            <w:tcW w:w="58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1000" w:type="dxa"/>
            <w:vAlign w:val="bottom"/>
            <w:gridSpan w:val="18"/>
          </w:tcPr>
          <w:p>
            <w:pPr>
              <w:spacing w:after="0"/>
              <w:rPr>
                <w:sz w:val="20"/>
                <w:szCs w:val="20"/>
                <w:color w:val="auto"/>
              </w:rPr>
            </w:pPr>
            <w:r>
              <w:rPr>
                <w:rFonts w:ascii="Arial" w:cs="Arial" w:eastAsia="Arial" w:hAnsi="Arial"/>
                <w:sz w:val="13"/>
                <w:szCs w:val="13"/>
                <w:color w:val="auto"/>
              </w:rPr>
              <w:t>Baltimore Gas and Electric Company</w:t>
            </w:r>
          </w:p>
        </w:tc>
        <w:tc>
          <w:tcPr>
            <w:tcW w:w="0" w:type="dxa"/>
            <w:vAlign w:val="bottom"/>
          </w:tcPr>
          <w:p>
            <w:pPr>
              <w:spacing w:after="0"/>
              <w:rPr>
                <w:sz w:val="1"/>
                <w:szCs w:val="1"/>
                <w:color w:val="auto"/>
              </w:rPr>
            </w:pPr>
          </w:p>
        </w:tc>
      </w:tr>
      <w:tr>
        <w:trPr>
          <w:trHeight w:val="15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922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32-7</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40" w:type="dxa"/>
            <w:vAlign w:val="bottom"/>
            <w:gridSpan w:val="14"/>
          </w:tcPr>
          <w:p>
            <w:pPr>
              <w:spacing w:after="0"/>
              <w:rPr>
                <w:sz w:val="20"/>
                <w:szCs w:val="20"/>
                <w:color w:val="auto"/>
              </w:rPr>
            </w:pPr>
            <w:r>
              <w:rPr>
                <w:rFonts w:ascii="Arial" w:cs="Arial" w:eastAsia="Arial" w:hAnsi="Arial"/>
                <w:sz w:val="13"/>
                <w:szCs w:val="13"/>
                <w:color w:val="0000FF"/>
              </w:rPr>
              <w:t>Filed by Tamla A. Olivier for Baltimore Gas and Electric Company</w:t>
            </w: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60" w:type="dxa"/>
            <w:vAlign w:val="bottom"/>
          </w:tcPr>
          <w:p>
            <w:pPr>
              <w:spacing w:after="0"/>
              <w:rPr>
                <w:sz w:val="20"/>
                <w:szCs w:val="20"/>
                <w:color w:val="auto"/>
              </w:rPr>
            </w:pPr>
            <w:r>
              <w:rPr>
                <w:rFonts w:ascii="Arial" w:cs="Arial" w:eastAsia="Arial" w:hAnsi="Arial"/>
                <w:sz w:val="13"/>
                <w:szCs w:val="13"/>
                <w:color w:val="0000FF"/>
                <w:w w:val="92"/>
              </w:rPr>
              <w:t>32-8</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gridSpan w:val="14"/>
          </w:tcPr>
          <w:p>
            <w:pPr>
              <w:spacing w:after="0"/>
              <w:rPr>
                <w:sz w:val="20"/>
                <w:szCs w:val="20"/>
                <w:color w:val="auto"/>
              </w:rPr>
            </w:pPr>
            <w:r>
              <w:rPr>
                <w:rFonts w:ascii="Arial" w:cs="Arial" w:eastAsia="Arial" w:hAnsi="Arial"/>
                <w:sz w:val="13"/>
                <w:szCs w:val="13"/>
                <w:color w:val="0000FF"/>
              </w:rPr>
              <w:t>Filed by Michael J. Cloyd for Baltimore Gas and Electric Company</w:t>
            </w: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780" w:type="dxa"/>
            <w:vAlign w:val="bottom"/>
            <w:gridSpan w:val="3"/>
          </w:tcPr>
          <w:p>
            <w:pPr>
              <w:spacing w:after="0"/>
              <w:rPr>
                <w:sz w:val="20"/>
                <w:szCs w:val="20"/>
                <w:color w:val="auto"/>
              </w:rPr>
            </w:pPr>
            <w:r>
              <w:rPr>
                <w:rFonts w:ascii="Arial" w:cs="Arial" w:eastAsia="Arial" w:hAnsi="Arial"/>
                <w:sz w:val="13"/>
                <w:szCs w:val="13"/>
                <w:color w:val="auto"/>
              </w:rPr>
              <w:t>Pepco Holdings LLC</w:t>
            </w: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922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20"/>
                <w:szCs w:val="20"/>
                <w:color w:val="auto"/>
              </w:rPr>
            </w:pPr>
            <w:r>
              <w:rPr>
                <w:rFonts w:ascii="Arial" w:cs="Arial" w:eastAsia="Arial" w:hAnsi="Arial"/>
                <w:sz w:val="13"/>
                <w:szCs w:val="13"/>
                <w:color w:val="0000FF"/>
                <w:w w:val="92"/>
              </w:rPr>
              <w:t>32-9</w:t>
            </w: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40" w:type="dxa"/>
            <w:vAlign w:val="bottom"/>
            <w:gridSpan w:val="14"/>
          </w:tcPr>
          <w:p>
            <w:pPr>
              <w:spacing w:after="0"/>
              <w:rPr>
                <w:sz w:val="20"/>
                <w:szCs w:val="20"/>
                <w:color w:val="auto"/>
              </w:rPr>
            </w:pPr>
            <w:r>
              <w:rPr>
                <w:rFonts w:ascii="Arial" w:cs="Arial" w:eastAsia="Arial" w:hAnsi="Arial"/>
                <w:sz w:val="13"/>
                <w:szCs w:val="13"/>
                <w:color w:val="0000FF"/>
              </w:rPr>
              <w:t>Filed by J. Tyler Anthony for Pepco Holdings LLC</w:t>
            </w: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0"/>
              </w:rPr>
              <w:t>32-10</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tcBorders>
              <w:bottom w:val="single" w:sz="8" w:color="0000FF"/>
            </w:tcBorders>
            <w:gridSpan w:val="11"/>
          </w:tcPr>
          <w:p>
            <w:pPr>
              <w:spacing w:after="0"/>
              <w:rPr>
                <w:sz w:val="20"/>
                <w:szCs w:val="20"/>
                <w:color w:val="auto"/>
              </w:rPr>
            </w:pPr>
            <w:r>
              <w:rPr>
                <w:rFonts w:ascii="Arial" w:cs="Arial" w:eastAsia="Arial" w:hAnsi="Arial"/>
                <w:sz w:val="13"/>
                <w:szCs w:val="13"/>
                <w:color w:val="0000FF"/>
                <w:w w:val="97"/>
              </w:rPr>
              <w:t>Filed by Elizabeth Morgan Downs O'Donnell for Pepco Holdings LLC</w:t>
            </w:r>
          </w:p>
        </w:tc>
        <w:tc>
          <w:tcPr>
            <w:tcW w:w="52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1000" w:type="dxa"/>
            <w:vAlign w:val="bottom"/>
            <w:gridSpan w:val="18"/>
          </w:tcPr>
          <w:p>
            <w:pPr>
              <w:spacing w:after="0"/>
              <w:rPr>
                <w:sz w:val="20"/>
                <w:szCs w:val="20"/>
                <w:color w:val="auto"/>
              </w:rPr>
            </w:pPr>
            <w:r>
              <w:rPr>
                <w:rFonts w:ascii="Arial" w:cs="Arial" w:eastAsia="Arial" w:hAnsi="Arial"/>
                <w:sz w:val="13"/>
                <w:szCs w:val="13"/>
                <w:color w:val="auto"/>
              </w:rPr>
              <w:t>Potomac Electric Power Company</w:t>
            </w:r>
          </w:p>
        </w:tc>
        <w:tc>
          <w:tcPr>
            <w:tcW w:w="0" w:type="dxa"/>
            <w:vAlign w:val="bottom"/>
          </w:tcPr>
          <w:p>
            <w:pPr>
              <w:spacing w:after="0"/>
              <w:rPr>
                <w:sz w:val="1"/>
                <w:szCs w:val="1"/>
                <w:color w:val="auto"/>
              </w:rPr>
            </w:pPr>
          </w:p>
        </w:tc>
      </w:tr>
      <w:tr>
        <w:trPr>
          <w:trHeight w:val="15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922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55"/>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0"/>
              </w:rPr>
              <w:t>32-11</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7"/>
              </w:rPr>
              <w:t>Filed by J. Tyler Anthony for Potomac Electric Power Company</w:t>
            </w:r>
          </w:p>
        </w:tc>
        <w:tc>
          <w:tcPr>
            <w:tcW w:w="55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0" w:type="dxa"/>
            <w:vAlign w:val="bottom"/>
            <w:gridSpan w:val="2"/>
          </w:tcPr>
          <w:p>
            <w:pPr>
              <w:spacing w:after="0"/>
              <w:rPr>
                <w:sz w:val="20"/>
                <w:szCs w:val="20"/>
                <w:color w:val="auto"/>
              </w:rPr>
            </w:pPr>
            <w:r>
              <w:rPr>
                <w:rFonts w:ascii="Arial" w:cs="Arial" w:eastAsia="Arial" w:hAnsi="Arial"/>
                <w:sz w:val="13"/>
                <w:szCs w:val="13"/>
                <w:color w:val="0000FF"/>
                <w:w w:val="90"/>
              </w:rPr>
              <w:t>32-12</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gridSpan w:val="14"/>
          </w:tcPr>
          <w:p>
            <w:pPr>
              <w:spacing w:after="0"/>
              <w:rPr>
                <w:sz w:val="20"/>
                <w:szCs w:val="20"/>
                <w:color w:val="auto"/>
              </w:rPr>
            </w:pPr>
            <w:r>
              <w:rPr>
                <w:rFonts w:ascii="Arial" w:cs="Arial" w:eastAsia="Arial" w:hAnsi="Arial"/>
                <w:sz w:val="13"/>
                <w:szCs w:val="13"/>
                <w:color w:val="0000FF"/>
              </w:rPr>
              <w:t>Filed by Elizabeth Morgan Downs O'Donnell for Potomac Electric Power Company</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000" w:type="dxa"/>
            <w:vAlign w:val="bottom"/>
            <w:gridSpan w:val="18"/>
          </w:tcPr>
          <w:p>
            <w:pPr>
              <w:spacing w:after="0"/>
              <w:rPr>
                <w:sz w:val="20"/>
                <w:szCs w:val="20"/>
                <w:color w:val="auto"/>
              </w:rPr>
            </w:pPr>
            <w:r>
              <w:rPr>
                <w:rFonts w:ascii="Arial" w:cs="Arial" w:eastAsia="Arial" w:hAnsi="Arial"/>
                <w:sz w:val="13"/>
                <w:szCs w:val="13"/>
                <w:color w:val="auto"/>
              </w:rPr>
              <w:t>Delmarva Power &amp; Light Company</w:t>
            </w:r>
          </w:p>
        </w:tc>
        <w:tc>
          <w:tcPr>
            <w:tcW w:w="0" w:type="dxa"/>
            <w:vAlign w:val="bottom"/>
          </w:tcPr>
          <w:p>
            <w:pPr>
              <w:spacing w:after="0"/>
              <w:rPr>
                <w:sz w:val="1"/>
                <w:szCs w:val="1"/>
                <w:color w:val="auto"/>
              </w:rPr>
            </w:pPr>
          </w:p>
        </w:tc>
      </w:tr>
      <w:tr>
        <w:trPr>
          <w:trHeight w:val="15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922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55"/>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0"/>
              </w:rPr>
              <w:t>32-13</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7"/>
              </w:rPr>
              <w:t>Filed by J. Tyler Anthony for Delmarva Power &amp; Light Company</w:t>
            </w:r>
          </w:p>
        </w:tc>
        <w:tc>
          <w:tcPr>
            <w:tcW w:w="55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0" w:type="dxa"/>
            <w:vAlign w:val="bottom"/>
            <w:gridSpan w:val="2"/>
          </w:tcPr>
          <w:p>
            <w:pPr>
              <w:spacing w:after="0"/>
              <w:rPr>
                <w:sz w:val="20"/>
                <w:szCs w:val="20"/>
                <w:color w:val="auto"/>
              </w:rPr>
            </w:pPr>
            <w:r>
              <w:rPr>
                <w:rFonts w:ascii="Arial" w:cs="Arial" w:eastAsia="Arial" w:hAnsi="Arial"/>
                <w:sz w:val="13"/>
                <w:szCs w:val="13"/>
                <w:color w:val="0000FF"/>
                <w:w w:val="90"/>
              </w:rPr>
              <w:t>32-14</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gridSpan w:val="14"/>
          </w:tcPr>
          <w:p>
            <w:pPr>
              <w:spacing w:after="0"/>
              <w:rPr>
                <w:sz w:val="20"/>
                <w:szCs w:val="20"/>
                <w:color w:val="auto"/>
              </w:rPr>
            </w:pPr>
            <w:r>
              <w:rPr>
                <w:rFonts w:ascii="Arial" w:cs="Arial" w:eastAsia="Arial" w:hAnsi="Arial"/>
                <w:sz w:val="13"/>
                <w:szCs w:val="13"/>
                <w:color w:val="0000FF"/>
              </w:rPr>
              <w:t>Filed by Elizabeth Morgan Downs O'Donnell for Delmarva Power &amp; Light Company</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780" w:type="dxa"/>
            <w:vAlign w:val="bottom"/>
            <w:gridSpan w:val="3"/>
          </w:tcPr>
          <w:p>
            <w:pPr>
              <w:spacing w:after="0"/>
              <w:rPr>
                <w:sz w:val="20"/>
                <w:szCs w:val="20"/>
                <w:color w:val="auto"/>
              </w:rPr>
            </w:pPr>
            <w:r>
              <w:rPr>
                <w:rFonts w:ascii="Arial" w:cs="Arial" w:eastAsia="Arial" w:hAnsi="Arial"/>
                <w:sz w:val="13"/>
                <w:szCs w:val="13"/>
                <w:color w:val="auto"/>
              </w:rPr>
              <w:t>Atlantic City Electric Company</w:t>
            </w: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780" w:type="dxa"/>
            <w:vAlign w:val="bottom"/>
            <w:gridSpan w:val="3"/>
          </w:tcPr>
          <w:p>
            <w:pPr>
              <w:spacing w:after="0"/>
              <w:rPr>
                <w:sz w:val="20"/>
                <w:szCs w:val="20"/>
                <w:color w:val="auto"/>
              </w:rPr>
            </w:pPr>
            <w:r>
              <w:rPr>
                <w:rFonts w:ascii="Arial" w:cs="Arial" w:eastAsia="Arial" w:hAnsi="Arial"/>
                <w:sz w:val="10"/>
                <w:szCs w:val="10"/>
                <w:b w:val="1"/>
                <w:bCs w:val="1"/>
                <w:color w:val="auto"/>
              </w:rPr>
              <w:t>Exhibit No.</w:t>
            </w:r>
          </w:p>
        </w:tc>
        <w:tc>
          <w:tcPr>
            <w:tcW w:w="9220" w:type="dxa"/>
            <w:vAlign w:val="bottom"/>
            <w:gridSpan w:val="15"/>
          </w:tcPr>
          <w:p>
            <w:pPr>
              <w:ind w:left="8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55"/>
        </w:trPr>
        <w:tc>
          <w:tcPr>
            <w:tcW w:w="320" w:type="dxa"/>
            <w:vAlign w:val="bottom"/>
            <w:gridSpan w:val="2"/>
          </w:tcPr>
          <w:p>
            <w:pPr>
              <w:spacing w:after="0"/>
              <w:rPr>
                <w:sz w:val="20"/>
                <w:szCs w:val="20"/>
                <w:color w:val="auto"/>
              </w:rPr>
            </w:pPr>
            <w:r>
              <w:rPr>
                <w:rFonts w:ascii="Arial" w:cs="Arial" w:eastAsia="Arial" w:hAnsi="Arial"/>
                <w:sz w:val="13"/>
                <w:szCs w:val="13"/>
                <w:color w:val="0000FF"/>
                <w:w w:val="90"/>
              </w:rPr>
              <w:t>32-15</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40" w:type="dxa"/>
            <w:vAlign w:val="bottom"/>
            <w:gridSpan w:val="14"/>
          </w:tcPr>
          <w:p>
            <w:pPr>
              <w:spacing w:after="0"/>
              <w:rPr>
                <w:sz w:val="20"/>
                <w:szCs w:val="20"/>
                <w:color w:val="auto"/>
              </w:rPr>
            </w:pPr>
            <w:r>
              <w:rPr>
                <w:rFonts w:ascii="Arial" w:cs="Arial" w:eastAsia="Arial" w:hAnsi="Arial"/>
                <w:sz w:val="13"/>
                <w:szCs w:val="13"/>
                <w:color w:val="0000FF"/>
              </w:rPr>
              <w:t>Filed by J. Tyler Anthony for Atlantic City Electric Company</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0"/>
              </w:rPr>
              <w:t>32-16</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Borders>
              <w:bottom w:val="single" w:sz="8" w:color="0000FF"/>
            </w:tcBorders>
            <w:gridSpan w:val="12"/>
          </w:tcPr>
          <w:p>
            <w:pPr>
              <w:spacing w:after="0"/>
              <w:rPr>
                <w:sz w:val="20"/>
                <w:szCs w:val="20"/>
                <w:color w:val="auto"/>
              </w:rPr>
            </w:pPr>
            <w:r>
              <w:rPr>
                <w:rFonts w:ascii="Arial" w:cs="Arial" w:eastAsia="Arial" w:hAnsi="Arial"/>
                <w:sz w:val="13"/>
                <w:szCs w:val="13"/>
                <w:color w:val="0000FF"/>
                <w:w w:val="97"/>
              </w:rPr>
              <w:t>Filed by Elizabeth Morgan Downs O'Donnell for Atlantic City Electric Company</w:t>
            </w:r>
          </w:p>
        </w:tc>
        <w:tc>
          <w:tcPr>
            <w:tcW w:w="47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80" w:type="dxa"/>
            <w:vAlign w:val="bottom"/>
            <w:gridSpan w:val="3"/>
            <w:vMerge w:val="restart"/>
          </w:tcPr>
          <w:p>
            <w:pPr>
              <w:spacing w:after="0"/>
              <w:rPr>
                <w:sz w:val="20"/>
                <w:szCs w:val="20"/>
                <w:color w:val="auto"/>
              </w:rPr>
            </w:pPr>
            <w:r>
              <w:rPr>
                <w:rFonts w:ascii="Arial" w:cs="Arial" w:eastAsia="Arial" w:hAnsi="Arial"/>
                <w:sz w:val="13"/>
                <w:szCs w:val="13"/>
                <w:color w:val="auto"/>
              </w:rPr>
              <w:t>101.INS</w:t>
            </w:r>
          </w:p>
        </w:tc>
        <w:tc>
          <w:tcPr>
            <w:tcW w:w="9220" w:type="dxa"/>
            <w:vAlign w:val="bottom"/>
            <w:gridSpan w:val="15"/>
          </w:tcPr>
          <w:p>
            <w:pPr>
              <w:ind w:left="80"/>
              <w:spacing w:after="0"/>
              <w:rPr>
                <w:sz w:val="20"/>
                <w:szCs w:val="20"/>
                <w:color w:val="auto"/>
              </w:rPr>
            </w:pPr>
            <w:r>
              <w:rPr>
                <w:rFonts w:ascii="Arial" w:cs="Arial" w:eastAsia="Arial" w:hAnsi="Arial"/>
                <w:sz w:val="13"/>
                <w:szCs w:val="13"/>
                <w:color w:val="auto"/>
                <w:w w:val="97"/>
              </w:rPr>
              <w:t>Inline XBRL Instance Document - 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167"/>
        </w:trPr>
        <w:tc>
          <w:tcPr>
            <w:tcW w:w="1780" w:type="dxa"/>
            <w:vAlign w:val="bottom"/>
            <w:gridSpan w:val="3"/>
            <w:vMerge w:val="continue"/>
          </w:tcPr>
          <w:p>
            <w:pPr>
              <w:spacing w:after="0"/>
              <w:rPr>
                <w:sz w:val="14"/>
                <w:szCs w:val="14"/>
                <w:color w:val="auto"/>
              </w:rPr>
            </w:pPr>
          </w:p>
        </w:tc>
        <w:tc>
          <w:tcPr>
            <w:tcW w:w="9220" w:type="dxa"/>
            <w:vAlign w:val="bottom"/>
            <w:gridSpan w:val="15"/>
          </w:tcPr>
          <w:p>
            <w:pPr>
              <w:ind w:left="80"/>
              <w:spacing w:after="0"/>
              <w:rPr>
                <w:sz w:val="20"/>
                <w:szCs w:val="20"/>
                <w:color w:val="auto"/>
              </w:rPr>
            </w:pPr>
            <w:r>
              <w:rPr>
                <w:rFonts w:ascii="Arial" w:cs="Arial" w:eastAsia="Arial" w:hAnsi="Arial"/>
                <w:sz w:val="13"/>
                <w:szCs w:val="13"/>
                <w:color w:val="auto"/>
              </w:rPr>
              <w:t>document.</w:t>
            </w:r>
          </w:p>
        </w:tc>
        <w:tc>
          <w:tcPr>
            <w:tcW w:w="0" w:type="dxa"/>
            <w:vAlign w:val="bottom"/>
          </w:tcPr>
          <w:p>
            <w:pPr>
              <w:spacing w:after="0"/>
              <w:rPr>
                <w:sz w:val="1"/>
                <w:szCs w:val="1"/>
                <w:color w:val="auto"/>
              </w:rPr>
            </w:pPr>
          </w:p>
        </w:tc>
      </w:tr>
      <w:tr>
        <w:trPr>
          <w:trHeight w:val="244"/>
        </w:trPr>
        <w:tc>
          <w:tcPr>
            <w:tcW w:w="1780" w:type="dxa"/>
            <w:vAlign w:val="bottom"/>
            <w:gridSpan w:val="3"/>
          </w:tcPr>
          <w:p>
            <w:pPr>
              <w:spacing w:after="0"/>
              <w:rPr>
                <w:sz w:val="20"/>
                <w:szCs w:val="20"/>
                <w:color w:val="auto"/>
              </w:rPr>
            </w:pPr>
            <w:r>
              <w:rPr>
                <w:rFonts w:ascii="Arial" w:cs="Arial" w:eastAsia="Arial" w:hAnsi="Arial"/>
                <w:sz w:val="13"/>
                <w:szCs w:val="13"/>
                <w:color w:val="auto"/>
              </w:rPr>
              <w:t>101.SCH</w:t>
            </w:r>
          </w:p>
        </w:tc>
        <w:tc>
          <w:tcPr>
            <w:tcW w:w="9220" w:type="dxa"/>
            <w:vAlign w:val="bottom"/>
            <w:gridSpan w:val="15"/>
          </w:tcPr>
          <w:p>
            <w:pPr>
              <w:ind w:left="80"/>
              <w:spacing w:after="0"/>
              <w:rPr>
                <w:sz w:val="20"/>
                <w:szCs w:val="20"/>
                <w:color w:val="auto"/>
              </w:rPr>
            </w:pPr>
            <w:r>
              <w:rPr>
                <w:rFonts w:ascii="Arial" w:cs="Arial" w:eastAsia="Arial" w:hAnsi="Arial"/>
                <w:sz w:val="13"/>
                <w:szCs w:val="13"/>
                <w:color w:val="auto"/>
              </w:rPr>
              <w:t>Inline XBRL Taxonomy Extension Schema Document</w:t>
            </w:r>
          </w:p>
        </w:tc>
        <w:tc>
          <w:tcPr>
            <w:tcW w:w="0" w:type="dxa"/>
            <w:vAlign w:val="bottom"/>
          </w:tcPr>
          <w:p>
            <w:pPr>
              <w:spacing w:after="0"/>
              <w:rPr>
                <w:sz w:val="1"/>
                <w:szCs w:val="1"/>
                <w:color w:val="auto"/>
              </w:rPr>
            </w:pPr>
          </w:p>
        </w:tc>
      </w:tr>
      <w:tr>
        <w:trPr>
          <w:trHeight w:val="244"/>
        </w:trPr>
        <w:tc>
          <w:tcPr>
            <w:tcW w:w="1780" w:type="dxa"/>
            <w:vAlign w:val="bottom"/>
            <w:gridSpan w:val="3"/>
          </w:tcPr>
          <w:p>
            <w:pPr>
              <w:spacing w:after="0"/>
              <w:rPr>
                <w:sz w:val="20"/>
                <w:szCs w:val="20"/>
                <w:color w:val="auto"/>
              </w:rPr>
            </w:pPr>
            <w:r>
              <w:rPr>
                <w:rFonts w:ascii="Arial" w:cs="Arial" w:eastAsia="Arial" w:hAnsi="Arial"/>
                <w:sz w:val="13"/>
                <w:szCs w:val="13"/>
                <w:color w:val="auto"/>
              </w:rPr>
              <w:t>101.CAL</w:t>
            </w:r>
          </w:p>
        </w:tc>
        <w:tc>
          <w:tcPr>
            <w:tcW w:w="9220" w:type="dxa"/>
            <w:vAlign w:val="bottom"/>
            <w:gridSpan w:val="15"/>
          </w:tcPr>
          <w:p>
            <w:pPr>
              <w:ind w:left="80"/>
              <w:spacing w:after="0"/>
              <w:rPr>
                <w:sz w:val="20"/>
                <w:szCs w:val="20"/>
                <w:color w:val="auto"/>
              </w:rPr>
            </w:pPr>
            <w:r>
              <w:rPr>
                <w:rFonts w:ascii="Arial" w:cs="Arial" w:eastAsia="Arial" w:hAnsi="Arial"/>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244"/>
        </w:trPr>
        <w:tc>
          <w:tcPr>
            <w:tcW w:w="1780" w:type="dxa"/>
            <w:vAlign w:val="bottom"/>
            <w:gridSpan w:val="3"/>
          </w:tcPr>
          <w:p>
            <w:pPr>
              <w:spacing w:after="0"/>
              <w:rPr>
                <w:sz w:val="20"/>
                <w:szCs w:val="20"/>
                <w:color w:val="auto"/>
              </w:rPr>
            </w:pPr>
            <w:r>
              <w:rPr>
                <w:rFonts w:ascii="Arial" w:cs="Arial" w:eastAsia="Arial" w:hAnsi="Arial"/>
                <w:sz w:val="13"/>
                <w:szCs w:val="13"/>
                <w:color w:val="auto"/>
              </w:rPr>
              <w:t>101.DEF</w:t>
            </w:r>
          </w:p>
        </w:tc>
        <w:tc>
          <w:tcPr>
            <w:tcW w:w="9220" w:type="dxa"/>
            <w:vAlign w:val="bottom"/>
            <w:gridSpan w:val="15"/>
          </w:tcPr>
          <w:p>
            <w:pPr>
              <w:ind w:left="80"/>
              <w:spacing w:after="0"/>
              <w:rPr>
                <w:sz w:val="20"/>
                <w:szCs w:val="20"/>
                <w:color w:val="auto"/>
              </w:rPr>
            </w:pPr>
            <w:r>
              <w:rPr>
                <w:rFonts w:ascii="Arial" w:cs="Arial" w:eastAsia="Arial" w:hAnsi="Arial"/>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244"/>
        </w:trPr>
        <w:tc>
          <w:tcPr>
            <w:tcW w:w="1780" w:type="dxa"/>
            <w:vAlign w:val="bottom"/>
            <w:gridSpan w:val="3"/>
          </w:tcPr>
          <w:p>
            <w:pPr>
              <w:spacing w:after="0"/>
              <w:rPr>
                <w:sz w:val="20"/>
                <w:szCs w:val="20"/>
                <w:color w:val="auto"/>
              </w:rPr>
            </w:pPr>
            <w:r>
              <w:rPr>
                <w:rFonts w:ascii="Arial" w:cs="Arial" w:eastAsia="Arial" w:hAnsi="Arial"/>
                <w:sz w:val="13"/>
                <w:szCs w:val="13"/>
                <w:color w:val="auto"/>
              </w:rPr>
              <w:t>101.LAB</w:t>
            </w:r>
          </w:p>
        </w:tc>
        <w:tc>
          <w:tcPr>
            <w:tcW w:w="9220" w:type="dxa"/>
            <w:vAlign w:val="bottom"/>
            <w:gridSpan w:val="15"/>
          </w:tcPr>
          <w:p>
            <w:pPr>
              <w:ind w:left="80"/>
              <w:spacing w:after="0"/>
              <w:rPr>
                <w:sz w:val="20"/>
                <w:szCs w:val="20"/>
                <w:color w:val="auto"/>
              </w:rPr>
            </w:pPr>
            <w:r>
              <w:rPr>
                <w:rFonts w:ascii="Arial" w:cs="Arial" w:eastAsia="Arial" w:hAnsi="Arial"/>
                <w:sz w:val="13"/>
                <w:szCs w:val="13"/>
                <w:color w:val="auto"/>
              </w:rPr>
              <w:t>Inline XBRL Taxonomy Extension Labels Linkbase Document</w:t>
            </w:r>
          </w:p>
        </w:tc>
        <w:tc>
          <w:tcPr>
            <w:tcW w:w="0" w:type="dxa"/>
            <w:vAlign w:val="bottom"/>
          </w:tcPr>
          <w:p>
            <w:pPr>
              <w:spacing w:after="0"/>
              <w:rPr>
                <w:sz w:val="1"/>
                <w:szCs w:val="1"/>
                <w:color w:val="auto"/>
              </w:rPr>
            </w:pPr>
          </w:p>
        </w:tc>
      </w:tr>
      <w:tr>
        <w:trPr>
          <w:trHeight w:val="244"/>
        </w:trPr>
        <w:tc>
          <w:tcPr>
            <w:tcW w:w="1780" w:type="dxa"/>
            <w:vAlign w:val="bottom"/>
            <w:gridSpan w:val="3"/>
          </w:tcPr>
          <w:p>
            <w:pPr>
              <w:spacing w:after="0"/>
              <w:rPr>
                <w:sz w:val="20"/>
                <w:szCs w:val="20"/>
                <w:color w:val="auto"/>
              </w:rPr>
            </w:pPr>
            <w:r>
              <w:rPr>
                <w:rFonts w:ascii="Arial" w:cs="Arial" w:eastAsia="Arial" w:hAnsi="Arial"/>
                <w:sz w:val="13"/>
                <w:szCs w:val="13"/>
                <w:color w:val="auto"/>
              </w:rPr>
              <w:t>101.PRE</w:t>
            </w:r>
          </w:p>
        </w:tc>
        <w:tc>
          <w:tcPr>
            <w:tcW w:w="9220" w:type="dxa"/>
            <w:vAlign w:val="bottom"/>
            <w:gridSpan w:val="15"/>
          </w:tcPr>
          <w:p>
            <w:pPr>
              <w:ind w:left="80"/>
              <w:spacing w:after="0"/>
              <w:rPr>
                <w:sz w:val="20"/>
                <w:szCs w:val="20"/>
                <w:color w:val="auto"/>
              </w:rPr>
            </w:pPr>
            <w:r>
              <w:rPr>
                <w:rFonts w:ascii="Arial" w:cs="Arial" w:eastAsia="Arial" w:hAnsi="Arial"/>
                <w:sz w:val="13"/>
                <w:szCs w:val="13"/>
                <w:color w:val="auto"/>
              </w:rPr>
              <w:t>Inline XBRL Taxonomy Extension Presentation Linkbase Document</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0"/>
                <w:szCs w:val="20"/>
                <w:color w:val="auto"/>
              </w:rPr>
            </w:pPr>
            <w:r>
              <w:rPr>
                <w:rFonts w:ascii="Arial" w:cs="Arial" w:eastAsia="Arial" w:hAnsi="Arial"/>
                <w:sz w:val="13"/>
                <w:szCs w:val="13"/>
                <w:color w:val="auto"/>
              </w:rPr>
              <w:t>104</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220" w:type="dxa"/>
            <w:vAlign w:val="bottom"/>
            <w:gridSpan w:val="15"/>
          </w:tcPr>
          <w:p>
            <w:pPr>
              <w:ind w:left="80"/>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25" w:right="57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Pursuant to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6440" w:type="dxa"/>
            <w:vAlign w:val="bottom"/>
            <w:gridSpan w:val="3"/>
          </w:tcPr>
          <w:p>
            <w:pPr>
              <w:ind w:left="60"/>
              <w:spacing w:after="0"/>
              <w:rPr>
                <w:sz w:val="20"/>
                <w:szCs w:val="20"/>
                <w:color w:val="auto"/>
              </w:rPr>
            </w:pPr>
            <w:r>
              <w:rPr>
                <w:rFonts w:ascii="Arial" w:cs="Arial" w:eastAsia="Arial" w:hAnsi="Arial"/>
                <w:sz w:val="13"/>
                <w:szCs w:val="13"/>
                <w:b w:val="1"/>
                <w:bCs w:val="1"/>
                <w:color w:val="auto"/>
              </w:rPr>
              <w:t>EXELON CORPORATION</w:t>
            </w:r>
          </w:p>
        </w:tc>
      </w:tr>
      <w:tr>
        <w:trPr>
          <w:trHeight w:val="409"/>
        </w:trPr>
        <w:tc>
          <w:tcPr>
            <w:tcW w:w="4820" w:type="dxa"/>
            <w:vAlign w:val="bottom"/>
            <w:tcBorders>
              <w:bottom w:val="single" w:sz="8" w:color="auto"/>
            </w:tcBorders>
          </w:tcPr>
          <w:p>
            <w:pPr>
              <w:jc w:val="center"/>
              <w:ind w:left="676"/>
              <w:spacing w:after="0"/>
              <w:rPr>
                <w:sz w:val="20"/>
                <w:szCs w:val="20"/>
                <w:color w:val="auto"/>
              </w:rPr>
            </w:pPr>
            <w:r>
              <w:rPr>
                <w:rFonts w:ascii="Arial" w:cs="Arial" w:eastAsia="Arial" w:hAnsi="Arial"/>
                <w:sz w:val="13"/>
                <w:szCs w:val="13"/>
                <w:color w:val="auto"/>
              </w:rPr>
              <w:t>/s/  CALVIN G. BUTLER, JR.</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JEANNE M. JONES</w:t>
            </w:r>
          </w:p>
        </w:tc>
      </w:tr>
      <w:tr>
        <w:trPr>
          <w:trHeight w:val="159"/>
        </w:trPr>
        <w:tc>
          <w:tcPr>
            <w:tcW w:w="4820" w:type="dxa"/>
            <w:vAlign w:val="bottom"/>
          </w:tcPr>
          <w:p>
            <w:pPr>
              <w:jc w:val="center"/>
              <w:ind w:left="676"/>
              <w:spacing w:after="0"/>
              <w:rPr>
                <w:sz w:val="20"/>
                <w:szCs w:val="20"/>
                <w:color w:val="auto"/>
              </w:rPr>
            </w:pPr>
            <w:r>
              <w:rPr>
                <w:rFonts w:ascii="Arial" w:cs="Arial" w:eastAsia="Arial" w:hAnsi="Arial"/>
                <w:sz w:val="13"/>
                <w:szCs w:val="13"/>
                <w:color w:val="auto"/>
                <w:w w:val="95"/>
              </w:rPr>
              <w:t>Calvin G. Butler, Jr.</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6"/>
              </w:rPr>
              <w:t>Jeanne M. Jones</w:t>
            </w:r>
          </w:p>
        </w:tc>
      </w:tr>
      <w:tr>
        <w:trPr>
          <w:trHeight w:val="130"/>
        </w:trPr>
        <w:tc>
          <w:tcPr>
            <w:tcW w:w="4820" w:type="dxa"/>
            <w:vAlign w:val="bottom"/>
          </w:tcPr>
          <w:p>
            <w:pPr>
              <w:jc w:val="center"/>
              <w:ind w:left="696"/>
              <w:spacing w:after="0" w:line="130" w:lineRule="exact"/>
              <w:rPr>
                <w:sz w:val="20"/>
                <w:szCs w:val="20"/>
                <w:color w:val="auto"/>
              </w:rPr>
            </w:pPr>
            <w:r>
              <w:rPr>
                <w:rFonts w:ascii="Arial" w:cs="Arial" w:eastAsia="Arial" w:hAnsi="Arial"/>
                <w:sz w:val="13"/>
                <w:szCs w:val="13"/>
                <w:color w:val="auto"/>
                <w:w w:val="97"/>
              </w:rPr>
              <w:t>President, Chief Executive Officer</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jc w:val="center"/>
              <w:spacing w:after="0" w:line="130" w:lineRule="exact"/>
              <w:rPr>
                <w:sz w:val="20"/>
                <w:szCs w:val="20"/>
                <w:color w:val="auto"/>
              </w:rPr>
            </w:pPr>
            <w:r>
              <w:rPr>
                <w:rFonts w:ascii="Arial" w:cs="Arial" w:eastAsia="Arial" w:hAnsi="Arial"/>
                <w:sz w:val="13"/>
                <w:szCs w:val="13"/>
                <w:color w:val="auto"/>
                <w:w w:val="97"/>
              </w:rPr>
              <w:t>Executive Vice President, Chief Finance Officer, Audit and Risk (Principal Financial Officer)</w:t>
            </w:r>
          </w:p>
        </w:tc>
      </w:tr>
      <w:tr>
        <w:trPr>
          <w:trHeight w:val="167"/>
        </w:trPr>
        <w:tc>
          <w:tcPr>
            <w:tcW w:w="4820" w:type="dxa"/>
            <w:vAlign w:val="bottom"/>
          </w:tcPr>
          <w:p>
            <w:pPr>
              <w:jc w:val="center"/>
              <w:ind w:left="676"/>
              <w:spacing w:after="0"/>
              <w:rPr>
                <w:sz w:val="20"/>
                <w:szCs w:val="20"/>
                <w:color w:val="auto"/>
              </w:rPr>
            </w:pPr>
            <w:r>
              <w:rPr>
                <w:rFonts w:ascii="Arial" w:cs="Arial" w:eastAsia="Arial" w:hAnsi="Arial"/>
                <w:sz w:val="13"/>
                <w:szCs w:val="13"/>
                <w:color w:val="auto"/>
                <w:w w:val="97"/>
              </w:rPr>
              <w:t>(Principal Executive Officer), and Director</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spacing w:after="0"/>
              <w:rPr>
                <w:sz w:val="14"/>
                <w:szCs w:val="14"/>
                <w:color w:val="auto"/>
              </w:rPr>
            </w:pPr>
          </w:p>
        </w:tc>
      </w:tr>
      <w:tr>
        <w:trPr>
          <w:trHeight w:val="213"/>
        </w:trPr>
        <w:tc>
          <w:tcPr>
            <w:tcW w:w="4820" w:type="dxa"/>
            <w:vAlign w:val="bottom"/>
            <w:tcBorders>
              <w:bottom w:val="single" w:sz="8" w:color="auto"/>
            </w:tcBorders>
          </w:tcPr>
          <w:p>
            <w:pPr>
              <w:jc w:val="center"/>
              <w:ind w:left="676"/>
              <w:spacing w:after="0"/>
              <w:rPr>
                <w:sz w:val="20"/>
                <w:szCs w:val="20"/>
                <w:color w:val="auto"/>
              </w:rPr>
            </w:pPr>
            <w:r>
              <w:rPr>
                <w:rFonts w:ascii="Arial" w:cs="Arial" w:eastAsia="Arial" w:hAnsi="Arial"/>
                <w:sz w:val="13"/>
                <w:szCs w:val="13"/>
                <w:color w:val="auto"/>
                <w:w w:val="97"/>
              </w:rPr>
              <w:t>/s/ ROBERT A. KLECZYNSKI</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159"/>
        </w:trPr>
        <w:tc>
          <w:tcPr>
            <w:tcW w:w="4820" w:type="dxa"/>
            <w:vAlign w:val="bottom"/>
          </w:tcPr>
          <w:p>
            <w:pPr>
              <w:jc w:val="center"/>
              <w:ind w:left="676"/>
              <w:spacing w:after="0"/>
              <w:rPr>
                <w:sz w:val="20"/>
                <w:szCs w:val="20"/>
                <w:color w:val="auto"/>
              </w:rPr>
            </w:pPr>
            <w:r>
              <w:rPr>
                <w:rFonts w:ascii="Arial" w:cs="Arial" w:eastAsia="Arial" w:hAnsi="Arial"/>
                <w:sz w:val="13"/>
                <w:szCs w:val="13"/>
                <w:color w:val="auto"/>
                <w:w w:val="96"/>
              </w:rPr>
              <w:t>Robert A. Kleczynski</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spacing w:after="0"/>
              <w:rPr>
                <w:sz w:val="13"/>
                <w:szCs w:val="13"/>
                <w:color w:val="auto"/>
              </w:rPr>
            </w:pPr>
          </w:p>
        </w:tc>
      </w:tr>
      <w:tr>
        <w:trPr>
          <w:trHeight w:val="170"/>
        </w:trPr>
        <w:tc>
          <w:tcPr>
            <w:tcW w:w="4820" w:type="dxa"/>
            <w:vAlign w:val="bottom"/>
          </w:tcPr>
          <w:p>
            <w:pPr>
              <w:jc w:val="center"/>
              <w:ind w:left="676"/>
              <w:spacing w:after="0"/>
              <w:rPr>
                <w:sz w:val="20"/>
                <w:szCs w:val="20"/>
                <w:color w:val="auto"/>
              </w:rPr>
            </w:pPr>
            <w:r>
              <w:rPr>
                <w:rFonts w:ascii="Arial" w:cs="Arial" w:eastAsia="Arial" w:hAnsi="Arial"/>
                <w:sz w:val="13"/>
                <w:szCs w:val="13"/>
                <w:color w:val="auto"/>
                <w:w w:val="97"/>
              </w:rPr>
              <w:t>Senior Vice President, Controller and Tax (Principal Accounting Officer)</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spacing w:after="0"/>
              <w:rPr>
                <w:sz w:val="14"/>
                <w:szCs w:val="14"/>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May 6, 2026</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Pursuant to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7060" w:type="dxa"/>
            <w:vAlign w:val="bottom"/>
            <w:gridSpan w:val="3"/>
          </w:tcPr>
          <w:p>
            <w:pPr>
              <w:ind w:left="260"/>
              <w:spacing w:after="0"/>
              <w:rPr>
                <w:sz w:val="20"/>
                <w:szCs w:val="20"/>
                <w:color w:val="auto"/>
              </w:rPr>
            </w:pPr>
            <w:r>
              <w:rPr>
                <w:rFonts w:ascii="Arial" w:cs="Arial" w:eastAsia="Arial" w:hAnsi="Arial"/>
                <w:sz w:val="13"/>
                <w:szCs w:val="13"/>
                <w:b w:val="1"/>
                <w:bCs w:val="1"/>
                <w:color w:val="auto"/>
              </w:rPr>
              <w:t>COMMONWEALTH EDISON COMPANY</w:t>
            </w:r>
          </w:p>
        </w:tc>
      </w:tr>
      <w:tr>
        <w:trPr>
          <w:trHeight w:val="409"/>
        </w:trPr>
        <w:tc>
          <w:tcPr>
            <w:tcW w:w="4200" w:type="dxa"/>
            <w:vAlign w:val="bottom"/>
            <w:tcBorders>
              <w:bottom w:val="single" w:sz="8" w:color="auto"/>
            </w:tcBorders>
          </w:tcPr>
          <w:p>
            <w:pPr>
              <w:jc w:val="center"/>
              <w:ind w:left="1296"/>
              <w:spacing w:after="0"/>
              <w:rPr>
                <w:sz w:val="20"/>
                <w:szCs w:val="20"/>
                <w:color w:val="auto"/>
              </w:rPr>
            </w:pPr>
            <w:r>
              <w:rPr>
                <w:rFonts w:ascii="Arial" w:cs="Arial" w:eastAsia="Arial" w:hAnsi="Arial"/>
                <w:sz w:val="13"/>
                <w:szCs w:val="13"/>
                <w:color w:val="auto"/>
                <w:w w:val="97"/>
              </w:rPr>
              <w:t>/s/ GIL C. QUINIONES</w:t>
            </w: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JOSHUA S. LEVIN</w:t>
            </w:r>
          </w:p>
        </w:tc>
      </w:tr>
      <w:tr>
        <w:trPr>
          <w:trHeight w:val="159"/>
        </w:trPr>
        <w:tc>
          <w:tcPr>
            <w:tcW w:w="4200" w:type="dxa"/>
            <w:vAlign w:val="bottom"/>
          </w:tcPr>
          <w:p>
            <w:pPr>
              <w:jc w:val="center"/>
              <w:ind w:left="1296"/>
              <w:spacing w:after="0"/>
              <w:rPr>
                <w:sz w:val="20"/>
                <w:szCs w:val="20"/>
                <w:color w:val="auto"/>
              </w:rPr>
            </w:pPr>
            <w:r>
              <w:rPr>
                <w:rFonts w:ascii="Arial" w:cs="Arial" w:eastAsia="Arial" w:hAnsi="Arial"/>
                <w:sz w:val="13"/>
                <w:szCs w:val="13"/>
                <w:color w:val="auto"/>
                <w:w w:val="97"/>
              </w:rPr>
              <w:t>Gil C. Quiniones</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9"/>
              </w:rPr>
              <w:t>Joshua S. Levin</w:t>
            </w:r>
          </w:p>
        </w:tc>
      </w:tr>
      <w:tr>
        <w:trPr>
          <w:trHeight w:val="130"/>
        </w:trPr>
        <w:tc>
          <w:tcPr>
            <w:tcW w:w="4200" w:type="dxa"/>
            <w:vAlign w:val="bottom"/>
          </w:tcPr>
          <w:p>
            <w:pPr>
              <w:jc w:val="center"/>
              <w:ind w:left="1316"/>
              <w:spacing w:after="0" w:line="130" w:lineRule="exact"/>
              <w:rPr>
                <w:sz w:val="20"/>
                <w:szCs w:val="20"/>
                <w:color w:val="auto"/>
              </w:rPr>
            </w:pPr>
            <w:r>
              <w:rPr>
                <w:rFonts w:ascii="Arial" w:cs="Arial" w:eastAsia="Arial" w:hAnsi="Arial"/>
                <w:sz w:val="13"/>
                <w:szCs w:val="13"/>
                <w:color w:val="auto"/>
                <w:w w:val="97"/>
              </w:rPr>
              <w:t>President, Chief Executive Officer</w:t>
            </w: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jc w:val="center"/>
              <w:spacing w:after="0" w:line="130" w:lineRule="exact"/>
              <w:rPr>
                <w:sz w:val="20"/>
                <w:szCs w:val="20"/>
                <w:color w:val="auto"/>
              </w:rPr>
            </w:pPr>
            <w:r>
              <w:rPr>
                <w:rFonts w:ascii="Arial" w:cs="Arial" w:eastAsia="Arial" w:hAnsi="Arial"/>
                <w:sz w:val="13"/>
                <w:szCs w:val="13"/>
                <w:color w:val="auto"/>
                <w:w w:val="97"/>
              </w:rPr>
              <w:t>Senior Vice President, Chief Financial Officer and Treasurer</w:t>
            </w:r>
          </w:p>
        </w:tc>
      </w:tr>
      <w:tr>
        <w:trPr>
          <w:trHeight w:val="167"/>
        </w:trPr>
        <w:tc>
          <w:tcPr>
            <w:tcW w:w="4200" w:type="dxa"/>
            <w:vAlign w:val="bottom"/>
          </w:tcPr>
          <w:p>
            <w:pPr>
              <w:jc w:val="center"/>
              <w:ind w:left="1296"/>
              <w:spacing w:after="0"/>
              <w:rPr>
                <w:sz w:val="20"/>
                <w:szCs w:val="20"/>
                <w:color w:val="auto"/>
              </w:rPr>
            </w:pPr>
            <w:r>
              <w:rPr>
                <w:rFonts w:ascii="Arial" w:cs="Arial" w:eastAsia="Arial" w:hAnsi="Arial"/>
                <w:sz w:val="13"/>
                <w:szCs w:val="13"/>
                <w:color w:val="auto"/>
                <w:w w:val="97"/>
              </w:rPr>
              <w:t>(Principal Executive Officer), and Director</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(Principal Financial Officer)</w:t>
            </w:r>
          </w:p>
        </w:tc>
      </w:tr>
      <w:tr>
        <w:trPr>
          <w:trHeight w:val="213"/>
        </w:trPr>
        <w:tc>
          <w:tcPr>
            <w:tcW w:w="4200" w:type="dxa"/>
            <w:vAlign w:val="bottom"/>
            <w:tcBorders>
              <w:bottom w:val="single" w:sz="8" w:color="auto"/>
            </w:tcBorders>
          </w:tcPr>
          <w:p>
            <w:pPr>
              <w:jc w:val="center"/>
              <w:ind w:left="1296"/>
              <w:spacing w:after="0"/>
              <w:rPr>
                <w:sz w:val="20"/>
                <w:szCs w:val="20"/>
                <w:color w:val="auto"/>
              </w:rPr>
            </w:pPr>
            <w:r>
              <w:rPr>
                <w:rFonts w:ascii="Arial" w:cs="Arial" w:eastAsia="Arial" w:hAnsi="Arial"/>
                <w:sz w:val="13"/>
                <w:szCs w:val="13"/>
                <w:color w:val="auto"/>
              </w:rPr>
              <w:t>/s/  ERIN V. WHITE</w:t>
            </w: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159"/>
        </w:trPr>
        <w:tc>
          <w:tcPr>
            <w:tcW w:w="4200" w:type="dxa"/>
            <w:vAlign w:val="bottom"/>
          </w:tcPr>
          <w:p>
            <w:pPr>
              <w:jc w:val="center"/>
              <w:ind w:left="1296"/>
              <w:spacing w:after="0"/>
              <w:rPr>
                <w:sz w:val="20"/>
                <w:szCs w:val="20"/>
                <w:color w:val="auto"/>
              </w:rPr>
            </w:pPr>
            <w:r>
              <w:rPr>
                <w:rFonts w:ascii="Arial" w:cs="Arial" w:eastAsia="Arial" w:hAnsi="Arial"/>
                <w:sz w:val="13"/>
                <w:szCs w:val="13"/>
                <w:color w:val="auto"/>
                <w:w w:val="94"/>
              </w:rPr>
              <w:t>Erin V. White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spacing w:after="0"/>
              <w:rPr>
                <w:sz w:val="13"/>
                <w:szCs w:val="13"/>
                <w:color w:val="auto"/>
              </w:rPr>
            </w:pPr>
          </w:p>
        </w:tc>
      </w:tr>
      <w:tr>
        <w:trPr>
          <w:trHeight w:val="130"/>
        </w:trPr>
        <w:tc>
          <w:tcPr>
            <w:tcW w:w="4200" w:type="dxa"/>
            <w:vAlign w:val="bottom"/>
          </w:tcPr>
          <w:p>
            <w:pPr>
              <w:jc w:val="center"/>
              <w:ind w:left="1316"/>
              <w:spacing w:after="0" w:line="130" w:lineRule="exact"/>
              <w:rPr>
                <w:sz w:val="20"/>
                <w:szCs w:val="20"/>
                <w:color w:val="auto"/>
              </w:rPr>
            </w:pPr>
            <w:r>
              <w:rPr>
                <w:rFonts w:ascii="Arial" w:cs="Arial" w:eastAsia="Arial" w:hAnsi="Arial"/>
                <w:sz w:val="13"/>
                <w:szCs w:val="13"/>
                <w:color w:val="auto"/>
                <w:w w:val="97"/>
              </w:rPr>
              <w:t>Director, Accounting</w:t>
            </w: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167"/>
        </w:trPr>
        <w:tc>
          <w:tcPr>
            <w:tcW w:w="4200" w:type="dxa"/>
            <w:vAlign w:val="bottom"/>
          </w:tcPr>
          <w:p>
            <w:pPr>
              <w:jc w:val="center"/>
              <w:ind w:left="1296"/>
              <w:spacing w:after="0"/>
              <w:rPr>
                <w:sz w:val="20"/>
                <w:szCs w:val="20"/>
                <w:color w:val="auto"/>
              </w:rPr>
            </w:pPr>
            <w:r>
              <w:rPr>
                <w:rFonts w:ascii="Arial" w:cs="Arial" w:eastAsia="Arial" w:hAnsi="Arial"/>
                <w:sz w:val="13"/>
                <w:szCs w:val="13"/>
                <w:color w:val="auto"/>
                <w:w w:val="97"/>
              </w:rPr>
              <w:t>(Principal Accounting Officer)</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spacing w:after="0"/>
              <w:rPr>
                <w:sz w:val="14"/>
                <w:szCs w:val="14"/>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May 6, 2026</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Pursuant to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gridSpan w:val="3"/>
          </w:tcPr>
          <w:p>
            <w:pPr>
              <w:ind w:left="4820"/>
              <w:spacing w:after="0"/>
              <w:rPr>
                <w:sz w:val="20"/>
                <w:szCs w:val="20"/>
                <w:color w:val="auto"/>
              </w:rPr>
            </w:pPr>
            <w:r>
              <w:rPr>
                <w:rFonts w:ascii="Arial" w:cs="Arial" w:eastAsia="Arial" w:hAnsi="Arial"/>
                <w:sz w:val="13"/>
                <w:szCs w:val="13"/>
                <w:b w:val="1"/>
                <w:bCs w:val="1"/>
                <w:color w:val="auto"/>
              </w:rPr>
              <w:t>PECO ENERGY COMPANY</w:t>
            </w:r>
          </w:p>
        </w:tc>
        <w:tc>
          <w:tcPr>
            <w:tcW w:w="4660" w:type="dxa"/>
            <w:vAlign w:val="bottom"/>
          </w:tcPr>
          <w:p>
            <w:pPr>
              <w:spacing w:after="0"/>
              <w:rPr>
                <w:sz w:val="15"/>
                <w:szCs w:val="15"/>
                <w:color w:val="auto"/>
              </w:rPr>
            </w:pPr>
          </w:p>
        </w:tc>
      </w:tr>
      <w:tr>
        <w:trPr>
          <w:trHeight w:val="409"/>
        </w:trPr>
        <w:tc>
          <w:tcPr>
            <w:tcW w:w="2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MICHAEL A. INNOCENZO</w:t>
            </w: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jc w:val="center"/>
              <w:ind w:right="876"/>
              <w:spacing w:after="0"/>
              <w:rPr>
                <w:sz w:val="20"/>
                <w:szCs w:val="20"/>
                <w:color w:val="auto"/>
              </w:rPr>
            </w:pPr>
            <w:r>
              <w:rPr>
                <w:rFonts w:ascii="Arial" w:cs="Arial" w:eastAsia="Arial" w:hAnsi="Arial"/>
                <w:sz w:val="13"/>
                <w:szCs w:val="13"/>
                <w:color w:val="auto"/>
              </w:rPr>
              <w:t>/s/  MARISSA E. HUMPHREY</w:t>
            </w:r>
          </w:p>
        </w:tc>
      </w:tr>
      <w:tr>
        <w:trPr>
          <w:trHeight w:val="159"/>
        </w:trPr>
        <w:tc>
          <w:tcPr>
            <w:tcW w:w="20" w:type="dxa"/>
            <w:vAlign w:val="bottom"/>
          </w:tcPr>
          <w:p>
            <w:pPr>
              <w:spacing w:after="0"/>
              <w:rPr>
                <w:sz w:val="13"/>
                <w:szCs w:val="13"/>
                <w:color w:val="auto"/>
              </w:rPr>
            </w:pPr>
          </w:p>
        </w:tc>
        <w:tc>
          <w:tcPr>
            <w:tcW w:w="6600" w:type="dxa"/>
            <w:vAlign w:val="bottom"/>
            <w:gridSpan w:val="3"/>
          </w:tcPr>
          <w:p>
            <w:pPr>
              <w:jc w:val="center"/>
              <w:ind w:right="1040"/>
              <w:spacing w:after="0"/>
              <w:rPr>
                <w:sz w:val="20"/>
                <w:szCs w:val="20"/>
                <w:color w:val="auto"/>
              </w:rPr>
            </w:pPr>
            <w:r>
              <w:rPr>
                <w:rFonts w:ascii="Arial" w:cs="Arial" w:eastAsia="Arial" w:hAnsi="Arial"/>
                <w:sz w:val="13"/>
                <w:szCs w:val="13"/>
                <w:color w:val="auto"/>
                <w:w w:val="96"/>
              </w:rPr>
              <w:t>Michael A. Innocenzo</w:t>
            </w:r>
          </w:p>
        </w:tc>
        <w:tc>
          <w:tcPr>
            <w:tcW w:w="4660" w:type="dxa"/>
            <w:vAlign w:val="bottom"/>
          </w:tcPr>
          <w:p>
            <w:pPr>
              <w:jc w:val="center"/>
              <w:ind w:right="856"/>
              <w:spacing w:after="0"/>
              <w:rPr>
                <w:sz w:val="20"/>
                <w:szCs w:val="20"/>
                <w:color w:val="auto"/>
              </w:rPr>
            </w:pPr>
            <w:r>
              <w:rPr>
                <w:rFonts w:ascii="Arial" w:cs="Arial" w:eastAsia="Arial" w:hAnsi="Arial"/>
                <w:sz w:val="13"/>
                <w:szCs w:val="13"/>
                <w:color w:val="auto"/>
                <w:w w:val="97"/>
              </w:rPr>
              <w:t>Marissa E. Humphrey</w:t>
            </w:r>
          </w:p>
        </w:tc>
      </w:tr>
      <w:tr>
        <w:trPr>
          <w:trHeight w:val="130"/>
        </w:trPr>
        <w:tc>
          <w:tcPr>
            <w:tcW w:w="20" w:type="dxa"/>
            <w:vAlign w:val="bottom"/>
          </w:tcPr>
          <w:p>
            <w:pPr>
              <w:spacing w:after="0"/>
              <w:rPr>
                <w:sz w:val="11"/>
                <w:szCs w:val="11"/>
                <w:color w:val="auto"/>
              </w:rPr>
            </w:pPr>
          </w:p>
        </w:tc>
        <w:tc>
          <w:tcPr>
            <w:tcW w:w="6600" w:type="dxa"/>
            <w:vAlign w:val="bottom"/>
            <w:gridSpan w:val="3"/>
          </w:tcPr>
          <w:p>
            <w:pPr>
              <w:jc w:val="center"/>
              <w:ind w:right="1040"/>
              <w:spacing w:after="0" w:line="130" w:lineRule="exact"/>
              <w:rPr>
                <w:sz w:val="20"/>
                <w:szCs w:val="20"/>
                <w:color w:val="auto"/>
              </w:rPr>
            </w:pPr>
            <w:r>
              <w:rPr>
                <w:rFonts w:ascii="Arial" w:cs="Arial" w:eastAsia="Arial" w:hAnsi="Arial"/>
                <w:sz w:val="13"/>
                <w:szCs w:val="13"/>
                <w:color w:val="auto"/>
                <w:w w:val="97"/>
              </w:rPr>
              <w:t>Interim President, Chief Executive Officer (Principal Executive Officer), and Director</w:t>
            </w:r>
          </w:p>
        </w:tc>
        <w:tc>
          <w:tcPr>
            <w:tcW w:w="4660" w:type="dxa"/>
            <w:vAlign w:val="bottom"/>
          </w:tcPr>
          <w:p>
            <w:pPr>
              <w:jc w:val="center"/>
              <w:ind w:right="876"/>
              <w:spacing w:after="0" w:line="130" w:lineRule="exact"/>
              <w:rPr>
                <w:sz w:val="20"/>
                <w:szCs w:val="20"/>
                <w:color w:val="auto"/>
              </w:rPr>
            </w:pPr>
            <w:r>
              <w:rPr>
                <w:rFonts w:ascii="Arial" w:cs="Arial" w:eastAsia="Arial" w:hAnsi="Arial"/>
                <w:sz w:val="13"/>
                <w:szCs w:val="13"/>
                <w:color w:val="auto"/>
                <w:w w:val="97"/>
              </w:rPr>
              <w:t>Senior Vice President, Chief Financial Officer and Treasurer</w:t>
            </w: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jc w:val="center"/>
              <w:ind w:right="876"/>
              <w:spacing w:after="0"/>
              <w:rPr>
                <w:sz w:val="20"/>
                <w:szCs w:val="20"/>
                <w:color w:val="auto"/>
              </w:rPr>
            </w:pPr>
            <w:r>
              <w:rPr>
                <w:rFonts w:ascii="Arial" w:cs="Arial" w:eastAsia="Arial" w:hAnsi="Arial"/>
                <w:sz w:val="13"/>
                <w:szCs w:val="13"/>
                <w:color w:val="auto"/>
                <w:w w:val="97"/>
              </w:rPr>
              <w:t>(Principal Financial Officer)</w:t>
            </w:r>
          </w:p>
        </w:tc>
      </w:tr>
      <w:tr>
        <w:trPr>
          <w:trHeight w:val="213"/>
        </w:trPr>
        <w:tc>
          <w:tcPr>
            <w:tcW w:w="20" w:type="dxa"/>
            <w:vAlign w:val="bottom"/>
          </w:tcPr>
          <w:p>
            <w:pPr>
              <w:spacing w:after="0"/>
              <w:rPr>
                <w:sz w:val="18"/>
                <w:szCs w:val="18"/>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MARIANA HUFFORD</w:t>
            </w:r>
          </w:p>
        </w:tc>
        <w:tc>
          <w:tcPr>
            <w:tcW w:w="1040" w:type="dxa"/>
            <w:vAlign w:val="bottom"/>
            <w:gridSpan w:val="2"/>
          </w:tcPr>
          <w:p>
            <w:pPr>
              <w:spacing w:after="0"/>
              <w:rPr>
                <w:sz w:val="18"/>
                <w:szCs w:val="18"/>
                <w:color w:val="auto"/>
              </w:rPr>
            </w:pPr>
          </w:p>
        </w:tc>
        <w:tc>
          <w:tcPr>
            <w:tcW w:w="466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6600" w:type="dxa"/>
            <w:vAlign w:val="bottom"/>
            <w:gridSpan w:val="3"/>
          </w:tcPr>
          <w:p>
            <w:pPr>
              <w:jc w:val="center"/>
              <w:ind w:right="1040"/>
              <w:spacing w:after="0"/>
              <w:rPr>
                <w:sz w:val="20"/>
                <w:szCs w:val="20"/>
                <w:color w:val="auto"/>
              </w:rPr>
            </w:pPr>
            <w:r>
              <w:rPr>
                <w:rFonts w:ascii="Arial" w:cs="Arial" w:eastAsia="Arial" w:hAnsi="Arial"/>
                <w:sz w:val="13"/>
                <w:szCs w:val="13"/>
                <w:color w:val="auto"/>
                <w:w w:val="98"/>
              </w:rPr>
              <w:t>Mariana Hufford</w:t>
            </w:r>
          </w:p>
        </w:tc>
        <w:tc>
          <w:tcPr>
            <w:tcW w:w="466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6600" w:type="dxa"/>
            <w:vAlign w:val="bottom"/>
            <w:gridSpan w:val="3"/>
          </w:tcPr>
          <w:p>
            <w:pPr>
              <w:jc w:val="center"/>
              <w:ind w:right="1020"/>
              <w:spacing w:after="0" w:line="130" w:lineRule="exact"/>
              <w:rPr>
                <w:sz w:val="20"/>
                <w:szCs w:val="20"/>
                <w:color w:val="auto"/>
              </w:rPr>
            </w:pPr>
            <w:r>
              <w:rPr>
                <w:rFonts w:ascii="Arial" w:cs="Arial" w:eastAsia="Arial" w:hAnsi="Arial"/>
                <w:sz w:val="13"/>
                <w:szCs w:val="13"/>
                <w:color w:val="auto"/>
                <w:w w:val="97"/>
              </w:rPr>
              <w:t>Director, Accounting</w:t>
            </w:r>
          </w:p>
        </w:tc>
        <w:tc>
          <w:tcPr>
            <w:tcW w:w="46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6600" w:type="dxa"/>
            <w:vAlign w:val="bottom"/>
            <w:gridSpan w:val="3"/>
          </w:tcPr>
          <w:p>
            <w:pPr>
              <w:jc w:val="center"/>
              <w:ind w:right="1040"/>
              <w:spacing w:after="0"/>
              <w:rPr>
                <w:sz w:val="20"/>
                <w:szCs w:val="20"/>
                <w:color w:val="auto"/>
              </w:rPr>
            </w:pPr>
            <w:r>
              <w:rPr>
                <w:rFonts w:ascii="Arial" w:cs="Arial" w:eastAsia="Arial" w:hAnsi="Arial"/>
                <w:sz w:val="13"/>
                <w:szCs w:val="13"/>
                <w:color w:val="auto"/>
                <w:w w:val="97"/>
              </w:rPr>
              <w:t>(Principal Accounting Officer)</w:t>
            </w:r>
          </w:p>
        </w:tc>
        <w:tc>
          <w:tcPr>
            <w:tcW w:w="4660" w:type="dxa"/>
            <w:vAlign w:val="bottom"/>
          </w:tcPr>
          <w:p>
            <w:pPr>
              <w:spacing w:after="0"/>
              <w:rPr>
                <w:sz w:val="14"/>
                <w:szCs w:val="14"/>
                <w:color w:val="auto"/>
              </w:rPr>
            </w:pPr>
          </w:p>
        </w:tc>
      </w:tr>
      <w:tr>
        <w:trPr>
          <w:trHeight w:val="286"/>
        </w:trPr>
        <w:tc>
          <w:tcPr>
            <w:tcW w:w="6620" w:type="dxa"/>
            <w:vAlign w:val="bottom"/>
            <w:gridSpan w:val="4"/>
          </w:tcPr>
          <w:p>
            <w:pPr>
              <w:spacing w:after="0"/>
              <w:rPr>
                <w:sz w:val="20"/>
                <w:szCs w:val="20"/>
                <w:color w:val="auto"/>
              </w:rPr>
            </w:pPr>
            <w:r>
              <w:rPr>
                <w:rFonts w:ascii="Arial" w:cs="Arial" w:eastAsia="Arial" w:hAnsi="Arial"/>
                <w:sz w:val="13"/>
                <w:szCs w:val="13"/>
                <w:color w:val="auto"/>
              </w:rPr>
              <w:t>May 6, 2026</w:t>
            </w:r>
          </w:p>
        </w:tc>
        <w:tc>
          <w:tcPr>
            <w:tcW w:w="4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Pursuant to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7160" w:type="dxa"/>
            <w:vAlign w:val="bottom"/>
            <w:gridSpan w:val="3"/>
          </w:tcPr>
          <w:p>
            <w:pPr>
              <w:ind w:left="160"/>
              <w:spacing w:after="0"/>
              <w:rPr>
                <w:sz w:val="20"/>
                <w:szCs w:val="20"/>
                <w:color w:val="auto"/>
              </w:rPr>
            </w:pPr>
            <w:r>
              <w:rPr>
                <w:rFonts w:ascii="Arial" w:cs="Arial" w:eastAsia="Arial" w:hAnsi="Arial"/>
                <w:sz w:val="13"/>
                <w:szCs w:val="13"/>
                <w:b w:val="1"/>
                <w:bCs w:val="1"/>
                <w:color w:val="auto"/>
              </w:rPr>
              <w:t>BALTIMORE GAS AND ELECTRIC COMPANY</w:t>
            </w:r>
          </w:p>
        </w:tc>
      </w:tr>
      <w:tr>
        <w:trPr>
          <w:trHeight w:val="409"/>
        </w:trPr>
        <w:tc>
          <w:tcPr>
            <w:tcW w:w="4100" w:type="dxa"/>
            <w:vAlign w:val="bottom"/>
            <w:tcBorders>
              <w:bottom w:val="single" w:sz="8" w:color="auto"/>
            </w:tcBorders>
          </w:tcPr>
          <w:p>
            <w:pPr>
              <w:jc w:val="center"/>
              <w:ind w:left="1396"/>
              <w:spacing w:after="0"/>
              <w:rPr>
                <w:sz w:val="20"/>
                <w:szCs w:val="20"/>
                <w:color w:val="auto"/>
              </w:rPr>
            </w:pPr>
            <w:r>
              <w:rPr>
                <w:rFonts w:ascii="Arial" w:cs="Arial" w:eastAsia="Arial" w:hAnsi="Arial"/>
                <w:sz w:val="13"/>
                <w:szCs w:val="13"/>
                <w:color w:val="auto"/>
              </w:rPr>
              <w:t>/s/  TAMLA A. OLIVIER</w:t>
            </w: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MICHAEL J. CLOYD</w:t>
            </w:r>
          </w:p>
        </w:tc>
      </w:tr>
      <w:tr>
        <w:trPr>
          <w:trHeight w:val="159"/>
        </w:trPr>
        <w:tc>
          <w:tcPr>
            <w:tcW w:w="4100" w:type="dxa"/>
            <w:vAlign w:val="bottom"/>
          </w:tcPr>
          <w:p>
            <w:pPr>
              <w:jc w:val="center"/>
              <w:ind w:left="1396"/>
              <w:spacing w:after="0"/>
              <w:rPr>
                <w:sz w:val="20"/>
                <w:szCs w:val="20"/>
                <w:color w:val="auto"/>
              </w:rPr>
            </w:pPr>
            <w:r>
              <w:rPr>
                <w:rFonts w:ascii="Arial" w:cs="Arial" w:eastAsia="Arial" w:hAnsi="Arial"/>
                <w:sz w:val="13"/>
                <w:szCs w:val="13"/>
                <w:color w:val="auto"/>
                <w:w w:val="95"/>
              </w:rPr>
              <w:t>Tamla A. Olivier</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6"/>
              </w:rPr>
              <w:t>Michael J. Cloyd</w:t>
            </w:r>
          </w:p>
        </w:tc>
      </w:tr>
      <w:tr>
        <w:trPr>
          <w:trHeight w:val="130"/>
        </w:trPr>
        <w:tc>
          <w:tcPr>
            <w:tcW w:w="4100" w:type="dxa"/>
            <w:vAlign w:val="bottom"/>
          </w:tcPr>
          <w:p>
            <w:pPr>
              <w:jc w:val="center"/>
              <w:ind w:left="1416"/>
              <w:spacing w:after="0" w:line="130" w:lineRule="exact"/>
              <w:rPr>
                <w:sz w:val="20"/>
                <w:szCs w:val="20"/>
                <w:color w:val="auto"/>
              </w:rPr>
            </w:pPr>
            <w:r>
              <w:rPr>
                <w:rFonts w:ascii="Arial" w:cs="Arial" w:eastAsia="Arial" w:hAnsi="Arial"/>
                <w:sz w:val="13"/>
                <w:szCs w:val="13"/>
                <w:color w:val="auto"/>
                <w:w w:val="97"/>
              </w:rPr>
              <w:t>President, Chief Executive Officer</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jc w:val="center"/>
              <w:spacing w:after="0" w:line="130" w:lineRule="exact"/>
              <w:rPr>
                <w:sz w:val="20"/>
                <w:szCs w:val="20"/>
                <w:color w:val="auto"/>
              </w:rPr>
            </w:pPr>
            <w:r>
              <w:rPr>
                <w:rFonts w:ascii="Arial" w:cs="Arial" w:eastAsia="Arial" w:hAnsi="Arial"/>
                <w:sz w:val="13"/>
                <w:szCs w:val="13"/>
                <w:color w:val="auto"/>
                <w:w w:val="97"/>
              </w:rPr>
              <w:t>Senior Vice President, Chief Financial Officer and Treasurer</w:t>
            </w:r>
          </w:p>
        </w:tc>
      </w:tr>
      <w:tr>
        <w:trPr>
          <w:trHeight w:val="167"/>
        </w:trPr>
        <w:tc>
          <w:tcPr>
            <w:tcW w:w="4100" w:type="dxa"/>
            <w:vAlign w:val="bottom"/>
          </w:tcPr>
          <w:p>
            <w:pPr>
              <w:jc w:val="center"/>
              <w:ind w:left="1396"/>
              <w:spacing w:after="0"/>
              <w:rPr>
                <w:sz w:val="20"/>
                <w:szCs w:val="20"/>
                <w:color w:val="auto"/>
              </w:rPr>
            </w:pPr>
            <w:r>
              <w:rPr>
                <w:rFonts w:ascii="Arial" w:cs="Arial" w:eastAsia="Arial" w:hAnsi="Arial"/>
                <w:sz w:val="13"/>
                <w:szCs w:val="13"/>
                <w:color w:val="auto"/>
                <w:w w:val="97"/>
              </w:rPr>
              <w:t>(Principal Executive Officer), and Director</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(Principal Financial Officer)</w:t>
            </w:r>
          </w:p>
        </w:tc>
      </w:tr>
      <w:tr>
        <w:trPr>
          <w:trHeight w:val="213"/>
        </w:trPr>
        <w:tc>
          <w:tcPr>
            <w:tcW w:w="4100" w:type="dxa"/>
            <w:vAlign w:val="bottom"/>
            <w:tcBorders>
              <w:bottom w:val="single" w:sz="8" w:color="auto"/>
            </w:tcBorders>
          </w:tcPr>
          <w:p>
            <w:pPr>
              <w:jc w:val="center"/>
              <w:ind w:left="1436"/>
              <w:spacing w:after="0"/>
              <w:rPr>
                <w:sz w:val="20"/>
                <w:szCs w:val="20"/>
                <w:color w:val="auto"/>
              </w:rPr>
            </w:pPr>
            <w:r>
              <w:rPr>
                <w:rFonts w:ascii="Arial" w:cs="Arial" w:eastAsia="Arial" w:hAnsi="Arial"/>
                <w:sz w:val="13"/>
                <w:szCs w:val="13"/>
                <w:color w:val="auto"/>
                <w:w w:val="96"/>
              </w:rPr>
              <w:t>/s/ DAMON M. SCOLERI</w:t>
            </w:r>
          </w:p>
        </w:tc>
        <w:tc>
          <w:tcPr>
            <w:tcW w:w="1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159"/>
        </w:trPr>
        <w:tc>
          <w:tcPr>
            <w:tcW w:w="4100" w:type="dxa"/>
            <w:vAlign w:val="bottom"/>
          </w:tcPr>
          <w:p>
            <w:pPr>
              <w:jc w:val="center"/>
              <w:ind w:left="1396"/>
              <w:spacing w:after="0"/>
              <w:rPr>
                <w:sz w:val="20"/>
                <w:szCs w:val="20"/>
                <w:color w:val="auto"/>
              </w:rPr>
            </w:pPr>
            <w:r>
              <w:rPr>
                <w:rFonts w:ascii="Arial" w:cs="Arial" w:eastAsia="Arial" w:hAnsi="Arial"/>
                <w:sz w:val="13"/>
                <w:szCs w:val="13"/>
                <w:color w:val="auto"/>
                <w:w w:val="96"/>
              </w:rPr>
              <w:t>Damon M. Scoleri</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spacing w:after="0"/>
              <w:rPr>
                <w:sz w:val="13"/>
                <w:szCs w:val="13"/>
                <w:color w:val="auto"/>
              </w:rPr>
            </w:pPr>
          </w:p>
        </w:tc>
      </w:tr>
      <w:tr>
        <w:trPr>
          <w:trHeight w:val="130"/>
        </w:trPr>
        <w:tc>
          <w:tcPr>
            <w:tcW w:w="4100" w:type="dxa"/>
            <w:vAlign w:val="bottom"/>
          </w:tcPr>
          <w:p>
            <w:pPr>
              <w:jc w:val="center"/>
              <w:ind w:left="1416"/>
              <w:spacing w:after="0" w:line="130" w:lineRule="exact"/>
              <w:rPr>
                <w:sz w:val="20"/>
                <w:szCs w:val="20"/>
                <w:color w:val="auto"/>
              </w:rPr>
            </w:pPr>
            <w:r>
              <w:rPr>
                <w:rFonts w:ascii="Arial" w:cs="Arial" w:eastAsia="Arial" w:hAnsi="Arial"/>
                <w:sz w:val="13"/>
                <w:szCs w:val="13"/>
                <w:color w:val="auto"/>
                <w:w w:val="97"/>
              </w:rPr>
              <w:t>Director, Accounting</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167"/>
        </w:trPr>
        <w:tc>
          <w:tcPr>
            <w:tcW w:w="4100" w:type="dxa"/>
            <w:vAlign w:val="bottom"/>
          </w:tcPr>
          <w:p>
            <w:pPr>
              <w:jc w:val="center"/>
              <w:ind w:left="1396"/>
              <w:spacing w:after="0"/>
              <w:rPr>
                <w:sz w:val="20"/>
                <w:szCs w:val="20"/>
                <w:color w:val="auto"/>
              </w:rPr>
            </w:pPr>
            <w:r>
              <w:rPr>
                <w:rFonts w:ascii="Arial" w:cs="Arial" w:eastAsia="Arial" w:hAnsi="Arial"/>
                <w:sz w:val="13"/>
                <w:szCs w:val="13"/>
                <w:color w:val="auto"/>
                <w:w w:val="97"/>
              </w:rPr>
              <w:t>(Principal Accounting Officer)</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spacing w:after="0"/>
              <w:rPr>
                <w:sz w:val="14"/>
                <w:szCs w:val="14"/>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Pursuant to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6840" w:type="dxa"/>
            <w:vAlign w:val="bottom"/>
            <w:gridSpan w:val="3"/>
          </w:tcPr>
          <w:p>
            <w:pPr>
              <w:ind w:left="480"/>
              <w:spacing w:after="0"/>
              <w:rPr>
                <w:sz w:val="20"/>
                <w:szCs w:val="20"/>
                <w:color w:val="auto"/>
              </w:rPr>
            </w:pPr>
            <w:r>
              <w:rPr>
                <w:rFonts w:ascii="Arial" w:cs="Arial" w:eastAsia="Arial" w:hAnsi="Arial"/>
                <w:sz w:val="13"/>
                <w:szCs w:val="13"/>
                <w:b w:val="1"/>
                <w:bCs w:val="1"/>
                <w:color w:val="auto"/>
              </w:rPr>
              <w:t>PEPCO HOLDINGS LLC</w:t>
            </w:r>
          </w:p>
        </w:tc>
      </w:tr>
      <w:tr>
        <w:trPr>
          <w:trHeight w:val="441"/>
        </w:trPr>
        <w:tc>
          <w:tcPr>
            <w:tcW w:w="4420" w:type="dxa"/>
            <w:vAlign w:val="bottom"/>
            <w:tcBorders>
              <w:bottom w:val="single" w:sz="8" w:color="auto"/>
            </w:tcBorders>
          </w:tcPr>
          <w:p>
            <w:pPr>
              <w:jc w:val="center"/>
              <w:ind w:left="1076"/>
              <w:spacing w:after="0"/>
              <w:rPr>
                <w:sz w:val="20"/>
                <w:szCs w:val="20"/>
                <w:color w:val="auto"/>
              </w:rPr>
            </w:pPr>
            <w:r>
              <w:rPr>
                <w:rFonts w:ascii="Arial" w:cs="Arial" w:eastAsia="Arial" w:hAnsi="Arial"/>
                <w:sz w:val="13"/>
                <w:szCs w:val="13"/>
                <w:color w:val="auto"/>
                <w:w w:val="97"/>
              </w:rPr>
              <w:t>/s/ J. TYLER ANTHONY</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ELIZABETH MORGAN DOWNS O'DONNELL</w:t>
            </w:r>
          </w:p>
        </w:tc>
      </w:tr>
      <w:tr>
        <w:trPr>
          <w:trHeight w:val="159"/>
        </w:trPr>
        <w:tc>
          <w:tcPr>
            <w:tcW w:w="4420" w:type="dxa"/>
            <w:vAlign w:val="bottom"/>
          </w:tcPr>
          <w:p>
            <w:pPr>
              <w:jc w:val="center"/>
              <w:ind w:left="1076"/>
              <w:spacing w:after="0"/>
              <w:rPr>
                <w:sz w:val="20"/>
                <w:szCs w:val="20"/>
                <w:color w:val="auto"/>
              </w:rPr>
            </w:pPr>
            <w:r>
              <w:rPr>
                <w:rFonts w:ascii="Arial" w:cs="Arial" w:eastAsia="Arial" w:hAnsi="Arial"/>
                <w:sz w:val="13"/>
                <w:szCs w:val="13"/>
                <w:color w:val="auto"/>
                <w:w w:val="97"/>
              </w:rPr>
              <w:t>J. Tyler Anthony</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Elizabeth Morgan Downs O'Donnell</w:t>
            </w:r>
          </w:p>
        </w:tc>
      </w:tr>
      <w:tr>
        <w:trPr>
          <w:trHeight w:val="130"/>
        </w:trPr>
        <w:tc>
          <w:tcPr>
            <w:tcW w:w="4420" w:type="dxa"/>
            <w:vAlign w:val="bottom"/>
          </w:tcPr>
          <w:p>
            <w:pPr>
              <w:jc w:val="center"/>
              <w:ind w:left="1056"/>
              <w:spacing w:after="0" w:line="130" w:lineRule="exact"/>
              <w:rPr>
                <w:sz w:val="20"/>
                <w:szCs w:val="20"/>
                <w:color w:val="auto"/>
              </w:rPr>
            </w:pPr>
            <w:r>
              <w:rPr>
                <w:rFonts w:ascii="Arial" w:cs="Arial" w:eastAsia="Arial" w:hAnsi="Arial"/>
                <w:sz w:val="13"/>
                <w:szCs w:val="13"/>
                <w:color w:val="auto"/>
                <w:w w:val="97"/>
              </w:rPr>
              <w:t>President, Chief Executive Officer</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jc w:val="center"/>
              <w:spacing w:after="0" w:line="130" w:lineRule="exact"/>
              <w:rPr>
                <w:sz w:val="20"/>
                <w:szCs w:val="20"/>
                <w:color w:val="auto"/>
              </w:rPr>
            </w:pPr>
            <w:r>
              <w:rPr>
                <w:rFonts w:ascii="Arial" w:cs="Arial" w:eastAsia="Arial" w:hAnsi="Arial"/>
                <w:sz w:val="13"/>
                <w:szCs w:val="13"/>
                <w:color w:val="auto"/>
                <w:w w:val="97"/>
              </w:rPr>
              <w:t>Senior Vice President, Chief Financial Officer and Treasurer</w:t>
            </w:r>
          </w:p>
        </w:tc>
      </w:tr>
      <w:tr>
        <w:trPr>
          <w:trHeight w:val="167"/>
        </w:trPr>
        <w:tc>
          <w:tcPr>
            <w:tcW w:w="4420" w:type="dxa"/>
            <w:vAlign w:val="bottom"/>
          </w:tcPr>
          <w:p>
            <w:pPr>
              <w:jc w:val="center"/>
              <w:ind w:left="1076"/>
              <w:spacing w:after="0"/>
              <w:rPr>
                <w:sz w:val="20"/>
                <w:szCs w:val="20"/>
                <w:color w:val="auto"/>
              </w:rPr>
            </w:pPr>
            <w:r>
              <w:rPr>
                <w:rFonts w:ascii="Arial" w:cs="Arial" w:eastAsia="Arial" w:hAnsi="Arial"/>
                <w:sz w:val="13"/>
                <w:szCs w:val="13"/>
                <w:color w:val="auto"/>
                <w:w w:val="97"/>
              </w:rPr>
              <w:t>(Principal Executive Officer), and Director</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(Principal Financial Officer)</w:t>
            </w:r>
          </w:p>
        </w:tc>
      </w:tr>
      <w:tr>
        <w:trPr>
          <w:trHeight w:val="213"/>
        </w:trPr>
        <w:tc>
          <w:tcPr>
            <w:tcW w:w="4420" w:type="dxa"/>
            <w:vAlign w:val="bottom"/>
            <w:tcBorders>
              <w:bottom w:val="single" w:sz="8" w:color="auto"/>
            </w:tcBorders>
          </w:tcPr>
          <w:p>
            <w:pPr>
              <w:jc w:val="center"/>
              <w:ind w:left="1076"/>
              <w:spacing w:after="0"/>
              <w:rPr>
                <w:sz w:val="20"/>
                <w:szCs w:val="20"/>
                <w:color w:val="auto"/>
              </w:rPr>
            </w:pPr>
            <w:r>
              <w:rPr>
                <w:rFonts w:ascii="Arial" w:cs="Arial" w:eastAsia="Arial" w:hAnsi="Arial"/>
                <w:sz w:val="13"/>
                <w:szCs w:val="13"/>
                <w:color w:val="auto"/>
                <w:w w:val="97"/>
              </w:rPr>
              <w:t>/s/ JASON T. JONES</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159"/>
        </w:trPr>
        <w:tc>
          <w:tcPr>
            <w:tcW w:w="4420" w:type="dxa"/>
            <w:vAlign w:val="bottom"/>
          </w:tcPr>
          <w:p>
            <w:pPr>
              <w:jc w:val="center"/>
              <w:ind w:left="1076"/>
              <w:spacing w:after="0"/>
              <w:rPr>
                <w:sz w:val="20"/>
                <w:szCs w:val="20"/>
                <w:color w:val="auto"/>
              </w:rPr>
            </w:pPr>
            <w:r>
              <w:rPr>
                <w:rFonts w:ascii="Arial" w:cs="Arial" w:eastAsia="Arial" w:hAnsi="Arial"/>
                <w:sz w:val="13"/>
                <w:szCs w:val="13"/>
                <w:color w:val="auto"/>
                <w:w w:val="95"/>
              </w:rPr>
              <w:t>Jason T. Jones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spacing w:after="0"/>
              <w:rPr>
                <w:sz w:val="13"/>
                <w:szCs w:val="13"/>
                <w:color w:val="auto"/>
              </w:rPr>
            </w:pPr>
          </w:p>
        </w:tc>
      </w:tr>
      <w:tr>
        <w:trPr>
          <w:trHeight w:val="130"/>
        </w:trPr>
        <w:tc>
          <w:tcPr>
            <w:tcW w:w="4420" w:type="dxa"/>
            <w:vAlign w:val="bottom"/>
          </w:tcPr>
          <w:p>
            <w:pPr>
              <w:jc w:val="center"/>
              <w:ind w:left="1096"/>
              <w:spacing w:after="0" w:line="130" w:lineRule="exact"/>
              <w:rPr>
                <w:sz w:val="20"/>
                <w:szCs w:val="20"/>
                <w:color w:val="auto"/>
              </w:rPr>
            </w:pPr>
            <w:r>
              <w:rPr>
                <w:rFonts w:ascii="Arial" w:cs="Arial" w:eastAsia="Arial" w:hAnsi="Arial"/>
                <w:sz w:val="13"/>
                <w:szCs w:val="13"/>
                <w:color w:val="auto"/>
                <w:w w:val="97"/>
              </w:rPr>
              <w:t>Director, Accounting</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167"/>
        </w:trPr>
        <w:tc>
          <w:tcPr>
            <w:tcW w:w="4420" w:type="dxa"/>
            <w:vAlign w:val="bottom"/>
          </w:tcPr>
          <w:p>
            <w:pPr>
              <w:jc w:val="center"/>
              <w:ind w:left="1076"/>
              <w:spacing w:after="0"/>
              <w:rPr>
                <w:sz w:val="20"/>
                <w:szCs w:val="20"/>
                <w:color w:val="auto"/>
              </w:rPr>
            </w:pPr>
            <w:r>
              <w:rPr>
                <w:rFonts w:ascii="Arial" w:cs="Arial" w:eastAsia="Arial" w:hAnsi="Arial"/>
                <w:sz w:val="13"/>
                <w:szCs w:val="13"/>
                <w:color w:val="auto"/>
                <w:w w:val="97"/>
              </w:rPr>
              <w:t>(Principal Accounting Officer)</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spacing w:after="0"/>
              <w:rPr>
                <w:sz w:val="14"/>
                <w:szCs w:val="14"/>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Pursuant to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7100" w:type="dxa"/>
            <w:vAlign w:val="bottom"/>
            <w:gridSpan w:val="3"/>
          </w:tcPr>
          <w:p>
            <w:pPr>
              <w:ind w:left="200"/>
              <w:spacing w:after="0"/>
              <w:rPr>
                <w:sz w:val="20"/>
                <w:szCs w:val="20"/>
                <w:color w:val="auto"/>
              </w:rPr>
            </w:pPr>
            <w:r>
              <w:rPr>
                <w:rFonts w:ascii="Arial" w:cs="Arial" w:eastAsia="Arial" w:hAnsi="Arial"/>
                <w:sz w:val="13"/>
                <w:szCs w:val="13"/>
                <w:b w:val="1"/>
                <w:bCs w:val="1"/>
                <w:color w:val="auto"/>
              </w:rPr>
              <w:t>POTOMAC ELECTRIC POWER COMPANY</w:t>
            </w:r>
          </w:p>
        </w:tc>
      </w:tr>
      <w:tr>
        <w:trPr>
          <w:trHeight w:val="441"/>
        </w:trPr>
        <w:tc>
          <w:tcPr>
            <w:tcW w:w="4160" w:type="dxa"/>
            <w:vAlign w:val="bottom"/>
            <w:tcBorders>
              <w:bottom w:val="single" w:sz="8" w:color="auto"/>
            </w:tcBorders>
          </w:tcPr>
          <w:p>
            <w:pPr>
              <w:jc w:val="center"/>
              <w:ind w:left="1336"/>
              <w:spacing w:after="0"/>
              <w:rPr>
                <w:sz w:val="20"/>
                <w:szCs w:val="20"/>
                <w:color w:val="auto"/>
              </w:rPr>
            </w:pPr>
            <w:r>
              <w:rPr>
                <w:rFonts w:ascii="Arial" w:cs="Arial" w:eastAsia="Arial" w:hAnsi="Arial"/>
                <w:sz w:val="13"/>
                <w:szCs w:val="13"/>
                <w:color w:val="auto"/>
                <w:w w:val="97"/>
              </w:rPr>
              <w:t>/s/ J. TYLER ANTHONY</w:t>
            </w: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ELIZABETH MORGAN DOWNS O'DONNELL</w:t>
            </w:r>
          </w:p>
        </w:tc>
      </w:tr>
      <w:tr>
        <w:trPr>
          <w:trHeight w:val="159"/>
        </w:trPr>
        <w:tc>
          <w:tcPr>
            <w:tcW w:w="4160" w:type="dxa"/>
            <w:vAlign w:val="bottom"/>
          </w:tcPr>
          <w:p>
            <w:pPr>
              <w:jc w:val="center"/>
              <w:ind w:left="1336"/>
              <w:spacing w:after="0"/>
              <w:rPr>
                <w:sz w:val="20"/>
                <w:szCs w:val="20"/>
                <w:color w:val="auto"/>
              </w:rPr>
            </w:pPr>
            <w:r>
              <w:rPr>
                <w:rFonts w:ascii="Arial" w:cs="Arial" w:eastAsia="Arial" w:hAnsi="Arial"/>
                <w:sz w:val="13"/>
                <w:szCs w:val="13"/>
                <w:color w:val="auto"/>
                <w:w w:val="97"/>
              </w:rPr>
              <w:t>J. Tyler Anthony</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Elizabeth Morgan Downs O'Donnell</w:t>
            </w:r>
          </w:p>
        </w:tc>
      </w:tr>
      <w:tr>
        <w:trPr>
          <w:trHeight w:val="130"/>
        </w:trPr>
        <w:tc>
          <w:tcPr>
            <w:tcW w:w="4160" w:type="dxa"/>
            <w:vAlign w:val="bottom"/>
          </w:tcPr>
          <w:p>
            <w:pPr>
              <w:jc w:val="center"/>
              <w:ind w:left="1316"/>
              <w:spacing w:after="0" w:line="130" w:lineRule="exact"/>
              <w:rPr>
                <w:sz w:val="20"/>
                <w:szCs w:val="20"/>
                <w:color w:val="auto"/>
              </w:rPr>
            </w:pPr>
            <w:r>
              <w:rPr>
                <w:rFonts w:ascii="Arial" w:cs="Arial" w:eastAsia="Arial" w:hAnsi="Arial"/>
                <w:sz w:val="13"/>
                <w:szCs w:val="13"/>
                <w:color w:val="auto"/>
                <w:w w:val="97"/>
              </w:rPr>
              <w:t>President, Chief Executive Officer</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jc w:val="center"/>
              <w:spacing w:after="0" w:line="130" w:lineRule="exact"/>
              <w:rPr>
                <w:sz w:val="20"/>
                <w:szCs w:val="20"/>
                <w:color w:val="auto"/>
              </w:rPr>
            </w:pPr>
            <w:r>
              <w:rPr>
                <w:rFonts w:ascii="Arial" w:cs="Arial" w:eastAsia="Arial" w:hAnsi="Arial"/>
                <w:sz w:val="13"/>
                <w:szCs w:val="13"/>
                <w:color w:val="auto"/>
                <w:w w:val="97"/>
              </w:rPr>
              <w:t>Senior Vice President, Chief Financial Officer and Treasurer</w:t>
            </w:r>
          </w:p>
        </w:tc>
      </w:tr>
      <w:tr>
        <w:trPr>
          <w:trHeight w:val="167"/>
        </w:trPr>
        <w:tc>
          <w:tcPr>
            <w:tcW w:w="4160" w:type="dxa"/>
            <w:vAlign w:val="bottom"/>
          </w:tcPr>
          <w:p>
            <w:pPr>
              <w:jc w:val="center"/>
              <w:ind w:left="1336"/>
              <w:spacing w:after="0"/>
              <w:rPr>
                <w:sz w:val="20"/>
                <w:szCs w:val="20"/>
                <w:color w:val="auto"/>
              </w:rPr>
            </w:pPr>
            <w:r>
              <w:rPr>
                <w:rFonts w:ascii="Arial" w:cs="Arial" w:eastAsia="Arial" w:hAnsi="Arial"/>
                <w:sz w:val="13"/>
                <w:szCs w:val="13"/>
                <w:color w:val="auto"/>
                <w:w w:val="97"/>
              </w:rPr>
              <w:t>(Principal Executive Officer), and Director</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(Principal Financial Officer)</w:t>
            </w:r>
          </w:p>
        </w:tc>
      </w:tr>
      <w:tr>
        <w:trPr>
          <w:trHeight w:val="213"/>
        </w:trPr>
        <w:tc>
          <w:tcPr>
            <w:tcW w:w="4160" w:type="dxa"/>
            <w:vAlign w:val="bottom"/>
            <w:tcBorders>
              <w:bottom w:val="single" w:sz="8" w:color="auto"/>
            </w:tcBorders>
          </w:tcPr>
          <w:p>
            <w:pPr>
              <w:jc w:val="center"/>
              <w:ind w:left="1336"/>
              <w:spacing w:after="0"/>
              <w:rPr>
                <w:sz w:val="20"/>
                <w:szCs w:val="20"/>
                <w:color w:val="auto"/>
              </w:rPr>
            </w:pPr>
            <w:r>
              <w:rPr>
                <w:rFonts w:ascii="Arial" w:cs="Arial" w:eastAsia="Arial" w:hAnsi="Arial"/>
                <w:sz w:val="13"/>
                <w:szCs w:val="13"/>
                <w:color w:val="auto"/>
                <w:w w:val="97"/>
              </w:rPr>
              <w:t>/s/ JASON T. JONES</w:t>
            </w: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159"/>
        </w:trPr>
        <w:tc>
          <w:tcPr>
            <w:tcW w:w="4160" w:type="dxa"/>
            <w:vAlign w:val="bottom"/>
          </w:tcPr>
          <w:p>
            <w:pPr>
              <w:jc w:val="center"/>
              <w:ind w:left="1336"/>
              <w:spacing w:after="0"/>
              <w:rPr>
                <w:sz w:val="20"/>
                <w:szCs w:val="20"/>
                <w:color w:val="auto"/>
              </w:rPr>
            </w:pPr>
            <w:r>
              <w:rPr>
                <w:rFonts w:ascii="Arial" w:cs="Arial" w:eastAsia="Arial" w:hAnsi="Arial"/>
                <w:sz w:val="13"/>
                <w:szCs w:val="13"/>
                <w:color w:val="auto"/>
                <w:w w:val="95"/>
              </w:rPr>
              <w:t>Jason T. Jones</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spacing w:after="0"/>
              <w:rPr>
                <w:sz w:val="13"/>
                <w:szCs w:val="13"/>
                <w:color w:val="auto"/>
              </w:rPr>
            </w:pPr>
          </w:p>
        </w:tc>
      </w:tr>
      <w:tr>
        <w:trPr>
          <w:trHeight w:val="130"/>
        </w:trPr>
        <w:tc>
          <w:tcPr>
            <w:tcW w:w="4160" w:type="dxa"/>
            <w:vAlign w:val="bottom"/>
          </w:tcPr>
          <w:p>
            <w:pPr>
              <w:jc w:val="center"/>
              <w:ind w:left="1356"/>
              <w:spacing w:after="0" w:line="130" w:lineRule="exact"/>
              <w:rPr>
                <w:sz w:val="20"/>
                <w:szCs w:val="20"/>
                <w:color w:val="auto"/>
              </w:rPr>
            </w:pPr>
            <w:r>
              <w:rPr>
                <w:rFonts w:ascii="Arial" w:cs="Arial" w:eastAsia="Arial" w:hAnsi="Arial"/>
                <w:sz w:val="13"/>
                <w:szCs w:val="13"/>
                <w:color w:val="auto"/>
                <w:w w:val="97"/>
              </w:rPr>
              <w:t>Director, Accounting</w:t>
            </w: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167"/>
        </w:trPr>
        <w:tc>
          <w:tcPr>
            <w:tcW w:w="4160" w:type="dxa"/>
            <w:vAlign w:val="bottom"/>
          </w:tcPr>
          <w:p>
            <w:pPr>
              <w:jc w:val="center"/>
              <w:ind w:left="1336"/>
              <w:spacing w:after="0"/>
              <w:rPr>
                <w:sz w:val="20"/>
                <w:szCs w:val="20"/>
                <w:color w:val="auto"/>
              </w:rPr>
            </w:pPr>
            <w:r>
              <w:rPr>
                <w:rFonts w:ascii="Arial" w:cs="Arial" w:eastAsia="Arial" w:hAnsi="Arial"/>
                <w:sz w:val="13"/>
                <w:szCs w:val="13"/>
                <w:color w:val="auto"/>
                <w:w w:val="97"/>
              </w:rPr>
              <w:t>(Principal Accounting Officer)</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spacing w:after="0"/>
              <w:rPr>
                <w:sz w:val="14"/>
                <w:szCs w:val="14"/>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Pursuant to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7080" w:type="dxa"/>
            <w:vAlign w:val="bottom"/>
            <w:gridSpan w:val="3"/>
          </w:tcPr>
          <w:p>
            <w:pPr>
              <w:ind w:left="220"/>
              <w:spacing w:after="0"/>
              <w:rPr>
                <w:sz w:val="20"/>
                <w:szCs w:val="20"/>
                <w:color w:val="auto"/>
              </w:rPr>
            </w:pPr>
            <w:r>
              <w:rPr>
                <w:rFonts w:ascii="Arial" w:cs="Arial" w:eastAsia="Arial" w:hAnsi="Arial"/>
                <w:sz w:val="13"/>
                <w:szCs w:val="13"/>
                <w:b w:val="1"/>
                <w:bCs w:val="1"/>
                <w:color w:val="auto"/>
              </w:rPr>
              <w:t>DELMARVA POWER &amp; LIGHT COMPANY</w:t>
            </w:r>
          </w:p>
        </w:tc>
      </w:tr>
      <w:tr>
        <w:trPr>
          <w:trHeight w:val="441"/>
        </w:trPr>
        <w:tc>
          <w:tcPr>
            <w:tcW w:w="4180" w:type="dxa"/>
            <w:vAlign w:val="bottom"/>
            <w:tcBorders>
              <w:bottom w:val="single" w:sz="8" w:color="auto"/>
            </w:tcBorders>
          </w:tcPr>
          <w:p>
            <w:pPr>
              <w:jc w:val="center"/>
              <w:ind w:left="1316"/>
              <w:spacing w:after="0"/>
              <w:rPr>
                <w:sz w:val="20"/>
                <w:szCs w:val="20"/>
                <w:color w:val="auto"/>
              </w:rPr>
            </w:pPr>
            <w:r>
              <w:rPr>
                <w:rFonts w:ascii="Arial" w:cs="Arial" w:eastAsia="Arial" w:hAnsi="Arial"/>
                <w:sz w:val="13"/>
                <w:szCs w:val="13"/>
                <w:color w:val="auto"/>
                <w:w w:val="97"/>
              </w:rPr>
              <w:t>/s/ J. TYLER ANTHONY</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ELIZABETH MORGAN DOWNS O'DONNELL</w:t>
            </w:r>
          </w:p>
        </w:tc>
      </w:tr>
      <w:tr>
        <w:trPr>
          <w:trHeight w:val="159"/>
        </w:trPr>
        <w:tc>
          <w:tcPr>
            <w:tcW w:w="4180" w:type="dxa"/>
            <w:vAlign w:val="bottom"/>
          </w:tcPr>
          <w:p>
            <w:pPr>
              <w:jc w:val="center"/>
              <w:ind w:left="1316"/>
              <w:spacing w:after="0"/>
              <w:rPr>
                <w:sz w:val="20"/>
                <w:szCs w:val="20"/>
                <w:color w:val="auto"/>
              </w:rPr>
            </w:pPr>
            <w:r>
              <w:rPr>
                <w:rFonts w:ascii="Arial" w:cs="Arial" w:eastAsia="Arial" w:hAnsi="Arial"/>
                <w:sz w:val="13"/>
                <w:szCs w:val="13"/>
                <w:color w:val="auto"/>
                <w:w w:val="97"/>
              </w:rPr>
              <w:t>J. Tyler Anthony</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Elizabeth Morgan Downs O'Donnell</w:t>
            </w:r>
          </w:p>
        </w:tc>
      </w:tr>
      <w:tr>
        <w:trPr>
          <w:trHeight w:val="130"/>
        </w:trPr>
        <w:tc>
          <w:tcPr>
            <w:tcW w:w="4180" w:type="dxa"/>
            <w:vAlign w:val="bottom"/>
          </w:tcPr>
          <w:p>
            <w:pPr>
              <w:jc w:val="center"/>
              <w:ind w:left="1296"/>
              <w:spacing w:after="0" w:line="130" w:lineRule="exact"/>
              <w:rPr>
                <w:sz w:val="20"/>
                <w:szCs w:val="20"/>
                <w:color w:val="auto"/>
              </w:rPr>
            </w:pPr>
            <w:r>
              <w:rPr>
                <w:rFonts w:ascii="Arial" w:cs="Arial" w:eastAsia="Arial" w:hAnsi="Arial"/>
                <w:sz w:val="13"/>
                <w:szCs w:val="13"/>
                <w:color w:val="auto"/>
                <w:w w:val="97"/>
              </w:rPr>
              <w:t>President, Chief Executive Officer</w:t>
            </w: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jc w:val="center"/>
              <w:spacing w:after="0" w:line="130" w:lineRule="exact"/>
              <w:rPr>
                <w:sz w:val="20"/>
                <w:szCs w:val="20"/>
                <w:color w:val="auto"/>
              </w:rPr>
            </w:pPr>
            <w:r>
              <w:rPr>
                <w:rFonts w:ascii="Arial" w:cs="Arial" w:eastAsia="Arial" w:hAnsi="Arial"/>
                <w:sz w:val="13"/>
                <w:szCs w:val="13"/>
                <w:color w:val="auto"/>
                <w:w w:val="97"/>
              </w:rPr>
              <w:t>Senior Vice President, Chief Financial Officer and Treasurer</w:t>
            </w:r>
          </w:p>
        </w:tc>
      </w:tr>
      <w:tr>
        <w:trPr>
          <w:trHeight w:val="167"/>
        </w:trPr>
        <w:tc>
          <w:tcPr>
            <w:tcW w:w="4180" w:type="dxa"/>
            <w:vAlign w:val="bottom"/>
          </w:tcPr>
          <w:p>
            <w:pPr>
              <w:jc w:val="center"/>
              <w:ind w:left="1316"/>
              <w:spacing w:after="0"/>
              <w:rPr>
                <w:sz w:val="20"/>
                <w:szCs w:val="20"/>
                <w:color w:val="auto"/>
              </w:rPr>
            </w:pPr>
            <w:r>
              <w:rPr>
                <w:rFonts w:ascii="Arial" w:cs="Arial" w:eastAsia="Arial" w:hAnsi="Arial"/>
                <w:sz w:val="13"/>
                <w:szCs w:val="13"/>
                <w:color w:val="auto"/>
                <w:w w:val="97"/>
              </w:rPr>
              <w:t>(Principal Executive Officer), and Director</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(Principal Financial Officer)</w:t>
            </w:r>
          </w:p>
        </w:tc>
      </w:tr>
      <w:tr>
        <w:trPr>
          <w:trHeight w:val="213"/>
        </w:trPr>
        <w:tc>
          <w:tcPr>
            <w:tcW w:w="4180" w:type="dxa"/>
            <w:vAlign w:val="bottom"/>
            <w:tcBorders>
              <w:bottom w:val="single" w:sz="8" w:color="auto"/>
            </w:tcBorders>
          </w:tcPr>
          <w:p>
            <w:pPr>
              <w:jc w:val="center"/>
              <w:ind w:left="1316"/>
              <w:spacing w:after="0"/>
              <w:rPr>
                <w:sz w:val="20"/>
                <w:szCs w:val="20"/>
                <w:color w:val="auto"/>
              </w:rPr>
            </w:pPr>
            <w:r>
              <w:rPr>
                <w:rFonts w:ascii="Arial" w:cs="Arial" w:eastAsia="Arial" w:hAnsi="Arial"/>
                <w:sz w:val="13"/>
                <w:szCs w:val="13"/>
                <w:color w:val="auto"/>
                <w:w w:val="97"/>
              </w:rPr>
              <w:t>/s/ JASON T. JONES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159"/>
        </w:trPr>
        <w:tc>
          <w:tcPr>
            <w:tcW w:w="4180" w:type="dxa"/>
            <w:vAlign w:val="bottom"/>
          </w:tcPr>
          <w:p>
            <w:pPr>
              <w:jc w:val="center"/>
              <w:ind w:left="1316"/>
              <w:spacing w:after="0"/>
              <w:rPr>
                <w:sz w:val="20"/>
                <w:szCs w:val="20"/>
                <w:color w:val="auto"/>
              </w:rPr>
            </w:pPr>
            <w:r>
              <w:rPr>
                <w:rFonts w:ascii="Arial" w:cs="Arial" w:eastAsia="Arial" w:hAnsi="Arial"/>
                <w:sz w:val="13"/>
                <w:szCs w:val="13"/>
                <w:color w:val="auto"/>
                <w:w w:val="95"/>
              </w:rPr>
              <w:t>Jason T. Jones</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spacing w:after="0"/>
              <w:rPr>
                <w:sz w:val="13"/>
                <w:szCs w:val="13"/>
                <w:color w:val="auto"/>
              </w:rPr>
            </w:pPr>
          </w:p>
        </w:tc>
      </w:tr>
      <w:tr>
        <w:trPr>
          <w:trHeight w:val="130"/>
        </w:trPr>
        <w:tc>
          <w:tcPr>
            <w:tcW w:w="4180" w:type="dxa"/>
            <w:vAlign w:val="bottom"/>
          </w:tcPr>
          <w:p>
            <w:pPr>
              <w:jc w:val="center"/>
              <w:ind w:left="1336"/>
              <w:spacing w:after="0" w:line="130" w:lineRule="exact"/>
              <w:rPr>
                <w:sz w:val="20"/>
                <w:szCs w:val="20"/>
                <w:color w:val="auto"/>
              </w:rPr>
            </w:pPr>
            <w:r>
              <w:rPr>
                <w:rFonts w:ascii="Arial" w:cs="Arial" w:eastAsia="Arial" w:hAnsi="Arial"/>
                <w:sz w:val="13"/>
                <w:szCs w:val="13"/>
                <w:color w:val="auto"/>
                <w:w w:val="97"/>
              </w:rPr>
              <w:t>Director, Accounting</w:t>
            </w: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167"/>
        </w:trPr>
        <w:tc>
          <w:tcPr>
            <w:tcW w:w="4180" w:type="dxa"/>
            <w:vAlign w:val="bottom"/>
          </w:tcPr>
          <w:p>
            <w:pPr>
              <w:jc w:val="center"/>
              <w:ind w:left="1316"/>
              <w:spacing w:after="0"/>
              <w:rPr>
                <w:sz w:val="20"/>
                <w:szCs w:val="20"/>
                <w:color w:val="auto"/>
              </w:rPr>
            </w:pPr>
            <w:r>
              <w:rPr>
                <w:rFonts w:ascii="Arial" w:cs="Arial" w:eastAsia="Arial" w:hAnsi="Arial"/>
                <w:sz w:val="13"/>
                <w:szCs w:val="13"/>
                <w:color w:val="auto"/>
                <w:w w:val="97"/>
              </w:rPr>
              <w:t>(Principal Accounting Officer)</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spacing w:after="0"/>
              <w:rPr>
                <w:sz w:val="14"/>
                <w:szCs w:val="14"/>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Pursuant to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7040" w:type="dxa"/>
            <w:vAlign w:val="bottom"/>
            <w:gridSpan w:val="3"/>
          </w:tcPr>
          <w:p>
            <w:pPr>
              <w:ind w:left="260"/>
              <w:spacing w:after="0"/>
              <w:rPr>
                <w:sz w:val="20"/>
                <w:szCs w:val="20"/>
                <w:color w:val="auto"/>
              </w:rPr>
            </w:pPr>
            <w:r>
              <w:rPr>
                <w:rFonts w:ascii="Arial" w:cs="Arial" w:eastAsia="Arial" w:hAnsi="Arial"/>
                <w:sz w:val="13"/>
                <w:szCs w:val="13"/>
                <w:b w:val="1"/>
                <w:bCs w:val="1"/>
                <w:color w:val="auto"/>
              </w:rPr>
              <w:t>ATLANTIC CITY ELECTRIC COMPANY</w:t>
            </w:r>
          </w:p>
        </w:tc>
      </w:tr>
      <w:tr>
        <w:trPr>
          <w:trHeight w:val="441"/>
        </w:trPr>
        <w:tc>
          <w:tcPr>
            <w:tcW w:w="4220" w:type="dxa"/>
            <w:vAlign w:val="bottom"/>
            <w:tcBorders>
              <w:bottom w:val="single" w:sz="8" w:color="auto"/>
            </w:tcBorders>
          </w:tcPr>
          <w:p>
            <w:pPr>
              <w:jc w:val="center"/>
              <w:ind w:left="1276"/>
              <w:spacing w:after="0"/>
              <w:rPr>
                <w:sz w:val="20"/>
                <w:szCs w:val="20"/>
                <w:color w:val="auto"/>
              </w:rPr>
            </w:pPr>
            <w:r>
              <w:rPr>
                <w:rFonts w:ascii="Arial" w:cs="Arial" w:eastAsia="Arial" w:hAnsi="Arial"/>
                <w:sz w:val="13"/>
                <w:szCs w:val="13"/>
                <w:color w:val="auto"/>
                <w:w w:val="97"/>
              </w:rPr>
              <w:t>/s/ J. TYLER ANTHONY</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ELIZABETH MORGAN DOWNS O'DONNELL</w:t>
            </w:r>
          </w:p>
        </w:tc>
      </w:tr>
      <w:tr>
        <w:trPr>
          <w:trHeight w:val="159"/>
        </w:trPr>
        <w:tc>
          <w:tcPr>
            <w:tcW w:w="4220" w:type="dxa"/>
            <w:vAlign w:val="bottom"/>
          </w:tcPr>
          <w:p>
            <w:pPr>
              <w:jc w:val="center"/>
              <w:ind w:left="1276"/>
              <w:spacing w:after="0"/>
              <w:rPr>
                <w:sz w:val="20"/>
                <w:szCs w:val="20"/>
                <w:color w:val="auto"/>
              </w:rPr>
            </w:pPr>
            <w:r>
              <w:rPr>
                <w:rFonts w:ascii="Arial" w:cs="Arial" w:eastAsia="Arial" w:hAnsi="Arial"/>
                <w:sz w:val="13"/>
                <w:szCs w:val="13"/>
                <w:color w:val="auto"/>
                <w:w w:val="97"/>
              </w:rPr>
              <w:t>J. Tyler Anthony</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Elizabeth Morgan Downs O'Donnell</w:t>
            </w:r>
          </w:p>
        </w:tc>
      </w:tr>
      <w:tr>
        <w:trPr>
          <w:trHeight w:val="130"/>
        </w:trPr>
        <w:tc>
          <w:tcPr>
            <w:tcW w:w="4220" w:type="dxa"/>
            <w:vAlign w:val="bottom"/>
          </w:tcPr>
          <w:p>
            <w:pPr>
              <w:jc w:val="center"/>
              <w:ind w:left="1256"/>
              <w:spacing w:after="0" w:line="130" w:lineRule="exact"/>
              <w:rPr>
                <w:sz w:val="20"/>
                <w:szCs w:val="20"/>
                <w:color w:val="auto"/>
              </w:rPr>
            </w:pPr>
            <w:r>
              <w:rPr>
                <w:rFonts w:ascii="Arial" w:cs="Arial" w:eastAsia="Arial" w:hAnsi="Arial"/>
                <w:sz w:val="13"/>
                <w:szCs w:val="13"/>
                <w:color w:val="auto"/>
                <w:w w:val="97"/>
              </w:rPr>
              <w:t>President, Chief Executive Officer</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jc w:val="center"/>
              <w:spacing w:after="0" w:line="130" w:lineRule="exact"/>
              <w:rPr>
                <w:sz w:val="20"/>
                <w:szCs w:val="20"/>
                <w:color w:val="auto"/>
              </w:rPr>
            </w:pPr>
            <w:r>
              <w:rPr>
                <w:rFonts w:ascii="Arial" w:cs="Arial" w:eastAsia="Arial" w:hAnsi="Arial"/>
                <w:sz w:val="13"/>
                <w:szCs w:val="13"/>
                <w:color w:val="auto"/>
                <w:w w:val="97"/>
              </w:rPr>
              <w:t>Senior Vice President, Chief Financial Officer and Treasurer</w:t>
            </w:r>
          </w:p>
        </w:tc>
      </w:tr>
      <w:tr>
        <w:trPr>
          <w:trHeight w:val="167"/>
        </w:trPr>
        <w:tc>
          <w:tcPr>
            <w:tcW w:w="4220" w:type="dxa"/>
            <w:vAlign w:val="bottom"/>
          </w:tcPr>
          <w:p>
            <w:pPr>
              <w:jc w:val="center"/>
              <w:ind w:left="1276"/>
              <w:spacing w:after="0"/>
              <w:rPr>
                <w:sz w:val="20"/>
                <w:szCs w:val="20"/>
                <w:color w:val="auto"/>
              </w:rPr>
            </w:pPr>
            <w:r>
              <w:rPr>
                <w:rFonts w:ascii="Arial" w:cs="Arial" w:eastAsia="Arial" w:hAnsi="Arial"/>
                <w:sz w:val="13"/>
                <w:szCs w:val="13"/>
                <w:color w:val="auto"/>
                <w:w w:val="97"/>
              </w:rPr>
              <w:t>(Principal Executive Officer), and Director</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jc w:val="center"/>
              <w:spacing w:after="0"/>
              <w:rPr>
                <w:sz w:val="20"/>
                <w:szCs w:val="20"/>
                <w:color w:val="auto"/>
              </w:rPr>
            </w:pPr>
            <w:r>
              <w:rPr>
                <w:rFonts w:ascii="Arial" w:cs="Arial" w:eastAsia="Arial" w:hAnsi="Arial"/>
                <w:sz w:val="13"/>
                <w:szCs w:val="13"/>
                <w:color w:val="auto"/>
                <w:w w:val="97"/>
              </w:rPr>
              <w:t>(Principal Financial Officer)</w:t>
            </w:r>
          </w:p>
        </w:tc>
      </w:tr>
      <w:tr>
        <w:trPr>
          <w:trHeight w:val="213"/>
        </w:trPr>
        <w:tc>
          <w:tcPr>
            <w:tcW w:w="4220" w:type="dxa"/>
            <w:vAlign w:val="bottom"/>
            <w:tcBorders>
              <w:bottom w:val="single" w:sz="8" w:color="auto"/>
            </w:tcBorders>
          </w:tcPr>
          <w:p>
            <w:pPr>
              <w:jc w:val="center"/>
              <w:ind w:left="1276"/>
              <w:spacing w:after="0"/>
              <w:rPr>
                <w:sz w:val="20"/>
                <w:szCs w:val="20"/>
                <w:color w:val="auto"/>
              </w:rPr>
            </w:pPr>
            <w:r>
              <w:rPr>
                <w:rFonts w:ascii="Arial" w:cs="Arial" w:eastAsia="Arial" w:hAnsi="Arial"/>
                <w:sz w:val="13"/>
                <w:szCs w:val="13"/>
                <w:color w:val="auto"/>
                <w:w w:val="97"/>
              </w:rPr>
              <w:t>/s/ JASON T. JONES</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159"/>
        </w:trPr>
        <w:tc>
          <w:tcPr>
            <w:tcW w:w="4220" w:type="dxa"/>
            <w:vAlign w:val="bottom"/>
          </w:tcPr>
          <w:p>
            <w:pPr>
              <w:jc w:val="center"/>
              <w:ind w:left="1276"/>
              <w:spacing w:after="0"/>
              <w:rPr>
                <w:sz w:val="20"/>
                <w:szCs w:val="20"/>
                <w:color w:val="auto"/>
              </w:rPr>
            </w:pPr>
            <w:r>
              <w:rPr>
                <w:rFonts w:ascii="Arial" w:cs="Arial" w:eastAsia="Arial" w:hAnsi="Arial"/>
                <w:sz w:val="13"/>
                <w:szCs w:val="13"/>
                <w:color w:val="auto"/>
                <w:w w:val="95"/>
              </w:rPr>
              <w:t>Jason T. Jones</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Pr>
          <w:p>
            <w:pPr>
              <w:spacing w:after="0"/>
              <w:rPr>
                <w:sz w:val="13"/>
                <w:szCs w:val="13"/>
                <w:color w:val="auto"/>
              </w:rPr>
            </w:pPr>
          </w:p>
        </w:tc>
      </w:tr>
      <w:tr>
        <w:trPr>
          <w:trHeight w:val="130"/>
        </w:trPr>
        <w:tc>
          <w:tcPr>
            <w:tcW w:w="4220" w:type="dxa"/>
            <w:vAlign w:val="bottom"/>
          </w:tcPr>
          <w:p>
            <w:pPr>
              <w:jc w:val="center"/>
              <w:ind w:left="1296"/>
              <w:spacing w:after="0" w:line="130" w:lineRule="exact"/>
              <w:rPr>
                <w:sz w:val="20"/>
                <w:szCs w:val="20"/>
                <w:color w:val="auto"/>
              </w:rPr>
            </w:pPr>
            <w:r>
              <w:rPr>
                <w:rFonts w:ascii="Arial" w:cs="Arial" w:eastAsia="Arial" w:hAnsi="Arial"/>
                <w:sz w:val="13"/>
                <w:szCs w:val="13"/>
                <w:color w:val="auto"/>
                <w:w w:val="97"/>
              </w:rPr>
              <w:t>Director, Accounting</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167"/>
        </w:trPr>
        <w:tc>
          <w:tcPr>
            <w:tcW w:w="4220" w:type="dxa"/>
            <w:vAlign w:val="bottom"/>
          </w:tcPr>
          <w:p>
            <w:pPr>
              <w:jc w:val="center"/>
              <w:ind w:left="1276"/>
              <w:spacing w:after="0"/>
              <w:rPr>
                <w:sz w:val="20"/>
                <w:szCs w:val="20"/>
                <w:color w:val="auto"/>
              </w:rPr>
            </w:pPr>
            <w:r>
              <w:rPr>
                <w:rFonts w:ascii="Arial" w:cs="Arial" w:eastAsia="Arial" w:hAnsi="Arial"/>
                <w:sz w:val="13"/>
                <w:szCs w:val="13"/>
                <w:color w:val="auto"/>
                <w:w w:val="97"/>
              </w:rPr>
              <w:t>(Principal Accounting Officer)</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Pr>
          <w:p>
            <w:pPr>
              <w:spacing w:after="0"/>
              <w:rPr>
                <w:sz w:val="14"/>
                <w:szCs w:val="14"/>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May 6, 2026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80"/>
          </w:cols>
          <w:pgMar w:left="300" w:top="125" w:right="319" w:bottom="1440"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Calvin G. Butler, Jr., certify that:</w:t>
      </w:r>
    </w:p>
    <w:p>
      <w:pPr>
        <w:spacing w:after="0" w:line="23"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Exelon Corporation;</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CALVIN G. BUTLER,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Jeanne M. Jones, certify that:</w:t>
      </w:r>
    </w:p>
    <w:p>
      <w:pPr>
        <w:spacing w:after="0" w:line="23"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Exelon Corporation;</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JEANNE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Executive Vice President, Chief Finance Officer, Audit and Risk</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4"/>
          <w:szCs w:val="14"/>
          <w:b w:val="1"/>
          <w:bCs w:val="1"/>
          <w:color w:val="auto"/>
        </w:rPr>
        <w:t>Exhibit 31-3</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Gil C. Quiniones, certify that:</w:t>
      </w:r>
    </w:p>
    <w:p>
      <w:pPr>
        <w:spacing w:after="0" w:line="23" w:lineRule="exact"/>
        <w:rPr>
          <w:sz w:val="20"/>
          <w:szCs w:val="20"/>
          <w:color w:val="auto"/>
        </w:rPr>
      </w:pPr>
    </w:p>
    <w:p>
      <w:pPr>
        <w:ind w:left="260" w:hanging="255"/>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Commonwealth Edison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GIL C. QUINIONES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jc w:val="center"/>
        <w:ind w:right="-139"/>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4"/>
          <w:szCs w:val="14"/>
          <w:b w:val="1"/>
          <w:bCs w:val="1"/>
          <w:color w:val="auto"/>
        </w:rPr>
        <w:t>Exhibit 31-4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Joshua S. Levin, certify that:</w:t>
      </w:r>
    </w:p>
    <w:p>
      <w:pPr>
        <w:spacing w:after="0" w:line="23" w:lineRule="exact"/>
        <w:rPr>
          <w:sz w:val="20"/>
          <w:szCs w:val="20"/>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Commonwealth Edison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 JOSHUA S.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8" w:right="31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4"/>
          <w:szCs w:val="14"/>
          <w:b w:val="1"/>
          <w:bCs w:val="1"/>
          <w:color w:val="auto"/>
        </w:rPr>
        <w:t>Exhibit 31-5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A. Innocenzo, certify that:</w:t>
      </w:r>
    </w:p>
    <w:p>
      <w:pPr>
        <w:spacing w:after="0" w:line="23" w:lineRule="exact"/>
        <w:rPr>
          <w:sz w:val="20"/>
          <w:szCs w:val="20"/>
          <w:color w:val="auto"/>
        </w:rPr>
      </w:pPr>
    </w:p>
    <w:p>
      <w:pPr>
        <w:ind w:left="260" w:hanging="255"/>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PECO Energy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00" w:val="left"/>
        </w:tabs>
        <w:rPr>
          <w:sz w:val="20"/>
          <w:szCs w:val="20"/>
          <w:color w:val="auto"/>
        </w:rPr>
      </w:pPr>
      <w:r>
        <w:rPr>
          <w:rFonts w:ascii="Times New Roman" w:cs="Times New Roman" w:eastAsia="Times New Roman" w:hAnsi="Times New Roman"/>
          <w:sz w:val="14"/>
          <w:szCs w:val="14"/>
          <w:color w:val="auto"/>
        </w:rPr>
        <w:t>/s/</w:t>
        <w:tab/>
        <w:t>MICHAEL A. INNOCENZO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Interim President and Chief Executive Officer</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4"/>
          <w:szCs w:val="14"/>
          <w:b w:val="1"/>
          <w:bCs w:val="1"/>
          <w:color w:val="auto"/>
        </w:rPr>
        <w:t>Exhibit 31-6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Marissa E. Humphrey, certify that:</w:t>
      </w:r>
    </w:p>
    <w:p>
      <w:pPr>
        <w:spacing w:after="0" w:line="23" w:lineRule="exact"/>
        <w:rPr>
          <w:sz w:val="20"/>
          <w:szCs w:val="20"/>
          <w:color w:val="auto"/>
        </w:rPr>
      </w:pPr>
    </w:p>
    <w:p>
      <w:pPr>
        <w:ind w:left="260" w:hanging="255"/>
        <w:spacing w:after="0"/>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PECO Energy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920"/>
        <w:spacing w:after="0"/>
        <w:tabs>
          <w:tab w:leader="none" w:pos="5160" w:val="left"/>
        </w:tabs>
        <w:rPr>
          <w:sz w:val="20"/>
          <w:szCs w:val="20"/>
          <w:color w:val="auto"/>
        </w:rPr>
      </w:pPr>
      <w:r>
        <w:rPr>
          <w:rFonts w:ascii="Times New Roman" w:cs="Times New Roman" w:eastAsia="Times New Roman" w:hAnsi="Times New Roman"/>
          <w:sz w:val="14"/>
          <w:szCs w:val="14"/>
          <w:color w:val="auto"/>
        </w:rPr>
        <w:t>/s/</w:t>
        <w:tab/>
        <w:t>MARISSA E.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14605</wp:posOffset>
            </wp:positionV>
            <wp:extent cx="405574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4055745" cy="6985"/>
                    </a:xfrm>
                    <a:prstGeom prst="rect">
                      <a:avLst/>
                    </a:prstGeom>
                    <a:noFill/>
                  </pic:spPr>
                </pic:pic>
              </a:graphicData>
            </a:graphic>
          </wp:anchor>
        </w:drawing>
      </w:r>
    </w:p>
    <w:p>
      <w:pPr>
        <w:spacing w:after="0" w:line="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4"/>
          <w:szCs w:val="14"/>
          <w:b w:val="1"/>
          <w:bCs w:val="1"/>
          <w:color w:val="auto"/>
        </w:rPr>
        <w:t>Exhibit 31-7</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Tamla A. Olivier, certify that:</w:t>
      </w:r>
    </w:p>
    <w:p>
      <w:pPr>
        <w:spacing w:after="0" w:line="23" w:lineRule="exact"/>
        <w:rPr>
          <w:sz w:val="20"/>
          <w:szCs w:val="20"/>
          <w:color w:val="auto"/>
        </w:rPr>
      </w:pPr>
    </w:p>
    <w:p>
      <w:pPr>
        <w:ind w:left="260" w:hanging="255"/>
        <w:spacing w:after="0"/>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Baltimore Gas and Electric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TAMLA A.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4"/>
          <w:szCs w:val="14"/>
          <w:b w:val="1"/>
          <w:bCs w:val="1"/>
          <w:color w:val="auto"/>
        </w:rPr>
        <w:t>Exhibit 31-8</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Cloyd, certify that:</w:t>
      </w:r>
    </w:p>
    <w:p>
      <w:pPr>
        <w:spacing w:after="0" w:line="23" w:lineRule="exact"/>
        <w:rPr>
          <w:sz w:val="20"/>
          <w:szCs w:val="20"/>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Baltimore Gas and Electric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MICHAEL J. CLOYD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4"/>
          <w:szCs w:val="14"/>
          <w:b w:val="1"/>
          <w:bCs w:val="1"/>
          <w:color w:val="auto"/>
        </w:rPr>
        <w:t>Exhibit 31-9</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 Tyler Anthony, certify that:</w:t>
      </w:r>
    </w:p>
    <w:p>
      <w:pPr>
        <w:spacing w:after="0" w:line="23" w:lineRule="exact"/>
        <w:rPr>
          <w:sz w:val="20"/>
          <w:szCs w:val="20"/>
          <w:color w:val="auto"/>
        </w:rPr>
      </w:pPr>
    </w:p>
    <w:p>
      <w:pPr>
        <w:ind w:left="260" w:hanging="255"/>
        <w:spacing w:after="0"/>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Pepco Holdings LLC;</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 J. TYLER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8" w:right="3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4"/>
          <w:szCs w:val="14"/>
          <w:b w:val="1"/>
          <w:bCs w:val="1"/>
          <w:color w:val="auto"/>
        </w:rPr>
        <w:t>Exhibit 31-10</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Elizabeth Morgan Downs O'Donnell, certify that:</w:t>
      </w:r>
    </w:p>
    <w:p>
      <w:pPr>
        <w:spacing w:after="0" w:line="23" w:lineRule="exact"/>
        <w:rPr>
          <w:sz w:val="20"/>
          <w:szCs w:val="20"/>
          <w:color w:val="auto"/>
        </w:rPr>
      </w:pPr>
    </w:p>
    <w:p>
      <w:pPr>
        <w:ind w:left="260" w:hanging="255"/>
        <w:spacing w:after="0"/>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Pepco Holdings LLC;</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4"/>
          <w:szCs w:val="14"/>
          <w:b w:val="1"/>
          <w:bCs w:val="1"/>
          <w:color w:val="auto"/>
        </w:rPr>
        <w:t>Exhibit 31-11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 Tyler Anthony, certify that:</w:t>
      </w:r>
    </w:p>
    <w:p>
      <w:pPr>
        <w:spacing w:after="0" w:line="23" w:lineRule="exact"/>
        <w:rPr>
          <w:sz w:val="20"/>
          <w:szCs w:val="20"/>
          <w:color w:val="auto"/>
        </w:rPr>
      </w:pPr>
    </w:p>
    <w:p>
      <w:pPr>
        <w:ind w:left="260" w:hanging="255"/>
        <w:spacing w:after="0"/>
        <w:tabs>
          <w:tab w:leader="none" w:pos="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Potomac Electric Power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J. TYLER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4"/>
          <w:szCs w:val="14"/>
          <w:b w:val="1"/>
          <w:bCs w:val="1"/>
          <w:color w:val="auto"/>
        </w:rPr>
        <w:t>Exhibit 31-12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Elizabeth Morgan Downs O'Donnell, certify that:</w:t>
      </w:r>
    </w:p>
    <w:p>
      <w:pPr>
        <w:spacing w:after="0" w:line="23" w:lineRule="exact"/>
        <w:rPr>
          <w:sz w:val="20"/>
          <w:szCs w:val="20"/>
          <w:color w:val="auto"/>
        </w:rPr>
      </w:pPr>
    </w:p>
    <w:p>
      <w:pPr>
        <w:ind w:left="260" w:hanging="255"/>
        <w:spacing w:after="0"/>
        <w:tabs>
          <w:tab w:leader="none" w:pos="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Potomac Electric Power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4"/>
          <w:szCs w:val="14"/>
          <w:b w:val="1"/>
          <w:bCs w:val="1"/>
          <w:color w:val="auto"/>
        </w:rPr>
        <w:t>Exhibit 31-13</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 Tyler Anthony, certify that:</w:t>
      </w:r>
    </w:p>
    <w:p>
      <w:pPr>
        <w:spacing w:after="0" w:line="23" w:lineRule="exact"/>
        <w:rPr>
          <w:sz w:val="20"/>
          <w:szCs w:val="20"/>
          <w:color w:val="auto"/>
        </w:rPr>
      </w:pPr>
    </w:p>
    <w:p>
      <w:pPr>
        <w:ind w:left="260" w:hanging="255"/>
        <w:spacing w:after="0"/>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Delmarva Power &amp; Light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J. TYLER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4"/>
          <w:szCs w:val="14"/>
          <w:b w:val="1"/>
          <w:bCs w:val="1"/>
          <w:color w:val="auto"/>
        </w:rPr>
        <w:t>Exhibit 31-14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Elizabeth Morgan Downs O'Donnell, certify that:</w:t>
      </w:r>
    </w:p>
    <w:p>
      <w:pPr>
        <w:spacing w:after="0" w:line="23" w:lineRule="exact"/>
        <w:rPr>
          <w:sz w:val="20"/>
          <w:szCs w:val="20"/>
          <w:color w:val="auto"/>
        </w:rPr>
      </w:pPr>
    </w:p>
    <w:p>
      <w:pPr>
        <w:ind w:left="260" w:hanging="255"/>
        <w:spacing w:after="0"/>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Delmarva Power &amp; Light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8" w:right="31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4"/>
          <w:szCs w:val="14"/>
          <w:b w:val="1"/>
          <w:bCs w:val="1"/>
          <w:color w:val="auto"/>
        </w:rPr>
        <w:t>Exhibit 31-15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 Tyler Anthony, certify that:</w:t>
      </w:r>
    </w:p>
    <w:p>
      <w:pPr>
        <w:spacing w:after="0" w:line="23" w:lineRule="exact"/>
        <w:rPr>
          <w:sz w:val="20"/>
          <w:szCs w:val="20"/>
          <w:color w:val="auto"/>
        </w:rPr>
      </w:pPr>
    </w:p>
    <w:p>
      <w:pPr>
        <w:ind w:left="260" w:hanging="255"/>
        <w:spacing w:after="0"/>
        <w:tabs>
          <w:tab w:leader="none" w:pos="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Atlantic City Electric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J. TYLER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b w:val="1"/>
          <w:bCs w:val="1"/>
          <w:color w:val="auto"/>
        </w:rPr>
        <w:t>Exhibit 31-16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AND 15d-14(a) OF THE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EXCHANGE ACT OF 1934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Elizabeth Morgan Downs O'Donnell, certify that:</w:t>
      </w:r>
    </w:p>
    <w:p>
      <w:pPr>
        <w:spacing w:after="0" w:line="23" w:lineRule="exact"/>
        <w:rPr>
          <w:sz w:val="20"/>
          <w:szCs w:val="20"/>
          <w:color w:val="auto"/>
        </w:rPr>
      </w:pPr>
    </w:p>
    <w:p>
      <w:pPr>
        <w:ind w:left="260" w:hanging="255"/>
        <w:spacing w:after="0"/>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Atlantic City Electric Company;</w:t>
      </w:r>
    </w:p>
    <w:p>
      <w:pPr>
        <w:spacing w:after="0" w:line="8" w:lineRule="exact"/>
        <w:rPr>
          <w:rFonts w:ascii="Times New Roman" w:cs="Times New Roman" w:eastAsia="Times New Roman" w:hAnsi="Times New Roman"/>
          <w:sz w:val="14"/>
          <w:szCs w:val="14"/>
          <w:color w:val="auto"/>
        </w:rPr>
      </w:pPr>
    </w:p>
    <w:p>
      <w:pPr>
        <w:ind w:left="260" w:right="140" w:hanging="255"/>
        <w:spacing w:after="0" w:line="253" w:lineRule="auto"/>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53" w:lineRule="auto"/>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60" w:hanging="255"/>
        <w:spacing w:after="0" w:line="253" w:lineRule="auto"/>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hanging="260"/>
        <w:spacing w:after="0" w:line="253" w:lineRule="auto"/>
        <w:tabs>
          <w:tab w:leader="none" w:pos="518"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53" w:lineRule="auto"/>
        <w:tabs>
          <w:tab w:leader="none" w:pos="515"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53" w:lineRule="auto"/>
        <w:tabs>
          <w:tab w:leader="none" w:pos="518"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53" w:lineRule="auto"/>
        <w:tabs>
          <w:tab w:leader="none" w:pos="515"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53" w:lineRule="auto"/>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253" w:lineRule="auto"/>
        <w:tabs>
          <w:tab w:leader="none" w:pos="518"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Exelon Corporation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Exelon Corporation.</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CALVIN G. BUTLER,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Calvin G. Butler, Jr.</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Exelon Corporation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Exelon Corporation.</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JEANNE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Jeanne M. Jones</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Executive Vice President, Chief Finance Officer, Audit and Risk</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4"/>
          <w:szCs w:val="14"/>
          <w:b w:val="1"/>
          <w:bCs w:val="1"/>
          <w:color w:val="auto"/>
        </w:rPr>
        <w:t>Exhibit 32-3</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Commonwealth Edison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Commonwealth Edison Company.</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GIL C. QUINIONES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Gil C. Quiniones</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8"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b w:val="1"/>
          <w:bCs w:val="1"/>
          <w:color w:val="auto"/>
        </w:rPr>
        <w:t>Exhibit 32-4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Commonwealth Edison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Commonwealth Edison Company.</w:t>
      </w: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 JOSHUA S.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Joshua S. Levin</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b w:val="1"/>
          <w:bCs w:val="1"/>
          <w:color w:val="auto"/>
        </w:rPr>
        <w:t>Exhibit 32-5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PECO Energy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PECO Energy Company.</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MICHAEL A. INNOCENZO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Michael A. Innocenzo</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Interim President and Chief Executive Officer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4"/>
          <w:szCs w:val="14"/>
          <w:b w:val="1"/>
          <w:bCs w:val="1"/>
          <w:color w:val="auto"/>
        </w:rPr>
        <w:t>Exhibit 32-6</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PECO Energy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PECO Energy Company.</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MARISSA E.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Marissa E. Humphrey</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4"/>
          <w:szCs w:val="14"/>
          <w:b w:val="1"/>
          <w:bCs w:val="1"/>
          <w:color w:val="auto"/>
        </w:rPr>
        <w:t>Exhibit 32-7</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Baltimore Gas and Electric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Baltimore Gas and Electric Company.</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TAMLA A.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Tamla A. Olivier</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8" w:right="3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4"/>
          <w:szCs w:val="14"/>
          <w:b w:val="1"/>
          <w:bCs w:val="1"/>
          <w:color w:val="auto"/>
        </w:rPr>
        <w:t>Exhibit 32-8</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Baltimore Gas and Electric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Baltimore Gas and Electric Company.</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MICHAEL J. CLOYD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Michael J. Cloyd</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8" w:right="31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4"/>
          <w:szCs w:val="14"/>
          <w:b w:val="1"/>
          <w:bCs w:val="1"/>
          <w:color w:val="auto"/>
        </w:rPr>
        <w:t>Exhibit 32-9</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Pepco Holdings LLC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Pepco Holdings LLC.</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J. TYLER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J. Tyler Anthony</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4"/>
          <w:szCs w:val="14"/>
          <w:b w:val="1"/>
          <w:bCs w:val="1"/>
          <w:color w:val="auto"/>
        </w:rPr>
        <w:t>Exhibit 32-10</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Pepco Holdings LLC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Pepco Holdings LLC.</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Elizabeth Morgan Downs O'Donnell</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4"/>
          <w:szCs w:val="14"/>
          <w:b w:val="1"/>
          <w:bCs w:val="1"/>
          <w:color w:val="auto"/>
        </w:rPr>
        <w:t>Exhibit 32-11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Potomac Electric Power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Potomac Electric Power Company.</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J. TYLER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J. Tyler Anthony</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4"/>
          <w:szCs w:val="14"/>
          <w:b w:val="1"/>
          <w:bCs w:val="1"/>
          <w:color w:val="auto"/>
        </w:rPr>
        <w:t>Exhibit 32-12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Potomac Electric Power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Potomac Electric Power Company</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Elizabeth Morgan Downs O'Donnell</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4"/>
          <w:szCs w:val="14"/>
          <w:b w:val="1"/>
          <w:bCs w:val="1"/>
          <w:color w:val="auto"/>
        </w:rPr>
        <w:t>Exhibit 32-13</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Delmarva Power &amp; Light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Delmarva Power &amp; Light Company.</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J. TYLER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J. Tyler Anthony</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8" w:right="31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4"/>
          <w:szCs w:val="14"/>
          <w:b w:val="1"/>
          <w:bCs w:val="1"/>
          <w:color w:val="auto"/>
        </w:rPr>
        <w:t>Exhibit 32-14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Delmarva Power &amp; Light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Delmarva Power &amp; Light Company</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5240"/>
        <w:spacing w:after="0"/>
        <w:tabs>
          <w:tab w:leader="none" w:pos="5500" w:val="left"/>
        </w:tabs>
        <w:rPr>
          <w:sz w:val="20"/>
          <w:szCs w:val="20"/>
          <w:color w:val="auto"/>
        </w:rPr>
      </w:pPr>
      <w:r>
        <w:rPr>
          <w:rFonts w:ascii="Times New Roman" w:cs="Times New Roman" w:eastAsia="Times New Roman" w:hAnsi="Times New Roman"/>
          <w:sz w:val="14"/>
          <w:szCs w:val="14"/>
          <w:color w:val="auto"/>
        </w:rPr>
        <w:t>/s/</w:t>
        <w:tab/>
        <w:t>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14605</wp:posOffset>
            </wp:positionV>
            <wp:extent cx="389572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3895725" cy="6985"/>
                    </a:xfrm>
                    <a:prstGeom prst="rect">
                      <a:avLst/>
                    </a:prstGeom>
                    <a:noFill/>
                  </pic:spPr>
                </pic:pic>
              </a:graphicData>
            </a:graphic>
          </wp:anchor>
        </w:drawing>
      </w:r>
    </w:p>
    <w:p>
      <w:pPr>
        <w:spacing w:after="0" w:line="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Elizabeth Morgan Downs O'Donnell</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4"/>
          <w:szCs w:val="14"/>
          <w:b w:val="1"/>
          <w:bCs w:val="1"/>
          <w:color w:val="auto"/>
        </w:rPr>
        <w:t>Exhibit 32-15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Atlantic City Electric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Atlantic City Electric Company.</w:t>
      </w:r>
    </w:p>
    <w:p>
      <w:pPr>
        <w:spacing w:after="0" w:line="221"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J. TYLER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J. Tyler Anthony</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p>
      <w:pPr>
        <w:sectPr>
          <w:pgSz w:w="11900" w:h="16838" w:orient="portrait"/>
          <w:cols w:equalWidth="0" w:num="1">
            <w:col w:w="11280"/>
          </w:cols>
          <w:pgMar w:left="300" w:top="1269" w:right="3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4"/>
          <w:szCs w:val="14"/>
          <w:b w:val="1"/>
          <w:bCs w:val="1"/>
          <w:color w:val="auto"/>
        </w:rPr>
        <w:t>Exhibit 32-16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Pursuant to Section 1350 of Chapter 63 of Title 18 United States Code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undersigned officer hereby certifies, as to the quarterly report on Form 10-Q of Atlantic City Electric Company for the quarterly period ended March 31, 2026, that (i) the report fully complies with the requirements of section 13(a) or 15(d) of the Securities Exchange Act of 1934, and (ii) the information contained in the report fairly presents, in all material respects, the financial condition and results of operations of Atlantic City Electric Company</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43" w:lineRule="exact"/>
        <w:rPr>
          <w:sz w:val="20"/>
          <w:szCs w:val="20"/>
          <w:color w:val="auto"/>
        </w:rPr>
      </w:pPr>
    </w:p>
    <w:p>
      <w:pPr>
        <w:ind w:left="4880"/>
        <w:spacing w:after="0"/>
        <w:tabs>
          <w:tab w:leader="none" w:pos="5140" w:val="left"/>
        </w:tabs>
        <w:rPr>
          <w:sz w:val="20"/>
          <w:szCs w:val="20"/>
          <w:color w:val="auto"/>
        </w:rPr>
      </w:pPr>
      <w:r>
        <w:rPr>
          <w:rFonts w:ascii="Times New Roman" w:cs="Times New Roman" w:eastAsia="Times New Roman" w:hAnsi="Times New Roman"/>
          <w:sz w:val="14"/>
          <w:szCs w:val="14"/>
          <w:color w:val="auto"/>
        </w:rPr>
        <w:t>/s/</w:t>
        <w:tab/>
        <w:t>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406908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4069080"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Elizabeth Morgan Downs O'Donnell</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6, 2026</w:t>
      </w:r>
    </w:p>
    <w:sectPr>
      <w:pgSz w:w="11900" w:h="16838" w:orient="portrait"/>
      <w:cols w:equalWidth="0" w:num="1">
        <w:col w:w="11280"/>
      </w:cols>
      <w:pgMar w:left="300" w:top="126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1)"/>
      <w:numFmt w:val="lowerLetter"/>
      <w:start w:val="1"/>
    </w:lvl>
    <w:lvl w:ilvl="1">
      <w:lvlJc w:val="left"/>
      <w:lvlText w:val="•"/>
      <w:numFmt w:val="bullet"/>
      <w:start w:val="1"/>
    </w:lvl>
  </w:abstractNum>
  <w:abstractNum w:abstractNumId="9">
    <w:nsid w:val="440BADFC"/>
    <w:multiLevelType w:val="hybridMultilevel"/>
    <w:lvl w:ilvl="0">
      <w:lvlJc w:val="left"/>
      <w:lvlText w:val="(%1)"/>
      <w:numFmt w:val="lowerLetter"/>
      <w:start w:val="1"/>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1)"/>
      <w:numFmt w:val="lowerLetter"/>
      <w:start w:val="2"/>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decimal"/>
      <w:start w:val="1"/>
    </w:lvl>
    <w:lvl w:ilvl="1">
      <w:lvlJc w:val="left"/>
      <w:lvlText w:val="(%2)"/>
      <w:numFmt w:val="lowerLetter"/>
      <w:start w:val="1"/>
    </w:lvl>
  </w:abstractNum>
  <w:abstractNum w:abstractNumId="46">
    <w:nsid w:val="374A3FE6"/>
    <w:multiLevelType w:val="hybridMultilevel"/>
    <w:lvl w:ilvl="0">
      <w:lvlJc w:val="left"/>
      <w:lvlText w:val="%1."/>
      <w:numFmt w:val="decimal"/>
      <w:start w:val="1"/>
    </w:lvl>
    <w:lvl w:ilvl="1">
      <w:lvlJc w:val="left"/>
      <w:lvlText w:val="(%2)"/>
      <w:numFmt w:val="lowerLetter"/>
      <w:start w:val="1"/>
    </w:lvl>
  </w:abstractNum>
  <w:abstractNum w:abstractNumId="47">
    <w:nsid w:val="4F4EF005"/>
    <w:multiLevelType w:val="hybridMultilevel"/>
    <w:lvl w:ilvl="0">
      <w:lvlJc w:val="left"/>
      <w:lvlText w:val="%1."/>
      <w:numFmt w:val="decimal"/>
      <w:start w:val="1"/>
    </w:lvl>
    <w:lvl w:ilvl="1">
      <w:lvlJc w:val="left"/>
      <w:lvlText w:val="(%2)"/>
      <w:numFmt w:val="lowerLetter"/>
      <w:start w:val="1"/>
    </w:lvl>
  </w:abstractNum>
  <w:abstractNum w:abstractNumId="48">
    <w:nsid w:val="23F9C13C"/>
    <w:multiLevelType w:val="hybridMultilevel"/>
    <w:lvl w:ilvl="0">
      <w:lvlJc w:val="left"/>
      <w:lvlText w:val="%1."/>
      <w:numFmt w:val="decimal"/>
      <w:start w:val="1"/>
    </w:lvl>
    <w:lvl w:ilvl="1">
      <w:lvlJc w:val="left"/>
      <w:lvlText w:val="(%2)"/>
      <w:numFmt w:val="lowerLetter"/>
      <w:start w:val="1"/>
    </w:lvl>
  </w:abstractNum>
  <w:abstractNum w:abstractNumId="49">
    <w:nsid w:val="649BB77C"/>
    <w:multiLevelType w:val="hybridMultilevel"/>
    <w:lvl w:ilvl="0">
      <w:lvlJc w:val="left"/>
      <w:lvlText w:val="%1."/>
      <w:numFmt w:val="decimal"/>
      <w:start w:val="1"/>
    </w:lvl>
    <w:lvl w:ilvl="1">
      <w:lvlJc w:val="left"/>
      <w:lvlText w:val="(%2)"/>
      <w:numFmt w:val="lowerLetter"/>
      <w:start w:val="1"/>
    </w:lvl>
  </w:abstractNum>
  <w:abstractNum w:abstractNumId="50">
    <w:nsid w:val="275AC794"/>
    <w:multiLevelType w:val="hybridMultilevel"/>
    <w:lvl w:ilvl="0">
      <w:lvlJc w:val="left"/>
      <w:lvlText w:val="%1."/>
      <w:numFmt w:val="decimal"/>
      <w:start w:val="1"/>
    </w:lvl>
    <w:lvl w:ilvl="1">
      <w:lvlJc w:val="left"/>
      <w:lvlText w:val="(%2)"/>
      <w:numFmt w:val="lowerLetter"/>
      <w:start w:val="1"/>
    </w:lvl>
  </w:abstractNum>
  <w:abstractNum w:abstractNumId="51">
    <w:nsid w:val="39386575"/>
    <w:multiLevelType w:val="hybridMultilevel"/>
    <w:lvl w:ilvl="0">
      <w:lvlJc w:val="left"/>
      <w:lvlText w:val="%1."/>
      <w:numFmt w:val="decimal"/>
      <w:start w:val="1"/>
    </w:lvl>
    <w:lvl w:ilvl="1">
      <w:lvlJc w:val="left"/>
      <w:lvlText w:val="(%2)"/>
      <w:numFmt w:val="lowerLetter"/>
      <w:start w:val="1"/>
    </w:lvl>
  </w:abstractNum>
  <w:abstractNum w:abstractNumId="52">
    <w:nsid w:val="1CF10FD8"/>
    <w:multiLevelType w:val="hybridMultilevel"/>
    <w:lvl w:ilvl="0">
      <w:lvlJc w:val="left"/>
      <w:lvlText w:val="%1."/>
      <w:numFmt w:val="decimal"/>
      <w:start w:val="1"/>
    </w:lvl>
    <w:lvl w:ilvl="1">
      <w:lvlJc w:val="left"/>
      <w:lvlText w:val="(%2)"/>
      <w:numFmt w:val="lowerLetter"/>
      <w:start w:val="1"/>
    </w:lvl>
  </w:abstractNum>
  <w:abstractNum w:abstractNumId="53">
    <w:nsid w:val="180115BE"/>
    <w:multiLevelType w:val="hybridMultilevel"/>
    <w:lvl w:ilvl="0">
      <w:lvlJc w:val="left"/>
      <w:lvlText w:val="%1."/>
      <w:numFmt w:val="decimal"/>
      <w:start w:val="1"/>
    </w:lvl>
    <w:lvl w:ilvl="1">
      <w:lvlJc w:val="left"/>
      <w:lvlText w:val="(%2)"/>
      <w:numFmt w:val="lowerLetter"/>
      <w:start w:val="1"/>
    </w:lvl>
  </w:abstractNum>
  <w:abstractNum w:abstractNumId="54">
    <w:nsid w:val="235BA861"/>
    <w:multiLevelType w:val="hybridMultilevel"/>
    <w:lvl w:ilvl="0">
      <w:lvlJc w:val="left"/>
      <w:lvlText w:val="%1."/>
      <w:numFmt w:val="decimal"/>
      <w:start w:val="1"/>
    </w:lvl>
    <w:lvl w:ilvl="1">
      <w:lvlJc w:val="left"/>
      <w:lvlText w:val="(%2)"/>
      <w:numFmt w:val="lowerLetter"/>
      <w:start w:val="1"/>
    </w:lvl>
  </w:abstractNum>
  <w:abstractNum w:abstractNumId="55">
    <w:nsid w:val="47398C89"/>
    <w:multiLevelType w:val="hybridMultilevel"/>
    <w:lvl w:ilvl="0">
      <w:lvlJc w:val="left"/>
      <w:lvlText w:val="%1."/>
      <w:numFmt w:val="decimal"/>
      <w:start w:val="1"/>
    </w:lvl>
    <w:lvl w:ilvl="1">
      <w:lvlJc w:val="left"/>
      <w:lvlText w:val="(%2)"/>
      <w:numFmt w:val="lowerLetter"/>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0"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179" Type="http://schemas.openxmlformats.org/officeDocument/2006/relationships/hyperlink" Target="http://www.sec.gov/Archives/edgar/data/1109357/000110935726000021/exc-20260220ex42.htm" TargetMode="External"/><Relationship Id="rId181" Type="http://schemas.openxmlformats.org/officeDocument/2006/relationships/hyperlink" Target="https://www.sec.gov/Archives/edgar/data/79732/000007973226000005/exc-20250319ex42.htm" TargetMode="External"/><Relationship Id="rId182" Type="http://schemas.openxmlformats.org/officeDocument/2006/relationships/hyperlink" Target="http://www.sec.gov/Archives/edgar/data/79732/000007973226000005/exc-20250319ex42.htm" TargetMode="External"/><Relationship Id="rId183" Type="http://schemas.openxmlformats.org/officeDocument/2006/relationships/hyperlink" Target="http://www.sec.gov/Archives/edgar/data/79732/000007973226000005/exc-20250319ex44.htm" TargetMode="External"/><Relationship Id="rId184" Type="http://schemas.openxmlformats.org/officeDocument/2006/relationships/hyperlink" Target="http://www.sec.gov/Archives/edgar/data/79732/000007973226000005/exc-20250319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2026-05-06T13:24:56Z</dcterms:created>
  <dcterms:modified xsi:type="dcterms:W3CDTF">2026-05-06T13:24:56Z</dcterms:modified>
</cp:coreProperties>
</file>