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Amendment No. 38</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to</w:t>
      </w:r>
    </w:p>
    <w:p>
      <w:pPr>
        <w:jc w:val="center"/>
        <w:spacing w:after="0" w:line="237" w:lineRule="auto"/>
        <w:rPr>
          <w:sz w:val="20"/>
          <w:szCs w:val="20"/>
          <w:color w:val="auto"/>
        </w:rPr>
      </w:pPr>
      <w:r>
        <w:rPr>
          <w:rFonts w:ascii="Arial" w:cs="Arial" w:eastAsia="Arial" w:hAnsi="Arial"/>
          <w:sz w:val="22"/>
          <w:szCs w:val="22"/>
          <w:b w:val="1"/>
          <w:bCs w:val="1"/>
          <w:color w:val="auto"/>
        </w:rPr>
        <w:t>SCHEDULE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(Rule 14d-100)</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Tender Offer Statement Under Section 14(d)(1) or 13(e)(1)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NRG Energy,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Exelon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Exelon Xchange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Filing Persons (Offerors))</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5780" w:type="dxa"/>
            <w:vAlign w:val="bottom"/>
          </w:tcPr>
          <w:p>
            <w:pPr>
              <w:jc w:val="center"/>
              <w:ind w:right="2272"/>
              <w:spacing w:after="0"/>
              <w:rPr>
                <w:sz w:val="20"/>
                <w:szCs w:val="20"/>
                <w:color w:val="auto"/>
              </w:rPr>
            </w:pPr>
            <w:r>
              <w:rPr>
                <w:rFonts w:ascii="Arial" w:cs="Arial" w:eastAsia="Arial" w:hAnsi="Arial"/>
                <w:sz w:val="18"/>
                <w:szCs w:val="18"/>
                <w:b w:val="1"/>
                <w:bCs w:val="1"/>
                <w:color w:val="auto"/>
                <w:w w:val="87"/>
              </w:rPr>
              <w:t>Common Stock, par value $0.01 per share</w:t>
            </w:r>
          </w:p>
        </w:tc>
      </w:tr>
      <w:tr>
        <w:trPr>
          <w:trHeight w:val="222"/>
        </w:trPr>
        <w:tc>
          <w:tcPr>
            <w:tcW w:w="2120" w:type="dxa"/>
            <w:vAlign w:val="bottom"/>
          </w:tcPr>
          <w:p>
            <w:pPr>
              <w:spacing w:after="0"/>
              <w:rPr>
                <w:sz w:val="19"/>
                <w:szCs w:val="19"/>
                <w:color w:val="auto"/>
              </w:rPr>
            </w:pPr>
          </w:p>
        </w:tc>
        <w:tc>
          <w:tcPr>
            <w:tcW w:w="5780" w:type="dxa"/>
            <w:vAlign w:val="bottom"/>
          </w:tcPr>
          <w:p>
            <w:pPr>
              <w:jc w:val="center"/>
              <w:ind w:right="2272"/>
              <w:spacing w:after="0"/>
              <w:rPr>
                <w:sz w:val="20"/>
                <w:szCs w:val="20"/>
                <w:color w:val="auto"/>
              </w:rPr>
            </w:pPr>
            <w:r>
              <w:rPr>
                <w:rFonts w:ascii="Arial" w:cs="Arial" w:eastAsia="Arial" w:hAnsi="Arial"/>
                <w:sz w:val="18"/>
                <w:szCs w:val="18"/>
                <w:color w:val="auto"/>
                <w:w w:val="89"/>
              </w:rPr>
              <w:t>(Title of Class of Securities)</w:t>
            </w:r>
          </w:p>
        </w:tc>
      </w:tr>
      <w:tr>
        <w:trPr>
          <w:trHeight w:val="372"/>
        </w:trPr>
        <w:tc>
          <w:tcPr>
            <w:tcW w:w="2120" w:type="dxa"/>
            <w:vAlign w:val="bottom"/>
          </w:tcPr>
          <w:p>
            <w:pPr>
              <w:spacing w:after="0"/>
              <w:rPr>
                <w:sz w:val="24"/>
                <w:szCs w:val="24"/>
                <w:color w:val="auto"/>
              </w:rPr>
            </w:pPr>
          </w:p>
        </w:tc>
        <w:tc>
          <w:tcPr>
            <w:tcW w:w="5780" w:type="dxa"/>
            <w:vAlign w:val="bottom"/>
          </w:tcPr>
          <w:p>
            <w:pPr>
              <w:jc w:val="center"/>
              <w:ind w:right="2272"/>
              <w:spacing w:after="0"/>
              <w:rPr>
                <w:sz w:val="20"/>
                <w:szCs w:val="20"/>
                <w:color w:val="auto"/>
              </w:rPr>
            </w:pPr>
            <w:r>
              <w:rPr>
                <w:rFonts w:ascii="Arial" w:cs="Arial" w:eastAsia="Arial" w:hAnsi="Arial"/>
                <w:sz w:val="18"/>
                <w:szCs w:val="18"/>
                <w:b w:val="1"/>
                <w:bCs w:val="1"/>
                <w:color w:val="auto"/>
                <w:w w:val="88"/>
              </w:rPr>
              <w:t>30161N101</w:t>
            </w:r>
          </w:p>
        </w:tc>
      </w:tr>
      <w:tr>
        <w:trPr>
          <w:trHeight w:val="222"/>
        </w:trPr>
        <w:tc>
          <w:tcPr>
            <w:tcW w:w="2120" w:type="dxa"/>
            <w:vAlign w:val="bottom"/>
          </w:tcPr>
          <w:p>
            <w:pPr>
              <w:spacing w:after="0"/>
              <w:rPr>
                <w:sz w:val="19"/>
                <w:szCs w:val="19"/>
                <w:color w:val="auto"/>
              </w:rPr>
            </w:pPr>
          </w:p>
        </w:tc>
        <w:tc>
          <w:tcPr>
            <w:tcW w:w="5780" w:type="dxa"/>
            <w:vAlign w:val="bottom"/>
          </w:tcPr>
          <w:p>
            <w:pPr>
              <w:jc w:val="center"/>
              <w:ind w:right="2272"/>
              <w:spacing w:after="0"/>
              <w:rPr>
                <w:sz w:val="20"/>
                <w:szCs w:val="20"/>
                <w:color w:val="auto"/>
              </w:rPr>
            </w:pPr>
            <w:r>
              <w:rPr>
                <w:rFonts w:ascii="Arial" w:cs="Arial" w:eastAsia="Arial" w:hAnsi="Arial"/>
                <w:sz w:val="18"/>
                <w:szCs w:val="18"/>
                <w:color w:val="auto"/>
                <w:w w:val="89"/>
              </w:rPr>
              <w:t>(CUSIP Number of Class of Securities)</w:t>
            </w:r>
          </w:p>
        </w:tc>
      </w:tr>
      <w:tr>
        <w:trPr>
          <w:trHeight w:val="406"/>
        </w:trPr>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William A. Von Hoene, Jr.</w:t>
            </w:r>
          </w:p>
        </w:tc>
        <w:tc>
          <w:tcPr>
            <w:tcW w:w="5780" w:type="dxa"/>
            <w:vAlign w:val="bottom"/>
          </w:tcPr>
          <w:p>
            <w:pPr>
              <w:jc w:val="center"/>
              <w:ind w:left="3492"/>
              <w:spacing w:after="0"/>
              <w:rPr>
                <w:sz w:val="20"/>
                <w:szCs w:val="20"/>
                <w:color w:val="auto"/>
              </w:rPr>
            </w:pPr>
            <w:r>
              <w:rPr>
                <w:rFonts w:ascii="Arial" w:cs="Arial" w:eastAsia="Arial" w:hAnsi="Arial"/>
                <w:sz w:val="18"/>
                <w:szCs w:val="18"/>
                <w:b w:val="1"/>
                <w:bCs w:val="1"/>
                <w:color w:val="auto"/>
                <w:w w:val="91"/>
              </w:rPr>
              <w:t>Christopher M. Crane</w:t>
            </w:r>
          </w:p>
        </w:tc>
      </w:tr>
      <w:tr>
        <w:trPr>
          <w:trHeight w:val="216"/>
        </w:trPr>
        <w:tc>
          <w:tcPr>
            <w:tcW w:w="212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Executive Vice President</w:t>
            </w:r>
          </w:p>
        </w:tc>
        <w:tc>
          <w:tcPr>
            <w:tcW w:w="5780" w:type="dxa"/>
            <w:vAlign w:val="bottom"/>
          </w:tcPr>
          <w:p>
            <w:pPr>
              <w:jc w:val="center"/>
              <w:ind w:left="3512"/>
              <w:spacing w:after="0"/>
              <w:rPr>
                <w:sz w:val="20"/>
                <w:szCs w:val="20"/>
                <w:color w:val="auto"/>
              </w:rPr>
            </w:pPr>
            <w:r>
              <w:rPr>
                <w:rFonts w:ascii="Arial" w:cs="Arial" w:eastAsia="Arial" w:hAnsi="Arial"/>
                <w:sz w:val="18"/>
                <w:szCs w:val="18"/>
                <w:b w:val="1"/>
                <w:bCs w:val="1"/>
                <w:color w:val="auto"/>
                <w:w w:val="85"/>
              </w:rPr>
              <w:t>President</w:t>
            </w:r>
          </w:p>
        </w:tc>
      </w:tr>
      <w:tr>
        <w:trPr>
          <w:trHeight w:val="216"/>
        </w:trPr>
        <w:tc>
          <w:tcPr>
            <w:tcW w:w="212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Exelon Corporation</w:t>
            </w:r>
          </w:p>
        </w:tc>
        <w:tc>
          <w:tcPr>
            <w:tcW w:w="5780" w:type="dxa"/>
            <w:vAlign w:val="bottom"/>
          </w:tcPr>
          <w:p>
            <w:pPr>
              <w:jc w:val="center"/>
              <w:ind w:left="3492"/>
              <w:spacing w:after="0"/>
              <w:rPr>
                <w:sz w:val="20"/>
                <w:szCs w:val="20"/>
                <w:color w:val="auto"/>
              </w:rPr>
            </w:pPr>
            <w:r>
              <w:rPr>
                <w:rFonts w:ascii="Arial" w:cs="Arial" w:eastAsia="Arial" w:hAnsi="Arial"/>
                <w:sz w:val="18"/>
                <w:szCs w:val="18"/>
                <w:b w:val="1"/>
                <w:bCs w:val="1"/>
                <w:color w:val="auto"/>
                <w:w w:val="89"/>
              </w:rPr>
              <w:t>Exelon Xchange Corporation</w:t>
            </w:r>
          </w:p>
        </w:tc>
      </w:tr>
      <w:tr>
        <w:trPr>
          <w:trHeight w:val="216"/>
        </w:trPr>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10 South Dearborn Street</w:t>
            </w:r>
          </w:p>
        </w:tc>
        <w:tc>
          <w:tcPr>
            <w:tcW w:w="5780" w:type="dxa"/>
            <w:vAlign w:val="bottom"/>
          </w:tcPr>
          <w:p>
            <w:pPr>
              <w:jc w:val="center"/>
              <w:ind w:left="3492"/>
              <w:spacing w:after="0"/>
              <w:rPr>
                <w:sz w:val="20"/>
                <w:szCs w:val="20"/>
                <w:color w:val="auto"/>
              </w:rPr>
            </w:pPr>
            <w:r>
              <w:rPr>
                <w:rFonts w:ascii="Arial" w:cs="Arial" w:eastAsia="Arial" w:hAnsi="Arial"/>
                <w:sz w:val="18"/>
                <w:szCs w:val="18"/>
                <w:b w:val="1"/>
                <w:bCs w:val="1"/>
                <w:color w:val="auto"/>
                <w:w w:val="88"/>
              </w:rPr>
              <w:t>10 South Dearborn Street</w:t>
            </w:r>
          </w:p>
        </w:tc>
      </w:tr>
      <w:tr>
        <w:trPr>
          <w:trHeight w:val="216"/>
        </w:trPr>
        <w:tc>
          <w:tcPr>
            <w:tcW w:w="212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P.O. Box 805379</w:t>
            </w:r>
          </w:p>
        </w:tc>
        <w:tc>
          <w:tcPr>
            <w:tcW w:w="5780" w:type="dxa"/>
            <w:vAlign w:val="bottom"/>
          </w:tcPr>
          <w:p>
            <w:pPr>
              <w:jc w:val="center"/>
              <w:ind w:left="3512"/>
              <w:spacing w:after="0"/>
              <w:rPr>
                <w:sz w:val="20"/>
                <w:szCs w:val="20"/>
                <w:color w:val="auto"/>
              </w:rPr>
            </w:pPr>
            <w:r>
              <w:rPr>
                <w:rFonts w:ascii="Arial" w:cs="Arial" w:eastAsia="Arial" w:hAnsi="Arial"/>
                <w:sz w:val="18"/>
                <w:szCs w:val="18"/>
                <w:b w:val="1"/>
                <w:bCs w:val="1"/>
                <w:color w:val="auto"/>
                <w:w w:val="87"/>
              </w:rPr>
              <w:t>P.O. Box 805379</w:t>
            </w:r>
          </w:p>
        </w:tc>
      </w:tr>
      <w:tr>
        <w:trPr>
          <w:trHeight w:val="216"/>
        </w:trPr>
        <w:tc>
          <w:tcPr>
            <w:tcW w:w="21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Chicago, Illinois 60603</w:t>
            </w:r>
          </w:p>
        </w:tc>
        <w:tc>
          <w:tcPr>
            <w:tcW w:w="5780" w:type="dxa"/>
            <w:vAlign w:val="bottom"/>
          </w:tcPr>
          <w:p>
            <w:pPr>
              <w:jc w:val="center"/>
              <w:ind w:left="3512"/>
              <w:spacing w:after="0"/>
              <w:rPr>
                <w:sz w:val="20"/>
                <w:szCs w:val="20"/>
                <w:color w:val="auto"/>
              </w:rPr>
            </w:pPr>
            <w:r>
              <w:rPr>
                <w:rFonts w:ascii="Arial" w:cs="Arial" w:eastAsia="Arial" w:hAnsi="Arial"/>
                <w:sz w:val="18"/>
                <w:szCs w:val="18"/>
                <w:b w:val="1"/>
                <w:bCs w:val="1"/>
                <w:color w:val="auto"/>
                <w:w w:val="88"/>
              </w:rPr>
              <w:t>Chicago, Illinois 60603</w:t>
            </w:r>
          </w:p>
        </w:tc>
      </w:tr>
      <w:tr>
        <w:trPr>
          <w:trHeight w:val="228"/>
        </w:trPr>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800-483-3220</w:t>
            </w:r>
          </w:p>
        </w:tc>
        <w:tc>
          <w:tcPr>
            <w:tcW w:w="5780" w:type="dxa"/>
            <w:vAlign w:val="bottom"/>
          </w:tcPr>
          <w:p>
            <w:pPr>
              <w:jc w:val="center"/>
              <w:ind w:left="3492"/>
              <w:spacing w:after="0"/>
              <w:rPr>
                <w:sz w:val="20"/>
                <w:szCs w:val="20"/>
                <w:color w:val="auto"/>
              </w:rPr>
            </w:pPr>
            <w:r>
              <w:rPr>
                <w:rFonts w:ascii="Arial" w:cs="Arial" w:eastAsia="Arial" w:hAnsi="Arial"/>
                <w:sz w:val="18"/>
                <w:szCs w:val="18"/>
                <w:b w:val="1"/>
                <w:bCs w:val="1"/>
                <w:color w:val="auto"/>
                <w:w w:val="89"/>
              </w:rPr>
              <w:t>800-483-3220</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(Names, addresses and telephone numbers of persons authorized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receive notices and communications on behalf of filing persons)</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6"/>
              </w:rPr>
              <w:t>Copies to:</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8"/>
              </w:rPr>
              <w:t>Thomas A. Cole</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90"/>
              </w:rPr>
              <w:t>Frederick C. Lowinger</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9"/>
              </w:rPr>
              <w:t>Richard W. Astle</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91"/>
              </w:rPr>
              <w:t>Michael A. Gordon</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8"/>
              </w:rPr>
              <w:t>Scott R. Williams</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90"/>
              </w:rPr>
              <w:t>Sidley Austin LLP</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8"/>
              </w:rPr>
              <w:t>One South Dearborn Street</w:t>
            </w:r>
          </w:p>
        </w:tc>
      </w:tr>
      <w:tr>
        <w:trPr>
          <w:trHeight w:val="216"/>
        </w:trPr>
        <w:tc>
          <w:tcPr>
            <w:tcW w:w="3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8"/>
              </w:rPr>
              <w:t>Chicago, Illinois 60603</w:t>
            </w:r>
          </w:p>
        </w:tc>
      </w:tr>
      <w:tr>
        <w:trPr>
          <w:trHeight w:val="228"/>
        </w:trPr>
        <w:tc>
          <w:tcPr>
            <w:tcW w:w="3960" w:type="dxa"/>
            <w:vAlign w:val="bottom"/>
          </w:tcPr>
          <w:p>
            <w:pPr>
              <w:spacing w:after="0"/>
              <w:rPr>
                <w:sz w:val="19"/>
                <w:szCs w:val="19"/>
                <w:color w:val="auto"/>
              </w:rPr>
            </w:pPr>
          </w:p>
        </w:tc>
        <w:tc>
          <w:tcPr>
            <w:tcW w:w="2940" w:type="dxa"/>
            <w:vAlign w:val="bottom"/>
            <w:gridSpan w:val="2"/>
          </w:tcPr>
          <w:p>
            <w:pPr>
              <w:jc w:val="center"/>
              <w:ind w:left="472"/>
              <w:spacing w:after="0"/>
              <w:rPr>
                <w:sz w:val="20"/>
                <w:szCs w:val="20"/>
                <w:color w:val="auto"/>
              </w:rPr>
            </w:pPr>
            <w:r>
              <w:rPr>
                <w:rFonts w:ascii="Arial" w:cs="Arial" w:eastAsia="Arial" w:hAnsi="Arial"/>
                <w:sz w:val="18"/>
                <w:szCs w:val="18"/>
                <w:b w:val="1"/>
                <w:bCs w:val="1"/>
                <w:color w:val="auto"/>
                <w:w w:val="89"/>
              </w:rPr>
              <w:t>(312) 853-7000</w:t>
            </w:r>
          </w:p>
        </w:tc>
        <w:tc>
          <w:tcPr>
            <w:tcW w:w="4520" w:type="dxa"/>
            <w:vAlign w:val="bottom"/>
          </w:tcPr>
          <w:p>
            <w:pPr>
              <w:spacing w:after="0"/>
              <w:rPr>
                <w:sz w:val="19"/>
                <w:szCs w:val="19"/>
                <w:color w:val="auto"/>
              </w:rPr>
            </w:pPr>
          </w:p>
        </w:tc>
      </w:tr>
      <w:tr>
        <w:trPr>
          <w:trHeight w:val="164"/>
        </w:trPr>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89"/>
        </w:trPr>
        <w:tc>
          <w:tcPr>
            <w:tcW w:w="3960" w:type="dxa"/>
            <w:vAlign w:val="bottom"/>
          </w:tcPr>
          <w:p>
            <w:pPr>
              <w:spacing w:after="0"/>
              <w:rPr>
                <w:sz w:val="24"/>
                <w:szCs w:val="24"/>
                <w:color w:val="auto"/>
              </w:rPr>
            </w:pPr>
          </w:p>
        </w:tc>
        <w:tc>
          <w:tcPr>
            <w:tcW w:w="7460" w:type="dxa"/>
            <w:vAlign w:val="bottom"/>
            <w:gridSpan w:val="3"/>
          </w:tcPr>
          <w:p>
            <w:pPr>
              <w:jc w:val="center"/>
              <w:ind w:right="387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05"/>
        </w:trPr>
        <w:tc>
          <w:tcPr>
            <w:tcW w:w="3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Borders>
              <w:bottom w:val="single" w:sz="8" w:color="auto"/>
            </w:tcBorders>
          </w:tcPr>
          <w:p>
            <w:pPr>
              <w:ind w:left="2200"/>
              <w:spacing w:after="0"/>
              <w:rPr>
                <w:sz w:val="20"/>
                <w:szCs w:val="20"/>
                <w:color w:val="auto"/>
              </w:rPr>
            </w:pPr>
            <w:r>
              <w:rPr>
                <w:rFonts w:ascii="Arial" w:cs="Arial" w:eastAsia="Arial" w:hAnsi="Arial"/>
                <w:sz w:val="14"/>
                <w:szCs w:val="14"/>
                <w:color w:val="auto"/>
              </w:rPr>
              <w:t>Transaction Valuation</w:t>
            </w:r>
            <w:r>
              <w:rPr>
                <w:rFonts w:ascii="Arial" w:cs="Arial" w:eastAsia="Arial" w:hAnsi="Arial"/>
                <w:sz w:val="22"/>
                <w:szCs w:val="22"/>
                <w:color w:val="auto"/>
                <w:vertAlign w:val="superscript"/>
              </w:rPr>
              <w:t>(1)</w:t>
            </w:r>
          </w:p>
        </w:tc>
        <w:tc>
          <w:tcPr>
            <w:tcW w:w="5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tcPr>
          <w:p>
            <w:pPr>
              <w:jc w:val="center"/>
              <w:ind w:right="872"/>
              <w:spacing w:after="0"/>
              <w:rPr>
                <w:sz w:val="20"/>
                <w:szCs w:val="20"/>
                <w:color w:val="auto"/>
              </w:rPr>
            </w:pPr>
            <w:r>
              <w:rPr>
                <w:rFonts w:ascii="Arial" w:cs="Arial" w:eastAsia="Arial" w:hAnsi="Arial"/>
                <w:sz w:val="14"/>
                <w:szCs w:val="14"/>
                <w:color w:val="auto"/>
                <w:w w:val="88"/>
              </w:rPr>
              <w:t>Amount of Filing Fee</w:t>
            </w:r>
            <w:r>
              <w:rPr>
                <w:rFonts w:ascii="Arial" w:cs="Arial" w:eastAsia="Arial" w:hAnsi="Arial"/>
                <w:sz w:val="22"/>
                <w:szCs w:val="22"/>
                <w:color w:val="auto"/>
                <w:w w:val="88"/>
                <w:vertAlign w:val="superscript"/>
              </w:rPr>
              <w:t>(2)</w:t>
            </w:r>
          </w:p>
        </w:tc>
      </w:tr>
      <w:tr>
        <w:trPr>
          <w:trHeight w:val="397"/>
        </w:trPr>
        <w:tc>
          <w:tcPr>
            <w:tcW w:w="3960" w:type="dxa"/>
            <w:vAlign w:val="bottom"/>
          </w:tcPr>
          <w:p>
            <w:pPr>
              <w:ind w:left="2200"/>
              <w:spacing w:after="0"/>
              <w:rPr>
                <w:sz w:val="20"/>
                <w:szCs w:val="20"/>
                <w:color w:val="auto"/>
              </w:rPr>
            </w:pPr>
            <w:r>
              <w:rPr>
                <w:rFonts w:ascii="Arial" w:cs="Arial" w:eastAsia="Arial" w:hAnsi="Arial"/>
                <w:sz w:val="18"/>
                <w:szCs w:val="18"/>
                <w:color w:val="auto"/>
              </w:rPr>
              <w:t>$6,813,251,397.96</w:t>
            </w:r>
          </w:p>
        </w:tc>
        <w:tc>
          <w:tcPr>
            <w:tcW w:w="7460" w:type="dxa"/>
            <w:vAlign w:val="bottom"/>
            <w:gridSpan w:val="3"/>
          </w:tcPr>
          <w:p>
            <w:pPr>
              <w:jc w:val="right"/>
              <w:ind w:right="2232"/>
              <w:spacing w:after="0"/>
              <w:rPr>
                <w:sz w:val="20"/>
                <w:szCs w:val="20"/>
                <w:color w:val="auto"/>
              </w:rPr>
            </w:pPr>
            <w:r>
              <w:rPr>
                <w:rFonts w:ascii="Arial" w:cs="Arial" w:eastAsia="Arial" w:hAnsi="Arial"/>
                <w:sz w:val="18"/>
                <w:szCs w:val="18"/>
                <w:color w:val="auto"/>
              </w:rPr>
              <w:t>$275,439.96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ind w:left="460" w:right="1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transaction value is estimated solely for purposes of calculating the filing fee pursuant to Rule 0-11(d). The value of the transaction was calculated as the product of (i) 289,187,241 (the sum of (a) 265,226,865 shares of NRG Energy, Inc. common stock, par value $0.01 per share (“NRG common stock”) outstanding as of June 15, 2009 (as reported in the definitive proxy statement on Schedule 14A filed by NRG Energy, Inc. (“NRG”) in connection with its 2009 annual meeting of stockholders (the “NRG Proxy Statement”)), (b) 6,650,080 shares of NRG common stock issuable upon the exercise of options, warrants and</w:t>
      </w:r>
    </w:p>
    <w:p>
      <w:pPr>
        <w:sectPr>
          <w:pgSz w:w="11900" w:h="16838" w:orient="portrait"/>
          <w:cols w:equalWidth="0" w:num="1">
            <w:col w:w="11420"/>
          </w:cols>
          <w:pgMar w:left="240" w:top="315" w:right="239" w:bottom="1440" w:gutter="0" w:footer="0" w:header="0"/>
        </w:sectPr>
      </w:pPr>
    </w:p>
    <w:bookmarkStart w:id="1" w:name="page2"/>
    <w:bookmarkEnd w:id="1"/>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outstanding as of June 15, 2009 (as reported in the NRG Proxy Statement), (c) 20,989,500 shares of NRG common stock issuable upon the conversion of shares of NRG 4.0% preferred stock outstanding as of June 15, 2009 (based on the number of shares of NRG 4.0% preferred stock outstanding reported in the NRG Proxy Statement) and (d) 8,321,796 shares of NRG common stock issuable upon the exercise or vesting of other equity awards outstanding as of June 15, 2009 (as reported in the NRG Proxy Statement), less the sum of (x) 1,000 shares of NRG common stock owned in the aggregate by Exelon Corporation and Exelon Xchange Corporation and (y) 12,000,000 shares of NRG common stock lent by subsidiaries of NRG to affiliates of Credit Suisse Group) and (ii) the average of the high and low sales prices of NRG common stock as reported on the New York Stock Exchange on June 26, 2009 ($23.56).</w:t>
      </w:r>
    </w:p>
    <w:p>
      <w:pPr>
        <w:spacing w:after="0" w:line="80" w:lineRule="exact"/>
        <w:rPr>
          <w:sz w:val="20"/>
          <w:szCs w:val="20"/>
          <w:color w:val="auto"/>
        </w:rPr>
      </w:pPr>
    </w:p>
    <w:p>
      <w:pPr>
        <w:ind w:left="460" w:right="20" w:hanging="452"/>
        <w:spacing w:after="0" w:line="29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Exelon previously paid a filing fee of $249,470.37 to register 135,201,700 shares of its common stock in connection with the original filing of its Registration Statement on Form S-4 (File No. 333-155278) relating to the Offer (as defined below) on November 12, 2008. Since Exelon paid such filing fee, the filing fee rate increased from $39.30 per $1,000,000 of the estimated transaction value to $55.80 per $1,000,000 of the estimated transaction value. The filing fee set forth in the table above consists of (a) $39.30 per $1,000,000 of the first $6,347,846,550.50 of the estimated transaction value and (b) $55.80 per $1,000,000 of the amount by which the estimated transaction value set forth in the table above exceeds $6,347,846,550.50.</w:t>
      </w:r>
    </w:p>
    <w:p>
      <w:pPr>
        <w:spacing w:after="0" w:line="7" w:lineRule="exact"/>
        <w:rPr>
          <w:sz w:val="20"/>
          <w:szCs w:val="20"/>
          <w:color w:val="auto"/>
        </w:rPr>
      </w:pPr>
    </w:p>
    <w:p>
      <w:pPr>
        <w:ind w:left="120" w:right="360" w:hanging="121"/>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60"/>
          </w:cols>
          <w:pgMar w:left="240" w:top="280" w:right="29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Amount Previously Paid: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$275,439.96</w:t>
      </w:r>
    </w:p>
    <w:p>
      <w:pPr>
        <w:spacing w:after="0" w:line="119" w:lineRule="exact"/>
        <w:rPr>
          <w:sz w:val="20"/>
          <w:szCs w:val="20"/>
          <w:color w:val="auto"/>
        </w:rPr>
      </w:pPr>
    </w:p>
    <w:p>
      <w:pPr>
        <w:sectPr>
          <w:pgSz w:w="11900" w:h="16838" w:orient="portrait"/>
          <w:cols w:equalWidth="0" w:num="2">
            <w:col w:w="3300" w:space="720"/>
            <w:col w:w="7340"/>
          </w:cols>
          <w:pgMar w:left="240" w:top="280" w:right="299" w:bottom="1440" w:gutter="0" w:footer="0" w:header="0"/>
          <w:type w:val="continuous"/>
        </w:sectPr>
      </w:pPr>
    </w:p>
    <w:p>
      <w:pPr>
        <w:spacing w:after="0"/>
        <w:rPr>
          <w:sz w:val="20"/>
          <w:szCs w:val="20"/>
          <w:color w:val="auto"/>
        </w:rPr>
      </w:pPr>
      <w:r>
        <w:rPr>
          <w:rFonts w:ascii="Arial" w:cs="Arial" w:eastAsia="Arial" w:hAnsi="Arial"/>
          <w:sz w:val="12"/>
          <w:szCs w:val="12"/>
          <w:color w:val="auto"/>
        </w:rPr>
        <w:t>Form or Registration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S-4 (File No. 333-155278; $249,470.37 paid with initial</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filing) and Amendment No. 35 to Schedule TO ($25,969.59 paid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with filing)</w:t>
      </w:r>
    </w:p>
    <w:p>
      <w:pPr>
        <w:spacing w:after="0" w:line="98" w:lineRule="exact"/>
        <w:rPr>
          <w:sz w:val="20"/>
          <w:szCs w:val="20"/>
          <w:color w:val="auto"/>
        </w:rPr>
      </w:pPr>
    </w:p>
    <w:p>
      <w:pPr>
        <w:sectPr>
          <w:pgSz w:w="11900" w:h="16838" w:orient="portrait"/>
          <w:cols w:equalWidth="0" w:num="2">
            <w:col w:w="3300" w:space="720"/>
            <w:col w:w="7340"/>
          </w:cols>
          <w:pgMar w:left="240" w:top="280" w:right="299" w:bottom="1440" w:gutter="0" w:footer="0" w:header="0"/>
          <w:type w:val="continuous"/>
        </w:sectPr>
      </w:pPr>
    </w:p>
    <w:p>
      <w:pPr>
        <w:spacing w:after="0"/>
        <w:rPr>
          <w:sz w:val="20"/>
          <w:szCs w:val="20"/>
          <w:color w:val="auto"/>
        </w:rPr>
      </w:pPr>
      <w:r>
        <w:rPr>
          <w:rFonts w:ascii="Arial" w:cs="Arial" w:eastAsia="Arial" w:hAnsi="Arial"/>
          <w:sz w:val="12"/>
          <w:szCs w:val="12"/>
          <w:color w:val="auto"/>
        </w:rPr>
        <w:t>Filing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Exelon Corporation</w:t>
      </w:r>
    </w:p>
    <w:p>
      <w:pPr>
        <w:spacing w:after="0" w:line="119" w:lineRule="exact"/>
        <w:rPr>
          <w:sz w:val="20"/>
          <w:szCs w:val="20"/>
          <w:color w:val="auto"/>
        </w:rPr>
      </w:pPr>
    </w:p>
    <w:p>
      <w:pPr>
        <w:sectPr>
          <w:pgSz w:w="11900" w:h="16838" w:orient="portrait"/>
          <w:cols w:equalWidth="0" w:num="2">
            <w:col w:w="3300" w:space="720"/>
            <w:col w:w="7340"/>
          </w:cols>
          <w:pgMar w:left="240" w:top="280" w:right="299" w:bottom="1440" w:gutter="0" w:footer="0" w:header="0"/>
          <w:type w:val="continuous"/>
        </w:sectPr>
      </w:pPr>
    </w:p>
    <w:p>
      <w:pPr>
        <w:spacing w:after="0"/>
        <w:rPr>
          <w:sz w:val="20"/>
          <w:szCs w:val="20"/>
          <w:color w:val="auto"/>
        </w:rPr>
      </w:pPr>
      <w:r>
        <w:rPr>
          <w:rFonts w:ascii="Arial" w:cs="Arial" w:eastAsia="Arial" w:hAnsi="Arial"/>
          <w:sz w:val="12"/>
          <w:szCs w:val="12"/>
          <w:color w:val="auto"/>
        </w:rPr>
        <w:t>Dates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November 12, 2008 and July 2, 2009, respectively</w:t>
      </w:r>
    </w:p>
    <w:p>
      <w:pPr>
        <w:spacing w:after="0" w:line="105" w:lineRule="exact"/>
        <w:rPr>
          <w:sz w:val="20"/>
          <w:szCs w:val="20"/>
          <w:color w:val="auto"/>
        </w:rPr>
      </w:pPr>
    </w:p>
    <w:p>
      <w:pPr>
        <w:sectPr>
          <w:pgSz w:w="11900" w:h="16838" w:orient="portrait"/>
          <w:cols w:equalWidth="0" w:num="2">
            <w:col w:w="3300" w:space="720"/>
            <w:col w:w="7340"/>
          </w:cols>
          <w:pgMar w:left="240" w:top="280" w:right="299" w:bottom="1440" w:gutter="0" w:footer="0" w:header="0"/>
          <w:type w:val="continuous"/>
        </w:sectPr>
      </w:pPr>
    </w:p>
    <w:p>
      <w:pPr>
        <w:ind w:left="340" w:hanging="332"/>
        <w:spacing w:after="0"/>
        <w:tabs>
          <w:tab w:leader="none" w:pos="34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Check the box if the filing relates solely to preliminary communications made before the commencement of a tender offer.</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Check the appropriate boxes below to designate any transactions to which the statement relates:</w:t>
      </w:r>
    </w:p>
    <w:p>
      <w:pPr>
        <w:spacing w:after="0" w:line="69" w:lineRule="exact"/>
        <w:rPr>
          <w:sz w:val="20"/>
          <w:szCs w:val="20"/>
          <w:color w:val="auto"/>
        </w:rPr>
      </w:pPr>
    </w:p>
    <w:p>
      <w:pPr>
        <w:ind w:left="340" w:right="8100" w:firstLine="6"/>
        <w:spacing w:after="0" w:line="208" w:lineRule="exact"/>
        <w:tabs>
          <w:tab w:leader="none" w:pos="786"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 xml:space="preserve">third-party tender offer subject to Rule 14d-1. </w:t>
      </w:r>
      <w:r>
        <w:rPr>
          <w:rFonts w:ascii="MS PGothic" w:cs="MS PGothic" w:eastAsia="MS PGothic" w:hAnsi="MS PGothic"/>
          <w:sz w:val="12"/>
          <w:szCs w:val="12"/>
          <w:color w:val="auto"/>
        </w:rPr>
        <w:t>☐</w:t>
      </w:r>
      <w:r>
        <w:rPr>
          <w:rFonts w:ascii="Arial" w:cs="Arial" w:eastAsia="Arial" w:hAnsi="Arial"/>
          <w:sz w:val="12"/>
          <w:szCs w:val="12"/>
          <w:color w:val="auto"/>
        </w:rPr>
        <w:t xml:space="preserve"> issuer tender offer subject to Rule 13e-4.</w:t>
      </w:r>
    </w:p>
    <w:p>
      <w:pPr>
        <w:spacing w:after="0" w:line="19" w:lineRule="exact"/>
        <w:rPr>
          <w:rFonts w:ascii="MS PGothic" w:cs="MS PGothic" w:eastAsia="MS PGothic" w:hAnsi="MS PGothic"/>
          <w:sz w:val="12"/>
          <w:szCs w:val="12"/>
          <w:color w:val="auto"/>
        </w:rPr>
      </w:pPr>
    </w:p>
    <w:p>
      <w:pPr>
        <w:jc w:val="both"/>
        <w:ind w:left="340" w:right="8000"/>
        <w:spacing w:after="0" w:line="221"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going-private transaction subject to Rule 13e-3. </w:t>
      </w:r>
      <w:r>
        <w:rPr>
          <w:rFonts w:ascii="MS PGothic" w:cs="MS PGothic" w:eastAsia="MS PGothic" w:hAnsi="MS PGothic"/>
          <w:sz w:val="12"/>
          <w:szCs w:val="12"/>
          <w:color w:val="auto"/>
        </w:rPr>
        <w:t>☐</w:t>
      </w:r>
      <w:r>
        <w:rPr>
          <w:rFonts w:ascii="Arial" w:cs="Arial" w:eastAsia="Arial" w:hAnsi="Arial"/>
          <w:sz w:val="12"/>
          <w:szCs w:val="12"/>
          <w:color w:val="auto"/>
        </w:rPr>
        <w:t xml:space="preserve"> amendment to Schedule 13D under Rule 13d-2.</w:t>
      </w:r>
    </w:p>
    <w:p>
      <w:pPr>
        <w:spacing w:after="0" w:line="18" w:lineRule="exact"/>
        <w:rPr>
          <w:rFonts w:ascii="MS PGothic" w:cs="MS PGothic" w:eastAsia="MS PGothic" w:hAnsi="MS PGothic"/>
          <w:sz w:val="12"/>
          <w:szCs w:val="12"/>
          <w:color w:val="auto"/>
        </w:rPr>
      </w:pPr>
    </w:p>
    <w:p>
      <w:pPr>
        <w:ind w:left="360"/>
        <w:spacing w:after="0" w:line="161" w:lineRule="exact"/>
        <w:rPr>
          <w:rFonts w:ascii="MS PGothic" w:cs="MS PGothic" w:eastAsia="MS PGothic" w:hAnsi="MS PGothic"/>
          <w:sz w:val="12"/>
          <w:szCs w:val="12"/>
          <w:color w:val="auto"/>
        </w:rPr>
      </w:pPr>
      <w:r>
        <w:rPr>
          <w:rFonts w:ascii="Arial" w:cs="Arial" w:eastAsia="Arial" w:hAnsi="Arial"/>
          <w:sz w:val="14"/>
          <w:szCs w:val="14"/>
          <w:color w:val="auto"/>
        </w:rPr>
        <w:t xml:space="preserve">Check the following box if the filing is a final amendment reporting the results of the tender offer:  </w:t>
      </w:r>
      <w:r>
        <w:rPr>
          <w:rFonts w:ascii="MS PGothic" w:cs="MS PGothic" w:eastAsia="MS PGothic" w:hAnsi="MS PGothic"/>
          <w:sz w:val="14"/>
          <w:szCs w:val="14"/>
          <w:color w:val="auto"/>
        </w:rPr>
        <w:t>☐</w:t>
      </w:r>
    </w:p>
    <w:p>
      <w:pPr>
        <w:sectPr>
          <w:pgSz w:w="11900" w:h="16838" w:orient="portrait"/>
          <w:cols w:equalWidth="0" w:num="1">
            <w:col w:w="11360"/>
          </w:cols>
          <w:pgMar w:left="240" w:top="280" w:right="2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 1 through 11.</w:t>
      </w:r>
    </w:p>
    <w:p>
      <w:pPr>
        <w:spacing w:after="0" w:line="177"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This Amendment No. 38 to Tender Offer Statement on Schedule TO (as amended, the “Schedule TO”) amends and supplements the statement originally filed on November 12, 2008 by Exelon Corporation, a Pennsylvania corporation (“Exelon”), and Exelon Xchange Corporation, a Delaware corporation and a direct wholly-owned subsidiary of Exelon (“Exelon Xchange”). This Schedule TO relates to the offer by Exelon, through Exelon Xchange, to exchange for each of the issued and outstanding shares of common stock, par value $0.01 per share (the “NRG common stock”), of NRG Energy, Inc., a Delaware corporation (“NRG”), 0.545 of a share of Exelon common stock, without par value (the “Exelon common stock”). The Offer (as defined below) is made on the terms and subject to the conditions contained in the prospectus/offer to exchange, dated November 12, 2008, as amended on December 23, 2008, January 23, 2009, March 9, 2009 and May 20, 2009, and related to the Offer (the “Prospectus”), and in the related Letter of Transmittal (which, together as they may be amended, supplemented or modified from time to time, constitute the “Offer”). Exelon also filed a registration statement on Form S-4 (File No. 333-155278) (the “Registration Statement”) on November 12, 2008, as amended on December 23, 2008, January 23, 2009, March 9, 2009 and May 20, 2009, relating to the Offer, of which the Prospectus forms a part. The terms and conditions of the Offer are set forth in the Prospectus and the related Letter of Transmittal, which are set forth as Exhibits (a)(4) and (a)(1)(A) hereto, respectively.</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information contained in the Prospectus and the Letter of Transmittal, and any prospectus supplement or any other supplement thereto related to the Offer, is hereby expressly incorporated herein by reference with respect to Items 1 through 11, except that such information is amended and supplemented to the extent specifically provided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 Additional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12 is hereby amended and supplemented by adding the following:</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Exhibit (a)(5)(OO) Press Release issued by Exelon, dated July 15, 2009 (Incorporated by reference to Exelon’s Rule 425 filing on July 15, 2009)</w:t>
      </w:r>
    </w:p>
    <w:p>
      <w:pPr>
        <w:sectPr>
          <w:pgSz w:w="11900" w:h="16838" w:orient="portrait"/>
          <w:cols w:equalWidth="0" w:num="1">
            <w:col w:w="11080"/>
          </w:cols>
          <w:pgMar w:left="240" w:top="409"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w w:val="96"/>
              </w:rPr>
              <w:t>Exhibit</w:t>
            </w:r>
          </w:p>
        </w:tc>
        <w:tc>
          <w:tcPr>
            <w:tcW w:w="580" w:type="dxa"/>
            <w:vAlign w:val="bottom"/>
          </w:tcPr>
          <w:p>
            <w:pPr>
              <w:spacing w:after="0"/>
              <w:rPr>
                <w:sz w:val="18"/>
                <w:szCs w:val="18"/>
                <w:color w:val="auto"/>
              </w:rPr>
            </w:pPr>
          </w:p>
        </w:tc>
        <w:tc>
          <w:tcPr>
            <w:tcW w:w="1004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80" w:type="dxa"/>
            <w:vAlign w:val="bottom"/>
          </w:tcPr>
          <w:p>
            <w:pPr>
              <w:spacing w:after="0"/>
              <w:rPr>
                <w:sz w:val="19"/>
                <w:szCs w:val="19"/>
                <w:color w:val="auto"/>
              </w:rPr>
            </w:pPr>
          </w:p>
        </w:tc>
        <w:tc>
          <w:tcPr>
            <w:tcW w:w="10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Arial" w:cs="Arial" w:eastAsia="Arial" w:hAnsi="Arial"/>
                <w:sz w:val="18"/>
                <w:szCs w:val="18"/>
                <w:color w:val="auto"/>
                <w:w w:val="91"/>
              </w:rPr>
              <w:t>(a)(1)(A)</w:t>
            </w:r>
          </w:p>
        </w:tc>
        <w:tc>
          <w:tcPr>
            <w:tcW w:w="580" w:type="dxa"/>
            <w:vAlign w:val="bottom"/>
          </w:tcPr>
          <w:p>
            <w:pPr>
              <w:spacing w:after="0"/>
              <w:rPr>
                <w:sz w:val="17"/>
                <w:szCs w:val="17"/>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Letter of Transmittal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(a)(1)(B)</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Notice of Guaranteed Delivery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(a)(1)(C)</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Letter to Brokers, Dealers, Commercial Banks, Trust Companies and Other Nominees (Incorporated by reference to Exelon’s Registration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(a)(1)(D)</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Letter to Clients to be Used by Brokers, Dealers, Commercial Banks, Trust Companies and Other Nominees (Incorporated by reference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Exelon’s Registration 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(a)(1)(E)</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Guidelines for Certification of Taxpayer Identification Number on Substitute Form W-9 (Incorporated by reference to Exelon’s Registration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(a)(1)(F)</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Letter dated November 12, 2008 from John W. Rowe, Chairman and Chief Executive Officer of Exelon Corporation, addressed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stockholders of NRG Energy, Inc.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(a)(2)</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(a)(3)</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(a)(4)</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Prospectus/offer to exchange relating to Exelon common stock to be issued in the Offer (Incorporated by reference to Amendment No. 4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Exelon’s Registration Statement on Form S-4 filed on May 20,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(a)(5)(A)</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Summary Advertisement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(a)(5)(B)</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Verified Complaint for Declaratory and Injunctive Relief, as filed with the Court of Chancery of the State of Delaware by Exelon and Exelon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Xchange on November 11, 2008 (Previously filed on Amendment No. 1 to Tender Offer Statement on Schedule TO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(a)(5)(C)</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November 12, 2008 (Incorporated by reference to Exhibit 99.2 to Exelon’s Current Report on Form 8-K</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November 12,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(a)(5)(D)</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Communication to Exelon’s employees dated November 12, 2008, made available to Exelon’s employees on November 14, 2008 (Previously</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Amendment No. 2 to Tender Offer Statement on Schedule TO on November 14,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(a)(5)(E)</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November 25, 2008 (Previously filed on Amendment No. 3 to Tender Offer Statement on Schedule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November 26,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(a)(5)(F)</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Presentation for Investor Meetings, December 2008, “Exelon + NRG: A Compelling Opportunity for Value Creation” (Previously filed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4 to Tender Offer Statement on Schedule TO on December 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(a)(5)(G)</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Presentation for Investor Meetings, December 2008, “Exelon + NRG: A Compelling Opportunity for Value Creation” (Previously filed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5 to Tender Offer Statement on Schedule TO on December 15,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(a)(5)(H)</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December 18, 2008 (Previously filed on Amendment No. 6 to Tender Offer Statement on Schedule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December 18,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(a)(5)(I)</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Application of Exelon Corporation under Section 203 of the Federal Power Act, dated December 18, 2008 (Previously filed on Amendment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 7 to Tender Offer Statement on Schedule TO on December 22,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(a)(5)(J)</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NRG Acquisition update sent to Exelon employees on December 22, 2008 (Previously filed on Amendment No. 8 to Tender Offer Statement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Schedule TO on December 23,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(a)(5)(K)</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Letter sent to certain NRG shareholders on December 23, 2008 (Previously filed on Amendment No. 10 to Tender Offer Statement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Schedule TO on December 23, 2008)</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(a)(5)(L)</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Letter sent to NRG shareholders on January 5, 2009 (Previously filed on Amendment No. 11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5,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(a)(5)(M)</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January 7, 2009 (Previously filed on Amendment No. 12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7,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(a)(5)(N)</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Current Report on Form 8-K filed by Exelon on January 20, 2009 (Previously filed on Amendment No. 13 to Tender Offer Statement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Schedule TO on January 20,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(a)(5)(O)</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Earnings release issued by Exelon on January 22, 2009 and excerpts from transcript of earnings teleconference held on January 22, 2009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(Previously filed on Amendment No. 14 to Tender Offer Statement on Schedule TO on January 22,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(a)(5)(P)</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January 30, 2009 (Previously filed on Amendment No. 16 to Tender Offer Statement on Schedule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January 30,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(a)(5)(Q)</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Notice of Intent by Exelon Corporation to Nominate Individuals for Election as Directors and to Propose Stockholder Business at the 2009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Annual Meeting of Stockholders of NRG Energy, Inc., dated January 30, 2009 (Previously filed on Amendment No. 16 to Tender Offer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Schedule TO on January 30,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(a)(5)(R)</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Presentation for Credit Suisse 2009 Energy Summit, February 2-3, 2009, “Exelon &amp; NRG: Committed, Moving Forward” (Previously filed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17 to Tender Offer Statement on Schedule TO on February 2,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(a)(5)(S)</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Presentation for Investor Meetings, February 2009, “Exelon &amp; NRG: Committed, Moving Forward” (Previously filed on Amendment No. 18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Schedule TO on February 10,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(a)(5)(T)</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Letter from counsel to NRG to the U.S. Nuclear Regulatory Commission dated February 4, 2009 (Previously filed on Amendment No. 19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Tender Offer Statement on Schedule TO on February 11,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(a)(5)(U)</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Letter from counsel to Exelon to the U.S. Nuclear Regulatory Commission dated February 10, 2009 (Previously filed on Amendment No. 19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Tender Offer Statement on Schedule TO on February 11,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(a)(5)(V)</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February 26, 2009 (Previously filed on Amendment No. 20 to Tender Offer Statement on Schedule TO</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February 26,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(a)(5)(W)</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March 2, 2009 (Previously filed on Amendment No. 21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March 3,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(a)(5)(X)</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Excerpts from transcript of 2009 Exelon Investor Conference held on March 10, 2009 (Previously filed on Amendment No. 24 to Tender Offer</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Schedule TO on March 12,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(a)(5)(Y)</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March 17, 2009 (Previously filed on Amendment No. 25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March 17,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(a)(5)(Z)</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March 26, 2009 (Previously filed on Amendment No. 26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March 27,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7"/>
              </w:rPr>
              <w:t>(a)(5)(AA)</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Earnings release issued by Exelon on April 23, 2009 and excerpts from transcript of earnings teleconference held on April 23, 2009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(Previously filed on Amendment No. 28 to Tender Offer Statement on Schedule TO on April 23,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7"/>
              </w:rPr>
              <w:t>(a)(5)(BB)</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May 21, 2009 (Previously filed on Amendment No. 30 to Tender Offer Statement on Schedule TO 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May 21, 2009)</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5"/>
              </w:rPr>
              <w:t>(a)(5)(CC)</w:t>
            </w:r>
          </w:p>
        </w:tc>
        <w:tc>
          <w:tcPr>
            <w:tcW w:w="58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June 17, 2009 (Previously filed on Amendment No. 31 to Tender Offer Statement on Schedule TO on</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17, 2009)</w:t>
            </w:r>
          </w:p>
        </w:tc>
        <w:tc>
          <w:tcPr>
            <w:tcW w:w="0" w:type="dxa"/>
            <w:vAlign w:val="bottom"/>
          </w:tcPr>
          <w:p>
            <w:pPr>
              <w:spacing w:after="0"/>
              <w:rPr>
                <w:sz w:val="1"/>
                <w:szCs w:val="1"/>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w w:val="95"/>
              </w:rPr>
              <w:t>(a)(5)(DD)</w:t>
            </w:r>
          </w:p>
        </w:tc>
        <w:tc>
          <w:tcPr>
            <w:tcW w:w="58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Definitive Proxy Statement of Exelon relating to 2009 Annual Meeting of Stockholders of NRG, dated June 17, 2009 (Previously filed on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(a)(5)(EE)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(a)(5)(GG)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(a)(5)(HH)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(a)(5)(JJ)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(a)(5)(KK)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(a)(5)(MM)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(a)(5)(NN)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Amendment No. 31 to Tender Offer Statement on Schedule TO on June 17, 2009)</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June 22, 2009 (Previously filed on Amendment No. 32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23, 2009)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June 25, 2009 (Previously filed on Amendment No. 33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Exelon notice to investment community dated July 1, 2009 (Previously filed on Amendment No. 34 to Tender Offer Statement on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on July 1,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2, 2009 (Previously filed on Amendment No. 35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 Presentation, July 2009, “Exelon’s Offer is About Value – Today and Tomorrow” (Previously filed on Amendment No. 35 to Tender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Statement on Schedule 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Exelon notice to investment community, dated July 2, 2009 (Previously filed on Amendment No. 35 to Tender Offer Statement on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Presentation to RiskMetrics Group and PROXY Governance, Inc., July 2009, “Exelon’s Offer is About Value – Today and Tomorrow”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on Amendment No. 35 to Tender Offer Statement on Schedule 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Transcript of Investor Conference Call, July 2, 2009 (Previously filed on Amendment No. 36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6,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6, 2009 (Previously filed on Amendment No. 36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6, 2009)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July 10, 2009 (Previously filed on Amendment No. 37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July 10,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15, 2009 (Incorporated by reference to Exelon’s Rule 425 filing on July 15, 2009)</w:t>
      </w:r>
    </w:p>
    <w:p>
      <w:pPr>
        <w:spacing w:after="0" w:line="31" w:lineRule="exact"/>
        <w:rPr>
          <w:sz w:val="20"/>
          <w:szCs w:val="20"/>
          <w:color w:val="auto"/>
        </w:rPr>
      </w:pPr>
    </w:p>
    <w:p>
      <w:pPr>
        <w:sectPr>
          <w:pgSz w:w="11900" w:h="16838" w:orient="portrait"/>
          <w:cols w:equalWidth="0" w:num="2">
            <w:col w:w="840" w:space="540"/>
            <w:col w:w="10000"/>
          </w:cols>
          <w:pgMar w:left="240" w:top="131" w:right="279" w:bottom="1440" w:gutter="0" w:footer="0" w:header="0"/>
        </w:sectPr>
      </w:pPr>
    </w:p>
    <w:p>
      <w:pPr>
        <w:ind w:left="1380" w:hanging="137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1380" w:hanging="137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1380" w:hanging="137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Sidley Austin LLP (regarding certain tax matters) (Incorporated by reference to Exelon’s Registration Statement on Form S-4 filed on November 12,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131" w:right="2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After due inquiry and to the best of the knowledge and belief of the undersigned, the undersigned hereby certifies that the information set forth in this Schedule TO is true, complete and correct.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20"/>
                <w:szCs w:val="20"/>
                <w:color w:val="auto"/>
              </w:rPr>
            </w:pPr>
            <w:r>
              <w:rPr>
                <w:rFonts w:ascii="Arial" w:cs="Arial" w:eastAsia="Arial" w:hAnsi="Arial"/>
                <w:sz w:val="18"/>
                <w:szCs w:val="18"/>
                <w:color w:val="auto"/>
              </w:rPr>
              <w:t>Dated July 15, 2009</w:t>
            </w:r>
          </w:p>
        </w:tc>
        <w:tc>
          <w:tcPr>
            <w:tcW w:w="768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EXELON CORPORATION</w:t>
            </w:r>
          </w:p>
        </w:tc>
      </w:tr>
      <w:tr>
        <w:trPr>
          <w:trHeight w:val="541"/>
        </w:trPr>
        <w:tc>
          <w:tcPr>
            <w:tcW w:w="3740" w:type="dxa"/>
            <w:vAlign w:val="bottom"/>
          </w:tcPr>
          <w:p>
            <w:pPr>
              <w:spacing w:after="0"/>
              <w:rPr>
                <w:sz w:val="24"/>
                <w:szCs w:val="24"/>
                <w:color w:val="auto"/>
              </w:rPr>
            </w:pPr>
          </w:p>
        </w:tc>
        <w:tc>
          <w:tcPr>
            <w:tcW w:w="7680" w:type="dxa"/>
            <w:vAlign w:val="bottom"/>
            <w:gridSpan w:val="2"/>
          </w:tcPr>
          <w:p>
            <w:pPr>
              <w:ind w:left="2300"/>
              <w:spacing w:after="0"/>
              <w:rPr>
                <w:sz w:val="20"/>
                <w:szCs w:val="20"/>
                <w:color w:val="auto"/>
              </w:rPr>
            </w:pPr>
            <w:r>
              <w:rPr>
                <w:rFonts w:ascii="Arial" w:cs="Arial" w:eastAsia="Arial" w:hAnsi="Arial"/>
                <w:sz w:val="18"/>
                <w:szCs w:val="18"/>
                <w:color w:val="auto"/>
              </w:rPr>
              <w:t>By:   /s/ William A. Von Hoene, Jr.</w:t>
            </w:r>
          </w:p>
        </w:tc>
      </w:tr>
      <w:tr>
        <w:trPr>
          <w:trHeight w:val="202"/>
        </w:trPr>
        <w:tc>
          <w:tcPr>
            <w:tcW w:w="37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William A. Von Hoene, Jr.</w:t>
            </w:r>
          </w:p>
        </w:tc>
      </w:tr>
      <w:tr>
        <w:trPr>
          <w:trHeight w:val="222"/>
        </w:trPr>
        <w:tc>
          <w:tcPr>
            <w:tcW w:w="37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Executive Vice President, Finance and Legal</w:t>
            </w:r>
          </w:p>
        </w:tc>
      </w:tr>
    </w:tbl>
    <w:p>
      <w:pPr>
        <w:spacing w:after="0" w:line="200" w:lineRule="exact"/>
        <w:rPr>
          <w:sz w:val="20"/>
          <w:szCs w:val="20"/>
          <w:color w:val="auto"/>
        </w:rPr>
      </w:pPr>
    </w:p>
    <w:p>
      <w:pPr>
        <w:spacing w:after="0" w:line="23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EXELON XCHANGE CORPORATION</w:t>
      </w:r>
    </w:p>
    <w:p>
      <w:pPr>
        <w:spacing w:after="0" w:line="339"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Von Hoene,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William A. Von Hoene, Jr.</w:t>
      </w:r>
    </w:p>
    <w:p>
      <w:pPr>
        <w:spacing w:after="0" w:line="15" w:lineRule="exact"/>
        <w:rPr>
          <w:sz w:val="20"/>
          <w:szCs w:val="20"/>
          <w:color w:val="auto"/>
        </w:rPr>
      </w:pPr>
    </w:p>
    <w:p>
      <w:pPr>
        <w:ind w:left="6400"/>
        <w:spacing w:after="0"/>
        <w:tabs>
          <w:tab w:leader="none" w:pos="6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w:t>
      </w:r>
    </w:p>
    <w:p>
      <w:pPr>
        <w:sectPr>
          <w:pgSz w:w="11900" w:h="16838" w:orient="portrait"/>
          <w:cols w:equalWidth="0" w:num="1">
            <w:col w:w="11420"/>
          </w:cols>
          <w:pgMar w:left="240" w:top="274" w:right="239" w:bottom="1440" w:gutter="0" w:footer="0" w:header="0"/>
        </w:sectPr>
      </w:pPr>
    </w:p>
    <w:bookmarkStart w:id="7" w:name="page8"/>
    <w:bookmarkEnd w:id="7"/>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2"/>
        </w:trPr>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40" w:type="dxa"/>
            <w:vAlign w:val="bottom"/>
            <w:vMerge w:val="restart"/>
          </w:tcPr>
          <w:p>
            <w:pPr>
              <w:spacing w:after="0"/>
              <w:rPr>
                <w:sz w:val="20"/>
                <w:szCs w:val="20"/>
                <w:color w:val="auto"/>
              </w:rPr>
            </w:pPr>
            <w:r>
              <w:rPr>
                <w:rFonts w:ascii="Arial" w:cs="Arial" w:eastAsia="Arial" w:hAnsi="Arial"/>
                <w:sz w:val="18"/>
                <w:szCs w:val="18"/>
                <w:color w:val="auto"/>
              </w:rPr>
              <w:t>Description of Exhibits</w:t>
            </w:r>
          </w:p>
        </w:tc>
        <w:tc>
          <w:tcPr>
            <w:tcW w:w="0" w:type="dxa"/>
            <w:vAlign w:val="bottom"/>
          </w:tcPr>
          <w:p>
            <w:pPr>
              <w:spacing w:after="0"/>
              <w:rPr>
                <w:sz w:val="1"/>
                <w:szCs w:val="1"/>
                <w:color w:val="auto"/>
              </w:rPr>
            </w:pPr>
          </w:p>
        </w:tc>
      </w:tr>
      <w:tr>
        <w:trPr>
          <w:trHeight w:val="223"/>
        </w:trPr>
        <w:tc>
          <w:tcPr>
            <w:tcW w:w="13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2"/>
              </w:rPr>
              <w:t>(a)(1)(A)</w:t>
            </w:r>
          </w:p>
        </w:tc>
        <w:tc>
          <w:tcPr>
            <w:tcW w:w="800" w:type="dxa"/>
            <w:vAlign w:val="bottom"/>
          </w:tcPr>
          <w:p>
            <w:pPr>
              <w:spacing w:after="0"/>
              <w:rPr>
                <w:sz w:val="17"/>
                <w:szCs w:val="17"/>
                <w:color w:val="auto"/>
              </w:rPr>
            </w:pPr>
          </w:p>
        </w:tc>
        <w:tc>
          <w:tcPr>
            <w:tcW w:w="100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Letter of Transmittal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(a)(1)(B)</w:t>
            </w:r>
          </w:p>
        </w:tc>
        <w:tc>
          <w:tcPr>
            <w:tcW w:w="10040" w:type="dxa"/>
            <w:vAlign w:val="bottom"/>
          </w:tcPr>
          <w:p>
            <w:pPr>
              <w:spacing w:after="0"/>
              <w:rPr>
                <w:sz w:val="20"/>
                <w:szCs w:val="20"/>
                <w:color w:val="auto"/>
              </w:rPr>
            </w:pPr>
            <w:r>
              <w:rPr>
                <w:rFonts w:ascii="Arial" w:cs="Arial" w:eastAsia="Arial" w:hAnsi="Arial"/>
                <w:sz w:val="18"/>
                <w:szCs w:val="18"/>
                <w:color w:val="auto"/>
                <w:w w:val="93"/>
              </w:rPr>
              <w:t>Notice of Guaranteed Delivery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(a)(1)(C)</w:t>
            </w:r>
          </w:p>
        </w:tc>
        <w:tc>
          <w:tcPr>
            <w:tcW w:w="10040" w:type="dxa"/>
            <w:vAlign w:val="bottom"/>
          </w:tcPr>
          <w:p>
            <w:pPr>
              <w:spacing w:after="0"/>
              <w:rPr>
                <w:sz w:val="20"/>
                <w:szCs w:val="20"/>
                <w:color w:val="auto"/>
              </w:rPr>
            </w:pPr>
            <w:r>
              <w:rPr>
                <w:rFonts w:ascii="Arial" w:cs="Arial" w:eastAsia="Arial" w:hAnsi="Arial"/>
                <w:sz w:val="18"/>
                <w:szCs w:val="18"/>
                <w:color w:val="auto"/>
                <w:w w:val="91"/>
              </w:rPr>
              <w:t>Letter to Brokers, Dealers, Commercial Banks, Trust Companies and Other Nominees (Incorporated by reference to Exelon’s Registration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(a)(1)(D)</w:t>
            </w:r>
          </w:p>
        </w:tc>
        <w:tc>
          <w:tcPr>
            <w:tcW w:w="10040" w:type="dxa"/>
            <w:vAlign w:val="bottom"/>
          </w:tcPr>
          <w:p>
            <w:pPr>
              <w:spacing w:after="0"/>
              <w:rPr>
                <w:sz w:val="20"/>
                <w:szCs w:val="20"/>
                <w:color w:val="auto"/>
              </w:rPr>
            </w:pPr>
            <w:r>
              <w:rPr>
                <w:rFonts w:ascii="Arial" w:cs="Arial" w:eastAsia="Arial" w:hAnsi="Arial"/>
                <w:sz w:val="18"/>
                <w:szCs w:val="18"/>
                <w:color w:val="auto"/>
                <w:w w:val="91"/>
              </w:rPr>
              <w:t>Letter to Clients to be Used by Brokers, Dealers, Commercial Banks, Trust Companies and Other Nominees (Incorporated by reference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Exelon’s Registration 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(a)(1)(E)</w:t>
            </w:r>
          </w:p>
        </w:tc>
        <w:tc>
          <w:tcPr>
            <w:tcW w:w="10040" w:type="dxa"/>
            <w:vAlign w:val="bottom"/>
          </w:tcPr>
          <w:p>
            <w:pPr>
              <w:spacing w:after="0"/>
              <w:rPr>
                <w:sz w:val="20"/>
                <w:szCs w:val="20"/>
                <w:color w:val="auto"/>
              </w:rPr>
            </w:pPr>
            <w:r>
              <w:rPr>
                <w:rFonts w:ascii="Arial" w:cs="Arial" w:eastAsia="Arial" w:hAnsi="Arial"/>
                <w:sz w:val="18"/>
                <w:szCs w:val="18"/>
                <w:color w:val="auto"/>
                <w:w w:val="91"/>
              </w:rPr>
              <w:t>Guidelines for Certification of Taxpayer Identification Number on Substitute Form W-9 (Incorporated by reference to Exelon’s Registration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(a)(1)(F)</w:t>
            </w:r>
          </w:p>
        </w:tc>
        <w:tc>
          <w:tcPr>
            <w:tcW w:w="10040" w:type="dxa"/>
            <w:vAlign w:val="bottom"/>
          </w:tcPr>
          <w:p>
            <w:pPr>
              <w:spacing w:after="0"/>
              <w:rPr>
                <w:sz w:val="20"/>
                <w:szCs w:val="20"/>
                <w:color w:val="auto"/>
              </w:rPr>
            </w:pPr>
            <w:r>
              <w:rPr>
                <w:rFonts w:ascii="Arial" w:cs="Arial" w:eastAsia="Arial" w:hAnsi="Arial"/>
                <w:sz w:val="18"/>
                <w:szCs w:val="18"/>
                <w:color w:val="auto"/>
                <w:w w:val="97"/>
              </w:rPr>
              <w:t>Letter dated November 12, 2008 from John W. Rowe, Chairman and Chief Executive Officer of Exelon Corporation, addressed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stockholders of NRG Energy, Inc.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(a)(2)</w:t>
            </w: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(a)(3)</w:t>
            </w: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(a)(4)</w:t>
            </w:r>
          </w:p>
        </w:tc>
        <w:tc>
          <w:tcPr>
            <w:tcW w:w="10040" w:type="dxa"/>
            <w:vAlign w:val="bottom"/>
          </w:tcPr>
          <w:p>
            <w:pPr>
              <w:spacing w:after="0"/>
              <w:rPr>
                <w:sz w:val="20"/>
                <w:szCs w:val="20"/>
                <w:color w:val="auto"/>
              </w:rPr>
            </w:pPr>
            <w:r>
              <w:rPr>
                <w:rFonts w:ascii="Arial" w:cs="Arial" w:eastAsia="Arial" w:hAnsi="Arial"/>
                <w:sz w:val="18"/>
                <w:szCs w:val="18"/>
                <w:color w:val="auto"/>
                <w:w w:val="90"/>
              </w:rPr>
              <w:t>Prospectus/offer to exchange relating to Exelon common stock to be issued in the Offer (incorporated by reference to Amendment No. 4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Exelon’s Registration Statement on Form S-4 filed on May 20,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(a)(5)(A)</w:t>
            </w:r>
          </w:p>
        </w:tc>
        <w:tc>
          <w:tcPr>
            <w:tcW w:w="10040" w:type="dxa"/>
            <w:vAlign w:val="bottom"/>
          </w:tcPr>
          <w:p>
            <w:pPr>
              <w:spacing w:after="0"/>
              <w:rPr>
                <w:sz w:val="20"/>
                <w:szCs w:val="20"/>
                <w:color w:val="auto"/>
              </w:rPr>
            </w:pPr>
            <w:r>
              <w:rPr>
                <w:rFonts w:ascii="Arial" w:cs="Arial" w:eastAsia="Arial" w:hAnsi="Arial"/>
                <w:sz w:val="18"/>
                <w:szCs w:val="18"/>
                <w:color w:val="auto"/>
                <w:w w:val="97"/>
              </w:rPr>
              <w:t>Summary Advertisement (Incorporated by reference to Exelon’s Registration Statement on Form S-4 filed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(a)(5)(B)</w:t>
            </w:r>
          </w:p>
        </w:tc>
        <w:tc>
          <w:tcPr>
            <w:tcW w:w="10040" w:type="dxa"/>
            <w:vAlign w:val="bottom"/>
          </w:tcPr>
          <w:p>
            <w:pPr>
              <w:spacing w:after="0"/>
              <w:rPr>
                <w:sz w:val="20"/>
                <w:szCs w:val="20"/>
                <w:color w:val="auto"/>
              </w:rPr>
            </w:pPr>
            <w:r>
              <w:rPr>
                <w:rFonts w:ascii="Arial" w:cs="Arial" w:eastAsia="Arial" w:hAnsi="Arial"/>
                <w:sz w:val="18"/>
                <w:szCs w:val="18"/>
                <w:color w:val="auto"/>
                <w:w w:val="91"/>
              </w:rPr>
              <w:t>Verified Complaint for Declaratory and Injunctive Relief, as filed with the Court of Chancery of the State of Delaware by Exelon and Exelon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Xchange on November 11, 2008 (Previously filed on Amendment No. 1 to Tender Offer Statement on Schedule TO on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(a)(5)(C)</w:t>
            </w: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November 12, 2008 (Incorporated by reference to Exhibit 99.2 to Exelon’s Current Report on Form 8-K</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in November 12,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(a)(5)(D)</w:t>
            </w:r>
          </w:p>
        </w:tc>
        <w:tc>
          <w:tcPr>
            <w:tcW w:w="10040" w:type="dxa"/>
            <w:vAlign w:val="bottom"/>
          </w:tcPr>
          <w:p>
            <w:pPr>
              <w:spacing w:after="0"/>
              <w:rPr>
                <w:sz w:val="20"/>
                <w:szCs w:val="20"/>
                <w:color w:val="auto"/>
              </w:rPr>
            </w:pPr>
            <w:r>
              <w:rPr>
                <w:rFonts w:ascii="Arial" w:cs="Arial" w:eastAsia="Arial" w:hAnsi="Arial"/>
                <w:sz w:val="18"/>
                <w:szCs w:val="18"/>
                <w:color w:val="auto"/>
                <w:w w:val="89"/>
              </w:rPr>
              <w:t>Communication to Exelon’s employees dated November 12, 2008, made available to Exelon’s employees on November 14, 2008 (Previously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Amendment No. 2 to Tender Offer Statement on Schedule TO on November 14,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(a)(5)(E)</w:t>
            </w: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November 25, 2008 (Previously filed on Amendment No. 3 to Tender Offer Statement on Schedule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November 26,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(a)(5)(F)</w:t>
            </w:r>
          </w:p>
        </w:tc>
        <w:tc>
          <w:tcPr>
            <w:tcW w:w="10040" w:type="dxa"/>
            <w:vAlign w:val="bottom"/>
          </w:tcPr>
          <w:p>
            <w:pPr>
              <w:spacing w:after="0"/>
              <w:rPr>
                <w:sz w:val="20"/>
                <w:szCs w:val="20"/>
                <w:color w:val="auto"/>
              </w:rPr>
            </w:pPr>
            <w:r>
              <w:rPr>
                <w:rFonts w:ascii="Arial" w:cs="Arial" w:eastAsia="Arial" w:hAnsi="Arial"/>
                <w:sz w:val="18"/>
                <w:szCs w:val="18"/>
                <w:color w:val="auto"/>
                <w:w w:val="93"/>
              </w:rPr>
              <w:t>Presentation for Investor Meetings, December 2008, “Exelon + NRG: A Compelling Opportunity for Value Creation” (Previously filed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4 to Tender Offer Statement on Schedule TO on December 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(a)(5)(G)</w:t>
            </w:r>
          </w:p>
        </w:tc>
        <w:tc>
          <w:tcPr>
            <w:tcW w:w="10040" w:type="dxa"/>
            <w:vAlign w:val="bottom"/>
          </w:tcPr>
          <w:p>
            <w:pPr>
              <w:spacing w:after="0"/>
              <w:rPr>
                <w:sz w:val="20"/>
                <w:szCs w:val="20"/>
                <w:color w:val="auto"/>
              </w:rPr>
            </w:pPr>
            <w:r>
              <w:rPr>
                <w:rFonts w:ascii="Arial" w:cs="Arial" w:eastAsia="Arial" w:hAnsi="Arial"/>
                <w:sz w:val="18"/>
                <w:szCs w:val="18"/>
                <w:color w:val="auto"/>
                <w:w w:val="93"/>
              </w:rPr>
              <w:t>Presentation for Investor Meetings, December 2008, “Exelon + NRG: A Compelling Opportunity for Value Creation” (Previously filed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5 to Tender Offer Statement on Schedule TO on December 15,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(a)(5)(H)</w:t>
            </w: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December 18, 2008 (Previously filed on Amendment No. 6 to Tender Offer Statement on Schedule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December 18,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(a)(5)(I)</w:t>
            </w:r>
          </w:p>
        </w:tc>
        <w:tc>
          <w:tcPr>
            <w:tcW w:w="10040" w:type="dxa"/>
            <w:vAlign w:val="bottom"/>
          </w:tcPr>
          <w:p>
            <w:pPr>
              <w:spacing w:after="0"/>
              <w:rPr>
                <w:sz w:val="20"/>
                <w:szCs w:val="20"/>
                <w:color w:val="auto"/>
              </w:rPr>
            </w:pPr>
            <w:r>
              <w:rPr>
                <w:rFonts w:ascii="Arial" w:cs="Arial" w:eastAsia="Arial" w:hAnsi="Arial"/>
                <w:sz w:val="18"/>
                <w:szCs w:val="18"/>
                <w:color w:val="auto"/>
                <w:w w:val="91"/>
              </w:rPr>
              <w:t>Application of Exelon Corporation under Section 203 of the Federal Power Act, dated December 18, 2008 (Previously filed on Amendment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 7 to Tender Offer Statement on Schedule TO on December 22,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(a)(5)(J)</w:t>
            </w:r>
          </w:p>
        </w:tc>
        <w:tc>
          <w:tcPr>
            <w:tcW w:w="10040" w:type="dxa"/>
            <w:vAlign w:val="bottom"/>
          </w:tcPr>
          <w:p>
            <w:pPr>
              <w:spacing w:after="0"/>
              <w:rPr>
                <w:sz w:val="20"/>
                <w:szCs w:val="20"/>
                <w:color w:val="auto"/>
              </w:rPr>
            </w:pPr>
            <w:r>
              <w:rPr>
                <w:rFonts w:ascii="Arial" w:cs="Arial" w:eastAsia="Arial" w:hAnsi="Arial"/>
                <w:sz w:val="18"/>
                <w:szCs w:val="18"/>
                <w:color w:val="auto"/>
                <w:w w:val="89"/>
              </w:rPr>
              <w:t>NRG Acquisition update sent to Exelon Employees on December 22, 2008 (Previously filed on Amendment No. 8 to Tender Offer Statement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Schedule TO on December 23,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(a)(5)(K)</w:t>
            </w:r>
          </w:p>
        </w:tc>
        <w:tc>
          <w:tcPr>
            <w:tcW w:w="10040" w:type="dxa"/>
            <w:vAlign w:val="bottom"/>
          </w:tcPr>
          <w:p>
            <w:pPr>
              <w:spacing w:after="0"/>
              <w:rPr>
                <w:sz w:val="20"/>
                <w:szCs w:val="20"/>
                <w:color w:val="auto"/>
              </w:rPr>
            </w:pPr>
            <w:r>
              <w:rPr>
                <w:rFonts w:ascii="Arial" w:cs="Arial" w:eastAsia="Arial" w:hAnsi="Arial"/>
                <w:sz w:val="18"/>
                <w:szCs w:val="18"/>
                <w:color w:val="auto"/>
                <w:w w:val="94"/>
              </w:rPr>
              <w:t>Letter sent to certain NRG shareholders on December 23, 2008 (Previously filed on Amendment No. 10 to Tender Offer Statement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Schedule TO on December 23, 2008)</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(a)(5)(L)</w:t>
            </w:r>
          </w:p>
        </w:tc>
        <w:tc>
          <w:tcPr>
            <w:tcW w:w="10040" w:type="dxa"/>
            <w:vAlign w:val="bottom"/>
          </w:tcPr>
          <w:p>
            <w:pPr>
              <w:spacing w:after="0"/>
              <w:rPr>
                <w:sz w:val="20"/>
                <w:szCs w:val="20"/>
                <w:color w:val="auto"/>
              </w:rPr>
            </w:pPr>
            <w:r>
              <w:rPr>
                <w:rFonts w:ascii="Arial" w:cs="Arial" w:eastAsia="Arial" w:hAnsi="Arial"/>
                <w:sz w:val="18"/>
                <w:szCs w:val="18"/>
                <w:color w:val="auto"/>
                <w:w w:val="90"/>
              </w:rPr>
              <w:t>Letter sent to NRG shareholders on January 5, 2009 (Previously filed on Amendment No. 11 to Tender Offer Statement on Schedule TO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5,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(a)(5)(M)</w:t>
            </w: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January 7, 2009 (Previously filed on Amendment No. 12 to Tender Offer Statement on Schedule TO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January 7,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(a)(5)(N)</w:t>
            </w:r>
          </w:p>
        </w:tc>
        <w:tc>
          <w:tcPr>
            <w:tcW w:w="10040" w:type="dxa"/>
            <w:vAlign w:val="bottom"/>
          </w:tcPr>
          <w:p>
            <w:pPr>
              <w:spacing w:after="0"/>
              <w:rPr>
                <w:sz w:val="20"/>
                <w:szCs w:val="20"/>
                <w:color w:val="auto"/>
              </w:rPr>
            </w:pPr>
            <w:r>
              <w:rPr>
                <w:rFonts w:ascii="Arial" w:cs="Arial" w:eastAsia="Arial" w:hAnsi="Arial"/>
                <w:sz w:val="18"/>
                <w:szCs w:val="18"/>
                <w:color w:val="auto"/>
                <w:w w:val="93"/>
              </w:rPr>
              <w:t>Current Report on Form 8-K filed by Exelon on January 20, 2009 (Previously filed on Amendment No. 13 to Tender Offer Statement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Schedule TO on January 20,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(a)(5)(O)</w:t>
            </w:r>
          </w:p>
        </w:tc>
        <w:tc>
          <w:tcPr>
            <w:tcW w:w="10040" w:type="dxa"/>
            <w:vAlign w:val="bottom"/>
          </w:tcPr>
          <w:p>
            <w:pPr>
              <w:spacing w:after="0"/>
              <w:rPr>
                <w:sz w:val="20"/>
                <w:szCs w:val="20"/>
                <w:color w:val="auto"/>
              </w:rPr>
            </w:pPr>
            <w:r>
              <w:rPr>
                <w:rFonts w:ascii="Arial" w:cs="Arial" w:eastAsia="Arial" w:hAnsi="Arial"/>
                <w:sz w:val="18"/>
                <w:szCs w:val="18"/>
                <w:color w:val="auto"/>
                <w:w w:val="91"/>
              </w:rPr>
              <w:t>Earnings release issued by Exelon on January 22, 2009 and excerpts from transcript of earnings teleconference held on January 22, 2009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(Previously filed on Amendment No. 14 to Tender Offer Statement on Schedule TO on January 22,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(a)(5)(P)</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January 30, 2009 (Previously filed on Amendment No. 16 to Tender Offer Statement on Schedule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January 30,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(a)(5)(Q)</w:t>
            </w:r>
          </w:p>
        </w:tc>
        <w:tc>
          <w:tcPr>
            <w:tcW w:w="10040" w:type="dxa"/>
            <w:vAlign w:val="bottom"/>
          </w:tcPr>
          <w:p>
            <w:pPr>
              <w:spacing w:after="0"/>
              <w:rPr>
                <w:sz w:val="20"/>
                <w:szCs w:val="20"/>
                <w:color w:val="auto"/>
              </w:rPr>
            </w:pPr>
            <w:r>
              <w:rPr>
                <w:rFonts w:ascii="Arial" w:cs="Arial" w:eastAsia="Arial" w:hAnsi="Arial"/>
                <w:sz w:val="18"/>
                <w:szCs w:val="18"/>
                <w:color w:val="auto"/>
                <w:w w:val="91"/>
              </w:rPr>
              <w:t>Notice of Intent by Exelon Corporation to Nominate Individuals for Election as Directors and to Propose Stockholder Business at the 2009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Annual Meeting of Stockholders of NRG Energy, Inc., dated January 30, 2009 (Previously filed on Amendment No. 16 to Tender Offer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Schedule TO on January 30,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(a)(5)(R)</w:t>
            </w:r>
          </w:p>
        </w:tc>
        <w:tc>
          <w:tcPr>
            <w:tcW w:w="10040" w:type="dxa"/>
            <w:vAlign w:val="bottom"/>
          </w:tcPr>
          <w:p>
            <w:pPr>
              <w:spacing w:after="0"/>
              <w:rPr>
                <w:sz w:val="20"/>
                <w:szCs w:val="20"/>
                <w:color w:val="auto"/>
              </w:rPr>
            </w:pPr>
            <w:r>
              <w:rPr>
                <w:rFonts w:ascii="Arial" w:cs="Arial" w:eastAsia="Arial" w:hAnsi="Arial"/>
                <w:sz w:val="18"/>
                <w:szCs w:val="18"/>
                <w:color w:val="auto"/>
                <w:w w:val="90"/>
              </w:rPr>
              <w:t>Presentation for Credit Suisse 2009 Energy Summit, February 2-3, 2009, “Exelon + NRG: Committed, Moving Forward” (Previously filed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17 to Tender Offer Statement on Schedule TO on February 2,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(a)(5)(S)</w:t>
            </w:r>
          </w:p>
        </w:tc>
        <w:tc>
          <w:tcPr>
            <w:tcW w:w="10040" w:type="dxa"/>
            <w:vAlign w:val="bottom"/>
          </w:tcPr>
          <w:p>
            <w:pPr>
              <w:spacing w:after="0"/>
              <w:rPr>
                <w:sz w:val="20"/>
                <w:szCs w:val="20"/>
                <w:color w:val="auto"/>
              </w:rPr>
            </w:pPr>
            <w:r>
              <w:rPr>
                <w:rFonts w:ascii="Arial" w:cs="Arial" w:eastAsia="Arial" w:hAnsi="Arial"/>
                <w:sz w:val="18"/>
                <w:szCs w:val="18"/>
                <w:color w:val="auto"/>
                <w:w w:val="91"/>
              </w:rPr>
              <w:t>Presentation for Investor Meetings, February 2009, “Exelon &amp; NRG: Committed, Moving Forward” (Previously filed on Amendment No. 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Schedule TO on February 10,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(a)(5)(T)</w:t>
            </w:r>
          </w:p>
        </w:tc>
        <w:tc>
          <w:tcPr>
            <w:tcW w:w="10040" w:type="dxa"/>
            <w:vAlign w:val="bottom"/>
          </w:tcPr>
          <w:p>
            <w:pPr>
              <w:spacing w:after="0"/>
              <w:rPr>
                <w:sz w:val="20"/>
                <w:szCs w:val="20"/>
                <w:color w:val="auto"/>
              </w:rPr>
            </w:pPr>
            <w:r>
              <w:rPr>
                <w:rFonts w:ascii="Arial" w:cs="Arial" w:eastAsia="Arial" w:hAnsi="Arial"/>
                <w:sz w:val="18"/>
                <w:szCs w:val="18"/>
                <w:color w:val="auto"/>
                <w:w w:val="90"/>
              </w:rPr>
              <w:t>Letter from counsel to NRG to the U.S. Nuclear Regulatory Commission dated February 4, 2009 (Previously filed on Amendment No. 19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Tender Offer Statement on Schedule TO on February 11,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(a)(5)(U)</w:t>
            </w:r>
          </w:p>
        </w:tc>
        <w:tc>
          <w:tcPr>
            <w:tcW w:w="10040" w:type="dxa"/>
            <w:vAlign w:val="bottom"/>
          </w:tcPr>
          <w:p>
            <w:pPr>
              <w:spacing w:after="0"/>
              <w:rPr>
                <w:sz w:val="20"/>
                <w:szCs w:val="20"/>
                <w:color w:val="auto"/>
              </w:rPr>
            </w:pPr>
            <w:r>
              <w:rPr>
                <w:rFonts w:ascii="Arial" w:cs="Arial" w:eastAsia="Arial" w:hAnsi="Arial"/>
                <w:sz w:val="18"/>
                <w:szCs w:val="18"/>
                <w:color w:val="auto"/>
                <w:w w:val="90"/>
              </w:rPr>
              <w:t>Letter from counsel to Exelon to the U.S. Nuclear Regulatory Commission dated February 10, 2009 (Previously filed on Amendment No. 19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Tender Offer Statement on Schedule TO on February 11,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(a)(5)(V)</w:t>
            </w:r>
          </w:p>
        </w:tc>
        <w:tc>
          <w:tcPr>
            <w:tcW w:w="10040" w:type="dxa"/>
            <w:vAlign w:val="bottom"/>
          </w:tcPr>
          <w:p>
            <w:pPr>
              <w:spacing w:after="0"/>
              <w:rPr>
                <w:sz w:val="20"/>
                <w:szCs w:val="20"/>
                <w:color w:val="auto"/>
              </w:rPr>
            </w:pPr>
            <w:r>
              <w:rPr>
                <w:rFonts w:ascii="Arial" w:cs="Arial" w:eastAsia="Arial" w:hAnsi="Arial"/>
                <w:sz w:val="18"/>
                <w:szCs w:val="18"/>
                <w:color w:val="auto"/>
                <w:w w:val="88"/>
              </w:rPr>
              <w:t>Press Release issued by Exelon, dated February 26, 2009 (Previously filed on Amendment No. 20 to Tender Offer Statement on Schedule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February 26,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(a)(5)(W)</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March 2, 2009 (Previously filed on Amendment No. 21 to Tender Offer Statement on Schedule To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March 3,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(a)(5)(X)</w:t>
            </w:r>
          </w:p>
        </w:tc>
        <w:tc>
          <w:tcPr>
            <w:tcW w:w="10040" w:type="dxa"/>
            <w:vAlign w:val="bottom"/>
          </w:tcPr>
          <w:p>
            <w:pPr>
              <w:spacing w:after="0"/>
              <w:rPr>
                <w:sz w:val="20"/>
                <w:szCs w:val="20"/>
                <w:color w:val="auto"/>
              </w:rPr>
            </w:pPr>
            <w:r>
              <w:rPr>
                <w:rFonts w:ascii="Arial" w:cs="Arial" w:eastAsia="Arial" w:hAnsi="Arial"/>
                <w:sz w:val="18"/>
                <w:szCs w:val="18"/>
                <w:color w:val="auto"/>
                <w:w w:val="89"/>
              </w:rPr>
              <w:t>Excerpts from transcript of 2009 Exelon Investor Conference held on March 10, 2009 (Previously filed on Amendment No. 24 to Tender Offer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Schedule TO on March 12,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(a)(5)(Y)</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March 17, 2009 (Previously filed on Amendment No. 25 to Tender Offer Statement TO on March 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(a)(5)(Z)</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March 26, 2009 (Previously filed on Amendment No. 26 to Tender Offer Statement TO on March 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(a)(5)(AA)</w:t>
            </w:r>
          </w:p>
        </w:tc>
        <w:tc>
          <w:tcPr>
            <w:tcW w:w="10040" w:type="dxa"/>
            <w:vAlign w:val="bottom"/>
          </w:tcPr>
          <w:p>
            <w:pPr>
              <w:spacing w:after="0"/>
              <w:rPr>
                <w:sz w:val="20"/>
                <w:szCs w:val="20"/>
                <w:color w:val="auto"/>
              </w:rPr>
            </w:pPr>
            <w:r>
              <w:rPr>
                <w:rFonts w:ascii="Arial" w:cs="Arial" w:eastAsia="Arial" w:hAnsi="Arial"/>
                <w:sz w:val="18"/>
                <w:szCs w:val="18"/>
                <w:color w:val="auto"/>
                <w:w w:val="96"/>
              </w:rPr>
              <w:t>Earnings release issued by Exelon on April 23, 2009 and excerpts from transcript of earnings teleconference held on April 23, 2009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(Previously filed on Amendment No. 28 to Tender Offer Statement on Schedule TO on April 23,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(a)(5)(BB)</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May 21, 2009 (Previously filed on Amendment No. 30 to Tender Offer Statement on Schedule TO 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May 21, 2009)</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(a)(5)(CC)</w:t>
            </w:r>
          </w:p>
        </w:tc>
        <w:tc>
          <w:tcPr>
            <w:tcW w:w="10040" w:type="dxa"/>
            <w:vAlign w:val="bottom"/>
          </w:tcPr>
          <w:p>
            <w:pPr>
              <w:spacing w:after="0"/>
              <w:rPr>
                <w:sz w:val="20"/>
                <w:szCs w:val="20"/>
                <w:color w:val="auto"/>
              </w:rPr>
            </w:pPr>
            <w:r>
              <w:rPr>
                <w:rFonts w:ascii="Arial" w:cs="Arial" w:eastAsia="Arial" w:hAnsi="Arial"/>
                <w:sz w:val="18"/>
                <w:szCs w:val="18"/>
                <w:color w:val="auto"/>
                <w:w w:val="89"/>
              </w:rPr>
              <w:t>Press Release issued by Exelon, dated June 17, 2009 (Previously filed on Amendment No. 31 to Tender Offer Statement on Schedule TO on</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June 17, 2009)</w:t>
            </w:r>
          </w:p>
        </w:tc>
        <w:tc>
          <w:tcPr>
            <w:tcW w:w="0" w:type="dxa"/>
            <w:vAlign w:val="bottom"/>
          </w:tcPr>
          <w:p>
            <w:pPr>
              <w:spacing w:after="0"/>
              <w:rPr>
                <w:sz w:val="1"/>
                <w:szCs w:val="1"/>
                <w:color w:val="auto"/>
              </w:rPr>
            </w:pPr>
          </w:p>
        </w:tc>
      </w:tr>
    </w:tbl>
    <w:p>
      <w:pPr>
        <w:sectPr>
          <w:pgSz w:w="11900" w:h="16909" w:orient="portrait"/>
          <w:cols w:equalWidth="0" w:num="1">
            <w:col w:w="11420"/>
          </w:cols>
          <w:pgMar w:left="240" w:top="274"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(a)(5)(DD)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(a)(5)(GG)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(a)(5)(HH)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(a)(5)(JJ)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(a)(5)(KK)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(a)(5)(MM)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(a)(5)(NN)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(a)(5)(OO)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Definitive Proxy Statement of Exelon relating to 2009 Annual Meeting of Stockholders of NRG, dated June 17, 2009 (Previously filed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No. 31 to Tender Offer Statement on Schedule TO on June 17, 2009)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June 22, 2009 (Previously filed on Amendment No. 32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23, 2009)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June 25, 2009 (Previously filed on Amendment No. 33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Exelon notice to investment community dated July 1, 2009 (Previously filed on Amendment No. 34 to Tender Offer Statement on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on July 1,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2, 2009 (Previously filed on Amendment No. 35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 Presentation, July 2009, “Exelon’s Offer is About Value – Today and Tomorrow” (Previously filed on Amendment No. 35 to Tender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Statement on Schedule 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Exelon notice to investment community, dated July 2, 2009 (Previously filed on Amendment No. 35 to Tender Offer Statement on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Presentation to RiskMetrics Group and PROXY Governance, Inc., July 2009, “Exelon’s Offer is About Value – Today and Tomorrow”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on Amendment No. 35 to Tender Offer Statement on Schedule TO on July 2,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Transcript of Investor Conference Call, July 2, 2009 (Previously filed on Amendment No. 36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6,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6, 2009 (Previously filed on Amendment No. 36 to Tender Offer Statement on Schedule TO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6, 2009)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by Exelon, dated July 10, 2009 (Previously filed on Amendment No. 37 to Tender Offer Statement on Schedule TO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July 10, 2009)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issued by Exelon, dated July 15, 2009 (Incorporated by reference to Exelon’s Rule 425 filing on July 15, 2009)</w:t>
      </w:r>
    </w:p>
    <w:p>
      <w:pPr>
        <w:spacing w:after="0" w:line="31" w:lineRule="exact"/>
        <w:rPr>
          <w:sz w:val="20"/>
          <w:szCs w:val="20"/>
          <w:color w:val="auto"/>
        </w:rPr>
      </w:pPr>
    </w:p>
    <w:p>
      <w:pPr>
        <w:sectPr>
          <w:pgSz w:w="11900" w:h="16838" w:orient="portrait"/>
          <w:cols w:equalWidth="0" w:num="2">
            <w:col w:w="840" w:space="540"/>
            <w:col w:w="10000"/>
          </w:cols>
          <w:pgMar w:left="240" w:top="145" w:right="279" w:bottom="1440" w:gutter="0" w:footer="0" w:header="0"/>
        </w:sectPr>
      </w:pPr>
    </w:p>
    <w:p>
      <w:pPr>
        <w:ind w:left="1380" w:hanging="137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1380" w:hanging="1372"/>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Opinion of Sidley Austin LLP (regarding certain tax matters) (Incorporated by reference to Exelon’s Registration Statement on Form S-4 filed on November 12, 2008)</w:t>
      </w:r>
    </w:p>
    <w:sectPr>
      <w:pgSz w:w="11900" w:h="16838" w:orient="portrait"/>
      <w:cols w:equalWidth="0" w:num="1">
        <w:col w:w="11380"/>
      </w:cols>
      <w:pgMar w:left="240" w:top="145"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2019-12-10T13:54:52Z</dcterms:created>
  <dcterms:modified xsi:type="dcterms:W3CDTF">2019-12-10T13:54:52Z</dcterms:modified>
</cp:coreProperties>
</file>