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493207.xml.htm"/>
      <w:bookmarkStart w:id="1" w:name="kswkform4_17774932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 Matthew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S DEARBORN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EXELON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2026 Directors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04/28/2027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04/28/2027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phantom share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739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restricted stock unit (RSU) award subject to the Exelon Long-term Incentive Plan (LTIP) will fully vest and be settled in shares of Exelon common stock on a 1 for 1 basis. The award will accrue additional stock units through dividend reinvestment which will vest along with the underlying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share equivalents held in the reporting person's Exelon stock fund account that is part of a multi-fund, non-qualified deferred compensation plan. Phantom share equivalents will be settled for cash on a 1 for 1 basis upon the termination of the reporting person's service to the board of directors.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T Skinner, attorney-in-fact for Matthew C Rogers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formpowerofattorney2026r.htm"/>
      <w:bookmarkStart w:id="3" w:name="ksformpowerofattorney2026r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105" TargetMode="External"/><Relationship Id="rId5" Type="http://schemas.openxmlformats.org/officeDocument/2006/relationships/hyperlink" Target="http://www.sec.gov/cgi-bin/browse-edgar?action=getcompany&amp;CIK=00011093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3678</Characters>
  <CharactersWithSpaces>4294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formpowerofattorney2026r</dc:title>
</cp:coreProperties>
</file>