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5262.xml.htm"/>
      <w:bookmarkStart w:id="1" w:name="kswkform4_17908852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Cheshire Marjorie Rodgers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phantom share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511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11,162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 equivalents held in the reporting person's Exelon stock fund account that is part of a multi-fund, non-qualified deferred compensation plan. Phantom share equivalents will be settled for cash on a 1 for 1 basis upon the termination of the reporting person's service to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Balance includes 105 additional phantom share equivalents accrued to the account through automatic dividend reinvestment.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 Skinner, attorney-in-fact for Marjorie Rodgers Cheshire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1713" TargetMode="External"/><Relationship Id="rId5" Type="http://schemas.openxmlformats.org/officeDocument/2006/relationships/hyperlink" Target="http://www.sec.gov/cgi-bin/browse-edgar?action=getcompany&amp;CIK=00011093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3499</Characters>
  <CharactersWithSpaces>4065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