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92"/>
        <w:spacing w:after="0"/>
        <w:rPr>
          <w:sz w:val="20"/>
          <w:szCs w:val="20"/>
          <w:color w:val="auto"/>
        </w:rPr>
      </w:pPr>
      <w:r>
        <w:rPr>
          <w:rFonts w:ascii="Arial" w:cs="Arial" w:eastAsia="Arial" w:hAnsi="Arial"/>
          <w:sz w:val="20"/>
          <w:szCs w:val="20"/>
          <w:b w:val="1"/>
          <w:bCs w:val="1"/>
          <w:color w:val="auto"/>
        </w:rPr>
        <w:t>UNITED STATES</w:t>
      </w:r>
    </w:p>
    <w:p>
      <w:pPr>
        <w:spacing w:after="0" w:line="6" w:lineRule="exact"/>
        <w:rPr>
          <w:sz w:val="24"/>
          <w:szCs w:val="24"/>
          <w:color w:val="auto"/>
        </w:rPr>
      </w:pPr>
    </w:p>
    <w:p>
      <w:pPr>
        <w:jc w:val="center"/>
        <w:ind w:right="-1092"/>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092"/>
        <w:spacing w:after="0"/>
        <w:rPr>
          <w:sz w:val="20"/>
          <w:szCs w:val="20"/>
          <w:color w:val="auto"/>
        </w:rPr>
      </w:pPr>
      <w:r>
        <w:rPr>
          <w:rFonts w:ascii="Arial" w:cs="Arial" w:eastAsia="Arial" w:hAnsi="Arial"/>
          <w:sz w:val="20"/>
          <w:szCs w:val="20"/>
          <w:b w:val="1"/>
          <w:bCs w:val="1"/>
          <w:color w:val="auto"/>
        </w:rPr>
        <w:t>Washington, DC 20549</w:t>
      </w:r>
    </w:p>
    <w:p>
      <w:pPr>
        <w:spacing w:after="0" w:line="168" w:lineRule="exact"/>
        <w:rPr>
          <w:sz w:val="24"/>
          <w:szCs w:val="24"/>
          <w:color w:val="auto"/>
        </w:rPr>
      </w:pPr>
    </w:p>
    <w:p>
      <w:pPr>
        <w:jc w:val="center"/>
        <w:ind w:right="-1092"/>
        <w:spacing w:after="0"/>
        <w:rPr>
          <w:sz w:val="20"/>
          <w:szCs w:val="20"/>
          <w:color w:val="auto"/>
        </w:rPr>
      </w:pPr>
      <w:r>
        <w:rPr>
          <w:rFonts w:ascii="Arial" w:cs="Arial" w:eastAsia="Arial" w:hAnsi="Arial"/>
          <w:sz w:val="25"/>
          <w:szCs w:val="25"/>
          <w:b w:val="1"/>
          <w:bCs w:val="1"/>
          <w:color w:val="auto"/>
        </w:rPr>
        <w:t>SCHEDULE 14A</w:t>
      </w:r>
    </w:p>
    <w:p>
      <w:pPr>
        <w:spacing w:after="0" w:line="218" w:lineRule="exact"/>
        <w:rPr>
          <w:sz w:val="24"/>
          <w:szCs w:val="24"/>
          <w:color w:val="auto"/>
        </w:rPr>
      </w:pPr>
    </w:p>
    <w:p>
      <w:pPr>
        <w:jc w:val="center"/>
        <w:ind w:right="-1092"/>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40" w:lineRule="exact"/>
        <w:rPr>
          <w:sz w:val="24"/>
          <w:szCs w:val="24"/>
          <w:color w:val="auto"/>
        </w:rPr>
      </w:pPr>
    </w:p>
    <w:p>
      <w:pPr>
        <w:jc w:val="center"/>
        <w:ind w:right="-1092"/>
        <w:spacing w:after="0"/>
        <w:rPr>
          <w:sz w:val="20"/>
          <w:szCs w:val="20"/>
          <w:color w:val="auto"/>
        </w:rPr>
      </w:pPr>
      <w:r>
        <w:rPr>
          <w:rFonts w:ascii="Arial" w:cs="Arial" w:eastAsia="Arial" w:hAnsi="Arial"/>
          <w:sz w:val="18"/>
          <w:szCs w:val="18"/>
          <w:b w:val="1"/>
          <w:bCs w:val="1"/>
          <w:color w:val="auto"/>
        </w:rPr>
        <w:t>Securities Exchange Act of 1934</w:t>
      </w:r>
    </w:p>
    <w:p>
      <w:pPr>
        <w:spacing w:after="0" w:line="23" w:lineRule="exact"/>
        <w:rPr>
          <w:sz w:val="24"/>
          <w:szCs w:val="24"/>
          <w:color w:val="auto"/>
        </w:rPr>
      </w:pPr>
    </w:p>
    <w:p>
      <w:pPr>
        <w:jc w:val="center"/>
        <w:ind w:right="-1092"/>
        <w:spacing w:after="0"/>
        <w:rPr>
          <w:sz w:val="20"/>
          <w:szCs w:val="20"/>
          <w:color w:val="auto"/>
        </w:rPr>
      </w:pPr>
      <w:r>
        <w:rPr>
          <w:rFonts w:ascii="Arial" w:cs="Arial" w:eastAsia="Arial" w:hAnsi="Arial"/>
          <w:sz w:val="18"/>
          <w:szCs w:val="18"/>
          <w:b w:val="1"/>
          <w:bCs w:val="1"/>
          <w:color w:val="auto"/>
        </w:rPr>
        <w:t>(Amendment No. )</w:t>
      </w:r>
    </w:p>
    <w:p>
      <w:pPr>
        <w:spacing w:after="0" w:line="262" w:lineRule="exact"/>
        <w:rPr>
          <w:sz w:val="24"/>
          <w:szCs w:val="24"/>
          <w:color w:val="auto"/>
        </w:rPr>
      </w:pPr>
    </w:p>
    <w:p>
      <w:pPr>
        <w:ind w:left="392" w:hanging="392"/>
        <w:spacing w:after="0"/>
        <w:tabs>
          <w:tab w:leader="none" w:pos="392"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Filed by the Registrant</w:t>
      </w:r>
    </w:p>
    <w:p>
      <w:pPr>
        <w:spacing w:after="0" w:line="97" w:lineRule="exact"/>
        <w:rPr>
          <w:sz w:val="24"/>
          <w:szCs w:val="24"/>
          <w:color w:val="auto"/>
        </w:rPr>
      </w:pPr>
    </w:p>
    <w:p>
      <w:pPr>
        <w:ind w:left="392" w:hanging="392"/>
        <w:spacing w:after="0"/>
        <w:tabs>
          <w:tab w:leader="none" w:pos="392"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7080885" cy="163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0885" cy="163195"/>
                    </a:xfrm>
                    <a:prstGeom prst="rect">
                      <a:avLst/>
                    </a:prstGeom>
                    <a:noFill/>
                  </pic:spPr>
                </pic:pic>
              </a:graphicData>
            </a:graphic>
          </wp:anchor>
        </w:drawing>
      </w:r>
    </w:p>
    <w:p>
      <w:pPr>
        <w:spacing w:after="0" w:line="239" w:lineRule="exact"/>
        <w:rPr>
          <w:sz w:val="24"/>
          <w:szCs w:val="24"/>
          <w:color w:val="auto"/>
        </w:rPr>
      </w:pPr>
    </w:p>
    <w:p>
      <w:pPr>
        <w:ind w:left="12"/>
        <w:spacing w:after="0"/>
        <w:rPr>
          <w:sz w:val="20"/>
          <w:szCs w:val="20"/>
          <w:color w:val="auto"/>
        </w:rPr>
      </w:pPr>
      <w:r>
        <w:rPr>
          <w:rFonts w:ascii="Arial" w:cs="Arial" w:eastAsia="Arial" w:hAnsi="Arial"/>
          <w:sz w:val="18"/>
          <w:szCs w:val="18"/>
          <w:b w:val="1"/>
          <w:bCs w:val="1"/>
          <w:color w:val="auto"/>
        </w:rPr>
        <w:t>Check the appropriate box:</w:t>
      </w:r>
    </w:p>
    <w:p>
      <w:pPr>
        <w:spacing w:after="0" w:line="239" w:lineRule="exact"/>
        <w:rPr>
          <w:sz w:val="24"/>
          <w:szCs w:val="24"/>
          <w:color w:val="auto"/>
        </w:rPr>
      </w:pPr>
    </w:p>
    <w:p>
      <w:pPr>
        <w:ind w:left="672" w:hanging="654"/>
        <w:spacing w:after="0"/>
        <w:tabs>
          <w:tab w:leader="none" w:pos="672"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56" w:lineRule="exact"/>
        <w:rPr>
          <w:rFonts w:ascii="MS PGothic" w:cs="MS PGothic" w:eastAsia="MS PGothic" w:hAnsi="MS PGothic"/>
          <w:sz w:val="22"/>
          <w:szCs w:val="22"/>
          <w:color w:val="auto"/>
        </w:rPr>
      </w:pPr>
    </w:p>
    <w:p>
      <w:pPr>
        <w:ind w:left="12" w:right="3099" w:firstLine="6"/>
        <w:spacing w:after="0" w:line="288" w:lineRule="exact"/>
        <w:tabs>
          <w:tab w:leader="none" w:pos="673"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21"/>
          <w:szCs w:val="21"/>
          <w:color w:val="auto"/>
        </w:rPr>
        <w:t>☑</w:t>
      </w:r>
      <w:r>
        <w:rPr>
          <w:rFonts w:ascii="Arial" w:cs="Arial" w:eastAsia="Arial" w:hAnsi="Arial"/>
          <w:sz w:val="18"/>
          <w:szCs w:val="18"/>
          <w:color w:val="auto"/>
        </w:rPr>
        <w:t xml:space="preserve"> Definitive Proxy Statement</w:t>
      </w:r>
    </w:p>
    <w:p>
      <w:pPr>
        <w:spacing w:after="0" w:line="19" w:lineRule="exact"/>
        <w:rPr>
          <w:rFonts w:ascii="MS PGothic" w:cs="MS PGothic" w:eastAsia="MS PGothic" w:hAnsi="MS PGothic"/>
          <w:sz w:val="22"/>
          <w:szCs w:val="22"/>
          <w:color w:val="auto"/>
        </w:rPr>
      </w:pPr>
    </w:p>
    <w:p>
      <w:pPr>
        <w:ind w:left="672" w:hanging="654"/>
        <w:spacing w:after="0"/>
        <w:tabs>
          <w:tab w:leader="none" w:pos="672"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69" w:lineRule="exact"/>
        <w:rPr>
          <w:rFonts w:ascii="MS PGothic" w:cs="MS PGothic" w:eastAsia="MS PGothic" w:hAnsi="MS PGothic"/>
          <w:sz w:val="22"/>
          <w:szCs w:val="22"/>
          <w:color w:val="auto"/>
        </w:rPr>
      </w:pPr>
    </w:p>
    <w:p>
      <w:pPr>
        <w:ind w:left="672" w:hanging="654"/>
        <w:spacing w:after="0"/>
        <w:tabs>
          <w:tab w:leader="none" w:pos="672"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2743200</wp:posOffset>
            </wp:positionH>
            <wp:positionV relativeFrom="paragraph">
              <wp:posOffset>219075</wp:posOffset>
            </wp:positionV>
            <wp:extent cx="1645920" cy="411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5920"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1092"/>
        <w:spacing w:after="0"/>
        <w:rPr>
          <w:sz w:val="20"/>
          <w:szCs w:val="20"/>
          <w:color w:val="auto"/>
        </w:rPr>
      </w:pPr>
      <w:r>
        <w:rPr>
          <w:rFonts w:ascii="Arial" w:cs="Arial" w:eastAsia="Arial" w:hAnsi="Arial"/>
          <w:sz w:val="20"/>
          <w:szCs w:val="20"/>
          <w:b w:val="1"/>
          <w:bCs w:val="1"/>
          <w:color w:val="auto"/>
        </w:rPr>
        <w:t>Exelon Corporation</w:t>
      </w:r>
    </w:p>
    <w:p>
      <w:pPr>
        <w:spacing w:after="0" w:line="131" w:lineRule="exact"/>
        <w:rPr>
          <w:sz w:val="24"/>
          <w:szCs w:val="24"/>
          <w:color w:val="auto"/>
        </w:rPr>
      </w:pPr>
    </w:p>
    <w:p>
      <w:pPr>
        <w:jc w:val="center"/>
        <w:ind w:right="-1092"/>
        <w:spacing w:after="0"/>
        <w:rPr>
          <w:sz w:val="20"/>
          <w:szCs w:val="20"/>
          <w:color w:val="auto"/>
        </w:rPr>
      </w:pPr>
      <w:r>
        <w:rPr>
          <w:rFonts w:ascii="Arial" w:cs="Arial" w:eastAsia="Arial" w:hAnsi="Arial"/>
          <w:sz w:val="16"/>
          <w:szCs w:val="16"/>
          <w:color w:val="auto"/>
        </w:rPr>
        <w:t>(Name of Registrant as Specified In Its Charter)</w:t>
      </w:r>
    </w:p>
    <w:p>
      <w:pPr>
        <w:spacing w:after="0" w:line="127" w:lineRule="exact"/>
        <w:rPr>
          <w:sz w:val="24"/>
          <w:szCs w:val="24"/>
          <w:color w:val="auto"/>
        </w:rPr>
      </w:pPr>
    </w:p>
    <w:p>
      <w:pPr>
        <w:jc w:val="center"/>
        <w:ind w:right="-1092"/>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183515</wp:posOffset>
            </wp:positionV>
            <wp:extent cx="7080885" cy="163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163195"/>
                    </a:xfrm>
                    <a:prstGeom prst="rect">
                      <a:avLst/>
                    </a:prstGeom>
                    <a:noFill/>
                  </pic:spPr>
                </pic:pic>
              </a:graphicData>
            </a:graphic>
          </wp:anchor>
        </w:drawing>
      </w:r>
    </w:p>
    <w:p>
      <w:pPr>
        <w:spacing w:after="0" w:line="277" w:lineRule="exact"/>
        <w:rPr>
          <w:sz w:val="24"/>
          <w:szCs w:val="24"/>
          <w:color w:val="auto"/>
        </w:rPr>
      </w:pPr>
    </w:p>
    <w:p>
      <w:pPr>
        <w:ind w:left="12"/>
        <w:spacing w:after="0"/>
        <w:rPr>
          <w:sz w:val="20"/>
          <w:szCs w:val="20"/>
          <w:color w:val="auto"/>
        </w:rPr>
      </w:pPr>
      <w:r>
        <w:rPr>
          <w:rFonts w:ascii="Arial" w:cs="Arial" w:eastAsia="Arial" w:hAnsi="Arial"/>
          <w:sz w:val="18"/>
          <w:szCs w:val="18"/>
          <w:b w:val="1"/>
          <w:bCs w:val="1"/>
          <w:color w:val="auto"/>
        </w:rPr>
        <w:t>Payment of Filing Fee (Check all boxes that apply):</w:t>
      </w:r>
    </w:p>
    <w:p>
      <w:pPr>
        <w:spacing w:after="0" w:line="239" w:lineRule="exact"/>
        <w:rPr>
          <w:sz w:val="24"/>
          <w:szCs w:val="24"/>
          <w:color w:val="auto"/>
        </w:rPr>
      </w:pPr>
    </w:p>
    <w:p>
      <w:pPr>
        <w:ind w:left="672" w:hanging="654"/>
        <w:spacing w:after="0"/>
        <w:tabs>
          <w:tab w:leader="none" w:pos="672" w:val="left"/>
        </w:tabs>
        <w:numPr>
          <w:ilvl w:val="0"/>
          <w:numId w:val="4"/>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56" w:lineRule="exact"/>
        <w:rPr>
          <w:sz w:val="24"/>
          <w:szCs w:val="24"/>
          <w:color w:val="auto"/>
        </w:rPr>
      </w:pPr>
    </w:p>
    <w:p>
      <w:pPr>
        <w:ind w:left="672" w:hanging="654"/>
        <w:spacing w:after="0"/>
        <w:tabs>
          <w:tab w:leader="none" w:pos="672"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69" w:lineRule="exact"/>
        <w:rPr>
          <w:rFonts w:ascii="MS PGothic" w:cs="MS PGothic" w:eastAsia="MS PGothic" w:hAnsi="MS PGothic"/>
          <w:sz w:val="22"/>
          <w:szCs w:val="22"/>
          <w:color w:val="auto"/>
        </w:rPr>
      </w:pPr>
    </w:p>
    <w:p>
      <w:pPr>
        <w:ind w:left="672" w:hanging="654"/>
        <w:spacing w:after="0"/>
        <w:tabs>
          <w:tab w:leader="none" w:pos="672" w:val="left"/>
        </w:tabs>
        <w:numPr>
          <w:ilvl w:val="0"/>
          <w:numId w:val="5"/>
        </w:numPr>
        <w:rPr>
          <w:rFonts w:ascii="MS PGothic" w:cs="MS PGothic" w:eastAsia="MS PGothic" w:hAnsi="MS PGothic"/>
          <w:sz w:val="21"/>
          <w:szCs w:val="21"/>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727710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1"/>
          </w:cols>
          <w:pgMar w:left="328" w:top="1304"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6960870" cy="5263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0870" cy="526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40"/>
          <w:szCs w:val="40"/>
          <w:b w:val="1"/>
          <w:bCs w:val="1"/>
          <w:color w:val="170D67"/>
        </w:rPr>
        <w:t>2025 Proxy Statement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39"/>
          <w:szCs w:val="39"/>
          <w:b w:val="1"/>
          <w:bCs w:val="1"/>
          <w:color w:val="170D67"/>
        </w:rPr>
        <w:t>Notice of Annual Shareholder Meeting</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170D67"/>
        </w:rPr>
        <w:t xml:space="preserve">April 29, 2025 9:00 </w:t>
      </w:r>
      <w:r>
        <w:rPr>
          <w:rFonts w:ascii="Arial" w:cs="Arial" w:eastAsia="Arial" w:hAnsi="Arial"/>
          <w:sz w:val="22"/>
          <w:szCs w:val="22"/>
          <w:color w:val="000000"/>
        </w:rPr>
        <w:t>׀</w:t>
      </w:r>
      <w:r>
        <w:rPr>
          <w:rFonts w:ascii="Arial" w:cs="Arial" w:eastAsia="Arial" w:hAnsi="Arial"/>
          <w:sz w:val="22"/>
          <w:szCs w:val="22"/>
          <w:color w:val="170D67"/>
        </w:rPr>
        <w:t xml:space="preserve"> a.m. ET</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170D67"/>
        </w:rPr>
        <w:t>Virtual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57785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rPr>
          <w:sz w:val="20"/>
          <w:szCs w:val="20"/>
          <w:color w:val="auto"/>
        </w:rPr>
      </w:pPr>
      <w:r>
        <w:rPr>
          <w:rFonts w:ascii="Arial" w:cs="Arial" w:eastAsia="Arial" w:hAnsi="Arial"/>
          <w:sz w:val="41"/>
          <w:szCs w:val="41"/>
          <w:color w:val="170D67"/>
        </w:rPr>
        <w:t xml:space="preserve">Table of </w:t>
      </w:r>
      <w:r>
        <w:rPr>
          <w:rFonts w:ascii="Arial" w:cs="Arial" w:eastAsia="Arial" w:hAnsi="Arial"/>
          <w:sz w:val="41"/>
          <w:szCs w:val="41"/>
          <w:b w:val="1"/>
          <w:bCs w:val="1"/>
          <w:color w:val="170D67"/>
        </w:rPr>
        <w:t>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line="332" w:lineRule="auto"/>
        <w:rPr>
          <w:sz w:val="20"/>
          <w:szCs w:val="20"/>
          <w:color w:val="auto"/>
        </w:rPr>
      </w:pPr>
      <w:r>
        <w:rPr>
          <w:rFonts w:ascii="Arial" w:cs="Arial" w:eastAsia="Arial" w:hAnsi="Arial"/>
          <w:sz w:val="16"/>
          <w:szCs w:val="16"/>
          <w:b w:val="1"/>
          <w:bCs w:val="1"/>
          <w:color w:val="170D67"/>
        </w:rPr>
        <w:t>Notice of the Annual Meeting of Shareholders and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480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51" w:lineRule="exact"/>
        <w:rPr>
          <w:sz w:val="20"/>
          <w:szCs w:val="20"/>
          <w:color w:val="auto"/>
        </w:rPr>
      </w:pPr>
    </w:p>
    <w:p>
      <w:pPr>
        <w:ind w:left="20" w:right="1020"/>
        <w:spacing w:after="0" w:line="332" w:lineRule="auto"/>
        <w:rPr>
          <w:sz w:val="20"/>
          <w:szCs w:val="20"/>
          <w:color w:val="auto"/>
        </w:rPr>
      </w:pPr>
      <w:r>
        <w:rPr>
          <w:rFonts w:ascii="Arial" w:cs="Arial" w:eastAsia="Arial" w:hAnsi="Arial"/>
          <w:sz w:val="16"/>
          <w:szCs w:val="16"/>
          <w:b w:val="1"/>
          <w:bCs w:val="1"/>
          <w:color w:val="170D67"/>
        </w:rPr>
        <w:t>Letter from the Board of Directors to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480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170D67"/>
        </w:rPr>
        <w:t>About Exelon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34804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170D67"/>
        </w:rPr>
        <w:t>Energy At Its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34804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170D67"/>
        </w:rPr>
        <w:t>Proxy Summary and Roadmap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34804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170D67"/>
        </w:rPr>
        <w:t>Board and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288036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8036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80645</wp:posOffset>
            </wp:positionV>
            <wp:extent cx="34804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82" w:lineRule="exact"/>
        <w:rPr>
          <w:sz w:val="20"/>
          <w:szCs w:val="20"/>
          <w:color w:val="auto"/>
        </w:rPr>
      </w:pPr>
    </w:p>
    <w:p>
      <w:pPr>
        <w:ind w:left="120"/>
        <w:spacing w:after="0"/>
        <w:tabs>
          <w:tab w:leader="none" w:pos="1100" w:val="left"/>
        </w:tabs>
        <w:rPr>
          <w:sz w:val="20"/>
          <w:szCs w:val="20"/>
          <w:color w:val="auto"/>
        </w:rPr>
      </w:pPr>
      <w:r>
        <w:rPr>
          <w:rFonts w:ascii="Arial" w:cs="Arial" w:eastAsia="Arial" w:hAnsi="Arial"/>
          <w:sz w:val="16"/>
          <w:szCs w:val="16"/>
          <w:b w:val="1"/>
          <w:bCs w:val="1"/>
          <w:color w:val="FFFFFF"/>
        </w:rPr>
        <w:t>Proposal 1</w:t>
        <w:tab/>
        <w:t>Election of Directors</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Director Qualifications and Nomination</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Director Nominees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Corporate Governance</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Board Oversight of Risk</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Board Composition and Leadership</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Director Onboarding and Continuing Education</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Board and Committee Engagement</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Director Compensation</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170D67"/>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2880360" cy="368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80360" cy="3683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80645</wp:posOffset>
            </wp:positionV>
            <wp:extent cx="34804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69" w:lineRule="exact"/>
        <w:rPr>
          <w:sz w:val="20"/>
          <w:szCs w:val="20"/>
          <w:color w:val="auto"/>
        </w:rPr>
      </w:pPr>
    </w:p>
    <w:p>
      <w:pPr>
        <w:ind w:left="980" w:right="320" w:hanging="854"/>
        <w:spacing w:after="0" w:line="332" w:lineRule="auto"/>
        <w:tabs>
          <w:tab w:leader="none" w:pos="960" w:val="left"/>
        </w:tabs>
        <w:rPr>
          <w:sz w:val="20"/>
          <w:szCs w:val="20"/>
          <w:color w:val="auto"/>
        </w:rPr>
      </w:pPr>
      <w:r>
        <w:rPr>
          <w:rFonts w:ascii="Arial" w:cs="Arial" w:eastAsia="Arial" w:hAnsi="Arial"/>
          <w:sz w:val="16"/>
          <w:szCs w:val="16"/>
          <w:b w:val="1"/>
          <w:bCs w:val="1"/>
          <w:color w:val="FFFFFF"/>
        </w:rPr>
        <w:t>Proposal 2</w:t>
        <w:tab/>
        <w:t>Ratification of PwC as Exelon’s Independent Auditor for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170D67"/>
              </w:rPr>
              <w:t>1</w:t>
            </w:r>
          </w:p>
        </w:tc>
        <w:tc>
          <w:tcPr>
            <w:tcW w:w="16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6"/>
                <w:szCs w:val="16"/>
                <w:b w:val="1"/>
                <w:bCs w:val="1"/>
                <w:color w:val="170D67"/>
              </w:rPr>
              <w:t>Executive Compensation</w:t>
            </w: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170D67"/>
              </w:rPr>
              <w:t>43</w:t>
            </w:r>
          </w:p>
        </w:tc>
        <w:tc>
          <w:tcPr>
            <w:tcW w:w="0" w:type="dxa"/>
            <w:vAlign w:val="bottom"/>
          </w:tcPr>
          <w:p>
            <w:pPr>
              <w:spacing w:after="0"/>
              <w:rPr>
                <w:sz w:val="1"/>
                <w:szCs w:val="1"/>
                <w:color w:val="auto"/>
              </w:rPr>
            </w:pPr>
          </w:p>
        </w:tc>
      </w:tr>
      <w:tr>
        <w:trPr>
          <w:trHeight w:val="88"/>
        </w:trPr>
        <w:tc>
          <w:tcPr>
            <w:tcW w:w="9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3240" w:type="dxa"/>
            <w:vAlign w:val="bottom"/>
            <w:tcBorders>
              <w:bottom w:val="single" w:sz="8" w:color="9D9C9C"/>
            </w:tcBorders>
          </w:tcPr>
          <w:p>
            <w:pPr>
              <w:spacing w:after="0"/>
              <w:rPr>
                <w:sz w:val="7"/>
                <w:szCs w:val="7"/>
                <w:color w:val="auto"/>
              </w:rPr>
            </w:pPr>
          </w:p>
        </w:tc>
        <w:tc>
          <w:tcPr>
            <w:tcW w:w="80" w:type="dxa"/>
            <w:vAlign w:val="bottom"/>
            <w:tcBorders>
              <w:bottom w:val="single" w:sz="8" w:color="9D9C9C"/>
            </w:tcBorders>
          </w:tcPr>
          <w:p>
            <w:pPr>
              <w:spacing w:after="0"/>
              <w:rPr>
                <w:sz w:val="7"/>
                <w:szCs w:val="7"/>
                <w:color w:val="auto"/>
              </w:rPr>
            </w:pPr>
          </w:p>
        </w:tc>
        <w:tc>
          <w:tcPr>
            <w:tcW w:w="480" w:type="dxa"/>
            <w:vAlign w:val="bottom"/>
            <w:tcBorders>
              <w:bottom w:val="single" w:sz="8" w:color="9D9C9C"/>
            </w:tcBorders>
          </w:tcPr>
          <w:p>
            <w:pPr>
              <w:spacing w:after="0"/>
              <w:rPr>
                <w:sz w:val="7"/>
                <w:szCs w:val="7"/>
                <w:color w:val="auto"/>
              </w:rPr>
            </w:pPr>
          </w:p>
        </w:tc>
        <w:tc>
          <w:tcPr>
            <w:tcW w:w="640" w:type="dxa"/>
            <w:vAlign w:val="bottom"/>
            <w:tcBorders>
              <w:bottom w:val="single" w:sz="8" w:color="9D9C9C"/>
            </w:tcBorders>
          </w:tcPr>
          <w:p>
            <w:pPr>
              <w:spacing w:after="0"/>
              <w:rPr>
                <w:sz w:val="7"/>
                <w:szCs w:val="7"/>
                <w:color w:val="auto"/>
              </w:rPr>
            </w:pPr>
          </w:p>
        </w:tc>
        <w:tc>
          <w:tcPr>
            <w:tcW w:w="100" w:type="dxa"/>
            <w:vAlign w:val="bottom"/>
            <w:tcBorders>
              <w:bottom w:val="single" w:sz="8" w:color="9D9C9C"/>
            </w:tcBorders>
          </w:tcPr>
          <w:p>
            <w:pPr>
              <w:spacing w:after="0"/>
              <w:rPr>
                <w:sz w:val="7"/>
                <w:szCs w:val="7"/>
                <w:color w:val="auto"/>
              </w:rPr>
            </w:pPr>
          </w:p>
        </w:tc>
        <w:tc>
          <w:tcPr>
            <w:tcW w:w="940" w:type="dxa"/>
            <w:vAlign w:val="bottom"/>
            <w:tcBorders>
              <w:bottom w:val="single" w:sz="8" w:color="9D9C9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9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32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40" w:type="dxa"/>
            <w:vAlign w:val="bottom"/>
            <w:gridSpan w:val="5"/>
            <w:shd w:val="clear" w:color="auto" w:fill="170D67"/>
          </w:tcPr>
          <w:p>
            <w:pPr>
              <w:ind w:left="120"/>
              <w:spacing w:after="0"/>
              <w:rPr>
                <w:sz w:val="20"/>
                <w:szCs w:val="20"/>
                <w:color w:val="auto"/>
              </w:rPr>
            </w:pPr>
            <w:r>
              <w:rPr>
                <w:rFonts w:ascii="Arial" w:cs="Arial" w:eastAsia="Arial" w:hAnsi="Arial"/>
                <w:sz w:val="16"/>
                <w:szCs w:val="16"/>
                <w:b w:val="1"/>
                <w:bCs w:val="1"/>
                <w:color w:val="FFFFFF"/>
              </w:rPr>
              <w:t>Proposal 3  Say-on-Pay: Advisory Vote on</w:t>
            </w:r>
          </w:p>
        </w:tc>
        <w:tc>
          <w:tcPr>
            <w:tcW w:w="940" w:type="dxa"/>
            <w:vAlign w:val="bottom"/>
            <w:shd w:val="clear" w:color="auto" w:fill="170D67"/>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170D67"/>
              </w:rPr>
              <w:t>2</w:t>
            </w:r>
          </w:p>
        </w:tc>
        <w:tc>
          <w:tcPr>
            <w:tcW w:w="160" w:type="dxa"/>
            <w:vAlign w:val="bottom"/>
          </w:tcPr>
          <w:p>
            <w:pPr>
              <w:spacing w:after="0"/>
              <w:rPr>
                <w:sz w:val="19"/>
                <w:szCs w:val="19"/>
                <w:color w:val="auto"/>
              </w:rPr>
            </w:pPr>
          </w:p>
        </w:tc>
        <w:tc>
          <w:tcPr>
            <w:tcW w:w="3320" w:type="dxa"/>
            <w:vAlign w:val="bottom"/>
            <w:gridSpan w:val="2"/>
            <w:shd w:val="clear" w:color="auto" w:fill="170D67"/>
          </w:tcPr>
          <w:p>
            <w:pPr>
              <w:ind w:left="960"/>
              <w:spacing w:after="0"/>
              <w:rPr>
                <w:sz w:val="20"/>
                <w:szCs w:val="20"/>
                <w:color w:val="auto"/>
              </w:rPr>
            </w:pPr>
            <w:r>
              <w:rPr>
                <w:rFonts w:ascii="Arial" w:cs="Arial" w:eastAsia="Arial" w:hAnsi="Arial"/>
                <w:sz w:val="16"/>
                <w:szCs w:val="16"/>
                <w:b w:val="1"/>
                <w:bCs w:val="1"/>
                <w:color w:val="FFFFFF"/>
              </w:rPr>
              <w:t>Executive Compensation</w:t>
            </w:r>
          </w:p>
        </w:tc>
        <w:tc>
          <w:tcPr>
            <w:tcW w:w="480" w:type="dxa"/>
            <w:vAlign w:val="bottom"/>
            <w:shd w:val="clear" w:color="auto" w:fill="170D67"/>
          </w:tcPr>
          <w:p>
            <w:pPr>
              <w:spacing w:after="0"/>
              <w:rPr>
                <w:sz w:val="19"/>
                <w:szCs w:val="19"/>
                <w:color w:val="auto"/>
              </w:rPr>
            </w:pPr>
          </w:p>
        </w:tc>
        <w:tc>
          <w:tcPr>
            <w:tcW w:w="640" w:type="dxa"/>
            <w:vAlign w:val="bottom"/>
            <w:shd w:val="clear" w:color="auto" w:fill="170D67"/>
          </w:tcPr>
          <w:p>
            <w:pPr>
              <w:spacing w:after="0"/>
              <w:rPr>
                <w:sz w:val="19"/>
                <w:szCs w:val="19"/>
                <w:color w:val="auto"/>
              </w:rPr>
            </w:pPr>
          </w:p>
        </w:tc>
        <w:tc>
          <w:tcPr>
            <w:tcW w:w="100" w:type="dxa"/>
            <w:vAlign w:val="bottom"/>
            <w:shd w:val="clear" w:color="auto" w:fill="170D67"/>
          </w:tcPr>
          <w:p>
            <w:pPr>
              <w:spacing w:after="0"/>
              <w:rPr>
                <w:sz w:val="19"/>
                <w:szCs w:val="19"/>
                <w:color w:val="auto"/>
              </w:rPr>
            </w:pPr>
          </w:p>
        </w:tc>
        <w:tc>
          <w:tcPr>
            <w:tcW w:w="940" w:type="dxa"/>
            <w:vAlign w:val="bottom"/>
            <w:shd w:val="clear" w:color="auto" w:fill="170D67"/>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9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3240" w:type="dxa"/>
            <w:vAlign w:val="bottom"/>
            <w:shd w:val="clear" w:color="auto" w:fill="170D67"/>
          </w:tcPr>
          <w:p>
            <w:pPr>
              <w:spacing w:after="0"/>
              <w:rPr>
                <w:sz w:val="6"/>
                <w:szCs w:val="6"/>
                <w:color w:val="auto"/>
              </w:rPr>
            </w:pPr>
          </w:p>
        </w:tc>
        <w:tc>
          <w:tcPr>
            <w:tcW w:w="80" w:type="dxa"/>
            <w:vAlign w:val="bottom"/>
            <w:shd w:val="clear" w:color="auto" w:fill="170D67"/>
          </w:tcPr>
          <w:p>
            <w:pPr>
              <w:spacing w:after="0"/>
              <w:rPr>
                <w:sz w:val="6"/>
                <w:szCs w:val="6"/>
                <w:color w:val="auto"/>
              </w:rPr>
            </w:pPr>
          </w:p>
        </w:tc>
        <w:tc>
          <w:tcPr>
            <w:tcW w:w="480" w:type="dxa"/>
            <w:vAlign w:val="bottom"/>
            <w:shd w:val="clear" w:color="auto" w:fill="170D67"/>
          </w:tcPr>
          <w:p>
            <w:pPr>
              <w:spacing w:after="0"/>
              <w:rPr>
                <w:sz w:val="6"/>
                <w:szCs w:val="6"/>
                <w:color w:val="auto"/>
              </w:rPr>
            </w:pPr>
          </w:p>
        </w:tc>
        <w:tc>
          <w:tcPr>
            <w:tcW w:w="640" w:type="dxa"/>
            <w:vAlign w:val="bottom"/>
            <w:shd w:val="clear" w:color="auto" w:fill="170D67"/>
          </w:tcPr>
          <w:p>
            <w:pPr>
              <w:spacing w:after="0"/>
              <w:rPr>
                <w:sz w:val="6"/>
                <w:szCs w:val="6"/>
                <w:color w:val="auto"/>
              </w:rPr>
            </w:pPr>
          </w:p>
        </w:tc>
        <w:tc>
          <w:tcPr>
            <w:tcW w:w="100" w:type="dxa"/>
            <w:vAlign w:val="bottom"/>
            <w:shd w:val="clear" w:color="auto" w:fill="170D67"/>
          </w:tcPr>
          <w:p>
            <w:pPr>
              <w:spacing w:after="0"/>
              <w:rPr>
                <w:sz w:val="6"/>
                <w:szCs w:val="6"/>
                <w:color w:val="auto"/>
              </w:rPr>
            </w:pPr>
          </w:p>
        </w:tc>
        <w:tc>
          <w:tcPr>
            <w:tcW w:w="940" w:type="dxa"/>
            <w:vAlign w:val="bottom"/>
            <w:shd w:val="clear" w:color="auto" w:fill="170D67"/>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9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4540" w:type="dxa"/>
            <w:vAlign w:val="bottom"/>
            <w:gridSpan w:val="5"/>
            <w:vMerge w:val="restart"/>
          </w:tcPr>
          <w:p>
            <w:pPr>
              <w:spacing w:after="0"/>
              <w:rPr>
                <w:sz w:val="20"/>
                <w:szCs w:val="20"/>
                <w:color w:val="auto"/>
              </w:rPr>
            </w:pPr>
            <w:r>
              <w:rPr>
                <w:rFonts w:ascii="Arial" w:cs="Arial" w:eastAsia="Arial" w:hAnsi="Arial"/>
                <w:sz w:val="16"/>
                <w:szCs w:val="16"/>
                <w:b w:val="1"/>
                <w:bCs w:val="1"/>
                <w:color w:val="170D67"/>
              </w:rPr>
              <w:t>Compensation Discussion &amp; Analysis (CD&amp;A)</w:t>
            </w: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170D67"/>
              </w:rPr>
              <w:t>44</w:t>
            </w:r>
          </w:p>
        </w:tc>
        <w:tc>
          <w:tcPr>
            <w:tcW w:w="0" w:type="dxa"/>
            <w:vAlign w:val="bottom"/>
          </w:tcPr>
          <w:p>
            <w:pPr>
              <w:spacing w:after="0"/>
              <w:rPr>
                <w:sz w:val="1"/>
                <w:szCs w:val="1"/>
                <w:color w:val="auto"/>
              </w:rPr>
            </w:pPr>
          </w:p>
        </w:tc>
      </w:tr>
      <w:tr>
        <w:trPr>
          <w:trHeight w:val="350"/>
        </w:trPr>
        <w:tc>
          <w:tcPr>
            <w:tcW w:w="940" w:type="dxa"/>
            <w:vAlign w:val="bottom"/>
          </w:tcPr>
          <w:p>
            <w:pPr>
              <w:jc w:val="right"/>
              <w:spacing w:after="0"/>
              <w:rPr>
                <w:sz w:val="20"/>
                <w:szCs w:val="20"/>
                <w:color w:val="auto"/>
              </w:rPr>
            </w:pPr>
            <w:r>
              <w:rPr>
                <w:rFonts w:ascii="Arial" w:cs="Arial" w:eastAsia="Arial" w:hAnsi="Arial"/>
                <w:sz w:val="16"/>
                <w:szCs w:val="16"/>
                <w:b w:val="1"/>
                <w:bCs w:val="1"/>
                <w:color w:val="170D67"/>
              </w:rPr>
              <w:t>4</w:t>
            </w:r>
          </w:p>
        </w:tc>
        <w:tc>
          <w:tcPr>
            <w:tcW w:w="160" w:type="dxa"/>
            <w:vAlign w:val="bottom"/>
          </w:tcPr>
          <w:p>
            <w:pPr>
              <w:spacing w:after="0"/>
              <w:rPr>
                <w:sz w:val="24"/>
                <w:szCs w:val="24"/>
                <w:color w:val="auto"/>
              </w:rPr>
            </w:pPr>
          </w:p>
        </w:tc>
        <w:tc>
          <w:tcPr>
            <w:tcW w:w="4540" w:type="dxa"/>
            <w:vAlign w:val="bottom"/>
            <w:tcBorders>
              <w:bottom w:val="single" w:sz="8" w:color="9D9C9C"/>
            </w:tcBorders>
            <w:gridSpan w:val="5"/>
            <w:vMerge w:val="continue"/>
          </w:tcPr>
          <w:p>
            <w:pPr>
              <w:spacing w:after="0"/>
              <w:rPr>
                <w:sz w:val="24"/>
                <w:szCs w:val="24"/>
                <w:color w:val="auto"/>
              </w:rPr>
            </w:pPr>
          </w:p>
        </w:tc>
        <w:tc>
          <w:tcPr>
            <w:tcW w:w="940" w:type="dxa"/>
            <w:vAlign w:val="bottom"/>
            <w:tcBorders>
              <w:bottom w:val="single" w:sz="8" w:color="9D9C9C"/>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170D67"/>
              </w:rPr>
              <w:t>6</w:t>
            </w:r>
          </w:p>
        </w:tc>
        <w:tc>
          <w:tcPr>
            <w:tcW w:w="160" w:type="dxa"/>
            <w:vAlign w:val="bottom"/>
          </w:tcPr>
          <w:p>
            <w:pPr>
              <w:spacing w:after="0"/>
              <w:rPr>
                <w:sz w:val="21"/>
                <w:szCs w:val="21"/>
                <w:color w:val="auto"/>
              </w:rPr>
            </w:pPr>
          </w:p>
        </w:tc>
        <w:tc>
          <w:tcPr>
            <w:tcW w:w="3320" w:type="dxa"/>
            <w:vAlign w:val="bottom"/>
            <w:gridSpan w:val="2"/>
          </w:tcPr>
          <w:p>
            <w:pPr>
              <w:spacing w:after="0"/>
              <w:rPr>
                <w:sz w:val="20"/>
                <w:szCs w:val="20"/>
                <w:color w:val="auto"/>
              </w:rPr>
            </w:pPr>
            <w:r>
              <w:rPr>
                <w:rFonts w:ascii="Arial" w:cs="Arial" w:eastAsia="Arial" w:hAnsi="Arial"/>
                <w:sz w:val="14"/>
                <w:szCs w:val="14"/>
                <w:color w:val="auto"/>
              </w:rPr>
              <w:t>Compensation Philosophy and Objectives</w:t>
            </w: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43"/>
        </w:trPr>
        <w:tc>
          <w:tcPr>
            <w:tcW w:w="9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3320" w:type="dxa"/>
            <w:vAlign w:val="bottom"/>
            <w:gridSpan w:val="2"/>
          </w:tcPr>
          <w:p>
            <w:pPr>
              <w:spacing w:after="0"/>
              <w:rPr>
                <w:sz w:val="20"/>
                <w:szCs w:val="20"/>
                <w:color w:val="auto"/>
              </w:rPr>
            </w:pPr>
            <w:r>
              <w:rPr>
                <w:rFonts w:ascii="Arial" w:cs="Arial" w:eastAsia="Arial" w:hAnsi="Arial"/>
                <w:sz w:val="14"/>
                <w:szCs w:val="14"/>
                <w:color w:val="auto"/>
              </w:rPr>
              <w:t>2024 NEO Compensation</w:t>
            </w: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84"/>
        </w:trPr>
        <w:tc>
          <w:tcPr>
            <w:tcW w:w="940" w:type="dxa"/>
            <w:vAlign w:val="bottom"/>
          </w:tcPr>
          <w:p>
            <w:pPr>
              <w:jc w:val="right"/>
              <w:spacing w:after="0"/>
              <w:rPr>
                <w:sz w:val="20"/>
                <w:szCs w:val="20"/>
                <w:color w:val="auto"/>
              </w:rPr>
            </w:pPr>
            <w:r>
              <w:rPr>
                <w:rFonts w:ascii="Arial" w:cs="Arial" w:eastAsia="Arial" w:hAnsi="Arial"/>
                <w:sz w:val="16"/>
                <w:szCs w:val="16"/>
                <w:b w:val="1"/>
                <w:bCs w:val="1"/>
                <w:color w:val="170D67"/>
              </w:rPr>
              <w:t>12</w:t>
            </w:r>
          </w:p>
        </w:tc>
        <w:tc>
          <w:tcPr>
            <w:tcW w:w="160" w:type="dxa"/>
            <w:vAlign w:val="bottom"/>
          </w:tcPr>
          <w:p>
            <w:pPr>
              <w:spacing w:after="0"/>
              <w:rPr>
                <w:sz w:val="24"/>
                <w:szCs w:val="24"/>
                <w:color w:val="auto"/>
              </w:rPr>
            </w:pPr>
          </w:p>
        </w:tc>
        <w:tc>
          <w:tcPr>
            <w:tcW w:w="4540" w:type="dxa"/>
            <w:vAlign w:val="bottom"/>
            <w:gridSpan w:val="5"/>
          </w:tcPr>
          <w:p>
            <w:pPr>
              <w:spacing w:after="0"/>
              <w:rPr>
                <w:sz w:val="20"/>
                <w:szCs w:val="20"/>
                <w:color w:val="auto"/>
              </w:rPr>
            </w:pPr>
            <w:r>
              <w:rPr>
                <w:rFonts w:ascii="Arial" w:cs="Arial" w:eastAsia="Arial" w:hAnsi="Arial"/>
                <w:sz w:val="14"/>
                <w:szCs w:val="14"/>
                <w:color w:val="auto"/>
              </w:rPr>
              <w:t>Talent Management and Compensation Committee Report</w:t>
            </w:r>
          </w:p>
        </w:tc>
        <w:tc>
          <w:tcPr>
            <w:tcW w:w="94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2"/>
        </w:trPr>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170D67"/>
              </w:rPr>
              <w:t>15</w:t>
            </w:r>
          </w:p>
        </w:tc>
        <w:tc>
          <w:tcPr>
            <w:tcW w:w="160" w:type="dxa"/>
            <w:vAlign w:val="bottom"/>
          </w:tcPr>
          <w:p>
            <w:pPr>
              <w:spacing w:after="0"/>
              <w:rPr>
                <w:sz w:val="17"/>
                <w:szCs w:val="17"/>
                <w:color w:val="auto"/>
              </w:rPr>
            </w:pPr>
          </w:p>
        </w:tc>
        <w:tc>
          <w:tcPr>
            <w:tcW w:w="3320" w:type="dxa"/>
            <w:vAlign w:val="bottom"/>
            <w:gridSpan w:val="2"/>
          </w:tcPr>
          <w:p>
            <w:pPr>
              <w:spacing w:after="0"/>
              <w:rPr>
                <w:sz w:val="20"/>
                <w:szCs w:val="20"/>
                <w:color w:val="auto"/>
              </w:rPr>
            </w:pPr>
            <w:r>
              <w:rPr>
                <w:rFonts w:ascii="Arial" w:cs="Arial" w:eastAsia="Arial" w:hAnsi="Arial"/>
                <w:sz w:val="14"/>
                <w:szCs w:val="14"/>
                <w:color w:val="auto"/>
              </w:rPr>
              <w:t>Preview of 2025 Executive Compensation Changes</w:t>
            </w: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43"/>
        </w:trPr>
        <w:tc>
          <w:tcPr>
            <w:tcW w:w="9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3320" w:type="dxa"/>
            <w:vAlign w:val="bottom"/>
            <w:gridSpan w:val="2"/>
          </w:tcPr>
          <w:p>
            <w:pPr>
              <w:spacing w:after="0"/>
              <w:rPr>
                <w:sz w:val="20"/>
                <w:szCs w:val="20"/>
                <w:color w:val="auto"/>
              </w:rPr>
            </w:pPr>
            <w:r>
              <w:rPr>
                <w:rFonts w:ascii="Arial" w:cs="Arial" w:eastAsia="Arial" w:hAnsi="Arial"/>
                <w:sz w:val="14"/>
                <w:szCs w:val="14"/>
                <w:color w:val="auto"/>
              </w:rPr>
              <w:t>Executive Compensation Tables</w:t>
            </w: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16"/>
        </w:trPr>
        <w:tc>
          <w:tcPr>
            <w:tcW w:w="940" w:type="dxa"/>
            <w:vAlign w:val="bottom"/>
          </w:tcPr>
          <w:p>
            <w:pPr>
              <w:spacing w:after="0"/>
              <w:rPr>
                <w:sz w:val="10"/>
                <w:szCs w:val="10"/>
                <w:color w:val="auto"/>
              </w:rPr>
            </w:pPr>
          </w:p>
        </w:tc>
        <w:tc>
          <w:tcPr>
            <w:tcW w:w="160" w:type="dxa"/>
            <w:vAlign w:val="bottom"/>
            <w:vMerge w:val="restart"/>
          </w:tcPr>
          <w:p>
            <w:pPr>
              <w:spacing w:after="0"/>
              <w:rPr>
                <w:sz w:val="10"/>
                <w:szCs w:val="10"/>
                <w:color w:val="auto"/>
              </w:rPr>
            </w:pPr>
          </w:p>
        </w:tc>
        <w:tc>
          <w:tcPr>
            <w:tcW w:w="3320" w:type="dxa"/>
            <w:vAlign w:val="bottom"/>
            <w:gridSpan w:val="2"/>
            <w:vMerge w:val="restart"/>
          </w:tcPr>
          <w:p>
            <w:pPr>
              <w:spacing w:after="0"/>
              <w:rPr>
                <w:sz w:val="20"/>
                <w:szCs w:val="20"/>
                <w:color w:val="auto"/>
              </w:rPr>
            </w:pPr>
            <w:r>
              <w:rPr>
                <w:rFonts w:ascii="Arial" w:cs="Arial" w:eastAsia="Arial" w:hAnsi="Arial"/>
                <w:sz w:val="14"/>
                <w:szCs w:val="14"/>
                <w:color w:val="auto"/>
              </w:rPr>
              <w:t>CEO Pay Ratio</w:t>
            </w: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27"/>
        </w:trPr>
        <w:tc>
          <w:tcPr>
            <w:tcW w:w="940" w:type="dxa"/>
            <w:vAlign w:val="bottom"/>
            <w:shd w:val="clear" w:color="auto" w:fill="170D67"/>
          </w:tcPr>
          <w:p>
            <w:pPr>
              <w:spacing w:after="0"/>
              <w:rPr>
                <w:sz w:val="11"/>
                <w:szCs w:val="11"/>
                <w:color w:val="auto"/>
              </w:rPr>
            </w:pPr>
          </w:p>
        </w:tc>
        <w:tc>
          <w:tcPr>
            <w:tcW w:w="160" w:type="dxa"/>
            <w:vAlign w:val="bottom"/>
            <w:vMerge w:val="continue"/>
          </w:tcPr>
          <w:p>
            <w:pPr>
              <w:spacing w:after="0"/>
              <w:rPr>
                <w:sz w:val="11"/>
                <w:szCs w:val="11"/>
                <w:color w:val="auto"/>
              </w:rPr>
            </w:pPr>
          </w:p>
        </w:tc>
        <w:tc>
          <w:tcPr>
            <w:tcW w:w="33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2"/>
        </w:trPr>
        <w:tc>
          <w:tcPr>
            <w:tcW w:w="940" w:type="dxa"/>
            <w:vAlign w:val="bottom"/>
            <w:tcBorders>
              <w:bottom w:val="single" w:sz="8" w:color="170D67"/>
            </w:tcBorders>
            <w:shd w:val="clear" w:color="auto" w:fill="170D67"/>
          </w:tcPr>
          <w:p>
            <w:pPr>
              <w:spacing w:after="0"/>
              <w:rPr>
                <w:sz w:val="23"/>
                <w:szCs w:val="23"/>
                <w:color w:val="auto"/>
              </w:rPr>
            </w:pPr>
          </w:p>
        </w:tc>
        <w:tc>
          <w:tcPr>
            <w:tcW w:w="160" w:type="dxa"/>
            <w:vAlign w:val="bottom"/>
          </w:tcPr>
          <w:p>
            <w:pPr>
              <w:spacing w:after="0"/>
              <w:rPr>
                <w:sz w:val="23"/>
                <w:szCs w:val="23"/>
                <w:color w:val="auto"/>
              </w:rPr>
            </w:pPr>
          </w:p>
        </w:tc>
        <w:tc>
          <w:tcPr>
            <w:tcW w:w="3320" w:type="dxa"/>
            <w:vAlign w:val="bottom"/>
            <w:gridSpan w:val="2"/>
          </w:tcPr>
          <w:p>
            <w:pPr>
              <w:spacing w:after="0"/>
              <w:rPr>
                <w:sz w:val="20"/>
                <w:szCs w:val="20"/>
                <w:color w:val="auto"/>
              </w:rPr>
            </w:pPr>
            <w:r>
              <w:rPr>
                <w:rFonts w:ascii="Arial" w:cs="Arial" w:eastAsia="Arial" w:hAnsi="Arial"/>
                <w:sz w:val="14"/>
                <w:szCs w:val="14"/>
                <w:color w:val="auto"/>
              </w:rPr>
              <w:t>Pay For Performance</w:t>
            </w:r>
          </w:p>
        </w:tc>
        <w:tc>
          <w:tcPr>
            <w:tcW w:w="4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41"/>
        </w:trPr>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rPr>
                <w:sz w:val="3"/>
                <w:szCs w:val="3"/>
                <w:color w:val="auto"/>
              </w:rPr>
            </w:pPr>
          </w:p>
        </w:tc>
        <w:tc>
          <w:tcPr>
            <w:tcW w:w="3240" w:type="dxa"/>
            <w:vAlign w:val="bottom"/>
            <w:tcBorders>
              <w:bottom w:val="single" w:sz="8" w:color="9D9C9C"/>
            </w:tcBorders>
          </w:tcPr>
          <w:p>
            <w:pPr>
              <w:spacing w:after="0"/>
              <w:rPr>
                <w:sz w:val="3"/>
                <w:szCs w:val="3"/>
                <w:color w:val="auto"/>
              </w:rPr>
            </w:pPr>
          </w:p>
        </w:tc>
        <w:tc>
          <w:tcPr>
            <w:tcW w:w="80" w:type="dxa"/>
            <w:vAlign w:val="bottom"/>
            <w:tcBorders>
              <w:bottom w:val="single" w:sz="8" w:color="9D9C9C"/>
            </w:tcBorders>
          </w:tcPr>
          <w:p>
            <w:pPr>
              <w:spacing w:after="0"/>
              <w:rPr>
                <w:sz w:val="3"/>
                <w:szCs w:val="3"/>
                <w:color w:val="auto"/>
              </w:rPr>
            </w:pPr>
          </w:p>
        </w:tc>
        <w:tc>
          <w:tcPr>
            <w:tcW w:w="480" w:type="dxa"/>
            <w:vAlign w:val="bottom"/>
            <w:tcBorders>
              <w:bottom w:val="single" w:sz="8" w:color="9D9C9C"/>
            </w:tcBorders>
          </w:tcPr>
          <w:p>
            <w:pPr>
              <w:spacing w:after="0"/>
              <w:rPr>
                <w:sz w:val="3"/>
                <w:szCs w:val="3"/>
                <w:color w:val="auto"/>
              </w:rPr>
            </w:pPr>
          </w:p>
        </w:tc>
        <w:tc>
          <w:tcPr>
            <w:tcW w:w="640" w:type="dxa"/>
            <w:vAlign w:val="bottom"/>
            <w:tcBorders>
              <w:bottom w:val="single" w:sz="8" w:color="9D9C9C"/>
            </w:tcBorders>
          </w:tcPr>
          <w:p>
            <w:pPr>
              <w:spacing w:after="0"/>
              <w:rPr>
                <w:sz w:val="3"/>
                <w:szCs w:val="3"/>
                <w:color w:val="auto"/>
              </w:rPr>
            </w:pPr>
          </w:p>
        </w:tc>
        <w:tc>
          <w:tcPr>
            <w:tcW w:w="100" w:type="dxa"/>
            <w:vAlign w:val="bottom"/>
            <w:tcBorders>
              <w:bottom w:val="single" w:sz="8" w:color="9D9C9C"/>
            </w:tcBorders>
          </w:tcPr>
          <w:p>
            <w:pPr>
              <w:spacing w:after="0"/>
              <w:rPr>
                <w:sz w:val="3"/>
                <w:szCs w:val="3"/>
                <w:color w:val="auto"/>
              </w:rPr>
            </w:pPr>
          </w:p>
        </w:tc>
        <w:tc>
          <w:tcPr>
            <w:tcW w:w="940" w:type="dxa"/>
            <w:vAlign w:val="bottom"/>
            <w:tcBorders>
              <w:bottom w:val="single" w:sz="8" w:color="9D9C9C"/>
            </w:tcBorders>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9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3240" w:type="dxa"/>
            <w:vAlign w:val="bottom"/>
            <w:tcBorders>
              <w:bottom w:val="single" w:sz="8" w:color="170D67"/>
            </w:tcBorders>
          </w:tcPr>
          <w:p>
            <w:pPr>
              <w:spacing w:after="0"/>
              <w:rPr>
                <w:sz w:val="9"/>
                <w:szCs w:val="9"/>
                <w:color w:val="auto"/>
              </w:rPr>
            </w:pPr>
          </w:p>
        </w:tc>
        <w:tc>
          <w:tcPr>
            <w:tcW w:w="80" w:type="dxa"/>
            <w:vAlign w:val="bottom"/>
            <w:tcBorders>
              <w:bottom w:val="single" w:sz="8" w:color="170D67"/>
            </w:tcBorders>
          </w:tcPr>
          <w:p>
            <w:pPr>
              <w:spacing w:after="0"/>
              <w:rPr>
                <w:sz w:val="9"/>
                <w:szCs w:val="9"/>
                <w:color w:val="auto"/>
              </w:rPr>
            </w:pPr>
          </w:p>
        </w:tc>
        <w:tc>
          <w:tcPr>
            <w:tcW w:w="480" w:type="dxa"/>
            <w:vAlign w:val="bottom"/>
            <w:tcBorders>
              <w:bottom w:val="single" w:sz="8" w:color="170D67"/>
            </w:tcBorders>
          </w:tcPr>
          <w:p>
            <w:pPr>
              <w:spacing w:after="0"/>
              <w:rPr>
                <w:sz w:val="9"/>
                <w:szCs w:val="9"/>
                <w:color w:val="auto"/>
              </w:rPr>
            </w:pPr>
          </w:p>
        </w:tc>
        <w:tc>
          <w:tcPr>
            <w:tcW w:w="640" w:type="dxa"/>
            <w:vAlign w:val="bottom"/>
            <w:tcBorders>
              <w:bottom w:val="single" w:sz="8" w:color="170D67"/>
            </w:tcBorders>
          </w:tcPr>
          <w:p>
            <w:pPr>
              <w:spacing w:after="0"/>
              <w:rPr>
                <w:sz w:val="9"/>
                <w:szCs w:val="9"/>
                <w:color w:val="auto"/>
              </w:rPr>
            </w:pPr>
          </w:p>
        </w:tc>
        <w:tc>
          <w:tcPr>
            <w:tcW w:w="100" w:type="dxa"/>
            <w:vAlign w:val="bottom"/>
            <w:tcBorders>
              <w:bottom w:val="single" w:sz="8" w:color="170D67"/>
            </w:tcBorders>
          </w:tcPr>
          <w:p>
            <w:pPr>
              <w:spacing w:after="0"/>
              <w:rPr>
                <w:sz w:val="9"/>
                <w:szCs w:val="9"/>
                <w:color w:val="auto"/>
              </w:rPr>
            </w:pPr>
          </w:p>
        </w:tc>
        <w:tc>
          <w:tcPr>
            <w:tcW w:w="940" w:type="dxa"/>
            <w:vAlign w:val="bottom"/>
            <w:tcBorders>
              <w:bottom w:val="single" w:sz="8" w:color="170D67"/>
            </w:tcBorders>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9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3320" w:type="dxa"/>
            <w:vAlign w:val="bottom"/>
            <w:gridSpan w:val="2"/>
            <w:vMerge w:val="restart"/>
          </w:tcPr>
          <w:p>
            <w:pPr>
              <w:spacing w:after="0"/>
              <w:rPr>
                <w:sz w:val="20"/>
                <w:szCs w:val="20"/>
                <w:color w:val="auto"/>
              </w:rPr>
            </w:pPr>
            <w:r>
              <w:rPr>
                <w:rFonts w:ascii="Arial" w:cs="Arial" w:eastAsia="Arial" w:hAnsi="Arial"/>
                <w:sz w:val="16"/>
                <w:szCs w:val="16"/>
                <w:b w:val="1"/>
                <w:bCs w:val="1"/>
                <w:color w:val="170D67"/>
              </w:rPr>
              <w:t>Ownership of Exelon Stock</w:t>
            </w: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170D67"/>
              </w:rPr>
              <w:t>77</w:t>
            </w:r>
          </w:p>
        </w:tc>
        <w:tc>
          <w:tcPr>
            <w:tcW w:w="0" w:type="dxa"/>
            <w:vAlign w:val="bottom"/>
          </w:tcPr>
          <w:p>
            <w:pPr>
              <w:spacing w:after="0"/>
              <w:rPr>
                <w:sz w:val="1"/>
                <w:szCs w:val="1"/>
                <w:color w:val="auto"/>
              </w:rPr>
            </w:pPr>
          </w:p>
        </w:tc>
      </w:tr>
      <w:tr>
        <w:trPr>
          <w:trHeight w:val="243"/>
        </w:trPr>
        <w:tc>
          <w:tcPr>
            <w:tcW w:w="940" w:type="dxa"/>
            <w:vAlign w:val="bottom"/>
          </w:tcPr>
          <w:p>
            <w:pPr>
              <w:jc w:val="right"/>
              <w:spacing w:after="0"/>
              <w:rPr>
                <w:sz w:val="20"/>
                <w:szCs w:val="20"/>
                <w:color w:val="auto"/>
              </w:rPr>
            </w:pPr>
            <w:r>
              <w:rPr>
                <w:rFonts w:ascii="Arial" w:cs="Arial" w:eastAsia="Arial" w:hAnsi="Arial"/>
                <w:sz w:val="14"/>
                <w:szCs w:val="14"/>
                <w:color w:val="auto"/>
              </w:rPr>
              <w:t>19</w:t>
            </w:r>
          </w:p>
        </w:tc>
        <w:tc>
          <w:tcPr>
            <w:tcW w:w="160" w:type="dxa"/>
            <w:vAlign w:val="bottom"/>
          </w:tcPr>
          <w:p>
            <w:pPr>
              <w:spacing w:after="0"/>
              <w:rPr>
                <w:sz w:val="21"/>
                <w:szCs w:val="21"/>
                <w:color w:val="auto"/>
              </w:rPr>
            </w:pPr>
          </w:p>
        </w:tc>
        <w:tc>
          <w:tcPr>
            <w:tcW w:w="3320" w:type="dxa"/>
            <w:vAlign w:val="bottom"/>
            <w:gridSpan w:val="2"/>
            <w:vMerge w:val="continue"/>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60" w:type="dxa"/>
            <w:vAlign w:val="bottom"/>
          </w:tcPr>
          <w:p>
            <w:pPr>
              <w:spacing w:after="0"/>
              <w:rPr>
                <w:sz w:val="4"/>
                <w:szCs w:val="4"/>
                <w:color w:val="auto"/>
              </w:rPr>
            </w:pPr>
          </w:p>
        </w:tc>
        <w:tc>
          <w:tcPr>
            <w:tcW w:w="3240" w:type="dxa"/>
            <w:vAlign w:val="bottom"/>
            <w:tcBorders>
              <w:bottom w:val="single" w:sz="8" w:color="9D9C9C"/>
            </w:tcBorders>
          </w:tcPr>
          <w:p>
            <w:pPr>
              <w:spacing w:after="0"/>
              <w:rPr>
                <w:sz w:val="4"/>
                <w:szCs w:val="4"/>
                <w:color w:val="auto"/>
              </w:rPr>
            </w:pPr>
          </w:p>
        </w:tc>
        <w:tc>
          <w:tcPr>
            <w:tcW w:w="80" w:type="dxa"/>
            <w:vAlign w:val="bottom"/>
            <w:tcBorders>
              <w:bottom w:val="single" w:sz="8" w:color="9D9C9C"/>
            </w:tcBorders>
          </w:tcPr>
          <w:p>
            <w:pPr>
              <w:spacing w:after="0"/>
              <w:rPr>
                <w:sz w:val="4"/>
                <w:szCs w:val="4"/>
                <w:color w:val="auto"/>
              </w:rPr>
            </w:pPr>
          </w:p>
        </w:tc>
        <w:tc>
          <w:tcPr>
            <w:tcW w:w="480" w:type="dxa"/>
            <w:vAlign w:val="bottom"/>
            <w:tcBorders>
              <w:bottom w:val="single" w:sz="8" w:color="9D9C9C"/>
            </w:tcBorders>
          </w:tcPr>
          <w:p>
            <w:pPr>
              <w:spacing w:after="0"/>
              <w:rPr>
                <w:sz w:val="4"/>
                <w:szCs w:val="4"/>
                <w:color w:val="auto"/>
              </w:rPr>
            </w:pPr>
          </w:p>
        </w:tc>
        <w:tc>
          <w:tcPr>
            <w:tcW w:w="640" w:type="dxa"/>
            <w:vAlign w:val="bottom"/>
            <w:tcBorders>
              <w:bottom w:val="single" w:sz="8" w:color="9D9C9C"/>
            </w:tcBorders>
          </w:tcPr>
          <w:p>
            <w:pPr>
              <w:spacing w:after="0"/>
              <w:rPr>
                <w:sz w:val="4"/>
                <w:szCs w:val="4"/>
                <w:color w:val="auto"/>
              </w:rPr>
            </w:pPr>
          </w:p>
        </w:tc>
        <w:tc>
          <w:tcPr>
            <w:tcW w:w="100" w:type="dxa"/>
            <w:vAlign w:val="bottom"/>
            <w:tcBorders>
              <w:bottom w:val="single" w:sz="8" w:color="9D9C9C"/>
            </w:tcBorders>
          </w:tcPr>
          <w:p>
            <w:pPr>
              <w:spacing w:after="0"/>
              <w:rPr>
                <w:sz w:val="4"/>
                <w:szCs w:val="4"/>
                <w:color w:val="auto"/>
              </w:rPr>
            </w:pPr>
          </w:p>
        </w:tc>
        <w:tc>
          <w:tcPr>
            <w:tcW w:w="940" w:type="dxa"/>
            <w:vAlign w:val="bottom"/>
            <w:tcBorders>
              <w:bottom w:val="single" w:sz="8" w:color="9D9C9C"/>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4540" w:type="dxa"/>
            <w:vAlign w:val="bottom"/>
            <w:gridSpan w:val="5"/>
            <w:vMerge w:val="restart"/>
          </w:tcPr>
          <w:p>
            <w:pPr>
              <w:spacing w:after="0"/>
              <w:rPr>
                <w:sz w:val="20"/>
                <w:szCs w:val="20"/>
                <w:color w:val="auto"/>
              </w:rPr>
            </w:pPr>
            <w:r>
              <w:rPr>
                <w:rFonts w:ascii="Arial" w:cs="Arial" w:eastAsia="Arial" w:hAnsi="Arial"/>
                <w:sz w:val="14"/>
                <w:szCs w:val="14"/>
                <w:color w:val="auto"/>
              </w:rPr>
              <w:t>Beneficial Stock Ownership of Directors and Executive Officers</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68"/>
        </w:trPr>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160" w:type="dxa"/>
            <w:vAlign w:val="bottom"/>
          </w:tcPr>
          <w:p>
            <w:pPr>
              <w:spacing w:after="0"/>
              <w:rPr>
                <w:sz w:val="5"/>
                <w:szCs w:val="5"/>
                <w:color w:val="auto"/>
              </w:rPr>
            </w:pPr>
          </w:p>
        </w:tc>
        <w:tc>
          <w:tcPr>
            <w:tcW w:w="4540" w:type="dxa"/>
            <w:vAlign w:val="bottom"/>
            <w:gridSpan w:val="5"/>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9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3240" w:type="dxa"/>
            <w:vAlign w:val="bottom"/>
            <w:tcBorders>
              <w:bottom w:val="single" w:sz="8" w:color="9D9C9C"/>
            </w:tcBorders>
          </w:tcPr>
          <w:p>
            <w:pPr>
              <w:spacing w:after="0"/>
              <w:rPr>
                <w:sz w:val="7"/>
                <w:szCs w:val="7"/>
                <w:color w:val="auto"/>
              </w:rPr>
            </w:pPr>
          </w:p>
        </w:tc>
        <w:tc>
          <w:tcPr>
            <w:tcW w:w="80" w:type="dxa"/>
            <w:vAlign w:val="bottom"/>
            <w:tcBorders>
              <w:bottom w:val="single" w:sz="8" w:color="9D9C9C"/>
            </w:tcBorders>
          </w:tcPr>
          <w:p>
            <w:pPr>
              <w:spacing w:after="0"/>
              <w:rPr>
                <w:sz w:val="7"/>
                <w:szCs w:val="7"/>
                <w:color w:val="auto"/>
              </w:rPr>
            </w:pPr>
          </w:p>
        </w:tc>
        <w:tc>
          <w:tcPr>
            <w:tcW w:w="480" w:type="dxa"/>
            <w:vAlign w:val="bottom"/>
            <w:tcBorders>
              <w:bottom w:val="single" w:sz="8" w:color="9D9C9C"/>
            </w:tcBorders>
          </w:tcPr>
          <w:p>
            <w:pPr>
              <w:spacing w:after="0"/>
              <w:rPr>
                <w:sz w:val="7"/>
                <w:szCs w:val="7"/>
                <w:color w:val="auto"/>
              </w:rPr>
            </w:pPr>
          </w:p>
        </w:tc>
        <w:tc>
          <w:tcPr>
            <w:tcW w:w="640" w:type="dxa"/>
            <w:vAlign w:val="bottom"/>
            <w:tcBorders>
              <w:bottom w:val="single" w:sz="8" w:color="9D9C9C"/>
            </w:tcBorders>
          </w:tcPr>
          <w:p>
            <w:pPr>
              <w:spacing w:after="0"/>
              <w:rPr>
                <w:sz w:val="7"/>
                <w:szCs w:val="7"/>
                <w:color w:val="auto"/>
              </w:rPr>
            </w:pPr>
          </w:p>
        </w:tc>
        <w:tc>
          <w:tcPr>
            <w:tcW w:w="100" w:type="dxa"/>
            <w:vAlign w:val="bottom"/>
            <w:tcBorders>
              <w:bottom w:val="single" w:sz="8" w:color="9D9C9C"/>
            </w:tcBorders>
          </w:tcPr>
          <w:p>
            <w:pPr>
              <w:spacing w:after="0"/>
              <w:rPr>
                <w:sz w:val="7"/>
                <w:szCs w:val="7"/>
                <w:color w:val="auto"/>
              </w:rPr>
            </w:pPr>
          </w:p>
        </w:tc>
        <w:tc>
          <w:tcPr>
            <w:tcW w:w="940" w:type="dxa"/>
            <w:vAlign w:val="bottom"/>
            <w:tcBorders>
              <w:bottom w:val="single" w:sz="8" w:color="9D9C9C"/>
            </w:tcBorders>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9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320" w:type="dxa"/>
            <w:vAlign w:val="bottom"/>
            <w:gridSpan w:val="2"/>
            <w:vMerge w:val="restart"/>
          </w:tcPr>
          <w:p>
            <w:pPr>
              <w:spacing w:after="0"/>
              <w:rPr>
                <w:sz w:val="20"/>
                <w:szCs w:val="20"/>
                <w:color w:val="auto"/>
              </w:rPr>
            </w:pPr>
            <w:r>
              <w:rPr>
                <w:rFonts w:ascii="Arial" w:cs="Arial" w:eastAsia="Arial" w:hAnsi="Arial"/>
                <w:sz w:val="14"/>
                <w:szCs w:val="14"/>
                <w:color w:val="auto"/>
              </w:rPr>
              <w:t>Other Significant Beneficial Owners of Exelon Stock</w:t>
            </w: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76"/>
        </w:trPr>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160" w:type="dxa"/>
            <w:vAlign w:val="bottom"/>
          </w:tcPr>
          <w:p>
            <w:pPr>
              <w:spacing w:after="0"/>
              <w:rPr>
                <w:sz w:val="15"/>
                <w:szCs w:val="15"/>
                <w:color w:val="auto"/>
              </w:rPr>
            </w:pPr>
          </w:p>
        </w:tc>
        <w:tc>
          <w:tcPr>
            <w:tcW w:w="332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9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2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160" w:type="dxa"/>
            <w:vAlign w:val="bottom"/>
          </w:tcPr>
          <w:p>
            <w:pPr>
              <w:spacing w:after="0" w:line="20" w:lineRule="exact"/>
              <w:rPr>
                <w:sz w:val="1"/>
                <w:szCs w:val="1"/>
                <w:color w:val="auto"/>
              </w:rPr>
            </w:pPr>
          </w:p>
        </w:tc>
        <w:tc>
          <w:tcPr>
            <w:tcW w:w="3240" w:type="dxa"/>
            <w:vAlign w:val="bottom"/>
            <w:tcBorders>
              <w:bottom w:val="single" w:sz="8" w:color="9D9C9C"/>
            </w:tcBorders>
          </w:tcPr>
          <w:p>
            <w:pPr>
              <w:spacing w:after="0" w:line="20" w:lineRule="exact"/>
              <w:rPr>
                <w:sz w:val="1"/>
                <w:szCs w:val="1"/>
                <w:color w:val="auto"/>
              </w:rPr>
            </w:pPr>
          </w:p>
        </w:tc>
        <w:tc>
          <w:tcPr>
            <w:tcW w:w="80" w:type="dxa"/>
            <w:vAlign w:val="bottom"/>
            <w:tcBorders>
              <w:bottom w:val="single" w:sz="8" w:color="9D9C9C"/>
            </w:tcBorders>
          </w:tcPr>
          <w:p>
            <w:pPr>
              <w:spacing w:after="0" w:line="20" w:lineRule="exact"/>
              <w:rPr>
                <w:sz w:val="1"/>
                <w:szCs w:val="1"/>
                <w:color w:val="auto"/>
              </w:rPr>
            </w:pPr>
          </w:p>
        </w:tc>
        <w:tc>
          <w:tcPr>
            <w:tcW w:w="480" w:type="dxa"/>
            <w:vAlign w:val="bottom"/>
            <w:tcBorders>
              <w:bottom w:val="single" w:sz="8" w:color="9D9C9C"/>
            </w:tcBorders>
          </w:tcPr>
          <w:p>
            <w:pPr>
              <w:spacing w:after="0" w:line="20" w:lineRule="exact"/>
              <w:rPr>
                <w:sz w:val="1"/>
                <w:szCs w:val="1"/>
                <w:color w:val="auto"/>
              </w:rPr>
            </w:pPr>
          </w:p>
        </w:tc>
        <w:tc>
          <w:tcPr>
            <w:tcW w:w="640" w:type="dxa"/>
            <w:vAlign w:val="bottom"/>
            <w:tcBorders>
              <w:bottom w:val="single" w:sz="8" w:color="9D9C9C"/>
            </w:tcBorders>
          </w:tcPr>
          <w:p>
            <w:pPr>
              <w:spacing w:after="0" w:line="20" w:lineRule="exact"/>
              <w:rPr>
                <w:sz w:val="1"/>
                <w:szCs w:val="1"/>
                <w:color w:val="auto"/>
              </w:rPr>
            </w:pPr>
          </w:p>
        </w:tc>
        <w:tc>
          <w:tcPr>
            <w:tcW w:w="100" w:type="dxa"/>
            <w:vAlign w:val="bottom"/>
            <w:tcBorders>
              <w:bottom w:val="single" w:sz="8" w:color="9D9C9C"/>
            </w:tcBorders>
          </w:tcPr>
          <w:p>
            <w:pPr>
              <w:spacing w:after="0" w:line="20" w:lineRule="exact"/>
              <w:rPr>
                <w:sz w:val="1"/>
                <w:szCs w:val="1"/>
                <w:color w:val="auto"/>
              </w:rPr>
            </w:pPr>
          </w:p>
        </w:tc>
        <w:tc>
          <w:tcPr>
            <w:tcW w:w="940" w:type="dxa"/>
            <w:vAlign w:val="bottom"/>
            <w:tcBorders>
              <w:bottom w:val="single" w:sz="8" w:color="9D9C9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94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3320" w:type="dxa"/>
            <w:vAlign w:val="bottom"/>
            <w:gridSpan w:val="2"/>
          </w:tcPr>
          <w:p>
            <w:pPr>
              <w:spacing w:after="0"/>
              <w:rPr>
                <w:sz w:val="20"/>
                <w:szCs w:val="20"/>
                <w:color w:val="auto"/>
              </w:rPr>
            </w:pPr>
            <w:r>
              <w:rPr>
                <w:rFonts w:ascii="Arial" w:cs="Arial" w:eastAsia="Arial" w:hAnsi="Arial"/>
                <w:sz w:val="16"/>
                <w:szCs w:val="16"/>
                <w:b w:val="1"/>
                <w:bCs w:val="1"/>
                <w:color w:val="170D67"/>
              </w:rPr>
              <w:t>Additional Information</w:t>
            </w: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170D67"/>
              </w:rPr>
              <w:t>79</w:t>
            </w:r>
          </w:p>
        </w:tc>
        <w:tc>
          <w:tcPr>
            <w:tcW w:w="0" w:type="dxa"/>
            <w:vAlign w:val="bottom"/>
          </w:tcPr>
          <w:p>
            <w:pPr>
              <w:spacing w:after="0"/>
              <w:rPr>
                <w:sz w:val="1"/>
                <w:szCs w:val="1"/>
                <w:color w:val="auto"/>
              </w:rPr>
            </w:pPr>
          </w:p>
        </w:tc>
      </w:tr>
      <w:tr>
        <w:trPr>
          <w:trHeight w:val="144"/>
        </w:trPr>
        <w:tc>
          <w:tcPr>
            <w:tcW w:w="940" w:type="dxa"/>
            <w:vAlign w:val="bottom"/>
          </w:tcPr>
          <w:p>
            <w:pPr>
              <w:jc w:val="right"/>
              <w:spacing w:after="0" w:line="125" w:lineRule="exact"/>
              <w:rPr>
                <w:sz w:val="20"/>
                <w:szCs w:val="20"/>
                <w:color w:val="auto"/>
              </w:rPr>
            </w:pPr>
            <w:r>
              <w:rPr>
                <w:rFonts w:ascii="Arial" w:cs="Arial" w:eastAsia="Arial" w:hAnsi="Arial"/>
                <w:sz w:val="14"/>
                <w:szCs w:val="14"/>
                <w:color w:val="auto"/>
              </w:rPr>
              <w:t>30</w:t>
            </w:r>
          </w:p>
        </w:tc>
        <w:tc>
          <w:tcPr>
            <w:tcW w:w="160" w:type="dxa"/>
            <w:vAlign w:val="bottom"/>
          </w:tcPr>
          <w:p>
            <w:pPr>
              <w:spacing w:after="0"/>
              <w:rPr>
                <w:sz w:val="12"/>
                <w:szCs w:val="12"/>
                <w:color w:val="auto"/>
              </w:rPr>
            </w:pPr>
          </w:p>
        </w:tc>
        <w:tc>
          <w:tcPr>
            <w:tcW w:w="3240" w:type="dxa"/>
            <w:vAlign w:val="bottom"/>
            <w:tcBorders>
              <w:bottom w:val="single" w:sz="8" w:color="9D9C9C"/>
            </w:tcBorders>
          </w:tcPr>
          <w:p>
            <w:pPr>
              <w:spacing w:after="0"/>
              <w:rPr>
                <w:sz w:val="12"/>
                <w:szCs w:val="12"/>
                <w:color w:val="auto"/>
              </w:rPr>
            </w:pPr>
          </w:p>
        </w:tc>
        <w:tc>
          <w:tcPr>
            <w:tcW w:w="80" w:type="dxa"/>
            <w:vAlign w:val="bottom"/>
            <w:tcBorders>
              <w:bottom w:val="single" w:sz="8" w:color="9D9C9C"/>
            </w:tcBorders>
          </w:tcPr>
          <w:p>
            <w:pPr>
              <w:spacing w:after="0"/>
              <w:rPr>
                <w:sz w:val="12"/>
                <w:szCs w:val="12"/>
                <w:color w:val="auto"/>
              </w:rPr>
            </w:pPr>
          </w:p>
        </w:tc>
        <w:tc>
          <w:tcPr>
            <w:tcW w:w="480" w:type="dxa"/>
            <w:vAlign w:val="bottom"/>
            <w:tcBorders>
              <w:bottom w:val="single" w:sz="8" w:color="9D9C9C"/>
            </w:tcBorders>
          </w:tcPr>
          <w:p>
            <w:pPr>
              <w:spacing w:after="0"/>
              <w:rPr>
                <w:sz w:val="12"/>
                <w:szCs w:val="12"/>
                <w:color w:val="auto"/>
              </w:rPr>
            </w:pPr>
          </w:p>
        </w:tc>
        <w:tc>
          <w:tcPr>
            <w:tcW w:w="640" w:type="dxa"/>
            <w:vAlign w:val="bottom"/>
            <w:tcBorders>
              <w:bottom w:val="single" w:sz="8" w:color="9D9C9C"/>
            </w:tcBorders>
          </w:tcPr>
          <w:p>
            <w:pPr>
              <w:spacing w:after="0"/>
              <w:rPr>
                <w:sz w:val="12"/>
                <w:szCs w:val="12"/>
                <w:color w:val="auto"/>
              </w:rPr>
            </w:pPr>
          </w:p>
        </w:tc>
        <w:tc>
          <w:tcPr>
            <w:tcW w:w="100" w:type="dxa"/>
            <w:vAlign w:val="bottom"/>
            <w:tcBorders>
              <w:bottom w:val="single" w:sz="8" w:color="9D9C9C"/>
            </w:tcBorders>
          </w:tcPr>
          <w:p>
            <w:pPr>
              <w:spacing w:after="0"/>
              <w:rPr>
                <w:sz w:val="12"/>
                <w:szCs w:val="12"/>
                <w:color w:val="auto"/>
              </w:rPr>
            </w:pPr>
          </w:p>
        </w:tc>
        <w:tc>
          <w:tcPr>
            <w:tcW w:w="940" w:type="dxa"/>
            <w:vAlign w:val="bottom"/>
            <w:tcBorders>
              <w:bottom w:val="single" w:sz="8" w:color="9D9C9C"/>
            </w:tcBorders>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940" w:type="dxa"/>
            <w:vAlign w:val="bottom"/>
          </w:tcPr>
          <w:p>
            <w:pPr>
              <w:jc w:val="right"/>
              <w:spacing w:after="0"/>
              <w:rPr>
                <w:sz w:val="20"/>
                <w:szCs w:val="20"/>
                <w:color w:val="auto"/>
              </w:rPr>
            </w:pPr>
            <w:r>
              <w:rPr>
                <w:rFonts w:ascii="Arial" w:cs="Arial" w:eastAsia="Arial" w:hAnsi="Arial"/>
                <w:sz w:val="14"/>
                <w:szCs w:val="14"/>
                <w:color w:val="auto"/>
              </w:rPr>
              <w:t>35</w:t>
            </w:r>
          </w:p>
        </w:tc>
        <w:tc>
          <w:tcPr>
            <w:tcW w:w="16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Arial" w:cs="Arial" w:eastAsia="Arial" w:hAnsi="Arial"/>
                <w:sz w:val="16"/>
                <w:szCs w:val="16"/>
                <w:b w:val="1"/>
                <w:bCs w:val="1"/>
                <w:color w:val="170D67"/>
              </w:rPr>
              <w:t>Frequently Asked Questions</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170D67"/>
              </w:rPr>
              <w:t>82</w:t>
            </w:r>
          </w:p>
        </w:tc>
        <w:tc>
          <w:tcPr>
            <w:tcW w:w="0" w:type="dxa"/>
            <w:vAlign w:val="bottom"/>
          </w:tcPr>
          <w:p>
            <w:pPr>
              <w:spacing w:after="0"/>
              <w:rPr>
                <w:sz w:val="1"/>
                <w:szCs w:val="1"/>
                <w:color w:val="auto"/>
              </w:rPr>
            </w:pPr>
          </w:p>
        </w:tc>
      </w:tr>
      <w:tr>
        <w:trPr>
          <w:trHeight w:val="88"/>
        </w:trPr>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170D67"/>
              </w:rPr>
              <w:t>38</w:t>
            </w:r>
          </w:p>
        </w:tc>
        <w:tc>
          <w:tcPr>
            <w:tcW w:w="160" w:type="dxa"/>
            <w:vAlign w:val="bottom"/>
          </w:tcPr>
          <w:p>
            <w:pPr>
              <w:spacing w:after="0"/>
              <w:rPr>
                <w:sz w:val="7"/>
                <w:szCs w:val="7"/>
                <w:color w:val="auto"/>
              </w:rPr>
            </w:pPr>
          </w:p>
        </w:tc>
        <w:tc>
          <w:tcPr>
            <w:tcW w:w="3240" w:type="dxa"/>
            <w:vAlign w:val="bottom"/>
            <w:tcBorders>
              <w:bottom w:val="single" w:sz="8" w:color="9D9C9C"/>
            </w:tcBorders>
          </w:tcPr>
          <w:p>
            <w:pPr>
              <w:spacing w:after="0"/>
              <w:rPr>
                <w:sz w:val="7"/>
                <w:szCs w:val="7"/>
                <w:color w:val="auto"/>
              </w:rPr>
            </w:pPr>
          </w:p>
        </w:tc>
        <w:tc>
          <w:tcPr>
            <w:tcW w:w="80" w:type="dxa"/>
            <w:vAlign w:val="bottom"/>
            <w:tcBorders>
              <w:bottom w:val="single" w:sz="8" w:color="9D9C9C"/>
            </w:tcBorders>
          </w:tcPr>
          <w:p>
            <w:pPr>
              <w:spacing w:after="0"/>
              <w:rPr>
                <w:sz w:val="7"/>
                <w:szCs w:val="7"/>
                <w:color w:val="auto"/>
              </w:rPr>
            </w:pPr>
          </w:p>
        </w:tc>
        <w:tc>
          <w:tcPr>
            <w:tcW w:w="480" w:type="dxa"/>
            <w:vAlign w:val="bottom"/>
            <w:tcBorders>
              <w:bottom w:val="single" w:sz="8" w:color="9D9C9C"/>
            </w:tcBorders>
          </w:tcPr>
          <w:p>
            <w:pPr>
              <w:spacing w:after="0"/>
              <w:rPr>
                <w:sz w:val="7"/>
                <w:szCs w:val="7"/>
                <w:color w:val="auto"/>
              </w:rPr>
            </w:pPr>
          </w:p>
        </w:tc>
        <w:tc>
          <w:tcPr>
            <w:tcW w:w="640" w:type="dxa"/>
            <w:vAlign w:val="bottom"/>
            <w:tcBorders>
              <w:bottom w:val="single" w:sz="8" w:color="9D9C9C"/>
            </w:tcBorders>
          </w:tcPr>
          <w:p>
            <w:pPr>
              <w:spacing w:after="0"/>
              <w:rPr>
                <w:sz w:val="7"/>
                <w:szCs w:val="7"/>
                <w:color w:val="auto"/>
              </w:rPr>
            </w:pPr>
          </w:p>
        </w:tc>
        <w:tc>
          <w:tcPr>
            <w:tcW w:w="100" w:type="dxa"/>
            <w:vAlign w:val="bottom"/>
            <w:tcBorders>
              <w:bottom w:val="single" w:sz="8" w:color="9D9C9C"/>
            </w:tcBorders>
          </w:tcPr>
          <w:p>
            <w:pPr>
              <w:spacing w:after="0"/>
              <w:rPr>
                <w:sz w:val="7"/>
                <w:szCs w:val="7"/>
                <w:color w:val="auto"/>
              </w:rPr>
            </w:pPr>
          </w:p>
        </w:tc>
        <w:tc>
          <w:tcPr>
            <w:tcW w:w="940" w:type="dxa"/>
            <w:vAlign w:val="bottom"/>
            <w:tcBorders>
              <w:bottom w:val="single" w:sz="8" w:color="9D9C9C"/>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Arial" w:cs="Arial" w:eastAsia="Arial" w:hAnsi="Arial"/>
                <w:sz w:val="16"/>
                <w:szCs w:val="16"/>
                <w:b w:val="1"/>
                <w:bCs w:val="1"/>
                <w:color w:val="170D67"/>
              </w:rPr>
              <w:t>Legal Matters</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170D67"/>
              </w:rPr>
              <w:t>84</w:t>
            </w:r>
          </w:p>
        </w:tc>
        <w:tc>
          <w:tcPr>
            <w:tcW w:w="0" w:type="dxa"/>
            <w:vAlign w:val="bottom"/>
          </w:tcPr>
          <w:p>
            <w:pPr>
              <w:spacing w:after="0"/>
              <w:rPr>
                <w:sz w:val="1"/>
                <w:szCs w:val="1"/>
                <w:color w:val="auto"/>
              </w:rPr>
            </w:pPr>
          </w:p>
        </w:tc>
      </w:tr>
      <w:tr>
        <w:trPr>
          <w:trHeight w:val="89"/>
        </w:trPr>
        <w:tc>
          <w:tcPr>
            <w:tcW w:w="940" w:type="dxa"/>
            <w:vAlign w:val="bottom"/>
            <w:tcBorders>
              <w:bottom w:val="single" w:sz="8" w:color="170D67"/>
            </w:tcBorders>
          </w:tcPr>
          <w:p>
            <w:pPr>
              <w:spacing w:after="0"/>
              <w:rPr>
                <w:sz w:val="7"/>
                <w:szCs w:val="7"/>
                <w:color w:val="auto"/>
              </w:rPr>
            </w:pPr>
          </w:p>
        </w:tc>
        <w:tc>
          <w:tcPr>
            <w:tcW w:w="160" w:type="dxa"/>
            <w:vAlign w:val="bottom"/>
          </w:tcPr>
          <w:p>
            <w:pPr>
              <w:spacing w:after="0"/>
              <w:rPr>
                <w:sz w:val="7"/>
                <w:szCs w:val="7"/>
                <w:color w:val="auto"/>
              </w:rPr>
            </w:pPr>
          </w:p>
        </w:tc>
        <w:tc>
          <w:tcPr>
            <w:tcW w:w="3240" w:type="dxa"/>
            <w:vAlign w:val="bottom"/>
            <w:tcBorders>
              <w:bottom w:val="single" w:sz="8" w:color="9D9C9C"/>
            </w:tcBorders>
          </w:tcPr>
          <w:p>
            <w:pPr>
              <w:spacing w:after="0"/>
              <w:rPr>
                <w:sz w:val="7"/>
                <w:szCs w:val="7"/>
                <w:color w:val="auto"/>
              </w:rPr>
            </w:pPr>
          </w:p>
        </w:tc>
        <w:tc>
          <w:tcPr>
            <w:tcW w:w="80" w:type="dxa"/>
            <w:vAlign w:val="bottom"/>
            <w:tcBorders>
              <w:bottom w:val="single" w:sz="8" w:color="9D9C9C"/>
            </w:tcBorders>
          </w:tcPr>
          <w:p>
            <w:pPr>
              <w:spacing w:after="0"/>
              <w:rPr>
                <w:sz w:val="7"/>
                <w:szCs w:val="7"/>
                <w:color w:val="auto"/>
              </w:rPr>
            </w:pPr>
          </w:p>
        </w:tc>
        <w:tc>
          <w:tcPr>
            <w:tcW w:w="480" w:type="dxa"/>
            <w:vAlign w:val="bottom"/>
            <w:tcBorders>
              <w:bottom w:val="single" w:sz="8" w:color="9D9C9C"/>
            </w:tcBorders>
          </w:tcPr>
          <w:p>
            <w:pPr>
              <w:spacing w:after="0"/>
              <w:rPr>
                <w:sz w:val="7"/>
                <w:szCs w:val="7"/>
                <w:color w:val="auto"/>
              </w:rPr>
            </w:pPr>
          </w:p>
        </w:tc>
        <w:tc>
          <w:tcPr>
            <w:tcW w:w="640" w:type="dxa"/>
            <w:vAlign w:val="bottom"/>
            <w:tcBorders>
              <w:bottom w:val="single" w:sz="8" w:color="9D9C9C"/>
            </w:tcBorders>
          </w:tcPr>
          <w:p>
            <w:pPr>
              <w:spacing w:after="0"/>
              <w:rPr>
                <w:sz w:val="7"/>
                <w:szCs w:val="7"/>
                <w:color w:val="auto"/>
              </w:rPr>
            </w:pPr>
          </w:p>
        </w:tc>
        <w:tc>
          <w:tcPr>
            <w:tcW w:w="100" w:type="dxa"/>
            <w:vAlign w:val="bottom"/>
            <w:tcBorders>
              <w:bottom w:val="single" w:sz="8" w:color="9D9C9C"/>
            </w:tcBorders>
          </w:tcPr>
          <w:p>
            <w:pPr>
              <w:spacing w:after="0"/>
              <w:rPr>
                <w:sz w:val="7"/>
                <w:szCs w:val="7"/>
                <w:color w:val="auto"/>
              </w:rPr>
            </w:pPr>
          </w:p>
        </w:tc>
        <w:tc>
          <w:tcPr>
            <w:tcW w:w="940" w:type="dxa"/>
            <w:vAlign w:val="bottom"/>
            <w:tcBorders>
              <w:bottom w:val="single" w:sz="8" w:color="9D9C9C"/>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940" w:type="dxa"/>
            <w:vAlign w:val="bottom"/>
            <w:shd w:val="clear" w:color="auto" w:fill="170D67"/>
          </w:tcPr>
          <w:p>
            <w:pPr>
              <w:spacing w:after="0"/>
              <w:rPr>
                <w:sz w:val="24"/>
                <w:szCs w:val="24"/>
                <w:color w:val="auto"/>
              </w:rPr>
            </w:pPr>
          </w:p>
        </w:tc>
        <w:tc>
          <w:tcPr>
            <w:tcW w:w="16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Arial" w:cs="Arial" w:eastAsia="Arial" w:hAnsi="Arial"/>
                <w:sz w:val="16"/>
                <w:szCs w:val="16"/>
                <w:b w:val="1"/>
                <w:bCs w:val="1"/>
                <w:color w:val="170D67"/>
              </w:rPr>
              <w:t>Appendix A</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170D67"/>
              </w:rPr>
              <w:t>85</w:t>
            </w:r>
          </w:p>
        </w:tc>
        <w:tc>
          <w:tcPr>
            <w:tcW w:w="0" w:type="dxa"/>
            <w:vAlign w:val="bottom"/>
          </w:tcPr>
          <w:p>
            <w:pPr>
              <w:spacing w:after="0"/>
              <w:rPr>
                <w:sz w:val="1"/>
                <w:szCs w:val="1"/>
                <w:color w:val="auto"/>
              </w:rPr>
            </w:pPr>
          </w:p>
        </w:tc>
      </w:tr>
      <w:tr>
        <w:trPr>
          <w:trHeight w:val="88"/>
        </w:trPr>
        <w:tc>
          <w:tcPr>
            <w:tcW w:w="940" w:type="dxa"/>
            <w:vAlign w:val="bottom"/>
            <w:tcBorders>
              <w:bottom w:val="single" w:sz="8" w:color="170D67"/>
            </w:tcBorders>
            <w:shd w:val="clear" w:color="auto" w:fill="170D67"/>
          </w:tcPr>
          <w:p>
            <w:pPr>
              <w:spacing w:after="0"/>
              <w:rPr>
                <w:sz w:val="7"/>
                <w:szCs w:val="7"/>
                <w:color w:val="auto"/>
              </w:rPr>
            </w:pPr>
          </w:p>
        </w:tc>
        <w:tc>
          <w:tcPr>
            <w:tcW w:w="160" w:type="dxa"/>
            <w:vAlign w:val="bottom"/>
          </w:tcPr>
          <w:p>
            <w:pPr>
              <w:spacing w:after="0"/>
              <w:rPr>
                <w:sz w:val="7"/>
                <w:szCs w:val="7"/>
                <w:color w:val="auto"/>
              </w:rPr>
            </w:pPr>
          </w:p>
        </w:tc>
        <w:tc>
          <w:tcPr>
            <w:tcW w:w="3240" w:type="dxa"/>
            <w:vAlign w:val="bottom"/>
            <w:tcBorders>
              <w:bottom w:val="single" w:sz="8" w:color="9D9C9C"/>
            </w:tcBorders>
          </w:tcPr>
          <w:p>
            <w:pPr>
              <w:spacing w:after="0"/>
              <w:rPr>
                <w:sz w:val="7"/>
                <w:szCs w:val="7"/>
                <w:color w:val="auto"/>
              </w:rPr>
            </w:pPr>
          </w:p>
        </w:tc>
        <w:tc>
          <w:tcPr>
            <w:tcW w:w="80" w:type="dxa"/>
            <w:vAlign w:val="bottom"/>
            <w:tcBorders>
              <w:bottom w:val="single" w:sz="8" w:color="9D9C9C"/>
            </w:tcBorders>
          </w:tcPr>
          <w:p>
            <w:pPr>
              <w:spacing w:after="0"/>
              <w:rPr>
                <w:sz w:val="7"/>
                <w:szCs w:val="7"/>
                <w:color w:val="auto"/>
              </w:rPr>
            </w:pPr>
          </w:p>
        </w:tc>
        <w:tc>
          <w:tcPr>
            <w:tcW w:w="480" w:type="dxa"/>
            <w:vAlign w:val="bottom"/>
            <w:tcBorders>
              <w:bottom w:val="single" w:sz="8" w:color="9D9C9C"/>
            </w:tcBorders>
          </w:tcPr>
          <w:p>
            <w:pPr>
              <w:spacing w:after="0"/>
              <w:rPr>
                <w:sz w:val="7"/>
                <w:szCs w:val="7"/>
                <w:color w:val="auto"/>
              </w:rPr>
            </w:pPr>
          </w:p>
        </w:tc>
        <w:tc>
          <w:tcPr>
            <w:tcW w:w="640" w:type="dxa"/>
            <w:vAlign w:val="bottom"/>
            <w:tcBorders>
              <w:bottom w:val="single" w:sz="8" w:color="9D9C9C"/>
            </w:tcBorders>
          </w:tcPr>
          <w:p>
            <w:pPr>
              <w:spacing w:after="0"/>
              <w:rPr>
                <w:sz w:val="7"/>
                <w:szCs w:val="7"/>
                <w:color w:val="auto"/>
              </w:rPr>
            </w:pPr>
          </w:p>
        </w:tc>
        <w:tc>
          <w:tcPr>
            <w:tcW w:w="100" w:type="dxa"/>
            <w:vAlign w:val="bottom"/>
            <w:tcBorders>
              <w:bottom w:val="single" w:sz="8" w:color="9D9C9C"/>
            </w:tcBorders>
          </w:tcPr>
          <w:p>
            <w:pPr>
              <w:spacing w:after="0"/>
              <w:rPr>
                <w:sz w:val="7"/>
                <w:szCs w:val="7"/>
                <w:color w:val="auto"/>
              </w:rPr>
            </w:pPr>
          </w:p>
        </w:tc>
        <w:tc>
          <w:tcPr>
            <w:tcW w:w="940" w:type="dxa"/>
            <w:vAlign w:val="bottom"/>
            <w:tcBorders>
              <w:bottom w:val="single" w:sz="8" w:color="9D9C9C"/>
            </w:tcBorders>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940" w:type="dxa"/>
            <w:vAlign w:val="bottom"/>
            <w:shd w:val="clear" w:color="auto" w:fill="170D67"/>
          </w:tcPr>
          <w:p>
            <w:pPr>
              <w:spacing w:after="0"/>
              <w:rPr>
                <w:sz w:val="12"/>
                <w:szCs w:val="12"/>
                <w:color w:val="auto"/>
              </w:rPr>
            </w:pPr>
          </w:p>
        </w:tc>
        <w:tc>
          <w:tcPr>
            <w:tcW w:w="160" w:type="dxa"/>
            <w:vAlign w:val="bottom"/>
            <w:vMerge w:val="restart"/>
          </w:tcPr>
          <w:p>
            <w:pPr>
              <w:spacing w:after="0"/>
              <w:rPr>
                <w:sz w:val="12"/>
                <w:szCs w:val="12"/>
                <w:color w:val="auto"/>
              </w:rPr>
            </w:pPr>
          </w:p>
        </w:tc>
        <w:tc>
          <w:tcPr>
            <w:tcW w:w="3320" w:type="dxa"/>
            <w:vAlign w:val="bottom"/>
            <w:gridSpan w:val="2"/>
            <w:vMerge w:val="restart"/>
          </w:tcPr>
          <w:p>
            <w:pPr>
              <w:spacing w:after="0"/>
              <w:rPr>
                <w:sz w:val="20"/>
                <w:szCs w:val="20"/>
                <w:color w:val="auto"/>
              </w:rPr>
            </w:pPr>
            <w:r>
              <w:rPr>
                <w:rFonts w:ascii="Arial" w:cs="Arial" w:eastAsia="Arial" w:hAnsi="Arial"/>
                <w:sz w:val="14"/>
                <w:szCs w:val="14"/>
                <w:color w:val="auto"/>
              </w:rPr>
              <w:t>Definitions of Non-GAAP Measures</w:t>
            </w: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33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40" w:type="dxa"/>
            <w:vAlign w:val="bottom"/>
            <w:tcBorders>
              <w:bottom w:val="single" w:sz="8" w:color="9D9C9C"/>
            </w:tcBorders>
          </w:tcPr>
          <w:p>
            <w:pPr>
              <w:spacing w:after="0"/>
              <w:rPr>
                <w:sz w:val="7"/>
                <w:szCs w:val="7"/>
                <w:color w:val="auto"/>
              </w:rPr>
            </w:pPr>
          </w:p>
        </w:tc>
        <w:tc>
          <w:tcPr>
            <w:tcW w:w="80" w:type="dxa"/>
            <w:vAlign w:val="bottom"/>
            <w:tcBorders>
              <w:bottom w:val="single" w:sz="8" w:color="9D9C9C"/>
            </w:tcBorders>
          </w:tcPr>
          <w:p>
            <w:pPr>
              <w:spacing w:after="0"/>
              <w:rPr>
                <w:sz w:val="7"/>
                <w:szCs w:val="7"/>
                <w:color w:val="auto"/>
              </w:rPr>
            </w:pPr>
          </w:p>
        </w:tc>
        <w:tc>
          <w:tcPr>
            <w:tcW w:w="480" w:type="dxa"/>
            <w:vAlign w:val="bottom"/>
            <w:tcBorders>
              <w:bottom w:val="single" w:sz="8" w:color="9D9C9C"/>
            </w:tcBorders>
          </w:tcPr>
          <w:p>
            <w:pPr>
              <w:spacing w:after="0"/>
              <w:rPr>
                <w:sz w:val="7"/>
                <w:szCs w:val="7"/>
                <w:color w:val="auto"/>
              </w:rPr>
            </w:pPr>
          </w:p>
        </w:tc>
        <w:tc>
          <w:tcPr>
            <w:tcW w:w="640" w:type="dxa"/>
            <w:vAlign w:val="bottom"/>
            <w:tcBorders>
              <w:bottom w:val="single" w:sz="8" w:color="9D9C9C"/>
            </w:tcBorders>
          </w:tcPr>
          <w:p>
            <w:pPr>
              <w:spacing w:after="0"/>
              <w:rPr>
                <w:sz w:val="7"/>
                <w:szCs w:val="7"/>
                <w:color w:val="auto"/>
              </w:rPr>
            </w:pPr>
          </w:p>
        </w:tc>
        <w:tc>
          <w:tcPr>
            <w:tcW w:w="100" w:type="dxa"/>
            <w:vAlign w:val="bottom"/>
            <w:tcBorders>
              <w:bottom w:val="single" w:sz="8" w:color="9D9C9C"/>
            </w:tcBorders>
          </w:tcPr>
          <w:p>
            <w:pPr>
              <w:spacing w:after="0"/>
              <w:rPr>
                <w:sz w:val="7"/>
                <w:szCs w:val="7"/>
                <w:color w:val="auto"/>
              </w:rPr>
            </w:pPr>
          </w:p>
        </w:tc>
        <w:tc>
          <w:tcPr>
            <w:tcW w:w="940" w:type="dxa"/>
            <w:vAlign w:val="bottom"/>
            <w:tcBorders>
              <w:bottom w:val="single" w:sz="8" w:color="9D9C9C"/>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Arial" w:cs="Arial" w:eastAsia="Arial" w:hAnsi="Arial"/>
                <w:sz w:val="16"/>
                <w:szCs w:val="16"/>
                <w:b w:val="1"/>
                <w:bCs w:val="1"/>
                <w:color w:val="170D67"/>
              </w:rPr>
              <w:t>Appendix B</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170D67"/>
              </w:rPr>
              <w:t>86</w:t>
            </w:r>
          </w:p>
        </w:tc>
        <w:tc>
          <w:tcPr>
            <w:tcW w:w="0" w:type="dxa"/>
            <w:vAlign w:val="bottom"/>
          </w:tcPr>
          <w:p>
            <w:pPr>
              <w:spacing w:after="0"/>
              <w:rPr>
                <w:sz w:val="1"/>
                <w:szCs w:val="1"/>
                <w:color w:val="auto"/>
              </w:rPr>
            </w:pPr>
          </w:p>
        </w:tc>
      </w:tr>
      <w:tr>
        <w:trPr>
          <w:trHeight w:val="89"/>
        </w:trPr>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40" w:type="dxa"/>
            <w:vAlign w:val="bottom"/>
            <w:tcBorders>
              <w:bottom w:val="single" w:sz="8" w:color="9D9C9C"/>
            </w:tcBorders>
          </w:tcPr>
          <w:p>
            <w:pPr>
              <w:spacing w:after="0"/>
              <w:rPr>
                <w:sz w:val="7"/>
                <w:szCs w:val="7"/>
                <w:color w:val="auto"/>
              </w:rPr>
            </w:pPr>
          </w:p>
        </w:tc>
        <w:tc>
          <w:tcPr>
            <w:tcW w:w="80" w:type="dxa"/>
            <w:vAlign w:val="bottom"/>
            <w:tcBorders>
              <w:bottom w:val="single" w:sz="8" w:color="9D9C9C"/>
            </w:tcBorders>
          </w:tcPr>
          <w:p>
            <w:pPr>
              <w:spacing w:after="0"/>
              <w:rPr>
                <w:sz w:val="7"/>
                <w:szCs w:val="7"/>
                <w:color w:val="auto"/>
              </w:rPr>
            </w:pPr>
          </w:p>
        </w:tc>
        <w:tc>
          <w:tcPr>
            <w:tcW w:w="480" w:type="dxa"/>
            <w:vAlign w:val="bottom"/>
            <w:tcBorders>
              <w:bottom w:val="single" w:sz="8" w:color="9D9C9C"/>
            </w:tcBorders>
          </w:tcPr>
          <w:p>
            <w:pPr>
              <w:spacing w:after="0"/>
              <w:rPr>
                <w:sz w:val="7"/>
                <w:szCs w:val="7"/>
                <w:color w:val="auto"/>
              </w:rPr>
            </w:pPr>
          </w:p>
        </w:tc>
        <w:tc>
          <w:tcPr>
            <w:tcW w:w="640" w:type="dxa"/>
            <w:vAlign w:val="bottom"/>
            <w:tcBorders>
              <w:bottom w:val="single" w:sz="8" w:color="9D9C9C"/>
            </w:tcBorders>
          </w:tcPr>
          <w:p>
            <w:pPr>
              <w:spacing w:after="0"/>
              <w:rPr>
                <w:sz w:val="7"/>
                <w:szCs w:val="7"/>
                <w:color w:val="auto"/>
              </w:rPr>
            </w:pPr>
          </w:p>
        </w:tc>
        <w:tc>
          <w:tcPr>
            <w:tcW w:w="100" w:type="dxa"/>
            <w:vAlign w:val="bottom"/>
            <w:tcBorders>
              <w:bottom w:val="single" w:sz="8" w:color="9D9C9C"/>
            </w:tcBorders>
          </w:tcPr>
          <w:p>
            <w:pPr>
              <w:spacing w:after="0"/>
              <w:rPr>
                <w:sz w:val="7"/>
                <w:szCs w:val="7"/>
                <w:color w:val="auto"/>
              </w:rPr>
            </w:pPr>
          </w:p>
        </w:tc>
        <w:tc>
          <w:tcPr>
            <w:tcW w:w="940" w:type="dxa"/>
            <w:vAlign w:val="bottom"/>
            <w:tcBorders>
              <w:bottom w:val="single" w:sz="8" w:color="9D9C9C"/>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Arial" w:cs="Arial" w:eastAsia="Arial" w:hAnsi="Arial"/>
                <w:sz w:val="14"/>
                <w:szCs w:val="14"/>
                <w:color w:val="auto"/>
              </w:rPr>
              <w:t>Key Terms and Acronyms</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65"/>
        </w:trPr>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320" w:type="dxa"/>
            <w:vAlign w:val="bottom"/>
            <w:gridSpan w:val="2"/>
          </w:tcPr>
          <w:p>
            <w:pPr>
              <w:spacing w:after="0"/>
              <w:rPr>
                <w:sz w:val="23"/>
                <w:szCs w:val="23"/>
                <w:color w:val="auto"/>
              </w:rPr>
            </w:pPr>
          </w:p>
        </w:tc>
        <w:tc>
          <w:tcPr>
            <w:tcW w:w="112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3"/>
                <w:szCs w:val="13"/>
                <w:b w:val="1"/>
                <w:bCs w:val="1"/>
                <w:color w:val="6E06C1"/>
              </w:rPr>
              <w:t>Vote Recommendations</w:t>
            </w:r>
          </w:p>
        </w:tc>
        <w:tc>
          <w:tcPr>
            <w:tcW w:w="80" w:type="dxa"/>
            <w:vAlign w:val="bottom"/>
            <w:shd w:val="clear" w:color="auto" w:fill="00E4A5"/>
          </w:tcPr>
          <w:p>
            <w:pPr>
              <w:spacing w:after="0"/>
              <w:rPr>
                <w:sz w:val="24"/>
                <w:szCs w:val="24"/>
                <w:color w:val="auto"/>
              </w:rPr>
            </w:pPr>
          </w:p>
        </w:tc>
        <w:tc>
          <w:tcPr>
            <w:tcW w:w="480" w:type="dxa"/>
            <w:vAlign w:val="bottom"/>
            <w:shd w:val="clear" w:color="auto" w:fill="00E4A5"/>
          </w:tcPr>
          <w:p>
            <w:pPr>
              <w:ind w:left="20"/>
              <w:spacing w:after="0"/>
              <w:rPr>
                <w:sz w:val="20"/>
                <w:szCs w:val="20"/>
                <w:color w:val="auto"/>
              </w:rPr>
            </w:pPr>
            <w:r>
              <w:rPr>
                <w:rFonts w:ascii="Arial" w:cs="Arial" w:eastAsia="Arial" w:hAnsi="Arial"/>
                <w:sz w:val="16"/>
                <w:szCs w:val="16"/>
                <w:b w:val="1"/>
                <w:bCs w:val="1"/>
                <w:color w:val="FFFFFF"/>
              </w:rPr>
              <w:t>FOR</w:t>
            </w:r>
          </w:p>
        </w:tc>
        <w:tc>
          <w:tcPr>
            <w:tcW w:w="640" w:type="dxa"/>
            <w:vAlign w:val="bottom"/>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940" w:type="dxa"/>
            <w:vAlign w:val="bottom"/>
            <w:shd w:val="clear" w:color="auto" w:fill="000000"/>
          </w:tcPr>
          <w:p>
            <w:pPr>
              <w:jc w:val="right"/>
              <w:ind w:right="84"/>
              <w:spacing w:after="0"/>
              <w:rPr>
                <w:sz w:val="20"/>
                <w:szCs w:val="20"/>
                <w:color w:val="auto"/>
              </w:rPr>
            </w:pPr>
            <w:r>
              <w:rPr>
                <w:rFonts w:ascii="Arial" w:cs="Arial" w:eastAsia="Arial" w:hAnsi="Arial"/>
                <w:sz w:val="16"/>
                <w:szCs w:val="16"/>
                <w:b w:val="1"/>
                <w:bCs w:val="1"/>
                <w:color w:val="FFFFFF"/>
              </w:rPr>
              <w:t>AGAINST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698500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345440</wp:posOffset>
            </wp:positionH>
            <wp:positionV relativeFrom="paragraph">
              <wp:posOffset>-3145155</wp:posOffset>
            </wp:positionV>
            <wp:extent cx="120015"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0015" cy="102870"/>
                    </a:xfrm>
                    <a:prstGeom prst="rect">
                      <a:avLst/>
                    </a:prstGeom>
                    <a:noFill/>
                  </pic:spPr>
                </pic:pic>
              </a:graphicData>
            </a:graphic>
          </wp:anchor>
        </w:drawing>
        <w:drawing>
          <wp:anchor simplePos="0" relativeHeight="251657728" behindDoc="1" locked="0" layoutInCell="0" allowOverlap="1">
            <wp:simplePos x="0" y="0"/>
            <wp:positionH relativeFrom="column">
              <wp:posOffset>345440</wp:posOffset>
            </wp:positionH>
            <wp:positionV relativeFrom="paragraph">
              <wp:posOffset>-1285240</wp:posOffset>
            </wp:positionV>
            <wp:extent cx="120015"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0015" cy="102870"/>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-4636770</wp:posOffset>
            </wp:positionV>
            <wp:extent cx="120015"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015" cy="10287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-179705</wp:posOffset>
            </wp:positionV>
            <wp:extent cx="120015"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0015" cy="102870"/>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-179705</wp:posOffset>
            </wp:positionV>
            <wp:extent cx="120015" cy="102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0015" cy="102870"/>
                    </a:xfrm>
                    <a:prstGeom prst="rect">
                      <a:avLst/>
                    </a:prstGeom>
                    <a:noFill/>
                  </pic:spPr>
                </pic:pic>
              </a:graphicData>
            </a:graphic>
          </wp:anchor>
        </w:drawing>
      </w:r>
    </w:p>
    <w:p>
      <w:pPr>
        <w:sectPr>
          <w:pgSz w:w="11900" w:h="16838" w:orient="portrait"/>
          <w:cols w:equalWidth="0" w:num="2">
            <w:col w:w="3860" w:space="680"/>
            <w:col w:w="6580"/>
          </w:cols>
          <w:pgMar w:left="320" w:top="1302" w:right="459" w:bottom="1440" w:gutter="0" w:footer="0" w:header="0"/>
        </w:sectPr>
      </w:pPr>
    </w:p>
    <w:bookmarkStart w:id="3" w:name="page4"/>
    <w:bookmarkEnd w:id="3"/>
    <w:p>
      <w:pPr>
        <w:ind w:right="1040"/>
        <w:spacing w:after="0" w:line="304" w:lineRule="auto"/>
        <w:rPr>
          <w:sz w:val="20"/>
          <w:szCs w:val="20"/>
          <w:color w:val="auto"/>
        </w:rPr>
      </w:pPr>
      <w:r>
        <w:rPr>
          <w:rFonts w:ascii="Arial" w:cs="Arial" w:eastAsia="Arial" w:hAnsi="Arial"/>
          <w:sz w:val="41"/>
          <w:szCs w:val="41"/>
          <w:color w:val="170D67"/>
        </w:rPr>
        <w:t xml:space="preserve">Notice of the Annual Meeting of Shareholders and </w:t>
      </w:r>
      <w:r>
        <w:rPr>
          <w:rFonts w:ascii="Arial" w:cs="Arial" w:eastAsia="Arial" w:hAnsi="Arial"/>
          <w:sz w:val="41"/>
          <w:szCs w:val="41"/>
          <w:b w:val="1"/>
          <w:bCs w:val="1"/>
          <w:color w:val="170D67"/>
        </w:rPr>
        <w:t>2025</w:t>
      </w:r>
      <w:r>
        <w:rPr>
          <w:rFonts w:ascii="Arial" w:cs="Arial" w:eastAsia="Arial" w:hAnsi="Arial"/>
          <w:sz w:val="41"/>
          <w:szCs w:val="41"/>
          <w:color w:val="170D67"/>
        </w:rPr>
        <w:t xml:space="preserve"> </w:t>
      </w:r>
      <w:r>
        <w:rPr>
          <w:rFonts w:ascii="Arial" w:cs="Arial" w:eastAsia="Arial" w:hAnsi="Arial"/>
          <w:sz w:val="41"/>
          <w:szCs w:val="41"/>
          <w:b w:val="1"/>
          <w:bCs w:val="1"/>
          <w:color w:val="170D67"/>
        </w:rPr>
        <w:t>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March 19, 2025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6E06C1"/>
        </w:rPr>
        <w:t>To the Shareholders of Exelon Corporation: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Details for our 2025 annual meeting of shareholders are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80" w:type="dxa"/>
            <w:vAlign w:val="bottom"/>
          </w:tcPr>
          <w:p>
            <w:pPr>
              <w:jc w:val="center"/>
              <w:spacing w:after="0"/>
              <w:rPr>
                <w:sz w:val="20"/>
                <w:szCs w:val="20"/>
                <w:color w:val="auto"/>
              </w:rPr>
            </w:pPr>
            <w:r>
              <w:rPr>
                <w:rFonts w:ascii="Arial" w:cs="Arial" w:eastAsia="Arial" w:hAnsi="Arial"/>
                <w:sz w:val="16"/>
                <w:szCs w:val="16"/>
                <w:b w:val="1"/>
                <w:bCs w:val="1"/>
                <w:color w:val="6E06C1"/>
              </w:rPr>
              <w:t>Date and Time</w:t>
            </w:r>
          </w:p>
        </w:tc>
        <w:tc>
          <w:tcPr>
            <w:tcW w:w="24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6"/>
                <w:szCs w:val="16"/>
                <w:b w:val="1"/>
                <w:bCs w:val="1"/>
                <w:color w:val="6E06C1"/>
              </w:rPr>
              <w:t>Place</w:t>
            </w:r>
          </w:p>
        </w:tc>
        <w:tc>
          <w:tcPr>
            <w:tcW w:w="20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6"/>
                <w:szCs w:val="16"/>
                <w:b w:val="1"/>
                <w:bCs w:val="1"/>
                <w:color w:val="6E06C1"/>
                <w:w w:val="99"/>
              </w:rPr>
              <w:t>Record Date</w:t>
            </w:r>
          </w:p>
        </w:tc>
        <w:tc>
          <w:tcPr>
            <w:tcW w:w="0" w:type="dxa"/>
            <w:vAlign w:val="bottom"/>
          </w:tcPr>
          <w:p>
            <w:pPr>
              <w:spacing w:after="0"/>
              <w:rPr>
                <w:sz w:val="1"/>
                <w:szCs w:val="1"/>
                <w:color w:val="auto"/>
              </w:rPr>
            </w:pPr>
          </w:p>
        </w:tc>
      </w:tr>
      <w:tr>
        <w:trPr>
          <w:trHeight w:val="42"/>
        </w:trPr>
        <w:tc>
          <w:tcPr>
            <w:tcW w:w="3580" w:type="dxa"/>
            <w:vAlign w:val="bottom"/>
            <w:tcBorders>
              <w:bottom w:val="single" w:sz="8" w:color="170D67"/>
            </w:tcBorders>
          </w:tcPr>
          <w:p>
            <w:pPr>
              <w:spacing w:after="0"/>
              <w:rPr>
                <w:sz w:val="3"/>
                <w:szCs w:val="3"/>
                <w:color w:val="auto"/>
              </w:rPr>
            </w:pPr>
          </w:p>
        </w:tc>
        <w:tc>
          <w:tcPr>
            <w:tcW w:w="240" w:type="dxa"/>
            <w:vAlign w:val="bottom"/>
          </w:tcPr>
          <w:p>
            <w:pPr>
              <w:spacing w:after="0"/>
              <w:rPr>
                <w:sz w:val="3"/>
                <w:szCs w:val="3"/>
                <w:color w:val="auto"/>
              </w:rPr>
            </w:pPr>
          </w:p>
        </w:tc>
        <w:tc>
          <w:tcPr>
            <w:tcW w:w="3580" w:type="dxa"/>
            <w:vAlign w:val="bottom"/>
            <w:tcBorders>
              <w:bottom w:val="single" w:sz="8" w:color="170D67"/>
            </w:tcBorders>
          </w:tcPr>
          <w:p>
            <w:pPr>
              <w:spacing w:after="0"/>
              <w:rPr>
                <w:sz w:val="3"/>
                <w:szCs w:val="3"/>
                <w:color w:val="auto"/>
              </w:rPr>
            </w:pPr>
          </w:p>
        </w:tc>
        <w:tc>
          <w:tcPr>
            <w:tcW w:w="200" w:type="dxa"/>
            <w:vAlign w:val="bottom"/>
          </w:tcPr>
          <w:p>
            <w:pPr>
              <w:spacing w:after="0"/>
              <w:rPr>
                <w:sz w:val="3"/>
                <w:szCs w:val="3"/>
                <w:color w:val="auto"/>
              </w:rPr>
            </w:pPr>
          </w:p>
        </w:tc>
        <w:tc>
          <w:tcPr>
            <w:tcW w:w="3620" w:type="dxa"/>
            <w:vAlign w:val="bottom"/>
            <w:tcBorders>
              <w:bottom w:val="single" w:sz="8" w:color="170D67"/>
            </w:tcBorders>
          </w:tcPr>
          <w:p>
            <w:pPr>
              <w:spacing w:after="0"/>
              <w:rPr>
                <w:sz w:val="3"/>
                <w:szCs w:val="3"/>
                <w:color w:val="auto"/>
              </w:rPr>
            </w:pPr>
          </w:p>
        </w:tc>
        <w:tc>
          <w:tcPr>
            <w:tcW w:w="0" w:type="dxa"/>
            <w:vAlign w:val="bottom"/>
          </w:tcPr>
          <w:p>
            <w:pPr>
              <w:spacing w:after="0"/>
              <w:rPr>
                <w:sz w:val="1"/>
                <w:szCs w:val="1"/>
                <w:color w:val="auto"/>
              </w:rPr>
            </w:pPr>
          </w:p>
        </w:tc>
      </w:tr>
      <w:tr>
        <w:trPr>
          <w:trHeight w:val="323"/>
        </w:trPr>
        <w:tc>
          <w:tcPr>
            <w:tcW w:w="3580" w:type="dxa"/>
            <w:vAlign w:val="bottom"/>
            <w:shd w:val="clear" w:color="auto" w:fill="E8E7EA"/>
          </w:tcPr>
          <w:p>
            <w:pPr>
              <w:jc w:val="center"/>
              <w:spacing w:after="0"/>
              <w:rPr>
                <w:sz w:val="20"/>
                <w:szCs w:val="20"/>
                <w:color w:val="auto"/>
              </w:rPr>
            </w:pPr>
            <w:r>
              <w:rPr>
                <w:rFonts w:ascii="Arial" w:cs="Arial" w:eastAsia="Arial" w:hAnsi="Arial"/>
                <w:sz w:val="16"/>
                <w:szCs w:val="16"/>
                <w:b w:val="1"/>
                <w:bCs w:val="1"/>
                <w:color w:val="170D67"/>
                <w:w w:val="99"/>
              </w:rPr>
              <w:t>Tuesday, April 29, 2025</w:t>
            </w:r>
          </w:p>
        </w:tc>
        <w:tc>
          <w:tcPr>
            <w:tcW w:w="240" w:type="dxa"/>
            <w:vAlign w:val="bottom"/>
            <w:tcBorders>
              <w:right w:val="single" w:sz="8" w:color="E8E7EA"/>
            </w:tcBorders>
          </w:tcPr>
          <w:p>
            <w:pPr>
              <w:spacing w:after="0"/>
              <w:rPr>
                <w:sz w:val="24"/>
                <w:szCs w:val="24"/>
                <w:color w:val="auto"/>
              </w:rPr>
            </w:pPr>
          </w:p>
        </w:tc>
        <w:tc>
          <w:tcPr>
            <w:tcW w:w="3580" w:type="dxa"/>
            <w:vAlign w:val="bottom"/>
            <w:tcBorders>
              <w:right w:val="single" w:sz="8" w:color="E8E7EA"/>
            </w:tcBorders>
            <w:shd w:val="clear" w:color="auto" w:fill="E8E7EA"/>
          </w:tcPr>
          <w:p>
            <w:pPr>
              <w:jc w:val="center"/>
              <w:spacing w:after="0"/>
              <w:rPr>
                <w:sz w:val="20"/>
                <w:szCs w:val="20"/>
                <w:color w:val="auto"/>
              </w:rPr>
            </w:pPr>
            <w:r>
              <w:rPr>
                <w:rFonts w:ascii="Arial" w:cs="Arial" w:eastAsia="Arial" w:hAnsi="Arial"/>
                <w:sz w:val="16"/>
                <w:szCs w:val="16"/>
                <w:b w:val="1"/>
                <w:bCs w:val="1"/>
                <w:color w:val="170D67"/>
              </w:rPr>
              <w:t>The Annual Meeting will be held online:</w:t>
            </w:r>
          </w:p>
        </w:tc>
        <w:tc>
          <w:tcPr>
            <w:tcW w:w="200" w:type="dxa"/>
            <w:vAlign w:val="bottom"/>
          </w:tcPr>
          <w:p>
            <w:pPr>
              <w:spacing w:after="0"/>
              <w:rPr>
                <w:sz w:val="24"/>
                <w:szCs w:val="24"/>
                <w:color w:val="auto"/>
              </w:rPr>
            </w:pPr>
          </w:p>
        </w:tc>
        <w:tc>
          <w:tcPr>
            <w:tcW w:w="3620" w:type="dxa"/>
            <w:vAlign w:val="bottom"/>
            <w:vMerge w:val="restart"/>
            <w:shd w:val="clear" w:color="auto" w:fill="E8E7EA"/>
          </w:tcPr>
          <w:p>
            <w:pPr>
              <w:jc w:val="center"/>
              <w:spacing w:after="0"/>
              <w:rPr>
                <w:sz w:val="20"/>
                <w:szCs w:val="20"/>
                <w:color w:val="auto"/>
              </w:rPr>
            </w:pPr>
            <w:r>
              <w:rPr>
                <w:rFonts w:ascii="Arial" w:cs="Arial" w:eastAsia="Arial" w:hAnsi="Arial"/>
                <w:sz w:val="16"/>
                <w:szCs w:val="16"/>
                <w:b w:val="1"/>
                <w:bCs w:val="1"/>
                <w:color w:val="170D67"/>
                <w:w w:val="99"/>
              </w:rPr>
              <w:t>Monday, March 3, 2025</w:t>
            </w:r>
          </w:p>
        </w:tc>
        <w:tc>
          <w:tcPr>
            <w:tcW w:w="0" w:type="dxa"/>
            <w:vAlign w:val="bottom"/>
          </w:tcPr>
          <w:p>
            <w:pPr>
              <w:spacing w:after="0"/>
              <w:rPr>
                <w:sz w:val="1"/>
                <w:szCs w:val="1"/>
                <w:color w:val="auto"/>
              </w:rPr>
            </w:pPr>
          </w:p>
        </w:tc>
      </w:tr>
      <w:tr>
        <w:trPr>
          <w:trHeight w:val="115"/>
        </w:trPr>
        <w:tc>
          <w:tcPr>
            <w:tcW w:w="3580" w:type="dxa"/>
            <w:vAlign w:val="bottom"/>
            <w:vMerge w:val="restart"/>
            <w:shd w:val="clear" w:color="auto" w:fill="E8E7EA"/>
          </w:tcPr>
          <w:p>
            <w:pPr>
              <w:jc w:val="center"/>
              <w:spacing w:after="0" w:line="176" w:lineRule="exact"/>
              <w:rPr>
                <w:sz w:val="20"/>
                <w:szCs w:val="20"/>
                <w:color w:val="auto"/>
              </w:rPr>
            </w:pPr>
            <w:r>
              <w:rPr>
                <w:rFonts w:ascii="Arial" w:cs="Arial" w:eastAsia="Arial" w:hAnsi="Arial"/>
                <w:sz w:val="16"/>
                <w:szCs w:val="16"/>
                <w:b w:val="1"/>
                <w:bCs w:val="1"/>
                <w:color w:val="170D67"/>
              </w:rPr>
              <w:t>9:00 a.m. ET</w:t>
            </w:r>
          </w:p>
        </w:tc>
        <w:tc>
          <w:tcPr>
            <w:tcW w:w="240" w:type="dxa"/>
            <w:vAlign w:val="bottom"/>
            <w:tcBorders>
              <w:right w:val="single" w:sz="8" w:color="E8E7EA"/>
            </w:tcBorders>
          </w:tcPr>
          <w:p>
            <w:pPr>
              <w:spacing w:after="0"/>
              <w:rPr>
                <w:sz w:val="9"/>
                <w:szCs w:val="9"/>
                <w:color w:val="auto"/>
              </w:rPr>
            </w:pPr>
          </w:p>
        </w:tc>
        <w:tc>
          <w:tcPr>
            <w:tcW w:w="3580" w:type="dxa"/>
            <w:vAlign w:val="bottom"/>
            <w:tcBorders>
              <w:right w:val="single" w:sz="8" w:color="E8E7EA"/>
            </w:tcBorders>
            <w:vMerge w:val="restart"/>
            <w:shd w:val="clear" w:color="auto" w:fill="E8E7EA"/>
          </w:tcPr>
          <w:p>
            <w:pPr>
              <w:jc w:val="center"/>
              <w:spacing w:after="0" w:line="176" w:lineRule="exact"/>
              <w:rPr>
                <w:sz w:val="20"/>
                <w:szCs w:val="20"/>
                <w:color w:val="auto"/>
              </w:rPr>
            </w:pPr>
            <w:r>
              <w:rPr>
                <w:rFonts w:ascii="Arial" w:cs="Arial" w:eastAsia="Arial" w:hAnsi="Arial"/>
                <w:sz w:val="16"/>
                <w:szCs w:val="16"/>
                <w:b w:val="1"/>
                <w:bCs w:val="1"/>
                <w:color w:val="170D67"/>
              </w:rPr>
              <w:t>www.virtualshareholdermeeting.com/EXC2025</w:t>
            </w:r>
          </w:p>
        </w:tc>
        <w:tc>
          <w:tcPr>
            <w:tcW w:w="200" w:type="dxa"/>
            <w:vAlign w:val="bottom"/>
          </w:tcPr>
          <w:p>
            <w:pPr>
              <w:spacing w:after="0"/>
              <w:rPr>
                <w:sz w:val="9"/>
                <w:szCs w:val="9"/>
                <w:color w:val="auto"/>
              </w:rPr>
            </w:pPr>
          </w:p>
        </w:tc>
        <w:tc>
          <w:tcPr>
            <w:tcW w:w="3620" w:type="dxa"/>
            <w:vAlign w:val="bottom"/>
            <w:vMerge w:val="continue"/>
            <w:shd w:val="clear" w:color="auto" w:fill="E8E7EA"/>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580" w:type="dxa"/>
            <w:vAlign w:val="bottom"/>
            <w:vMerge w:val="continue"/>
            <w:shd w:val="clear" w:color="auto" w:fill="E8E7EA"/>
          </w:tcPr>
          <w:p>
            <w:pPr>
              <w:spacing w:after="0"/>
              <w:rPr>
                <w:sz w:val="5"/>
                <w:szCs w:val="5"/>
                <w:color w:val="auto"/>
              </w:rPr>
            </w:pPr>
          </w:p>
        </w:tc>
        <w:tc>
          <w:tcPr>
            <w:tcW w:w="240" w:type="dxa"/>
            <w:vAlign w:val="bottom"/>
            <w:tcBorders>
              <w:right w:val="single" w:sz="8" w:color="E8E7EA"/>
            </w:tcBorders>
          </w:tcPr>
          <w:p>
            <w:pPr>
              <w:spacing w:after="0"/>
              <w:rPr>
                <w:sz w:val="5"/>
                <w:szCs w:val="5"/>
                <w:color w:val="auto"/>
              </w:rPr>
            </w:pPr>
          </w:p>
        </w:tc>
        <w:tc>
          <w:tcPr>
            <w:tcW w:w="3580" w:type="dxa"/>
            <w:vAlign w:val="bottom"/>
            <w:tcBorders>
              <w:right w:val="single" w:sz="8" w:color="E8E7EA"/>
            </w:tcBorders>
            <w:vMerge w:val="continue"/>
            <w:shd w:val="clear" w:color="auto" w:fill="E8E7EA"/>
          </w:tcPr>
          <w:p>
            <w:pPr>
              <w:spacing w:after="0"/>
              <w:rPr>
                <w:sz w:val="5"/>
                <w:szCs w:val="5"/>
                <w:color w:val="auto"/>
              </w:rPr>
            </w:pPr>
          </w:p>
        </w:tc>
        <w:tc>
          <w:tcPr>
            <w:tcW w:w="200" w:type="dxa"/>
            <w:vAlign w:val="bottom"/>
          </w:tcPr>
          <w:p>
            <w:pPr>
              <w:spacing w:after="0"/>
              <w:rPr>
                <w:sz w:val="5"/>
                <w:szCs w:val="5"/>
                <w:color w:val="auto"/>
              </w:rPr>
            </w:pPr>
          </w:p>
        </w:tc>
        <w:tc>
          <w:tcPr>
            <w:tcW w:w="3620" w:type="dxa"/>
            <w:vAlign w:val="bottom"/>
            <w:shd w:val="clear" w:color="auto" w:fill="E8E7EA"/>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3580" w:type="dxa"/>
            <w:vAlign w:val="bottom"/>
            <w:tcBorders>
              <w:top w:val="single" w:sz="8" w:color="E8E7EA"/>
            </w:tcBorders>
            <w:shd w:val="clear" w:color="auto" w:fill="E8E7EA"/>
          </w:tcPr>
          <w:p>
            <w:pPr>
              <w:spacing w:after="0"/>
              <w:rPr>
                <w:sz w:val="14"/>
                <w:szCs w:val="14"/>
                <w:color w:val="auto"/>
              </w:rPr>
            </w:pPr>
          </w:p>
        </w:tc>
        <w:tc>
          <w:tcPr>
            <w:tcW w:w="240" w:type="dxa"/>
            <w:vAlign w:val="bottom"/>
            <w:tcBorders>
              <w:right w:val="single" w:sz="8" w:color="E8E7EA"/>
            </w:tcBorders>
          </w:tcPr>
          <w:p>
            <w:pPr>
              <w:spacing w:after="0"/>
              <w:rPr>
                <w:sz w:val="14"/>
                <w:szCs w:val="14"/>
                <w:color w:val="auto"/>
              </w:rPr>
            </w:pPr>
          </w:p>
        </w:tc>
        <w:tc>
          <w:tcPr>
            <w:tcW w:w="3580" w:type="dxa"/>
            <w:vAlign w:val="bottom"/>
            <w:tcBorders>
              <w:top w:val="single" w:sz="8" w:color="170D67"/>
              <w:right w:val="single" w:sz="8" w:color="E8E7EA"/>
            </w:tcBorders>
            <w:shd w:val="clear" w:color="auto" w:fill="E8E7EA"/>
          </w:tcPr>
          <w:p>
            <w:pPr>
              <w:spacing w:after="0"/>
              <w:rPr>
                <w:sz w:val="14"/>
                <w:szCs w:val="14"/>
                <w:color w:val="auto"/>
              </w:rPr>
            </w:pPr>
          </w:p>
        </w:tc>
        <w:tc>
          <w:tcPr>
            <w:tcW w:w="200" w:type="dxa"/>
            <w:vAlign w:val="bottom"/>
          </w:tcPr>
          <w:p>
            <w:pPr>
              <w:spacing w:after="0"/>
              <w:rPr>
                <w:sz w:val="14"/>
                <w:szCs w:val="14"/>
                <w:color w:val="auto"/>
              </w:rPr>
            </w:pPr>
          </w:p>
        </w:tc>
        <w:tc>
          <w:tcPr>
            <w:tcW w:w="3620" w:type="dxa"/>
            <w:vAlign w:val="bottom"/>
            <w:tcBorders>
              <w:top w:val="single" w:sz="8" w:color="E8E7EA"/>
            </w:tcBorders>
            <w:shd w:val="clear" w:color="auto" w:fill="E8E7EA"/>
          </w:tcPr>
          <w:p>
            <w:pPr>
              <w:spacing w:after="0"/>
              <w:rPr>
                <w:sz w:val="14"/>
                <w:szCs w:val="1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Shareholders may begin logging in to the meeting at 8:45 a.m. ET and will need the 16-digit control number found on your proxy card or voting instruction form to attend the virtual meeting.</w:t>
      </w:r>
    </w:p>
    <w:p>
      <w:pPr>
        <w:spacing w:after="0" w:line="69"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7680" w:type="dxa"/>
            <w:vAlign w:val="bottom"/>
            <w:tcBorders>
              <w:top w:val="single" w:sz="8" w:color="6D6D6D"/>
              <w:left w:val="single" w:sz="8" w:color="6D6D6D"/>
            </w:tcBorders>
            <w:gridSpan w:val="2"/>
          </w:tcPr>
          <w:p>
            <w:pPr>
              <w:ind w:left="40"/>
              <w:spacing w:after="0"/>
              <w:rPr>
                <w:sz w:val="20"/>
                <w:szCs w:val="20"/>
                <w:color w:val="auto"/>
              </w:rPr>
            </w:pPr>
            <w:r>
              <w:rPr>
                <w:rFonts w:ascii="Arial" w:cs="Arial" w:eastAsia="Arial" w:hAnsi="Arial"/>
                <w:sz w:val="18"/>
                <w:szCs w:val="18"/>
                <w:b w:val="1"/>
                <w:bCs w:val="1"/>
                <w:color w:val="6E06C1"/>
              </w:rPr>
              <w:t>Items of Business</w:t>
            </w:r>
          </w:p>
        </w:tc>
        <w:tc>
          <w:tcPr>
            <w:tcW w:w="3560" w:type="dxa"/>
            <w:vAlign w:val="bottom"/>
            <w:tcBorders>
              <w:top w:val="single" w:sz="8" w:color="6D6D6D"/>
              <w:right w:val="single" w:sz="8" w:color="6D6D6D"/>
            </w:tcBorders>
          </w:tcPr>
          <w:p>
            <w:pPr>
              <w:ind w:left="880"/>
              <w:spacing w:after="0"/>
              <w:rPr>
                <w:sz w:val="20"/>
                <w:szCs w:val="20"/>
                <w:color w:val="auto"/>
              </w:rPr>
            </w:pPr>
            <w:r>
              <w:rPr>
                <w:rFonts w:ascii="Arial" w:cs="Arial" w:eastAsia="Arial" w:hAnsi="Arial"/>
                <w:sz w:val="18"/>
                <w:szCs w:val="18"/>
                <w:b w:val="1"/>
                <w:bCs w:val="1"/>
                <w:color w:val="6E06C1"/>
              </w:rPr>
              <w:t>Board Recommendation:</w:t>
            </w:r>
          </w:p>
        </w:tc>
      </w:tr>
      <w:tr>
        <w:trPr>
          <w:trHeight w:val="372"/>
        </w:trPr>
        <w:tc>
          <w:tcPr>
            <w:tcW w:w="240" w:type="dxa"/>
            <w:vAlign w:val="bottom"/>
            <w:tcBorders>
              <w:left w:val="single" w:sz="8" w:color="6D6D6D"/>
            </w:tcBorders>
          </w:tcPr>
          <w:p>
            <w:pPr>
              <w:ind w:left="40"/>
              <w:spacing w:after="0"/>
              <w:rPr>
                <w:sz w:val="20"/>
                <w:szCs w:val="20"/>
                <w:color w:val="auto"/>
              </w:rPr>
            </w:pPr>
            <w:r>
              <w:rPr>
                <w:rFonts w:ascii="Arial" w:cs="Arial" w:eastAsia="Arial" w:hAnsi="Arial"/>
                <w:sz w:val="16"/>
                <w:szCs w:val="16"/>
                <w:b w:val="1"/>
                <w:bCs w:val="1"/>
                <w:color w:val="auto"/>
              </w:rPr>
              <w:t>1.</w:t>
            </w:r>
          </w:p>
        </w:tc>
        <w:tc>
          <w:tcPr>
            <w:tcW w:w="7440" w:type="dxa"/>
            <w:vAlign w:val="bottom"/>
          </w:tcPr>
          <w:p>
            <w:pPr>
              <w:ind w:left="80"/>
              <w:spacing w:after="0"/>
              <w:rPr>
                <w:sz w:val="20"/>
                <w:szCs w:val="20"/>
                <w:color w:val="auto"/>
              </w:rPr>
            </w:pPr>
            <w:r>
              <w:rPr>
                <w:rFonts w:ascii="Arial" w:cs="Arial" w:eastAsia="Arial" w:hAnsi="Arial"/>
                <w:sz w:val="16"/>
                <w:szCs w:val="16"/>
                <w:b w:val="1"/>
                <w:bCs w:val="1"/>
                <w:color w:val="auto"/>
              </w:rPr>
              <w:t>Election of nine Directors</w:t>
            </w:r>
          </w:p>
        </w:tc>
        <w:tc>
          <w:tcPr>
            <w:tcW w:w="3560" w:type="dxa"/>
            <w:vAlign w:val="bottom"/>
            <w:tcBorders>
              <w:right w:val="single" w:sz="8" w:color="6D6D6D"/>
            </w:tcBorders>
          </w:tcPr>
          <w:p>
            <w:pPr>
              <w:jc w:val="center"/>
              <w:ind w:left="1297"/>
              <w:spacing w:after="0"/>
              <w:rPr>
                <w:sz w:val="20"/>
                <w:szCs w:val="20"/>
                <w:color w:val="auto"/>
              </w:rPr>
            </w:pPr>
            <w:r>
              <w:rPr>
                <w:rFonts w:ascii="Arial" w:cs="Arial" w:eastAsia="Arial" w:hAnsi="Arial"/>
                <w:sz w:val="16"/>
                <w:szCs w:val="16"/>
                <w:b w:val="1"/>
                <w:bCs w:val="1"/>
                <w:color w:val="6E06C1"/>
              </w:rPr>
              <w:t>FOR ALL</w:t>
            </w:r>
          </w:p>
        </w:tc>
      </w:tr>
      <w:tr>
        <w:trPr>
          <w:trHeight w:val="486"/>
        </w:trPr>
        <w:tc>
          <w:tcPr>
            <w:tcW w:w="240" w:type="dxa"/>
            <w:vAlign w:val="bottom"/>
            <w:tcBorders>
              <w:left w:val="single" w:sz="8" w:color="6D6D6D"/>
            </w:tcBorders>
          </w:tcPr>
          <w:p>
            <w:pPr>
              <w:ind w:left="40"/>
              <w:spacing w:after="0"/>
              <w:rPr>
                <w:sz w:val="20"/>
                <w:szCs w:val="20"/>
                <w:color w:val="auto"/>
              </w:rPr>
            </w:pPr>
            <w:r>
              <w:rPr>
                <w:rFonts w:ascii="Arial" w:cs="Arial" w:eastAsia="Arial" w:hAnsi="Arial"/>
                <w:sz w:val="16"/>
                <w:szCs w:val="16"/>
                <w:b w:val="1"/>
                <w:bCs w:val="1"/>
                <w:color w:val="auto"/>
              </w:rPr>
              <w:t>2.</w:t>
            </w:r>
          </w:p>
        </w:tc>
        <w:tc>
          <w:tcPr>
            <w:tcW w:w="7440" w:type="dxa"/>
            <w:vAlign w:val="bottom"/>
          </w:tcPr>
          <w:p>
            <w:pPr>
              <w:ind w:left="60"/>
              <w:spacing w:after="0"/>
              <w:rPr>
                <w:sz w:val="20"/>
                <w:szCs w:val="20"/>
                <w:color w:val="auto"/>
              </w:rPr>
            </w:pPr>
            <w:r>
              <w:rPr>
                <w:rFonts w:ascii="Arial" w:cs="Arial" w:eastAsia="Arial" w:hAnsi="Arial"/>
                <w:sz w:val="16"/>
                <w:szCs w:val="16"/>
                <w:b w:val="1"/>
                <w:bCs w:val="1"/>
                <w:color w:val="auto"/>
              </w:rPr>
              <w:t>Ratify appointment of PricewaterhouseCoopers LLP as independent auditor for 2025</w:t>
            </w:r>
          </w:p>
        </w:tc>
        <w:tc>
          <w:tcPr>
            <w:tcW w:w="3560" w:type="dxa"/>
            <w:vAlign w:val="bottom"/>
            <w:tcBorders>
              <w:right w:val="single" w:sz="8" w:color="6D6D6D"/>
            </w:tcBorders>
          </w:tcPr>
          <w:p>
            <w:pPr>
              <w:jc w:val="center"/>
              <w:ind w:left="1297"/>
              <w:spacing w:after="0"/>
              <w:rPr>
                <w:sz w:val="20"/>
                <w:szCs w:val="20"/>
                <w:color w:val="auto"/>
              </w:rPr>
            </w:pPr>
            <w:r>
              <w:rPr>
                <w:rFonts w:ascii="Arial" w:cs="Arial" w:eastAsia="Arial" w:hAnsi="Arial"/>
                <w:sz w:val="16"/>
                <w:szCs w:val="16"/>
                <w:b w:val="1"/>
                <w:bCs w:val="1"/>
                <w:color w:val="6E06C1"/>
              </w:rPr>
              <w:t>FOR</w:t>
            </w:r>
          </w:p>
        </w:tc>
      </w:tr>
      <w:tr>
        <w:trPr>
          <w:trHeight w:val="486"/>
        </w:trPr>
        <w:tc>
          <w:tcPr>
            <w:tcW w:w="240" w:type="dxa"/>
            <w:vAlign w:val="bottom"/>
            <w:tcBorders>
              <w:left w:val="single" w:sz="8" w:color="6D6D6D"/>
            </w:tcBorders>
          </w:tcPr>
          <w:p>
            <w:pPr>
              <w:ind w:left="40"/>
              <w:spacing w:after="0"/>
              <w:rPr>
                <w:sz w:val="20"/>
                <w:szCs w:val="20"/>
                <w:color w:val="auto"/>
              </w:rPr>
            </w:pPr>
            <w:r>
              <w:rPr>
                <w:rFonts w:ascii="Arial" w:cs="Arial" w:eastAsia="Arial" w:hAnsi="Arial"/>
                <w:sz w:val="16"/>
                <w:szCs w:val="16"/>
                <w:b w:val="1"/>
                <w:bCs w:val="1"/>
                <w:color w:val="auto"/>
              </w:rPr>
              <w:t>3.</w:t>
            </w:r>
          </w:p>
        </w:tc>
        <w:tc>
          <w:tcPr>
            <w:tcW w:w="7440" w:type="dxa"/>
            <w:vAlign w:val="bottom"/>
          </w:tcPr>
          <w:p>
            <w:pPr>
              <w:ind w:left="60"/>
              <w:spacing w:after="0"/>
              <w:rPr>
                <w:sz w:val="20"/>
                <w:szCs w:val="20"/>
                <w:color w:val="auto"/>
              </w:rPr>
            </w:pPr>
            <w:r>
              <w:rPr>
                <w:rFonts w:ascii="Arial" w:cs="Arial" w:eastAsia="Arial" w:hAnsi="Arial"/>
                <w:sz w:val="16"/>
                <w:szCs w:val="16"/>
                <w:b w:val="1"/>
                <w:bCs w:val="1"/>
                <w:color w:val="auto"/>
              </w:rPr>
              <w:t>Advisory vote on executive compensation</w:t>
            </w:r>
          </w:p>
        </w:tc>
        <w:tc>
          <w:tcPr>
            <w:tcW w:w="3560" w:type="dxa"/>
            <w:vAlign w:val="bottom"/>
            <w:tcBorders>
              <w:right w:val="single" w:sz="8" w:color="6D6D6D"/>
            </w:tcBorders>
          </w:tcPr>
          <w:p>
            <w:pPr>
              <w:jc w:val="center"/>
              <w:ind w:left="1297"/>
              <w:spacing w:after="0"/>
              <w:rPr>
                <w:sz w:val="20"/>
                <w:szCs w:val="20"/>
                <w:color w:val="auto"/>
              </w:rPr>
            </w:pPr>
            <w:r>
              <w:rPr>
                <w:rFonts w:ascii="Arial" w:cs="Arial" w:eastAsia="Arial" w:hAnsi="Arial"/>
                <w:sz w:val="16"/>
                <w:szCs w:val="16"/>
                <w:b w:val="1"/>
                <w:bCs w:val="1"/>
                <w:color w:val="6E06C1"/>
              </w:rPr>
              <w:t>FOR</w:t>
            </w:r>
          </w:p>
        </w:tc>
      </w:tr>
      <w:tr>
        <w:trPr>
          <w:trHeight w:val="129"/>
        </w:trPr>
        <w:tc>
          <w:tcPr>
            <w:tcW w:w="240" w:type="dxa"/>
            <w:vAlign w:val="bottom"/>
            <w:tcBorders>
              <w:left w:val="single" w:sz="8" w:color="6D6D6D"/>
              <w:bottom w:val="single" w:sz="8" w:color="6D6D6D"/>
            </w:tcBorders>
          </w:tcPr>
          <w:p>
            <w:pPr>
              <w:spacing w:after="0"/>
              <w:rPr>
                <w:sz w:val="11"/>
                <w:szCs w:val="11"/>
                <w:color w:val="auto"/>
              </w:rPr>
            </w:pPr>
          </w:p>
        </w:tc>
        <w:tc>
          <w:tcPr>
            <w:tcW w:w="7440" w:type="dxa"/>
            <w:vAlign w:val="bottom"/>
            <w:tcBorders>
              <w:bottom w:val="single" w:sz="8" w:color="6D6D6D"/>
            </w:tcBorders>
          </w:tcPr>
          <w:p>
            <w:pPr>
              <w:spacing w:after="0"/>
              <w:rPr>
                <w:sz w:val="11"/>
                <w:szCs w:val="11"/>
                <w:color w:val="auto"/>
              </w:rPr>
            </w:pPr>
          </w:p>
        </w:tc>
        <w:tc>
          <w:tcPr>
            <w:tcW w:w="3560" w:type="dxa"/>
            <w:vAlign w:val="bottom"/>
            <w:tcBorders>
              <w:bottom w:val="single" w:sz="8" w:color="6D6D6D"/>
              <w:right w:val="single" w:sz="8" w:color="6D6D6D"/>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-865505</wp:posOffset>
            </wp:positionV>
            <wp:extent cx="128905" cy="1111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1112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-556895</wp:posOffset>
            </wp:positionV>
            <wp:extent cx="128905" cy="1111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1112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-248285</wp:posOffset>
            </wp:positionV>
            <wp:extent cx="128905" cy="1111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15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Shareholders will conduct any other business properly presented before the meeting. The Board of Directors knows of no other matters to be presented or action at the annual meeting. If any matter is presented from the floor of the annual meeting, the individuals serving as proxies will vote such matters in their discretion.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Virtual Meeting</w:t>
      </w:r>
    </w:p>
    <w:p>
      <w:pPr>
        <w:spacing w:after="0" w:line="122"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auto"/>
        </w:rPr>
        <w:t>Our Annual Meeting is taking place in a virtual-only format, which allows us to connect with more shareholders and provides our shareholders with the opportunities to vote and ask questions that they would have had at an in-person meeting. Shareholders may submit questions in advance of or during the meeting. For more information, please see the FAQ. If you cannot attend the meeting, a replay of our 2025 annual meeting webcast will be available at the Investor Relations section of our website following the date of the meeting. A summary of responses to appropriate questions submitted by shareholders before and during the annual meeting will also be available.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Advance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796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796925"/>
                    </a:xfrm>
                    <a:prstGeom prst="rect">
                      <a:avLst/>
                    </a:prstGeom>
                    <a:noFill/>
                  </pic:spPr>
                </pic:pic>
              </a:graphicData>
            </a:graphic>
          </wp:anchor>
        </w:drawing>
      </w:r>
    </w:p>
    <w:p>
      <w:pPr>
        <w:spacing w:after="0" w:line="304"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16"/>
          <w:szCs w:val="16"/>
          <w:b w:val="1"/>
          <w:bCs w:val="1"/>
          <w:color w:val="auto"/>
        </w:rPr>
        <w:t>ONLINE:</w:t>
      </w:r>
      <w:r>
        <w:rPr>
          <w:sz w:val="20"/>
          <w:szCs w:val="20"/>
          <w:color w:val="auto"/>
        </w:rPr>
        <w:tab/>
      </w:r>
      <w:r>
        <w:rPr>
          <w:rFonts w:ascii="Arial" w:cs="Arial" w:eastAsia="Arial" w:hAnsi="Arial"/>
          <w:sz w:val="16"/>
          <w:szCs w:val="16"/>
          <w:color w:val="auto"/>
        </w:rPr>
        <w:t xml:space="preserve">Vote online at </w:t>
      </w:r>
      <w:r>
        <w:rPr>
          <w:rFonts w:ascii="Arial" w:cs="Arial" w:eastAsia="Arial" w:hAnsi="Arial"/>
          <w:sz w:val="16"/>
          <w:szCs w:val="16"/>
          <w:b w:val="1"/>
          <w:bCs w:val="1"/>
          <w:color w:val="auto"/>
        </w:rPr>
        <w:t>www.proxyvote.com</w:t>
      </w:r>
      <w:r>
        <w:rPr>
          <w:rFonts w:ascii="Arial" w:cs="Arial" w:eastAsia="Arial" w:hAnsi="Arial"/>
          <w:sz w:val="16"/>
          <w:szCs w:val="16"/>
          <w:color w:val="auto"/>
        </w:rPr>
        <w:t xml:space="preserve"> 24 hours a day</w:t>
      </w:r>
    </w:p>
    <w:p>
      <w:pPr>
        <w:spacing w:after="0" w:line="154"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16"/>
          <w:szCs w:val="16"/>
          <w:b w:val="1"/>
          <w:bCs w:val="1"/>
          <w:color w:val="auto"/>
        </w:rPr>
        <w:t>BY PHONE:</w:t>
      </w:r>
      <w:r>
        <w:rPr>
          <w:sz w:val="20"/>
          <w:szCs w:val="20"/>
          <w:color w:val="auto"/>
        </w:rPr>
        <w:tab/>
      </w:r>
      <w:r>
        <w:rPr>
          <w:rFonts w:ascii="Arial" w:cs="Arial" w:eastAsia="Arial" w:hAnsi="Arial"/>
          <w:sz w:val="16"/>
          <w:szCs w:val="16"/>
          <w:color w:val="auto"/>
        </w:rPr>
        <w:t xml:space="preserve">Call toll-free </w:t>
      </w:r>
      <w:r>
        <w:rPr>
          <w:rFonts w:ascii="Arial" w:cs="Arial" w:eastAsia="Arial" w:hAnsi="Arial"/>
          <w:sz w:val="16"/>
          <w:szCs w:val="16"/>
          <w:b w:val="1"/>
          <w:bCs w:val="1"/>
          <w:color w:val="auto"/>
        </w:rPr>
        <w:t>1-800-690-6903</w:t>
      </w:r>
    </w:p>
    <w:p>
      <w:pPr>
        <w:spacing w:after="0" w:line="154" w:lineRule="exact"/>
        <w:rPr>
          <w:sz w:val="20"/>
          <w:szCs w:val="20"/>
          <w:color w:val="auto"/>
        </w:rPr>
      </w:pPr>
    </w:p>
    <w:p>
      <w:pPr>
        <w:ind w:left="1600" w:right="700" w:hanging="1565"/>
        <w:spacing w:after="0" w:line="321" w:lineRule="auto"/>
        <w:tabs>
          <w:tab w:leader="none" w:pos="1580" w:val="left"/>
        </w:tabs>
        <w:rPr>
          <w:sz w:val="20"/>
          <w:szCs w:val="20"/>
          <w:color w:val="auto"/>
        </w:rPr>
      </w:pPr>
      <w:r>
        <w:rPr>
          <w:rFonts w:ascii="Arial" w:cs="Arial" w:eastAsia="Arial" w:hAnsi="Arial"/>
          <w:sz w:val="16"/>
          <w:szCs w:val="16"/>
          <w:b w:val="1"/>
          <w:bCs w:val="1"/>
          <w:color w:val="auto"/>
        </w:rPr>
        <w:t>BY MAIL:</w:t>
      </w:r>
      <w:r>
        <w:rPr>
          <w:sz w:val="20"/>
          <w:szCs w:val="20"/>
          <w:color w:val="auto"/>
        </w:rPr>
        <w:tab/>
      </w:r>
      <w:r>
        <w:rPr>
          <w:rFonts w:ascii="Arial" w:cs="Arial" w:eastAsia="Arial" w:hAnsi="Arial"/>
          <w:sz w:val="16"/>
          <w:szCs w:val="16"/>
          <w:color w:val="auto"/>
        </w:rPr>
        <w:t>If you have received a printed version of these proxy materials, mark, date, sign and mail your proxy card in the postage-paid envelope provided.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Notice Regarding the Availability of Proxy Materials for the Shareholder Meeting to Be Held on April 29, 2025</w:t>
      </w:r>
      <w:r>
        <w:rPr>
          <w:rFonts w:ascii="Arial" w:cs="Arial" w:eastAsia="Arial" w:hAnsi="Arial"/>
          <w:sz w:val="16"/>
          <w:szCs w:val="16"/>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Notice of 2025 Annual Meeting, Proxy Statement, and 2024 Annual Report on Form 10-K are available at </w:t>
      </w:r>
      <w:r>
        <w:rPr>
          <w:rFonts w:ascii="Arial" w:cs="Arial" w:eastAsia="Arial" w:hAnsi="Arial"/>
          <w:sz w:val="16"/>
          <w:szCs w:val="16"/>
          <w:b w:val="1"/>
          <w:bCs w:val="1"/>
          <w:color w:val="auto"/>
        </w:rPr>
        <w:t>www.proxyvote.com</w:t>
      </w:r>
      <w:r>
        <w:rPr>
          <w:rFonts w:ascii="Arial" w:cs="Arial" w:eastAsia="Arial" w:hAnsi="Arial"/>
          <w:sz w:val="16"/>
          <w:szCs w:val="16"/>
          <w:color w:val="auto"/>
        </w:rPr>
        <w:t>.</w:t>
      </w:r>
    </w:p>
    <w:p>
      <w:pPr>
        <w:spacing w:after="0" w:line="140" w:lineRule="exact"/>
        <w:rPr>
          <w:sz w:val="20"/>
          <w:szCs w:val="20"/>
          <w:color w:val="auto"/>
        </w:rPr>
      </w:pPr>
    </w:p>
    <w:p>
      <w:pPr>
        <w:ind w:right="280"/>
        <w:spacing w:after="0" w:line="292" w:lineRule="auto"/>
        <w:rPr>
          <w:sz w:val="20"/>
          <w:szCs w:val="20"/>
          <w:color w:val="auto"/>
        </w:rPr>
      </w:pPr>
      <w:r>
        <w:rPr>
          <w:rFonts w:ascii="Arial" w:cs="Arial" w:eastAsia="Arial" w:hAnsi="Arial"/>
          <w:sz w:val="16"/>
          <w:szCs w:val="16"/>
          <w:color w:val="auto"/>
        </w:rPr>
        <w:t>On or about March 19, 2025, we will mail to our shareholders a Notice Regarding the Availability of Proxy Materials, which will indicate how to access our proxy materials on the Internet. By furnishing the Notice Regarding the Availability of Proxy Materials, we are lowering the costs and reducing the environmental impact of our annual meeting.</w:t>
      </w:r>
    </w:p>
    <w:p>
      <w:pPr>
        <w:sectPr>
          <w:pgSz w:w="11900" w:h="16838" w:orient="portrait"/>
          <w:cols w:equalWidth="0" w:num="1">
            <w:col w:w="11240"/>
          </w:cols>
          <w:pgMar w:left="320" w:top="13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780"/>
        <w:spacing w:after="0"/>
        <w:tabs>
          <w:tab w:leader="none" w:pos="11120" w:val="left"/>
        </w:tabs>
        <w:rPr>
          <w:sz w:val="20"/>
          <w:szCs w:val="20"/>
          <w:color w:val="auto"/>
        </w:rPr>
      </w:pPr>
      <w:r>
        <w:rPr>
          <w:rFonts w:ascii="Arial" w:cs="Arial" w:eastAsia="Arial" w:hAnsi="Arial"/>
          <w:sz w:val="14"/>
          <w:szCs w:val="14"/>
          <w:color w:val="auto"/>
        </w:rPr>
        <w:t>2025 ׀ Exelon Proxy Statement</w:t>
      </w:r>
      <w:r>
        <w:rPr>
          <w:sz w:val="20"/>
          <w:szCs w:val="20"/>
          <w:color w:val="auto"/>
        </w:rPr>
        <w:tab/>
      </w:r>
      <w:r>
        <w:rPr>
          <w:rFonts w:ascii="Arial" w:cs="Arial" w:eastAsia="Arial" w:hAnsi="Arial"/>
          <w:sz w:val="14"/>
          <w:szCs w:val="14"/>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2" w:right="339" w:bottom="1440" w:gutter="0" w:footer="0" w:header="0"/>
          <w:type w:val="continuous"/>
        </w:sectPr>
      </w:pPr>
    </w:p>
    <w:bookmarkStart w:id="4" w:name="page5"/>
    <w:bookmarkEnd w:id="4"/>
    <w:p>
      <w:pPr>
        <w:ind w:right="4800"/>
        <w:spacing w:after="0" w:line="315" w:lineRule="auto"/>
        <w:rPr>
          <w:sz w:val="20"/>
          <w:szCs w:val="20"/>
          <w:color w:val="auto"/>
        </w:rPr>
      </w:pPr>
      <w:r>
        <w:rPr>
          <w:rFonts w:ascii="Arial" w:cs="Arial" w:eastAsia="Arial" w:hAnsi="Arial"/>
          <w:sz w:val="41"/>
          <w:szCs w:val="41"/>
          <w:color w:val="170D67"/>
        </w:rPr>
        <w:t xml:space="preserve">Letter from the </w:t>
      </w:r>
      <w:r>
        <w:rPr>
          <w:rFonts w:ascii="Arial" w:cs="Arial" w:eastAsia="Arial" w:hAnsi="Arial"/>
          <w:sz w:val="41"/>
          <w:szCs w:val="41"/>
          <w:b w:val="1"/>
          <w:bCs w:val="1"/>
          <w:color w:val="170D67"/>
        </w:rPr>
        <w:t>Board of Directors</w:t>
      </w:r>
      <w:r>
        <w:rPr>
          <w:rFonts w:ascii="Arial" w:cs="Arial" w:eastAsia="Arial" w:hAnsi="Arial"/>
          <w:sz w:val="41"/>
          <w:szCs w:val="41"/>
          <w:color w:val="170D67"/>
        </w:rPr>
        <w:t xml:space="preserve"> to Our Shareholders</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Dear Fellow Shareholders,</w:t>
      </w:r>
    </w:p>
    <w:p>
      <w:pPr>
        <w:spacing w:after="0" w:line="126"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Looking back at 2024, we achieved another year of transformative growth for Exelon. We made a measurable impact leading the energy transformation and delivered value for our shareholders. All of our local energy companies delivered top quartile performance, while executing cost discipline and providing our customers excellent reliability and service. As we head into Exelon’s 25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year of business, we are confident that we will capture the opportunities ahead to create exceptional value in 2025.</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6E06C1"/>
        </w:rPr>
        <w:t>Delivering Value for our Shareholders by Committing to our Customers</w:t>
      </w:r>
    </w:p>
    <w:p>
      <w:pPr>
        <w:spacing w:after="0" w:line="113"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We delivered on the expectations we laid out for shareholders and customers and generated strong financial performance, allowing us to continue making critical investments. Our operating earnings of $2.50 per share demonstrates strong year-over-year growth and marks the third year in a row we have been in the upper half of our guidance range.</w:t>
      </w:r>
    </w:p>
    <w:p>
      <w:pPr>
        <w:spacing w:after="0" w:line="50" w:lineRule="exact"/>
        <w:rPr>
          <w:sz w:val="20"/>
          <w:szCs w:val="20"/>
          <w:color w:val="auto"/>
        </w:rPr>
      </w:pPr>
    </w:p>
    <w:p>
      <w:pPr>
        <w:ind w:right="360"/>
        <w:spacing w:after="0" w:line="292" w:lineRule="auto"/>
        <w:rPr>
          <w:sz w:val="20"/>
          <w:szCs w:val="20"/>
          <w:color w:val="auto"/>
        </w:rPr>
      </w:pPr>
      <w:r>
        <w:rPr>
          <w:rFonts w:ascii="Arial" w:cs="Arial" w:eastAsia="Arial" w:hAnsi="Arial"/>
          <w:sz w:val="16"/>
          <w:szCs w:val="16"/>
          <w:color w:val="auto"/>
        </w:rPr>
        <w:t>Exelon’s performance also reflected the benefit of the investments we are making on behalf of our customers to ensure cost-effective service across our jurisdictions. We executed our disciplined and robust capital plan that balances necessary investment while maintaining our strong balance sheet and investment grade credit ratings. With continued returns on equity in the 9-10% range, we expect annualized earnings growth of 5-7% through 2028.</w:t>
      </w:r>
    </w:p>
    <w:p>
      <w:pPr>
        <w:spacing w:after="0" w:line="7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are working hard to ensure our rates meet the value we are delivering to customers, and 2024 was our busiest regulatory calendar year in a decade. The team secured Illinois Commerce Commission approval of a grid and rate plan for ComEd that delivers grid resilience and reliability with a multi-year $595 million rate increase relative to previously approved rates. We secured approval of several other forward-looking rate plans across our jurisdictions, advocating on behalf of customers and ensuring all our stakeholders benefit from our investments. At FERC, Exelon served as a voice for our customers, while positioning the company to take advantage of generational load growth opportunities, including engaging with policymakers on the criticality of energy security.</w:t>
      </w:r>
    </w:p>
    <w:p>
      <w:pPr>
        <w:spacing w:after="0" w:line="27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Building off our success, which has resulted in ComEd and PECO being named to Site Selection magazine’s top 20 list for U.S. utilities’ impact on economic development, and ComEd ranking fifth in the nation for data centers in service, we are excited about our growth opportunities. We see 17GW of incremental, high certainty load coming to our states in the next decade. With our size and scale, including 11,000 miles of transmission lines, Exelon is able to attract new customers and better partner with our states to deliver consistent, sustainable growth in our communities.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6E06C1"/>
        </w:rPr>
        <w:t>Operational Excellence Supported by Focus on Safety</w:t>
      </w:r>
    </w:p>
    <w:p>
      <w:pPr>
        <w:spacing w:after="0" w:line="11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Exelon’s 2024 financial and reliability performance is underpinned by our steadfast focus on operational excellence. All of our operating companies achieved top quartile performance in both outage frequency and duration, and ComEd and Pepco Holdings were in the top decile, reflecting significant success in outage frequency management, with BGE demonstrating best-on-record performance for outage frequency. Three of our utilities ended the year ranked in the top five for the fourth year in a row, and all placed within the top eight compared to industry peers.</w:t>
      </w:r>
    </w:p>
    <w:p>
      <w:pPr>
        <w:spacing w:after="0" w:line="7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These results underscore the impact of strategic capital investments made with the support of our regulators, including a comprehensive and proactive approach to preventative maintenance. This focus on reliability is consistent with Exelon’s commitment to maintaining a resilient and dependable energy infrastructure. Safety remains our top priority and we finished the year with all four operating companies achieving top quartile performance on serious injury incident rate. This year will see the continued evolution of a long-term strategy to increase focus on prevention of customer and vendor serious injuries (SIFs).</w:t>
      </w:r>
    </w:p>
    <w:p>
      <w:pPr>
        <w:spacing w:after="0" w:line="287"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Finally, we undertook a comprehensive review of our organizational structure across the enterprise to identify areas where we can standardize and streamline our operations. Through 2024, this resulted in approximately $100 million in savings. Continued operational vigilance, coupled with our corporate return to office policy of three days per week, made it possible for us to keep cost growth well below inflation, resulting in estimated savings to customers of $550 million.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80" w:hanging="454"/>
        <w:spacing w:after="0"/>
        <w:tabs>
          <w:tab w:leader="none" w:pos="480"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3"/>
          <w:szCs w:val="13"/>
          <w:b w:val="1"/>
          <w:bCs w:val="1"/>
          <w:color w:val="auto"/>
        </w:rPr>
        <w:t>Letter from the Board of Directors to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6E06C1"/>
        </w:rPr>
        <w:t>Investing in our Customers</w:t>
      </w:r>
    </w:p>
    <w:p>
      <w:pPr>
        <w:spacing w:after="0" w:line="11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Our focus on industry-leading operations, cost management, a broad suite of customer saving solutions, and advocacy for fair energy policies ensures our customers receive premium value for the investments we make on their behalf. Our updated strategic plan continues to reflect the steady investment growth that you should expect from a company that serves more customers than any other in the U.S. and does so in some of the regions most critical to the nation’s economy.</w:t>
      </w:r>
    </w:p>
    <w:p>
      <w:pPr>
        <w:spacing w:after="0" w:line="72"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color w:val="auto"/>
        </w:rPr>
        <w:t>We now expect to invest $38 billion from 2025-2028 to support customer needs and bolster reliability, ensuring that our utilities remain a key engine of our jurisdictions’ economies. Our investments will create an estimated 70,000 local jobs and our spend will stay local, with more than $4 billion of our supplier spend sourced from our jurisdictions. With the economy increasingly counting on access to reliable, resilient power, these investments will multiply our impact.</w:t>
      </w:r>
    </w:p>
    <w:p>
      <w:pPr>
        <w:spacing w:after="0" w:line="59" w:lineRule="exact"/>
        <w:rPr>
          <w:sz w:val="20"/>
          <w:szCs w:val="20"/>
          <w:color w:val="auto"/>
        </w:rPr>
      </w:pPr>
    </w:p>
    <w:p>
      <w:pPr>
        <w:ind w:right="300"/>
        <w:spacing w:after="0" w:line="292" w:lineRule="auto"/>
        <w:rPr>
          <w:sz w:val="20"/>
          <w:szCs w:val="20"/>
          <w:color w:val="auto"/>
        </w:rPr>
      </w:pPr>
      <w:r>
        <w:rPr>
          <w:rFonts w:ascii="Arial" w:cs="Arial" w:eastAsia="Arial" w:hAnsi="Arial"/>
          <w:sz w:val="16"/>
          <w:szCs w:val="16"/>
          <w:color w:val="auto"/>
        </w:rPr>
        <w:t>We proudly note that we had strong results in the Escalent Utility Trusted Brand &amp; Customer Engagement Residential Survey. BGE, ComEd, Delmarva Power and Pepco were named to the 2024 list of Residential Customer Champions. Additionally, Pepco received the Business of the Year award in 2024 from the DC Chamber of Commerce.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6E06C1"/>
        </w:rPr>
        <w:t>Strengthening Leadership</w:t>
      </w:r>
    </w:p>
    <w:p>
      <w:pPr>
        <w:spacing w:after="0" w:line="11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past year brought significant leadership team changes to strengthen our Executive Committee as we embark on our decade of growth. Our Executive Committee saw Colette D. Honorable move into the role of Chief Legal Officer and Corporate Secretary, Mike Innocenzo to Chief Operating Officer, and David Velazquez to President and CEO of PECO, as well as the addition of Chief Information Officer Michael Brooks, Chief People and Equity Officer Denise Galambos, Chief Strategy and Sustainability Officer Sunny Elebua, and Chief Communications Officer Cynthia McCabe. At the same time, the Board has focused on strengthening its leadership and expertise in the areas of risk management, finance, cybersecurity, and technology and innovation.</w:t>
      </w:r>
    </w:p>
    <w:p>
      <w:pPr>
        <w:spacing w:after="0" w:line="61"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As we celebrate our 25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anniversary this fall, we can proudly say that over the past quarter century, Exelon has evolved into a leading force in the energy industry, rising to solve changing needs, meet renewing challenges and drive greater economic opportunity in our communities. Throughout 2025 and beyond, the Board will steadfastly continue its commitment to enhancing shareholder value through operational excellence and by maintaining robust governance throughout the enterprise. We are confident in our company's growth and our leadership powering a cleaner and brighter future for our customers and communities.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continued support of Exelon.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252095</wp:posOffset>
            </wp:positionV>
            <wp:extent cx="6240780" cy="2571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40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900"/>
        <w:spacing w:after="0"/>
        <w:tabs>
          <w:tab w:leader="none" w:pos="3000" w:val="left"/>
          <w:tab w:leader="none" w:pos="4980" w:val="left"/>
          <w:tab w:leader="none" w:pos="7560" w:val="left"/>
          <w:tab w:leader="none" w:pos="9620" w:val="left"/>
        </w:tabs>
        <w:rPr>
          <w:sz w:val="20"/>
          <w:szCs w:val="20"/>
          <w:color w:val="auto"/>
        </w:rPr>
      </w:pPr>
      <w:r>
        <w:rPr>
          <w:rFonts w:ascii="Arial" w:cs="Arial" w:eastAsia="Arial" w:hAnsi="Arial"/>
          <w:sz w:val="14"/>
          <w:szCs w:val="14"/>
          <w:b w:val="1"/>
          <w:bCs w:val="1"/>
          <w:color w:val="3A5CFF"/>
        </w:rPr>
        <w:t>W. Paul Bowers</w:t>
      </w:r>
      <w:r>
        <w:rPr>
          <w:sz w:val="20"/>
          <w:szCs w:val="20"/>
          <w:color w:val="auto"/>
        </w:rPr>
        <w:tab/>
      </w:r>
      <w:r>
        <w:rPr>
          <w:rFonts w:ascii="Arial" w:cs="Arial" w:eastAsia="Arial" w:hAnsi="Arial"/>
          <w:sz w:val="14"/>
          <w:szCs w:val="14"/>
          <w:b w:val="1"/>
          <w:bCs w:val="1"/>
          <w:color w:val="3A5CFF"/>
        </w:rPr>
        <w:t>Calvin G. Butler, Jr.</w:t>
      </w:r>
      <w:r>
        <w:rPr>
          <w:sz w:val="20"/>
          <w:szCs w:val="20"/>
          <w:color w:val="auto"/>
        </w:rPr>
        <w:tab/>
      </w:r>
      <w:r>
        <w:rPr>
          <w:rFonts w:ascii="Arial" w:cs="Arial" w:eastAsia="Arial" w:hAnsi="Arial"/>
          <w:sz w:val="14"/>
          <w:szCs w:val="14"/>
          <w:b w:val="1"/>
          <w:bCs w:val="1"/>
          <w:color w:val="3A5CFF"/>
        </w:rPr>
        <w:t>Marjorie Rodgers Cheshire</w:t>
      </w:r>
      <w:r>
        <w:rPr>
          <w:sz w:val="20"/>
          <w:szCs w:val="20"/>
          <w:color w:val="auto"/>
        </w:rPr>
        <w:tab/>
      </w:r>
      <w:r>
        <w:rPr>
          <w:rFonts w:ascii="Arial" w:cs="Arial" w:eastAsia="Arial" w:hAnsi="Arial"/>
          <w:sz w:val="14"/>
          <w:szCs w:val="14"/>
          <w:b w:val="1"/>
          <w:bCs w:val="1"/>
          <w:color w:val="3A5CFF"/>
        </w:rPr>
        <w:t>David DeWalt</w:t>
      </w:r>
      <w:r>
        <w:rPr>
          <w:sz w:val="20"/>
          <w:szCs w:val="20"/>
          <w:color w:val="auto"/>
        </w:rPr>
        <w:tab/>
      </w:r>
      <w:r>
        <w:rPr>
          <w:rFonts w:ascii="Arial" w:cs="Arial" w:eastAsia="Arial" w:hAnsi="Arial"/>
          <w:sz w:val="14"/>
          <w:szCs w:val="14"/>
          <w:b w:val="1"/>
          <w:bCs w:val="1"/>
          <w:color w:val="3A5CFF"/>
        </w:rPr>
        <w:t>Linda Jojo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255270</wp:posOffset>
            </wp:positionV>
            <wp:extent cx="6635115"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3511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80"/>
        <w:spacing w:after="0"/>
        <w:tabs>
          <w:tab w:leader="none" w:pos="3260" w:val="left"/>
          <w:tab w:leader="none" w:pos="5340" w:val="left"/>
          <w:tab w:leader="none" w:pos="7680" w:val="left"/>
          <w:tab w:leader="none" w:pos="9680" w:val="left"/>
        </w:tabs>
        <w:rPr>
          <w:sz w:val="20"/>
          <w:szCs w:val="20"/>
          <w:color w:val="auto"/>
        </w:rPr>
      </w:pPr>
      <w:r>
        <w:rPr>
          <w:rFonts w:ascii="Arial" w:cs="Arial" w:eastAsia="Arial" w:hAnsi="Arial"/>
          <w:sz w:val="16"/>
          <w:szCs w:val="16"/>
          <w:b w:val="1"/>
          <w:bCs w:val="1"/>
          <w:color w:val="3A5CFF"/>
        </w:rPr>
        <w:t>Charisse Lillie</w:t>
      </w:r>
      <w:r>
        <w:rPr>
          <w:sz w:val="20"/>
          <w:szCs w:val="20"/>
          <w:color w:val="auto"/>
        </w:rPr>
        <w:tab/>
      </w:r>
      <w:r>
        <w:rPr>
          <w:rFonts w:ascii="Arial" w:cs="Arial" w:eastAsia="Arial" w:hAnsi="Arial"/>
          <w:sz w:val="14"/>
          <w:szCs w:val="14"/>
          <w:b w:val="1"/>
          <w:bCs w:val="1"/>
          <w:color w:val="3A5CFF"/>
        </w:rPr>
        <w:t>Anna Richo</w:t>
      </w:r>
      <w:r>
        <w:rPr>
          <w:sz w:val="20"/>
          <w:szCs w:val="20"/>
          <w:color w:val="auto"/>
        </w:rPr>
        <w:tab/>
      </w:r>
      <w:r>
        <w:rPr>
          <w:rFonts w:ascii="Arial" w:cs="Arial" w:eastAsia="Arial" w:hAnsi="Arial"/>
          <w:sz w:val="14"/>
          <w:szCs w:val="14"/>
          <w:b w:val="1"/>
          <w:bCs w:val="1"/>
          <w:color w:val="3A5CFF"/>
        </w:rPr>
        <w:t>Matthew Rogers</w:t>
      </w:r>
      <w:r>
        <w:rPr>
          <w:sz w:val="20"/>
          <w:szCs w:val="20"/>
          <w:color w:val="auto"/>
        </w:rPr>
        <w:tab/>
      </w:r>
      <w:r>
        <w:rPr>
          <w:rFonts w:ascii="Arial" w:cs="Arial" w:eastAsia="Arial" w:hAnsi="Arial"/>
          <w:sz w:val="14"/>
          <w:szCs w:val="14"/>
          <w:b w:val="1"/>
          <w:bCs w:val="1"/>
          <w:color w:val="3A5CFF"/>
        </w:rPr>
        <w:t>Bryan Segedi</w:t>
      </w:r>
      <w:r>
        <w:rPr>
          <w:sz w:val="20"/>
          <w:szCs w:val="20"/>
          <w:color w:val="auto"/>
        </w:rPr>
        <w:tab/>
      </w:r>
      <w:r>
        <w:rPr>
          <w:rFonts w:ascii="Arial" w:cs="Arial" w:eastAsia="Arial" w:hAnsi="Arial"/>
          <w:sz w:val="14"/>
          <w:szCs w:val="14"/>
          <w:b w:val="1"/>
          <w:bCs w:val="1"/>
          <w:color w:val="3A5CFF"/>
        </w:rPr>
        <w:t>John Young</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60" w:type="dxa"/>
            <w:vAlign w:val="bottom"/>
          </w:tcPr>
          <w:p>
            <w:pPr>
              <w:ind w:left="8780"/>
              <w:spacing w:after="0"/>
              <w:rPr>
                <w:sz w:val="20"/>
                <w:szCs w:val="20"/>
                <w:color w:val="auto"/>
              </w:rPr>
            </w:pPr>
            <w:r>
              <w:rPr>
                <w:rFonts w:ascii="Arial" w:cs="Arial" w:eastAsia="Arial" w:hAnsi="Arial"/>
                <w:sz w:val="14"/>
                <w:szCs w:val="14"/>
                <w:color w:val="auto"/>
              </w:rPr>
              <w:t>2025 ׀ Exelon Proxy Statement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225"/>
        </w:trPr>
        <w:tc>
          <w:tcPr>
            <w:tcW w:w="1096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line="106" w:lineRule="exact"/>
        <w:rPr>
          <w:sz w:val="20"/>
          <w:szCs w:val="20"/>
          <w:color w:val="auto"/>
        </w:rPr>
      </w:pPr>
    </w:p>
    <w:p>
      <w:pPr>
        <w:spacing w:after="0"/>
        <w:rPr>
          <w:sz w:val="20"/>
          <w:szCs w:val="20"/>
          <w:color w:val="auto"/>
        </w:rPr>
      </w:pPr>
      <w:r>
        <w:rPr>
          <w:rFonts w:ascii="Arial" w:cs="Arial" w:eastAsia="Arial" w:hAnsi="Arial"/>
          <w:sz w:val="41"/>
          <w:szCs w:val="41"/>
          <w:color w:val="170D67"/>
        </w:rPr>
        <w:t xml:space="preserve">About </w:t>
      </w:r>
      <w:r>
        <w:rPr>
          <w:rFonts w:ascii="Arial" w:cs="Arial" w:eastAsia="Arial" w:hAnsi="Arial"/>
          <w:sz w:val="41"/>
          <w:szCs w:val="41"/>
          <w:b w:val="1"/>
          <w:bCs w:val="1"/>
          <w:color w:val="170D67"/>
        </w:rPr>
        <w:t>Exelon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right="2339"/>
        <w:spacing w:after="0" w:line="287" w:lineRule="auto"/>
        <w:rPr>
          <w:sz w:val="20"/>
          <w:szCs w:val="20"/>
          <w:color w:val="auto"/>
        </w:rPr>
      </w:pPr>
      <w:r>
        <w:rPr>
          <w:rFonts w:ascii="Arial" w:cs="Arial" w:eastAsia="Arial" w:hAnsi="Arial"/>
          <w:sz w:val="16"/>
          <w:szCs w:val="16"/>
          <w:color w:val="auto"/>
        </w:rPr>
        <w:t>Exelon is a transmission and distribution (T&amp;D) company that delivers electricity and natural gas service to our customers and communities. As the nation’s largest energy delivery company, Exelon serves 10.7 million customers through six fully regulated T&amp;D energy companies — Atlantic City Electric (ACE), Baltimore Gas and Electric (BGE), Commonwealth Edison (ComEd), Delmarva Power &amp; Light (DPL), PECO Energy Company (PECO), and Potomac Electric Power Company (Pepco).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-594360</wp:posOffset>
            </wp:positionV>
            <wp:extent cx="1645920" cy="10883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45920" cy="108839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Arial" w:cs="Arial" w:eastAsia="Arial" w:hAnsi="Arial"/>
          <w:sz w:val="22"/>
          <w:szCs w:val="22"/>
          <w:b w:val="1"/>
          <w:bCs w:val="1"/>
          <w:u w:val="single" w:color="auto"/>
          <w:color w:val="6E06C1"/>
        </w:rPr>
        <w:t>OUR PURPOSE</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Powering a cleaner and brighter future for our customers and communities.</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22"/>
          <w:szCs w:val="22"/>
          <w:b w:val="1"/>
          <w:bCs w:val="1"/>
          <w:u w:val="single" w:color="auto"/>
          <w:color w:val="6E06C1"/>
        </w:rPr>
        <w:t>OUR 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-141605</wp:posOffset>
            </wp:positionV>
            <wp:extent cx="1645920" cy="10883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45920" cy="1088390"/>
                    </a:xfrm>
                    <a:prstGeom prst="rect">
                      <a:avLst/>
                    </a:prstGeom>
                    <a:noFill/>
                  </pic:spPr>
                </pic:pic>
              </a:graphicData>
            </a:graphic>
          </wp:anchor>
        </w:drawing>
      </w:r>
    </w:p>
    <w:p>
      <w:pPr>
        <w:spacing w:after="0" w:line="92" w:lineRule="exact"/>
        <w:rPr>
          <w:sz w:val="20"/>
          <w:szCs w:val="20"/>
          <w:color w:val="auto"/>
        </w:rPr>
      </w:pPr>
    </w:p>
    <w:p>
      <w:pPr>
        <w:ind w:left="20" w:right="2579"/>
        <w:spacing w:after="0" w:line="301" w:lineRule="auto"/>
        <w:rPr>
          <w:sz w:val="20"/>
          <w:szCs w:val="20"/>
          <w:color w:val="auto"/>
        </w:rPr>
      </w:pPr>
      <w:r>
        <w:rPr>
          <w:rFonts w:ascii="Arial" w:cs="Arial" w:eastAsia="Arial" w:hAnsi="Arial"/>
          <w:sz w:val="16"/>
          <w:szCs w:val="16"/>
          <w:color w:val="auto"/>
        </w:rPr>
        <w:t>We believe that reliable, clean, and affordable energy is essential to a brighter, more sustainable future. That's why we're committed to providing innovation, best-in-class performance, and thought leadership to help drive progress for our customers and communities.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22"/>
          <w:szCs w:val="22"/>
          <w:b w:val="1"/>
          <w:bCs w:val="1"/>
          <w:u w:val="single" w:color="auto"/>
          <w:color w:val="6E06C1"/>
        </w:rPr>
        <w:t>OUR VALUES</w:t>
      </w:r>
    </w:p>
    <w:p>
      <w:pPr>
        <w:spacing w:after="0" w:line="112" w:lineRule="exact"/>
        <w:rPr>
          <w:sz w:val="20"/>
          <w:szCs w:val="20"/>
          <w:color w:val="auto"/>
        </w:rPr>
      </w:pPr>
    </w:p>
    <w:p>
      <w:pPr>
        <w:ind w:left="20" w:right="2319"/>
        <w:spacing w:after="0" w:line="301" w:lineRule="auto"/>
        <w:rPr>
          <w:sz w:val="20"/>
          <w:szCs w:val="20"/>
          <w:color w:val="auto"/>
        </w:rPr>
      </w:pPr>
      <w:r>
        <w:rPr>
          <w:rFonts w:ascii="Arial" w:cs="Arial" w:eastAsia="Arial" w:hAnsi="Arial"/>
          <w:sz w:val="16"/>
          <w:szCs w:val="16"/>
          <w:b w:val="1"/>
          <w:bCs w:val="1"/>
          <w:color w:val="170D67"/>
        </w:rPr>
        <w:t xml:space="preserve">We Are Dedicated to Safety. </w:t>
      </w:r>
      <w:r>
        <w:rPr>
          <w:rFonts w:ascii="Arial" w:cs="Arial" w:eastAsia="Arial" w:hAnsi="Arial"/>
          <w:sz w:val="16"/>
          <w:szCs w:val="16"/>
          <w:color w:val="000000"/>
        </w:rPr>
        <w:t>We are committed to maintaining the highest standards of safety and reliability</w:t>
      </w:r>
      <w:r>
        <w:rPr>
          <w:rFonts w:ascii="Arial" w:cs="Arial" w:eastAsia="Arial" w:hAnsi="Arial"/>
          <w:sz w:val="16"/>
          <w:szCs w:val="16"/>
          <w:b w:val="1"/>
          <w:bCs w:val="1"/>
          <w:color w:val="170D67"/>
        </w:rPr>
        <w:t xml:space="preserve"> </w:t>
      </w:r>
      <w:r>
        <w:rPr>
          <w:rFonts w:ascii="Arial" w:cs="Arial" w:eastAsia="Arial" w:hAnsi="Arial"/>
          <w:sz w:val="16"/>
          <w:szCs w:val="16"/>
          <w:color w:val="000000"/>
        </w:rPr>
        <w:t>for our people, our customers, and the communities in which we work. As a fundamental part of our culture and operations, every member of the Exelon team is dedicated to putting safety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-198755</wp:posOffset>
            </wp:positionV>
            <wp:extent cx="1645920" cy="10890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45920" cy="1089025"/>
                    </a:xfrm>
                    <a:prstGeom prst="rect">
                      <a:avLst/>
                    </a:prstGeom>
                    <a:noFill/>
                  </pic:spPr>
                </pic:pic>
              </a:graphicData>
            </a:graphic>
          </wp:anchor>
        </w:drawing>
      </w:r>
    </w:p>
    <w:p>
      <w:pPr>
        <w:spacing w:after="0" w:line="30" w:lineRule="exact"/>
        <w:rPr>
          <w:sz w:val="20"/>
          <w:szCs w:val="20"/>
          <w:color w:val="auto"/>
        </w:rPr>
      </w:pPr>
    </w:p>
    <w:p>
      <w:pPr>
        <w:jc w:val="both"/>
        <w:ind w:left="20" w:right="2439"/>
        <w:spacing w:after="0" w:line="289" w:lineRule="auto"/>
        <w:rPr>
          <w:sz w:val="20"/>
          <w:szCs w:val="20"/>
          <w:color w:val="auto"/>
        </w:rPr>
      </w:pPr>
      <w:r>
        <w:rPr>
          <w:rFonts w:ascii="Arial" w:cs="Arial" w:eastAsia="Arial" w:hAnsi="Arial"/>
          <w:sz w:val="16"/>
          <w:szCs w:val="16"/>
          <w:b w:val="1"/>
          <w:bCs w:val="1"/>
          <w:color w:val="170D67"/>
        </w:rPr>
        <w:t xml:space="preserve">We Actively Pursue Excellence. </w:t>
      </w:r>
      <w:r>
        <w:rPr>
          <w:rFonts w:ascii="Arial" w:cs="Arial" w:eastAsia="Arial" w:hAnsi="Arial"/>
          <w:sz w:val="16"/>
          <w:szCs w:val="16"/>
          <w:color w:val="000000"/>
        </w:rPr>
        <w:t>We are driven to excel. Recognizing the value of constant improvement,</w:t>
      </w:r>
      <w:r>
        <w:rPr>
          <w:rFonts w:ascii="Arial" w:cs="Arial" w:eastAsia="Arial" w:hAnsi="Arial"/>
          <w:sz w:val="16"/>
          <w:szCs w:val="16"/>
          <w:b w:val="1"/>
          <w:bCs w:val="1"/>
          <w:color w:val="170D67"/>
        </w:rPr>
        <w:t xml:space="preserve"> </w:t>
      </w:r>
      <w:r>
        <w:rPr>
          <w:rFonts w:ascii="Arial" w:cs="Arial" w:eastAsia="Arial" w:hAnsi="Arial"/>
          <w:sz w:val="16"/>
          <w:szCs w:val="16"/>
          <w:color w:val="000000"/>
        </w:rPr>
        <w:t>we reach beyond compliance to advance our processes and develop more efficient energy. In all we do, we passionately exceed the standards of our industry – and those we set for ourselves – creating value for our shareholders, customers, and communities.</w:t>
      </w:r>
    </w:p>
    <w:p>
      <w:pPr>
        <w:spacing w:after="0" w:line="72" w:lineRule="exact"/>
        <w:rPr>
          <w:sz w:val="20"/>
          <w:szCs w:val="20"/>
          <w:color w:val="auto"/>
        </w:rPr>
      </w:pPr>
    </w:p>
    <w:p>
      <w:pPr>
        <w:ind w:left="20" w:right="2539"/>
        <w:spacing w:after="0" w:line="283" w:lineRule="auto"/>
        <w:rPr>
          <w:sz w:val="20"/>
          <w:szCs w:val="20"/>
          <w:color w:val="auto"/>
        </w:rPr>
      </w:pPr>
      <w:r>
        <w:rPr>
          <w:rFonts w:ascii="Arial" w:cs="Arial" w:eastAsia="Arial" w:hAnsi="Arial"/>
          <w:sz w:val="16"/>
          <w:szCs w:val="16"/>
          <w:b w:val="1"/>
          <w:bCs w:val="1"/>
          <w:color w:val="170D67"/>
        </w:rPr>
        <w:t xml:space="preserve">We Innovate to Better Serve Our Customers. </w:t>
      </w:r>
      <w:r>
        <w:rPr>
          <w:rFonts w:ascii="Arial" w:cs="Arial" w:eastAsia="Arial" w:hAnsi="Arial"/>
          <w:sz w:val="16"/>
          <w:szCs w:val="16"/>
          <w:color w:val="000000"/>
        </w:rPr>
        <w:t>We see every challenge as an opportunity to exercise our</w:t>
      </w:r>
      <w:r>
        <w:rPr>
          <w:rFonts w:ascii="Arial" w:cs="Arial" w:eastAsia="Arial" w:hAnsi="Arial"/>
          <w:sz w:val="16"/>
          <w:szCs w:val="16"/>
          <w:b w:val="1"/>
          <w:bCs w:val="1"/>
          <w:color w:val="170D67"/>
        </w:rPr>
        <w:t xml:space="preserve"> </w:t>
      </w:r>
      <w:r>
        <w:rPr>
          <w:rFonts w:ascii="Arial" w:cs="Arial" w:eastAsia="Arial" w:hAnsi="Arial"/>
          <w:sz w:val="16"/>
          <w:szCs w:val="16"/>
          <w:color w:val="000000"/>
        </w:rPr>
        <w:t>ingenuity and our competitive spirit. We encourage curiosity and exploration to develop better ways of delivering clean energy. We innovate with focus and intent, creating the solutions that matter most for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-164465</wp:posOffset>
            </wp:positionV>
            <wp:extent cx="1645920" cy="10883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45920" cy="1088390"/>
                    </a:xfrm>
                    <a:prstGeom prst="rect">
                      <a:avLst/>
                    </a:prstGeom>
                    <a:noFill/>
                  </pic:spPr>
                </pic:pic>
              </a:graphicData>
            </a:graphic>
          </wp:anchor>
        </w:drawing>
      </w:r>
    </w:p>
    <w:p>
      <w:pPr>
        <w:spacing w:after="0" w:line="57" w:lineRule="exact"/>
        <w:rPr>
          <w:sz w:val="20"/>
          <w:szCs w:val="20"/>
          <w:color w:val="auto"/>
        </w:rPr>
      </w:pPr>
    </w:p>
    <w:p>
      <w:pPr>
        <w:ind w:left="20" w:right="2319"/>
        <w:spacing w:after="0" w:line="289" w:lineRule="auto"/>
        <w:rPr>
          <w:sz w:val="20"/>
          <w:szCs w:val="20"/>
          <w:color w:val="auto"/>
        </w:rPr>
      </w:pPr>
      <w:r>
        <w:rPr>
          <w:rFonts w:ascii="Arial" w:cs="Arial" w:eastAsia="Arial" w:hAnsi="Arial"/>
          <w:sz w:val="16"/>
          <w:szCs w:val="16"/>
          <w:b w:val="1"/>
          <w:bCs w:val="1"/>
          <w:color w:val="170D67"/>
        </w:rPr>
        <w:t xml:space="preserve">We Act With Integrity and Are Accountable to Our Communities and the Environment. </w:t>
      </w:r>
      <w:r>
        <w:rPr>
          <w:rFonts w:ascii="Arial" w:cs="Arial" w:eastAsia="Arial" w:hAnsi="Arial"/>
          <w:sz w:val="16"/>
          <w:szCs w:val="16"/>
          <w:color w:val="000000"/>
        </w:rPr>
        <w:t>We are</w:t>
      </w:r>
      <w:r>
        <w:rPr>
          <w:rFonts w:ascii="Arial" w:cs="Arial" w:eastAsia="Arial" w:hAnsi="Arial"/>
          <w:sz w:val="16"/>
          <w:szCs w:val="16"/>
          <w:b w:val="1"/>
          <w:bCs w:val="1"/>
          <w:color w:val="170D67"/>
        </w:rPr>
        <w:t xml:space="preserve"> </w:t>
      </w:r>
      <w:r>
        <w:rPr>
          <w:rFonts w:ascii="Arial" w:cs="Arial" w:eastAsia="Arial" w:hAnsi="Arial"/>
          <w:sz w:val="16"/>
          <w:szCs w:val="16"/>
          <w:color w:val="000000"/>
        </w:rPr>
        <w:t>committed to doing what’s right. A deep connection to the communities we serve compels us to take responsibility for our work, and we actively look for ways to engage and give back. We value the environment and work to reduce our impact with future generations in mind.</w:t>
      </w:r>
    </w:p>
    <w:p>
      <w:pPr>
        <w:spacing w:after="0" w:line="59" w:lineRule="exact"/>
        <w:rPr>
          <w:sz w:val="20"/>
          <w:szCs w:val="20"/>
          <w:color w:val="auto"/>
        </w:rPr>
      </w:pPr>
    </w:p>
    <w:p>
      <w:pPr>
        <w:jc w:val="both"/>
        <w:ind w:left="20" w:right="2419"/>
        <w:spacing w:after="0" w:line="292" w:lineRule="auto"/>
        <w:rPr>
          <w:sz w:val="20"/>
          <w:szCs w:val="20"/>
          <w:color w:val="auto"/>
        </w:rPr>
      </w:pPr>
      <w:r>
        <w:rPr>
          <w:rFonts w:ascii="Arial" w:cs="Arial" w:eastAsia="Arial" w:hAnsi="Arial"/>
          <w:sz w:val="16"/>
          <w:szCs w:val="16"/>
          <w:b w:val="1"/>
          <w:bCs w:val="1"/>
          <w:color w:val="170D67"/>
        </w:rPr>
        <w:t xml:space="preserve">We Succeed as an Inclusive and Diverse Team. </w:t>
      </w:r>
      <w:r>
        <w:rPr>
          <w:rFonts w:ascii="Arial" w:cs="Arial" w:eastAsia="Arial" w:hAnsi="Arial"/>
          <w:sz w:val="16"/>
          <w:szCs w:val="16"/>
          <w:color w:val="000000"/>
        </w:rPr>
        <w:t>We foster an inclusive culture of trust, collaboration, and</w:t>
      </w:r>
      <w:r>
        <w:rPr>
          <w:rFonts w:ascii="Arial" w:cs="Arial" w:eastAsia="Arial" w:hAnsi="Arial"/>
          <w:sz w:val="16"/>
          <w:szCs w:val="16"/>
          <w:b w:val="1"/>
          <w:bCs w:val="1"/>
          <w:color w:val="170D67"/>
        </w:rPr>
        <w:t xml:space="preserve"> </w:t>
      </w:r>
      <w:r>
        <w:rPr>
          <w:rFonts w:ascii="Arial" w:cs="Arial" w:eastAsia="Arial" w:hAnsi="Arial"/>
          <w:sz w:val="16"/>
          <w:szCs w:val="16"/>
          <w:color w:val="000000"/>
        </w:rPr>
        <w:t>performance. We welcome and respect people with different perspectives, backgrounds, and traits because we know that diverse teams drive powerful outcomes.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80" w:hanging="454"/>
        <w:spacing w:after="0"/>
        <w:tabs>
          <w:tab w:leader="none" w:pos="480"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3"/>
          <w:szCs w:val="13"/>
          <w:b w:val="1"/>
          <w:bCs w:val="1"/>
          <w:color w:val="auto"/>
        </w:rPr>
        <w:t>About Exelon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Exelon’s Strategy</w:t>
      </w:r>
    </w:p>
    <w:p>
      <w:pPr>
        <w:spacing w:after="0" w:line="122"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Exelon’s strategy is to improve reliability and operations, enhance the customer experience, and advance clean and affordable energy choices, while ensuring ratemaking mechanisms provide the utilities fair financial returns. Exelon seeks to leverage its scale and expertise across its platform through enhanced standardization and sharing of resources and best practices to achieve strong operational and financial results. Exelon is focused on maintaining industry leading operational excellence, meeting or exceeding our financial commitments, ensuring timely recovery on investments to enable customer benefits, supporting clean energy policies including those that advance our jurisdictions' clean energy targets, and continuing our commitment to corporate responsibility.</w:t>
      </w:r>
    </w:p>
    <w:p>
      <w:pPr>
        <w:spacing w:after="0" w:line="80"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Exelon’s T&amp;D energy companies are positioned to deliver smart, clean, reliable, affordable, and resilient energy to our customers while continuing to foster economic opportunity and equity in the communities we serve. At Exelon, we are committed to innovation, best-in-class performance and thought leadership to help drive progress for our customers and communities.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2024 Financial and Operational Accomplishments</w:t>
      </w:r>
    </w:p>
    <w:p>
      <w:pPr>
        <w:spacing w:after="0" w:line="122" w:lineRule="exact"/>
        <w:rPr>
          <w:sz w:val="20"/>
          <w:szCs w:val="20"/>
          <w:color w:val="auto"/>
        </w:rPr>
      </w:pPr>
    </w:p>
    <w:p>
      <w:pPr>
        <w:ind w:left="200" w:right="680" w:hanging="192"/>
        <w:spacing w:after="0" w:line="321" w:lineRule="auto"/>
        <w:tabs>
          <w:tab w:leader="none" w:pos="170" w:val="left"/>
        </w:tabs>
        <w:numPr>
          <w:ilvl w:val="0"/>
          <w:numId w:val="8"/>
        </w:numPr>
        <w:rPr>
          <w:rFonts w:ascii="Arial" w:cs="Arial" w:eastAsia="Arial" w:hAnsi="Arial"/>
          <w:sz w:val="16"/>
          <w:szCs w:val="16"/>
          <w:b w:val="1"/>
          <w:bCs w:val="1"/>
          <w:color w:val="170D67"/>
        </w:rPr>
      </w:pPr>
      <w:r>
        <w:rPr>
          <w:rFonts w:ascii="Arial" w:cs="Arial" w:eastAsia="Arial" w:hAnsi="Arial"/>
          <w:sz w:val="16"/>
          <w:szCs w:val="16"/>
          <w:color w:val="auto"/>
        </w:rPr>
        <w:t>Delivered GAAP earnings of $2.45 per share and adjusted (non-GAAP) operating earnings* of $2.50 per share, achieving results at the top of the guidance range</w:t>
      </w:r>
    </w:p>
    <w:p>
      <w:pPr>
        <w:spacing w:after="0" w:line="7" w:lineRule="exact"/>
        <w:rPr>
          <w:rFonts w:ascii="Arial" w:cs="Arial" w:eastAsia="Arial" w:hAnsi="Arial"/>
          <w:sz w:val="16"/>
          <w:szCs w:val="16"/>
          <w:b w:val="1"/>
          <w:bCs w:val="1"/>
          <w:color w:val="170D67"/>
        </w:rPr>
      </w:pPr>
    </w:p>
    <w:p>
      <w:pPr>
        <w:ind w:left="180" w:hanging="172"/>
        <w:spacing w:after="0"/>
        <w:tabs>
          <w:tab w:leader="none" w:pos="180" w:val="left"/>
        </w:tabs>
        <w:numPr>
          <w:ilvl w:val="0"/>
          <w:numId w:val="8"/>
        </w:numPr>
        <w:rPr>
          <w:rFonts w:ascii="Arial" w:cs="Arial" w:eastAsia="Arial" w:hAnsi="Arial"/>
          <w:sz w:val="16"/>
          <w:szCs w:val="16"/>
          <w:b w:val="1"/>
          <w:bCs w:val="1"/>
          <w:color w:val="170D67"/>
        </w:rPr>
      </w:pPr>
      <w:r>
        <w:rPr>
          <w:rFonts w:ascii="Arial" w:cs="Arial" w:eastAsia="Arial" w:hAnsi="Arial"/>
          <w:sz w:val="16"/>
          <w:szCs w:val="16"/>
          <w:color w:val="auto"/>
        </w:rPr>
        <w:t>Distributed common dividend of $1.52 per share, in line with the 60% we have communicated as part of our capital allocation policy</w:t>
      </w:r>
    </w:p>
    <w:p>
      <w:pPr>
        <w:spacing w:after="0" w:line="86" w:lineRule="exact"/>
        <w:rPr>
          <w:rFonts w:ascii="Arial" w:cs="Arial" w:eastAsia="Arial" w:hAnsi="Arial"/>
          <w:sz w:val="16"/>
          <w:szCs w:val="16"/>
          <w:b w:val="1"/>
          <w:bCs w:val="1"/>
          <w:color w:val="170D67"/>
        </w:rPr>
      </w:pPr>
    </w:p>
    <w:p>
      <w:pPr>
        <w:ind w:left="200" w:right="60" w:hanging="192"/>
        <w:spacing w:after="0" w:line="321" w:lineRule="auto"/>
        <w:tabs>
          <w:tab w:leader="none" w:pos="170" w:val="left"/>
        </w:tabs>
        <w:numPr>
          <w:ilvl w:val="0"/>
          <w:numId w:val="8"/>
        </w:numPr>
        <w:rPr>
          <w:rFonts w:ascii="Arial" w:cs="Arial" w:eastAsia="Arial" w:hAnsi="Arial"/>
          <w:sz w:val="16"/>
          <w:szCs w:val="16"/>
          <w:b w:val="1"/>
          <w:bCs w:val="1"/>
          <w:color w:val="170D67"/>
        </w:rPr>
      </w:pPr>
      <w:r>
        <w:rPr>
          <w:rFonts w:ascii="Arial" w:cs="Arial" w:eastAsia="Arial" w:hAnsi="Arial"/>
          <w:sz w:val="16"/>
          <w:szCs w:val="16"/>
          <w:color w:val="auto"/>
        </w:rPr>
        <w:t>Top quartile or better operational performance at multiple utilities and ComEd received PA Consulting’s ReliabilityOne award for Most Reliable Utility in the Midwest</w:t>
      </w:r>
    </w:p>
    <w:p>
      <w:pPr>
        <w:spacing w:after="0" w:line="7" w:lineRule="exact"/>
        <w:rPr>
          <w:rFonts w:ascii="Arial" w:cs="Arial" w:eastAsia="Arial" w:hAnsi="Arial"/>
          <w:sz w:val="16"/>
          <w:szCs w:val="16"/>
          <w:b w:val="1"/>
          <w:bCs w:val="1"/>
          <w:color w:val="170D67"/>
        </w:rPr>
      </w:pPr>
    </w:p>
    <w:p>
      <w:pPr>
        <w:ind w:left="180" w:hanging="172"/>
        <w:spacing w:after="0"/>
        <w:tabs>
          <w:tab w:leader="none" w:pos="180" w:val="left"/>
        </w:tabs>
        <w:numPr>
          <w:ilvl w:val="0"/>
          <w:numId w:val="8"/>
        </w:numPr>
        <w:rPr>
          <w:rFonts w:ascii="Arial" w:cs="Arial" w:eastAsia="Arial" w:hAnsi="Arial"/>
          <w:sz w:val="16"/>
          <w:szCs w:val="16"/>
          <w:b w:val="1"/>
          <w:bCs w:val="1"/>
          <w:color w:val="170D67"/>
        </w:rPr>
      </w:pPr>
      <w:r>
        <w:rPr>
          <w:rFonts w:ascii="Arial" w:cs="Arial" w:eastAsia="Arial" w:hAnsi="Arial"/>
          <w:sz w:val="16"/>
          <w:szCs w:val="16"/>
          <w:color w:val="auto"/>
        </w:rPr>
        <w:t>Completed six distribution rate cases, including approval of ComEd’s refiled Grid Plan</w:t>
      </w:r>
    </w:p>
    <w:p>
      <w:pPr>
        <w:spacing w:after="0" w:line="99" w:lineRule="exact"/>
        <w:rPr>
          <w:rFonts w:ascii="Arial" w:cs="Arial" w:eastAsia="Arial" w:hAnsi="Arial"/>
          <w:sz w:val="16"/>
          <w:szCs w:val="16"/>
          <w:b w:val="1"/>
          <w:bCs w:val="1"/>
          <w:color w:val="170D67"/>
        </w:rPr>
      </w:pPr>
    </w:p>
    <w:p>
      <w:pPr>
        <w:ind w:left="180" w:hanging="172"/>
        <w:spacing w:after="0"/>
        <w:tabs>
          <w:tab w:leader="none" w:pos="180" w:val="left"/>
        </w:tabs>
        <w:numPr>
          <w:ilvl w:val="0"/>
          <w:numId w:val="8"/>
        </w:numPr>
        <w:rPr>
          <w:rFonts w:ascii="Arial" w:cs="Arial" w:eastAsia="Arial" w:hAnsi="Arial"/>
          <w:sz w:val="16"/>
          <w:szCs w:val="16"/>
          <w:b w:val="1"/>
          <w:bCs w:val="1"/>
          <w:color w:val="170D67"/>
        </w:rPr>
      </w:pPr>
      <w:r>
        <w:rPr>
          <w:rFonts w:ascii="Arial" w:cs="Arial" w:eastAsia="Arial" w:hAnsi="Arial"/>
          <w:sz w:val="16"/>
          <w:szCs w:val="16"/>
          <w:color w:val="auto"/>
        </w:rPr>
        <w:t>Strong focus on economic development in our jurisdictions, increasing our large load pipeline by over 250%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5480" w:type="dxa"/>
            <w:vAlign w:val="bottom"/>
          </w:tcPr>
          <w:p>
            <w:pPr>
              <w:spacing w:after="0"/>
              <w:rPr>
                <w:sz w:val="20"/>
                <w:szCs w:val="20"/>
                <w:color w:val="auto"/>
              </w:rPr>
            </w:pPr>
            <w:r>
              <w:rPr>
                <w:rFonts w:ascii="Arial" w:cs="Arial" w:eastAsia="Arial" w:hAnsi="Arial"/>
                <w:sz w:val="18"/>
                <w:szCs w:val="18"/>
                <w:b w:val="1"/>
                <w:bCs w:val="1"/>
                <w:color w:val="3A5CFF"/>
              </w:rPr>
              <w:t>Exelon At-A-Glance</w:t>
            </w:r>
            <w:r>
              <w:rPr>
                <w:rFonts w:ascii="Arial" w:cs="Arial" w:eastAsia="Arial" w:hAnsi="Arial"/>
                <w:sz w:val="23"/>
                <w:szCs w:val="23"/>
                <w:b w:val="1"/>
                <w:bCs w:val="1"/>
                <w:color w:val="3A5CFF"/>
                <w:vertAlign w:val="superscript"/>
              </w:rPr>
              <w:t>1</w:t>
            </w:r>
          </w:p>
        </w:tc>
        <w:tc>
          <w:tcPr>
            <w:tcW w:w="2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56"/>
        </w:trPr>
        <w:tc>
          <w:tcPr>
            <w:tcW w:w="5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80" w:type="dxa"/>
            <w:vAlign w:val="bottom"/>
          </w:tcPr>
          <w:p>
            <w:pPr>
              <w:spacing w:after="0"/>
              <w:rPr>
                <w:sz w:val="4"/>
                <w:szCs w:val="4"/>
                <w:color w:val="auto"/>
              </w:rPr>
            </w:pPr>
          </w:p>
        </w:tc>
      </w:tr>
      <w:tr>
        <w:trPr>
          <w:trHeight w:val="253"/>
        </w:trPr>
        <w:tc>
          <w:tcPr>
            <w:tcW w:w="5480" w:type="dxa"/>
            <w:vAlign w:val="bottom"/>
            <w:shd w:val="clear" w:color="auto" w:fill="E8E7EA"/>
          </w:tcPr>
          <w:p>
            <w:pPr>
              <w:ind w:left="20"/>
              <w:spacing w:after="0"/>
              <w:rPr>
                <w:sz w:val="20"/>
                <w:szCs w:val="20"/>
                <w:color w:val="auto"/>
              </w:rPr>
            </w:pPr>
            <w:r>
              <w:rPr>
                <w:rFonts w:ascii="Arial" w:cs="Arial" w:eastAsia="Arial" w:hAnsi="Arial"/>
                <w:sz w:val="18"/>
                <w:szCs w:val="18"/>
                <w:b w:val="1"/>
                <w:bCs w:val="1"/>
                <w:color w:val="170D67"/>
              </w:rPr>
              <w:t>6 T&amp;D-only energy companies</w:t>
            </w:r>
          </w:p>
        </w:tc>
        <w:tc>
          <w:tcPr>
            <w:tcW w:w="260" w:type="dxa"/>
            <w:vAlign w:val="bottom"/>
          </w:tcPr>
          <w:p>
            <w:pPr>
              <w:spacing w:after="0"/>
              <w:rPr>
                <w:sz w:val="21"/>
                <w:szCs w:val="21"/>
                <w:color w:val="auto"/>
              </w:rPr>
            </w:pPr>
          </w:p>
        </w:tc>
        <w:tc>
          <w:tcPr>
            <w:tcW w:w="5480" w:type="dxa"/>
            <w:vAlign w:val="bottom"/>
          </w:tcPr>
          <w:p>
            <w:pPr>
              <w:ind w:left="20"/>
              <w:spacing w:after="0"/>
              <w:rPr>
                <w:sz w:val="20"/>
                <w:szCs w:val="20"/>
                <w:color w:val="auto"/>
              </w:rPr>
            </w:pPr>
            <w:r>
              <w:rPr>
                <w:rFonts w:ascii="Arial" w:cs="Arial" w:eastAsia="Arial" w:hAnsi="Arial"/>
                <w:sz w:val="18"/>
                <w:szCs w:val="18"/>
                <w:b w:val="1"/>
                <w:bCs w:val="1"/>
                <w:color w:val="170D67"/>
              </w:rPr>
              <w:t>10.7 million</w:t>
            </w:r>
          </w:p>
        </w:tc>
      </w:tr>
      <w:tr>
        <w:trPr>
          <w:trHeight w:val="213"/>
        </w:trPr>
        <w:tc>
          <w:tcPr>
            <w:tcW w:w="5480" w:type="dxa"/>
            <w:vAlign w:val="bottom"/>
            <w:tcBorders>
              <w:bottom w:val="single" w:sz="8" w:color="E8E7EA"/>
            </w:tcBorders>
            <w:shd w:val="clear" w:color="auto" w:fill="E8E7EA"/>
          </w:tcPr>
          <w:p>
            <w:pPr>
              <w:ind w:left="20"/>
              <w:spacing w:after="0"/>
              <w:rPr>
                <w:sz w:val="20"/>
                <w:szCs w:val="20"/>
                <w:color w:val="auto"/>
              </w:rPr>
            </w:pPr>
            <w:r>
              <w:rPr>
                <w:rFonts w:ascii="Arial" w:cs="Arial" w:eastAsia="Arial" w:hAnsi="Arial"/>
                <w:sz w:val="15"/>
                <w:szCs w:val="15"/>
                <w:color w:val="auto"/>
              </w:rPr>
              <w:t>Operating within seven regulatory jurisdictions</w:t>
            </w:r>
          </w:p>
        </w:tc>
        <w:tc>
          <w:tcPr>
            <w:tcW w:w="26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Arial" w:cs="Arial" w:eastAsia="Arial" w:hAnsi="Arial"/>
                <w:sz w:val="15"/>
                <w:szCs w:val="15"/>
                <w:color w:val="auto"/>
              </w:rPr>
              <w:t>Electric and gas customers</w:t>
            </w:r>
          </w:p>
        </w:tc>
      </w:tr>
      <w:tr>
        <w:trPr>
          <w:trHeight w:val="253"/>
        </w:trPr>
        <w:tc>
          <w:tcPr>
            <w:tcW w:w="5480" w:type="dxa"/>
            <w:vAlign w:val="bottom"/>
          </w:tcPr>
          <w:p>
            <w:pPr>
              <w:ind w:left="20"/>
              <w:spacing w:after="0"/>
              <w:rPr>
                <w:sz w:val="20"/>
                <w:szCs w:val="20"/>
                <w:color w:val="auto"/>
              </w:rPr>
            </w:pPr>
            <w:r>
              <w:rPr>
                <w:rFonts w:ascii="Arial" w:cs="Arial" w:eastAsia="Arial" w:hAnsi="Arial"/>
                <w:sz w:val="18"/>
                <w:szCs w:val="18"/>
                <w:b w:val="1"/>
                <w:bCs w:val="1"/>
                <w:color w:val="170D67"/>
              </w:rPr>
              <w:t>4 major metro areas served</w:t>
            </w:r>
          </w:p>
        </w:tc>
        <w:tc>
          <w:tcPr>
            <w:tcW w:w="260" w:type="dxa"/>
            <w:vAlign w:val="bottom"/>
          </w:tcPr>
          <w:p>
            <w:pPr>
              <w:spacing w:after="0"/>
              <w:rPr>
                <w:sz w:val="21"/>
                <w:szCs w:val="21"/>
                <w:color w:val="auto"/>
              </w:rPr>
            </w:pPr>
          </w:p>
        </w:tc>
        <w:tc>
          <w:tcPr>
            <w:tcW w:w="5480" w:type="dxa"/>
            <w:vAlign w:val="bottom"/>
            <w:shd w:val="clear" w:color="auto" w:fill="E8E7EA"/>
          </w:tcPr>
          <w:p>
            <w:pPr>
              <w:ind w:left="20"/>
              <w:spacing w:after="0"/>
              <w:rPr>
                <w:sz w:val="20"/>
                <w:szCs w:val="20"/>
                <w:color w:val="auto"/>
              </w:rPr>
            </w:pPr>
            <w:r>
              <w:rPr>
                <w:rFonts w:ascii="Arial" w:cs="Arial" w:eastAsia="Arial" w:hAnsi="Arial"/>
                <w:sz w:val="18"/>
                <w:szCs w:val="18"/>
                <w:b w:val="1"/>
                <w:bCs w:val="1"/>
                <w:color w:val="170D67"/>
              </w:rPr>
              <w:t>$23.1 billion</w:t>
            </w:r>
          </w:p>
        </w:tc>
      </w:tr>
      <w:tr>
        <w:trPr>
          <w:trHeight w:val="213"/>
        </w:trPr>
        <w:tc>
          <w:tcPr>
            <w:tcW w:w="5480" w:type="dxa"/>
            <w:vAlign w:val="bottom"/>
          </w:tcPr>
          <w:p>
            <w:pPr>
              <w:ind w:left="20"/>
              <w:spacing w:after="0"/>
              <w:rPr>
                <w:sz w:val="20"/>
                <w:szCs w:val="20"/>
                <w:color w:val="auto"/>
              </w:rPr>
            </w:pPr>
            <w:r>
              <w:rPr>
                <w:rFonts w:ascii="Arial" w:cs="Arial" w:eastAsia="Arial" w:hAnsi="Arial"/>
                <w:sz w:val="15"/>
                <w:szCs w:val="15"/>
                <w:color w:val="auto"/>
              </w:rPr>
              <w:t>Chicago, Philadelphia, Baltimore, and Washington D.C.</w:t>
            </w:r>
          </w:p>
        </w:tc>
        <w:tc>
          <w:tcPr>
            <w:tcW w:w="260" w:type="dxa"/>
            <w:vAlign w:val="bottom"/>
          </w:tcPr>
          <w:p>
            <w:pPr>
              <w:spacing w:after="0"/>
              <w:rPr>
                <w:sz w:val="18"/>
                <w:szCs w:val="18"/>
                <w:color w:val="auto"/>
              </w:rPr>
            </w:pPr>
          </w:p>
        </w:tc>
        <w:tc>
          <w:tcPr>
            <w:tcW w:w="5480" w:type="dxa"/>
            <w:vAlign w:val="bottom"/>
            <w:tcBorders>
              <w:bottom w:val="single" w:sz="8" w:color="E8E7EA"/>
            </w:tcBorders>
            <w:shd w:val="clear" w:color="auto" w:fill="E8E7EA"/>
          </w:tcPr>
          <w:p>
            <w:pPr>
              <w:ind w:left="20"/>
              <w:spacing w:after="0"/>
              <w:rPr>
                <w:sz w:val="20"/>
                <w:szCs w:val="20"/>
                <w:color w:val="auto"/>
              </w:rPr>
            </w:pPr>
            <w:r>
              <w:rPr>
                <w:rFonts w:ascii="Arial" w:cs="Arial" w:eastAsia="Arial" w:hAnsi="Arial"/>
                <w:sz w:val="15"/>
                <w:szCs w:val="15"/>
                <w:color w:val="auto"/>
              </w:rPr>
              <w:t>Operating revenues recorded at our utilities in 2024</w:t>
            </w:r>
          </w:p>
        </w:tc>
      </w:tr>
      <w:tr>
        <w:trPr>
          <w:trHeight w:val="253"/>
        </w:trPr>
        <w:tc>
          <w:tcPr>
            <w:tcW w:w="5480" w:type="dxa"/>
            <w:vAlign w:val="bottom"/>
            <w:shd w:val="clear" w:color="auto" w:fill="E8E7EA"/>
          </w:tcPr>
          <w:p>
            <w:pPr>
              <w:ind w:left="20"/>
              <w:spacing w:after="0"/>
              <w:rPr>
                <w:sz w:val="20"/>
                <w:szCs w:val="20"/>
                <w:color w:val="auto"/>
              </w:rPr>
            </w:pPr>
            <w:r>
              <w:rPr>
                <w:rFonts w:ascii="Arial" w:cs="Arial" w:eastAsia="Arial" w:hAnsi="Arial"/>
                <w:sz w:val="18"/>
                <w:szCs w:val="18"/>
                <w:b w:val="1"/>
                <w:bCs w:val="1"/>
                <w:color w:val="170D67"/>
              </w:rPr>
              <w:t>20,000</w:t>
            </w:r>
          </w:p>
        </w:tc>
        <w:tc>
          <w:tcPr>
            <w:tcW w:w="260" w:type="dxa"/>
            <w:vAlign w:val="bottom"/>
          </w:tcPr>
          <w:p>
            <w:pPr>
              <w:spacing w:after="0"/>
              <w:rPr>
                <w:sz w:val="21"/>
                <w:szCs w:val="21"/>
                <w:color w:val="auto"/>
              </w:rPr>
            </w:pPr>
          </w:p>
        </w:tc>
        <w:tc>
          <w:tcPr>
            <w:tcW w:w="5480" w:type="dxa"/>
            <w:vAlign w:val="bottom"/>
          </w:tcPr>
          <w:p>
            <w:pPr>
              <w:ind w:left="20"/>
              <w:spacing w:after="0"/>
              <w:rPr>
                <w:sz w:val="20"/>
                <w:szCs w:val="20"/>
                <w:color w:val="auto"/>
              </w:rPr>
            </w:pPr>
            <w:r>
              <w:rPr>
                <w:rFonts w:ascii="Arial" w:cs="Arial" w:eastAsia="Arial" w:hAnsi="Arial"/>
                <w:sz w:val="18"/>
                <w:szCs w:val="18"/>
                <w:b w:val="1"/>
                <w:bCs w:val="1"/>
                <w:color w:val="170D67"/>
              </w:rPr>
              <w:t>$64.1 billion</w:t>
            </w:r>
          </w:p>
        </w:tc>
      </w:tr>
      <w:tr>
        <w:trPr>
          <w:trHeight w:val="213"/>
        </w:trPr>
        <w:tc>
          <w:tcPr>
            <w:tcW w:w="5480" w:type="dxa"/>
            <w:vAlign w:val="bottom"/>
            <w:tcBorders>
              <w:bottom w:val="single" w:sz="8" w:color="E8E7EA"/>
            </w:tcBorders>
            <w:shd w:val="clear" w:color="auto" w:fill="E8E7EA"/>
          </w:tcPr>
          <w:p>
            <w:pPr>
              <w:ind w:left="20"/>
              <w:spacing w:after="0"/>
              <w:rPr>
                <w:sz w:val="20"/>
                <w:szCs w:val="20"/>
                <w:color w:val="auto"/>
              </w:rPr>
            </w:pPr>
            <w:r>
              <w:rPr>
                <w:rFonts w:ascii="Arial" w:cs="Arial" w:eastAsia="Arial" w:hAnsi="Arial"/>
                <w:sz w:val="15"/>
                <w:szCs w:val="15"/>
                <w:color w:val="auto"/>
              </w:rPr>
              <w:t>Employees across our operating companies</w:t>
            </w:r>
          </w:p>
        </w:tc>
        <w:tc>
          <w:tcPr>
            <w:tcW w:w="26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Arial" w:cs="Arial" w:eastAsia="Arial" w:hAnsi="Arial"/>
                <w:sz w:val="15"/>
                <w:szCs w:val="15"/>
                <w:color w:val="auto"/>
              </w:rPr>
              <w:t>Rate base estimate for 2025</w:t>
            </w:r>
          </w:p>
        </w:tc>
      </w:tr>
      <w:tr>
        <w:trPr>
          <w:trHeight w:val="253"/>
        </w:trPr>
        <w:tc>
          <w:tcPr>
            <w:tcW w:w="5480" w:type="dxa"/>
            <w:vAlign w:val="bottom"/>
          </w:tcPr>
          <w:p>
            <w:pPr>
              <w:ind w:left="20"/>
              <w:spacing w:after="0"/>
              <w:rPr>
                <w:sz w:val="20"/>
                <w:szCs w:val="20"/>
                <w:color w:val="auto"/>
              </w:rPr>
            </w:pPr>
            <w:r>
              <w:rPr>
                <w:rFonts w:ascii="Arial" w:cs="Arial" w:eastAsia="Arial" w:hAnsi="Arial"/>
                <w:sz w:val="18"/>
                <w:szCs w:val="18"/>
                <w:b w:val="1"/>
                <w:bCs w:val="1"/>
                <w:color w:val="170D67"/>
              </w:rPr>
              <w:t>25,600</w:t>
            </w:r>
          </w:p>
        </w:tc>
        <w:tc>
          <w:tcPr>
            <w:tcW w:w="260" w:type="dxa"/>
            <w:vAlign w:val="bottom"/>
          </w:tcPr>
          <w:p>
            <w:pPr>
              <w:spacing w:after="0"/>
              <w:rPr>
                <w:sz w:val="21"/>
                <w:szCs w:val="21"/>
                <w:color w:val="auto"/>
              </w:rPr>
            </w:pPr>
          </w:p>
        </w:tc>
        <w:tc>
          <w:tcPr>
            <w:tcW w:w="5480" w:type="dxa"/>
            <w:vAlign w:val="bottom"/>
            <w:shd w:val="clear" w:color="auto" w:fill="E8E7EA"/>
          </w:tcPr>
          <w:p>
            <w:pPr>
              <w:ind w:left="20"/>
              <w:spacing w:after="0"/>
              <w:rPr>
                <w:sz w:val="20"/>
                <w:szCs w:val="20"/>
                <w:color w:val="auto"/>
              </w:rPr>
            </w:pPr>
            <w:r>
              <w:rPr>
                <w:rFonts w:ascii="Arial" w:cs="Arial" w:eastAsia="Arial" w:hAnsi="Arial"/>
                <w:sz w:val="18"/>
                <w:szCs w:val="18"/>
                <w:b w:val="1"/>
                <w:bCs w:val="1"/>
                <w:color w:val="170D67"/>
              </w:rPr>
              <w:t>$38.0 billion</w:t>
            </w:r>
          </w:p>
        </w:tc>
      </w:tr>
      <w:tr>
        <w:trPr>
          <w:trHeight w:val="200"/>
        </w:trPr>
        <w:tc>
          <w:tcPr>
            <w:tcW w:w="5480" w:type="dxa"/>
            <w:vAlign w:val="bottom"/>
          </w:tcPr>
          <w:p>
            <w:pPr>
              <w:ind w:left="20"/>
              <w:spacing w:after="0"/>
              <w:rPr>
                <w:sz w:val="20"/>
                <w:szCs w:val="20"/>
                <w:color w:val="auto"/>
              </w:rPr>
            </w:pPr>
            <w:r>
              <w:rPr>
                <w:rFonts w:ascii="Arial" w:cs="Arial" w:eastAsia="Arial" w:hAnsi="Arial"/>
                <w:sz w:val="15"/>
                <w:szCs w:val="15"/>
                <w:color w:val="auto"/>
              </w:rPr>
              <w:t>Square miles of combined service territory across our jurisdictions</w:t>
            </w:r>
          </w:p>
        </w:tc>
        <w:tc>
          <w:tcPr>
            <w:tcW w:w="260" w:type="dxa"/>
            <w:vAlign w:val="bottom"/>
          </w:tcPr>
          <w:p>
            <w:pPr>
              <w:spacing w:after="0"/>
              <w:rPr>
                <w:sz w:val="17"/>
                <w:szCs w:val="17"/>
                <w:color w:val="auto"/>
              </w:rPr>
            </w:pPr>
          </w:p>
        </w:tc>
        <w:tc>
          <w:tcPr>
            <w:tcW w:w="5480" w:type="dxa"/>
            <w:vAlign w:val="bottom"/>
            <w:shd w:val="clear" w:color="auto" w:fill="E8E7EA"/>
          </w:tcPr>
          <w:p>
            <w:pPr>
              <w:ind w:left="20"/>
              <w:spacing w:after="0"/>
              <w:rPr>
                <w:sz w:val="20"/>
                <w:szCs w:val="20"/>
                <w:color w:val="auto"/>
              </w:rPr>
            </w:pPr>
            <w:r>
              <w:rPr>
                <w:rFonts w:ascii="Arial" w:cs="Arial" w:eastAsia="Arial" w:hAnsi="Arial"/>
                <w:sz w:val="15"/>
                <w:szCs w:val="15"/>
                <w:color w:val="auto"/>
              </w:rPr>
              <w:t>Projected capital investment over 2025 through 2028</w:t>
            </w:r>
          </w:p>
        </w:tc>
      </w:tr>
      <w:tr>
        <w:trPr>
          <w:trHeight w:val="33"/>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80" w:type="dxa"/>
            <w:vAlign w:val="bottom"/>
            <w:shd w:val="clear" w:color="auto" w:fill="E8E7EA"/>
          </w:tcPr>
          <w:p>
            <w:pPr>
              <w:spacing w:after="0"/>
              <w:rPr>
                <w:sz w:val="2"/>
                <w:szCs w:val="2"/>
                <w:color w:val="auto"/>
              </w:rPr>
            </w:pPr>
          </w:p>
        </w:tc>
      </w:tr>
    </w:tbl>
    <w:p>
      <w:pPr>
        <w:spacing w:after="0" w:line="180" w:lineRule="exact"/>
        <w:rPr>
          <w:sz w:val="20"/>
          <w:szCs w:val="20"/>
          <w:color w:val="auto"/>
        </w:rPr>
      </w:pPr>
    </w:p>
    <w:p>
      <w:pPr>
        <w:ind w:left="260" w:hanging="252"/>
        <w:spacing w:after="0"/>
        <w:tabs>
          <w:tab w:leader="none" w:pos="260" w:val="left"/>
        </w:tabs>
        <w:numPr>
          <w:ilvl w:val="0"/>
          <w:numId w:val="9"/>
        </w:numPr>
        <w:rPr>
          <w:rFonts w:ascii="Arial" w:cs="Arial" w:eastAsia="Arial" w:hAnsi="Arial"/>
          <w:sz w:val="8"/>
          <w:szCs w:val="8"/>
          <w:color w:val="auto"/>
        </w:rPr>
      </w:pPr>
      <w:r>
        <w:rPr>
          <w:rFonts w:ascii="Arial" w:cs="Arial" w:eastAsia="Arial" w:hAnsi="Arial"/>
          <w:sz w:val="14"/>
          <w:szCs w:val="14"/>
          <w:color w:val="auto"/>
        </w:rPr>
        <w:t>Figures are as of December 31, 2024 and may be rounded.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The Exelon family of companies includes:</w:t>
      </w:r>
    </w:p>
    <w:p>
      <w:pPr>
        <w:spacing w:after="0" w:line="122" w:lineRule="exact"/>
        <w:rPr>
          <w:sz w:val="20"/>
          <w:szCs w:val="20"/>
          <w:color w:val="auto"/>
        </w:rPr>
      </w:pPr>
    </w:p>
    <w:p>
      <w:pPr>
        <w:spacing w:after="0"/>
        <w:tabs>
          <w:tab w:leader="none" w:pos="2620" w:val="left"/>
        </w:tabs>
        <w:rPr>
          <w:sz w:val="20"/>
          <w:szCs w:val="20"/>
          <w:color w:val="auto"/>
        </w:rPr>
      </w:pPr>
      <w:r>
        <w:rPr>
          <w:rFonts w:ascii="Arial" w:cs="Arial" w:eastAsia="Arial" w:hAnsi="Arial"/>
          <w:sz w:val="16"/>
          <w:szCs w:val="16"/>
          <w:b w:val="1"/>
          <w:bCs w:val="1"/>
          <w:color w:val="170D67"/>
        </w:rPr>
        <w:t xml:space="preserve">• </w:t>
      </w:r>
      <w:r>
        <w:rPr>
          <w:rFonts w:ascii="Arial" w:cs="Arial" w:eastAsia="Arial" w:hAnsi="Arial"/>
          <w:sz w:val="16"/>
          <w:szCs w:val="16"/>
          <w:color w:val="170D67"/>
        </w:rPr>
        <w:t>Atlantic City Electric (</w:t>
      </w:r>
      <w:r>
        <w:rPr>
          <w:rFonts w:ascii="Arial" w:cs="Arial" w:eastAsia="Arial" w:hAnsi="Arial"/>
          <w:sz w:val="16"/>
          <w:szCs w:val="16"/>
          <w:b w:val="1"/>
          <w:bCs w:val="1"/>
          <w:color w:val="170D67"/>
        </w:rPr>
        <w:t>ACE</w:t>
      </w:r>
      <w:r>
        <w:rPr>
          <w:rFonts w:ascii="Arial" w:cs="Arial" w:eastAsia="Arial" w:hAnsi="Arial"/>
          <w:sz w:val="16"/>
          <w:szCs w:val="16"/>
          <w:color w:val="170D67"/>
        </w:rPr>
        <w:t>)</w:t>
      </w:r>
      <w:r>
        <w:rPr>
          <w:sz w:val="20"/>
          <w:szCs w:val="20"/>
          <w:color w:val="auto"/>
        </w:rPr>
        <w:tab/>
      </w:r>
      <w:r>
        <w:rPr>
          <w:rFonts w:ascii="Arial" w:cs="Arial" w:eastAsia="Arial" w:hAnsi="Arial"/>
          <w:sz w:val="16"/>
          <w:szCs w:val="16"/>
          <w:i w:val="1"/>
          <w:iCs w:val="1"/>
          <w:color w:val="auto"/>
        </w:rPr>
        <w:t>Electricity in southern New Jersey</w:t>
      </w:r>
    </w:p>
    <w:p>
      <w:pPr>
        <w:spacing w:after="0" w:line="127"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6"/>
          <w:szCs w:val="16"/>
          <w:b w:val="1"/>
          <w:bCs w:val="1"/>
          <w:color w:val="170D67"/>
        </w:rPr>
      </w:pPr>
      <w:r>
        <w:rPr>
          <w:rFonts w:ascii="Arial" w:cs="Arial" w:eastAsia="Arial" w:hAnsi="Arial"/>
          <w:sz w:val="16"/>
          <w:szCs w:val="16"/>
          <w:color w:val="170D67"/>
        </w:rPr>
        <w:t>Baltimore Gas and Electric (</w:t>
      </w:r>
      <w:r>
        <w:rPr>
          <w:rFonts w:ascii="Arial" w:cs="Arial" w:eastAsia="Arial" w:hAnsi="Arial"/>
          <w:sz w:val="16"/>
          <w:szCs w:val="16"/>
          <w:b w:val="1"/>
          <w:bCs w:val="1"/>
          <w:color w:val="170D67"/>
        </w:rPr>
        <w:t>BGE</w:t>
      </w:r>
      <w:r>
        <w:rPr>
          <w:rFonts w:ascii="Arial" w:cs="Arial" w:eastAsia="Arial" w:hAnsi="Arial"/>
          <w:sz w:val="16"/>
          <w:szCs w:val="16"/>
          <w:color w:val="170D67"/>
        </w:rPr>
        <w:t>)</w:t>
      </w:r>
      <w:r>
        <w:rPr>
          <w:rFonts w:ascii="Arial" w:cs="Arial" w:eastAsia="Arial" w:hAnsi="Arial"/>
          <w:sz w:val="16"/>
          <w:szCs w:val="16"/>
          <w:i w:val="1"/>
          <w:iCs w:val="1"/>
          <w:color w:val="auto"/>
        </w:rPr>
        <w:t>Electricity and natural gas in central Maryland, including Baltimore</w:t>
      </w:r>
    </w:p>
    <w:p>
      <w:pPr>
        <w:spacing w:after="0" w:line="140" w:lineRule="exact"/>
        <w:rPr>
          <w:rFonts w:ascii="Arial" w:cs="Arial" w:eastAsia="Arial" w:hAnsi="Arial"/>
          <w:sz w:val="16"/>
          <w:szCs w:val="16"/>
          <w:b w:val="1"/>
          <w:bCs w:val="1"/>
          <w:color w:val="170D67"/>
        </w:rPr>
      </w:pPr>
    </w:p>
    <w:p>
      <w:pPr>
        <w:ind w:left="180" w:hanging="172"/>
        <w:spacing w:after="0"/>
        <w:tabs>
          <w:tab w:leader="none" w:pos="180" w:val="left"/>
        </w:tabs>
        <w:numPr>
          <w:ilvl w:val="0"/>
          <w:numId w:val="10"/>
        </w:numPr>
        <w:rPr>
          <w:rFonts w:ascii="Arial" w:cs="Arial" w:eastAsia="Arial" w:hAnsi="Arial"/>
          <w:sz w:val="16"/>
          <w:szCs w:val="16"/>
          <w:b w:val="1"/>
          <w:bCs w:val="1"/>
          <w:color w:val="170D67"/>
        </w:rPr>
      </w:pPr>
      <w:r>
        <w:rPr>
          <w:rFonts w:ascii="Arial" w:cs="Arial" w:eastAsia="Arial" w:hAnsi="Arial"/>
          <w:sz w:val="16"/>
          <w:szCs w:val="16"/>
          <w:color w:val="170D67"/>
        </w:rPr>
        <w:t>Commonwealth Edison (</w:t>
      </w:r>
      <w:r>
        <w:rPr>
          <w:rFonts w:ascii="Arial" w:cs="Arial" w:eastAsia="Arial" w:hAnsi="Arial"/>
          <w:sz w:val="16"/>
          <w:szCs w:val="16"/>
          <w:b w:val="1"/>
          <w:bCs w:val="1"/>
          <w:color w:val="170D67"/>
        </w:rPr>
        <w:t>ComEd</w:t>
      </w:r>
      <w:r>
        <w:rPr>
          <w:rFonts w:ascii="Arial" w:cs="Arial" w:eastAsia="Arial" w:hAnsi="Arial"/>
          <w:sz w:val="16"/>
          <w:szCs w:val="16"/>
          <w:color w:val="170D67"/>
        </w:rPr>
        <w:t>)</w:t>
      </w:r>
      <w:r>
        <w:rPr>
          <w:rFonts w:ascii="Arial" w:cs="Arial" w:eastAsia="Arial" w:hAnsi="Arial"/>
          <w:sz w:val="16"/>
          <w:szCs w:val="16"/>
          <w:i w:val="1"/>
          <w:iCs w:val="1"/>
          <w:color w:val="auto"/>
        </w:rPr>
        <w:t>Electricity in northern Illinois, including Chicago</w:t>
      </w:r>
    </w:p>
    <w:p>
      <w:pPr>
        <w:spacing w:after="0" w:line="126" w:lineRule="exact"/>
        <w:rPr>
          <w:rFonts w:ascii="Arial" w:cs="Arial" w:eastAsia="Arial" w:hAnsi="Arial"/>
          <w:sz w:val="16"/>
          <w:szCs w:val="16"/>
          <w:b w:val="1"/>
          <w:bCs w:val="1"/>
          <w:color w:val="170D67"/>
        </w:rPr>
      </w:pPr>
    </w:p>
    <w:p>
      <w:pPr>
        <w:ind w:left="180" w:hanging="172"/>
        <w:spacing w:after="0"/>
        <w:tabs>
          <w:tab w:leader="none" w:pos="180" w:val="left"/>
        </w:tabs>
        <w:numPr>
          <w:ilvl w:val="0"/>
          <w:numId w:val="10"/>
        </w:numPr>
        <w:rPr>
          <w:rFonts w:ascii="Arial" w:cs="Arial" w:eastAsia="Arial" w:hAnsi="Arial"/>
          <w:sz w:val="16"/>
          <w:szCs w:val="16"/>
          <w:b w:val="1"/>
          <w:bCs w:val="1"/>
          <w:color w:val="170D67"/>
        </w:rPr>
      </w:pPr>
      <w:r>
        <w:rPr>
          <w:rFonts w:ascii="Arial" w:cs="Arial" w:eastAsia="Arial" w:hAnsi="Arial"/>
          <w:sz w:val="16"/>
          <w:szCs w:val="16"/>
          <w:color w:val="170D67"/>
        </w:rPr>
        <w:t>Delmarva Power &amp; Light (</w:t>
      </w:r>
      <w:r>
        <w:rPr>
          <w:rFonts w:ascii="Arial" w:cs="Arial" w:eastAsia="Arial" w:hAnsi="Arial"/>
          <w:sz w:val="16"/>
          <w:szCs w:val="16"/>
          <w:b w:val="1"/>
          <w:bCs w:val="1"/>
          <w:color w:val="170D67"/>
        </w:rPr>
        <w:t>DPL</w:t>
      </w:r>
      <w:r>
        <w:rPr>
          <w:rFonts w:ascii="Arial" w:cs="Arial" w:eastAsia="Arial" w:hAnsi="Arial"/>
          <w:sz w:val="16"/>
          <w:szCs w:val="16"/>
          <w:color w:val="170D67"/>
        </w:rPr>
        <w:t>)</w:t>
      </w:r>
      <w:r>
        <w:rPr>
          <w:rFonts w:ascii="Arial" w:cs="Arial" w:eastAsia="Arial" w:hAnsi="Arial"/>
          <w:sz w:val="16"/>
          <w:szCs w:val="16"/>
          <w:i w:val="1"/>
          <w:iCs w:val="1"/>
          <w:color w:val="auto"/>
        </w:rPr>
        <w:t>Electricity and natural gas in Delaware and electricity in Maryland</w:t>
      </w:r>
    </w:p>
    <w:p>
      <w:pPr>
        <w:spacing w:after="0" w:line="140" w:lineRule="exact"/>
        <w:rPr>
          <w:rFonts w:ascii="Arial" w:cs="Arial" w:eastAsia="Arial" w:hAnsi="Arial"/>
          <w:sz w:val="16"/>
          <w:szCs w:val="16"/>
          <w:b w:val="1"/>
          <w:bCs w:val="1"/>
          <w:color w:val="170D67"/>
        </w:rPr>
      </w:pPr>
    </w:p>
    <w:p>
      <w:pPr>
        <w:ind w:left="180" w:hanging="172"/>
        <w:spacing w:after="0"/>
        <w:tabs>
          <w:tab w:leader="none" w:pos="180" w:val="left"/>
        </w:tabs>
        <w:numPr>
          <w:ilvl w:val="0"/>
          <w:numId w:val="10"/>
        </w:numPr>
        <w:rPr>
          <w:rFonts w:ascii="Arial" w:cs="Arial" w:eastAsia="Arial" w:hAnsi="Arial"/>
          <w:sz w:val="16"/>
          <w:szCs w:val="16"/>
          <w:b w:val="1"/>
          <w:bCs w:val="1"/>
          <w:color w:val="170D67"/>
        </w:rPr>
      </w:pPr>
      <w:r>
        <w:rPr>
          <w:rFonts w:ascii="Arial" w:cs="Arial" w:eastAsia="Arial" w:hAnsi="Arial"/>
          <w:sz w:val="16"/>
          <w:szCs w:val="16"/>
          <w:color w:val="170D67"/>
        </w:rPr>
        <w:t>PECO Energy Company (</w:t>
      </w:r>
      <w:r>
        <w:rPr>
          <w:rFonts w:ascii="Arial" w:cs="Arial" w:eastAsia="Arial" w:hAnsi="Arial"/>
          <w:sz w:val="16"/>
          <w:szCs w:val="16"/>
          <w:b w:val="1"/>
          <w:bCs w:val="1"/>
          <w:color w:val="170D67"/>
        </w:rPr>
        <w:t>PECO</w:t>
      </w:r>
      <w:r>
        <w:rPr>
          <w:rFonts w:ascii="Arial" w:cs="Arial" w:eastAsia="Arial" w:hAnsi="Arial"/>
          <w:sz w:val="16"/>
          <w:szCs w:val="16"/>
          <w:color w:val="170D67"/>
        </w:rPr>
        <w:t>)</w:t>
      </w:r>
      <w:r>
        <w:rPr>
          <w:rFonts w:ascii="Arial" w:cs="Arial" w:eastAsia="Arial" w:hAnsi="Arial"/>
          <w:sz w:val="16"/>
          <w:szCs w:val="16"/>
          <w:i w:val="1"/>
          <w:iCs w:val="1"/>
          <w:color w:val="auto"/>
        </w:rPr>
        <w:t>Electricity and natural gas in southeastern Pennsylvania, including Philadelphia</w:t>
      </w:r>
    </w:p>
    <w:p>
      <w:pPr>
        <w:spacing w:after="0" w:line="140" w:lineRule="exact"/>
        <w:rPr>
          <w:sz w:val="20"/>
          <w:szCs w:val="20"/>
          <w:color w:val="auto"/>
        </w:rPr>
      </w:pPr>
    </w:p>
    <w:p>
      <w:pPr>
        <w:spacing w:after="0"/>
        <w:tabs>
          <w:tab w:leader="none" w:pos="3420" w:val="left"/>
        </w:tabs>
        <w:rPr>
          <w:sz w:val="20"/>
          <w:szCs w:val="20"/>
          <w:color w:val="auto"/>
        </w:rPr>
      </w:pPr>
      <w:r>
        <w:rPr>
          <w:rFonts w:ascii="Arial" w:cs="Arial" w:eastAsia="Arial" w:hAnsi="Arial"/>
          <w:sz w:val="16"/>
          <w:szCs w:val="16"/>
          <w:b w:val="1"/>
          <w:bCs w:val="1"/>
          <w:color w:val="170D67"/>
        </w:rPr>
        <w:t xml:space="preserve">• </w:t>
      </w:r>
      <w:r>
        <w:rPr>
          <w:rFonts w:ascii="Arial" w:cs="Arial" w:eastAsia="Arial" w:hAnsi="Arial"/>
          <w:sz w:val="16"/>
          <w:szCs w:val="16"/>
          <w:color w:val="170D67"/>
        </w:rPr>
        <w:t>Potomac Electric Power Company (</w:t>
      </w:r>
      <w:r>
        <w:rPr>
          <w:rFonts w:ascii="Arial" w:cs="Arial" w:eastAsia="Arial" w:hAnsi="Arial"/>
          <w:sz w:val="16"/>
          <w:szCs w:val="16"/>
          <w:b w:val="1"/>
          <w:bCs w:val="1"/>
          <w:color w:val="170D67"/>
        </w:rPr>
        <w:t>Pepco</w:t>
      </w:r>
      <w:r>
        <w:rPr>
          <w:rFonts w:ascii="Arial" w:cs="Arial" w:eastAsia="Arial" w:hAnsi="Arial"/>
          <w:sz w:val="16"/>
          <w:szCs w:val="16"/>
          <w:color w:val="170D67"/>
        </w:rPr>
        <w:t>)</w:t>
      </w:r>
      <w:r>
        <w:rPr>
          <w:sz w:val="20"/>
          <w:szCs w:val="20"/>
          <w:color w:val="auto"/>
        </w:rPr>
        <w:tab/>
      </w:r>
      <w:r>
        <w:rPr>
          <w:rFonts w:ascii="Arial" w:cs="Arial" w:eastAsia="Arial" w:hAnsi="Arial"/>
          <w:sz w:val="16"/>
          <w:szCs w:val="16"/>
          <w:i w:val="1"/>
          <w:iCs w:val="1"/>
          <w:color w:val="auto"/>
        </w:rPr>
        <w:t>Electricity in Washington D.C. and Maryland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60" w:type="dxa"/>
            <w:vAlign w:val="bottom"/>
          </w:tcPr>
          <w:p>
            <w:pPr>
              <w:ind w:left="8780"/>
              <w:spacing w:after="0"/>
              <w:rPr>
                <w:sz w:val="20"/>
                <w:szCs w:val="20"/>
                <w:color w:val="auto"/>
              </w:rPr>
            </w:pPr>
            <w:r>
              <w:rPr>
                <w:rFonts w:ascii="Arial" w:cs="Arial" w:eastAsia="Arial" w:hAnsi="Arial"/>
                <w:sz w:val="14"/>
                <w:szCs w:val="14"/>
                <w:color w:val="auto"/>
              </w:rPr>
              <w:t>2025 ׀ Exelon Proxy Statement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5</w:t>
            </w:r>
          </w:p>
        </w:tc>
      </w:tr>
      <w:tr>
        <w:trPr>
          <w:trHeight w:val="225"/>
        </w:trPr>
        <w:tc>
          <w:tcPr>
            <w:tcW w:w="1096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color w:val="auto"/>
        </w:rPr>
        <w:t>About Exelon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Energy At Its Best</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highlights some of the key issues that are core to Exelon’s strategy and culture.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Leading the Way to a Sustainable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Commitment to Sustainability</w:t>
      </w:r>
    </w:p>
    <w:p>
      <w:pPr>
        <w:spacing w:after="0" w:line="122"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Sustainability continues to be fundamental to our business strategy. Exelon is an advocate for meaningful climate policies in all of our jurisdictions, and Exelon’s utilities are effectively promoting energy efficiency programs and integration of customer renewables into our distribution systems. Exelon is a pure-play T&amp;D utility company that does not own power generation. This allows Exelon to focus on customer and community interest in clean, reliable, and affordable energy delivery systems. As the nation’s largest T&amp;D company by number of customers served, we have the size and scale to help lead the energy transformation and power the economic health and well-being of the large metropolitan areas we serve, while advocating for energy equity.</w:t>
      </w:r>
    </w:p>
    <w:p>
      <w:pPr>
        <w:spacing w:after="0" w:line="8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Exelon’s culture of embracing and empowering innovation and new technologies enables us to help shape new solutions and deliver sustainable value while building the integrated energy system of the future. We bring together passionate employees and external experts to develop innovative solutions to address our biggest business challenges. New technologies and business approaches help drive operational excellence and improve services for our customers.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about our business strategy and sustainability practices, please refer to the Exelon Sustainability Report posted on our website at:</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b w:val="1"/>
          <w:bCs w:val="1"/>
          <w:color w:val="170D67"/>
        </w:rPr>
        <w:t>www.exeloncorp.com/sustainability</w:t>
      </w:r>
      <w:r>
        <w:rPr>
          <w:rFonts w:ascii="Arial" w:cs="Arial" w:eastAsia="Arial" w:hAnsi="Arial"/>
          <w:sz w:val="16"/>
          <w:szCs w:val="16"/>
          <w:color w:val="000000"/>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Focus on Innovation and Preparing for the Future of Energy Delivery</w:t>
      </w:r>
    </w:p>
    <w:p>
      <w:pPr>
        <w:spacing w:after="0" w:line="122" w:lineRule="exact"/>
        <w:rPr>
          <w:sz w:val="20"/>
          <w:szCs w:val="20"/>
          <w:color w:val="auto"/>
        </w:rPr>
      </w:pPr>
    </w:p>
    <w:p>
      <w:pPr>
        <w:ind w:left="200" w:right="200" w:hanging="192"/>
        <w:spacing w:after="0" w:line="321" w:lineRule="auto"/>
        <w:tabs>
          <w:tab w:leader="none" w:pos="17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Energy System Resilience: </w:t>
      </w:r>
      <w:r>
        <w:rPr>
          <w:rFonts w:ascii="Arial" w:cs="Arial" w:eastAsia="Arial" w:hAnsi="Arial"/>
          <w:sz w:val="16"/>
          <w:szCs w:val="16"/>
          <w:color w:val="auto"/>
        </w:rPr>
        <w:t>Resilient systems support energy delivery through modernized and well-maintained T&amp;D systems and investments in new</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customer-facing technologies that enable adaptability and flexibility.</w:t>
      </w:r>
    </w:p>
    <w:p>
      <w:pPr>
        <w:spacing w:after="0" w:line="7" w:lineRule="exact"/>
        <w:rPr>
          <w:rFonts w:ascii="Arial" w:cs="Arial" w:eastAsia="Arial" w:hAnsi="Arial"/>
          <w:sz w:val="16"/>
          <w:szCs w:val="16"/>
          <w:b w:val="1"/>
          <w:bCs w:val="1"/>
          <w:color w:val="auto"/>
        </w:rPr>
      </w:pPr>
    </w:p>
    <w:p>
      <w:pPr>
        <w:ind w:left="200" w:right="440" w:hanging="192"/>
        <w:spacing w:after="0" w:line="304" w:lineRule="auto"/>
        <w:tabs>
          <w:tab w:leader="none" w:pos="17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Investments in Infrastructure: </w:t>
      </w:r>
      <w:r>
        <w:rPr>
          <w:rFonts w:ascii="Arial" w:cs="Arial" w:eastAsia="Arial" w:hAnsi="Arial"/>
          <w:sz w:val="16"/>
          <w:szCs w:val="16"/>
          <w:color w:val="auto"/>
        </w:rPr>
        <w:t>Continued investments in the electric grid – including preparing for increasing levels of electrification and distributed</w:t>
      </w:r>
      <w:r>
        <w:rPr>
          <w:rFonts w:ascii="Arial" w:cs="Arial" w:eastAsia="Arial" w:hAnsi="Arial"/>
          <w:sz w:val="16"/>
          <w:szCs w:val="16"/>
          <w:b w:val="1"/>
          <w:bCs w:val="1"/>
          <w:color w:val="auto"/>
        </w:rPr>
        <w:t xml:space="preserve"> </w:t>
      </w:r>
      <w:r>
        <w:rPr>
          <w:rFonts w:ascii="Arial" w:cs="Arial" w:eastAsia="Arial" w:hAnsi="Arial"/>
          <w:sz w:val="16"/>
          <w:szCs w:val="16"/>
          <w:color w:val="auto"/>
        </w:rPr>
        <w:t>energy resources – and in gas infrastructure enable reliable and more efficient transmission and distribution of energy to our customers.</w:t>
      </w:r>
    </w:p>
    <w:p>
      <w:pPr>
        <w:spacing w:after="0" w:line="19" w:lineRule="exact"/>
        <w:rPr>
          <w:rFonts w:ascii="Arial" w:cs="Arial" w:eastAsia="Arial" w:hAnsi="Arial"/>
          <w:sz w:val="16"/>
          <w:szCs w:val="16"/>
          <w:b w:val="1"/>
          <w:bCs w:val="1"/>
          <w:color w:val="auto"/>
        </w:rPr>
      </w:pPr>
    </w:p>
    <w:p>
      <w:pPr>
        <w:jc w:val="both"/>
        <w:ind w:left="200" w:right="340" w:hanging="192"/>
        <w:spacing w:after="0" w:line="301" w:lineRule="auto"/>
        <w:tabs>
          <w:tab w:leader="none" w:pos="17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Innovative Solutions: </w:t>
      </w:r>
      <w:r>
        <w:rPr>
          <w:rFonts w:ascii="Arial" w:cs="Arial" w:eastAsia="Arial" w:hAnsi="Arial"/>
          <w:sz w:val="16"/>
          <w:szCs w:val="16"/>
          <w:color w:val="auto"/>
        </w:rPr>
        <w:t>In support of our net-zero operations-driven greenhouse gas (GHG) emissions goal, as well as our communities’ clean energy</w:t>
      </w:r>
      <w:r>
        <w:rPr>
          <w:rFonts w:ascii="Arial" w:cs="Arial" w:eastAsia="Arial" w:hAnsi="Arial"/>
          <w:sz w:val="16"/>
          <w:szCs w:val="16"/>
          <w:b w:val="1"/>
          <w:bCs w:val="1"/>
          <w:color w:val="auto"/>
        </w:rPr>
        <w:t xml:space="preserve"> </w:t>
      </w:r>
      <w:r>
        <w:rPr>
          <w:rFonts w:ascii="Arial" w:cs="Arial" w:eastAsia="Arial" w:hAnsi="Arial"/>
          <w:sz w:val="16"/>
          <w:szCs w:val="16"/>
          <w:color w:val="auto"/>
        </w:rPr>
        <w:t>goals, Exelon is working to advance new and emerging technologies that will be needed to achieve deep decarbonization ambitions, from low carbon fuels to grid flexibility.</w:t>
      </w:r>
    </w:p>
    <w:p>
      <w:pPr>
        <w:spacing w:after="0" w:line="23" w:lineRule="exact"/>
        <w:rPr>
          <w:rFonts w:ascii="Arial" w:cs="Arial" w:eastAsia="Arial" w:hAnsi="Arial"/>
          <w:sz w:val="16"/>
          <w:szCs w:val="16"/>
          <w:b w:val="1"/>
          <w:bCs w:val="1"/>
          <w:color w:val="auto"/>
        </w:rPr>
      </w:pPr>
    </w:p>
    <w:p>
      <w:pPr>
        <w:ind w:left="200" w:right="40" w:hanging="192"/>
        <w:spacing w:after="0" w:line="304" w:lineRule="auto"/>
        <w:tabs>
          <w:tab w:leader="none" w:pos="17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Beneficial Electrification: </w:t>
      </w:r>
      <w:r>
        <w:rPr>
          <w:rFonts w:ascii="Arial" w:cs="Arial" w:eastAsia="Arial" w:hAnsi="Arial"/>
          <w:sz w:val="16"/>
          <w:szCs w:val="16"/>
          <w:color w:val="auto"/>
        </w:rPr>
        <w:t>Beneficial electrification combined with a decarbonized electric grid is foundational to meeting decarbonization goals, and also</w:t>
      </w:r>
      <w:r>
        <w:rPr>
          <w:rFonts w:ascii="Arial" w:cs="Arial" w:eastAsia="Arial" w:hAnsi="Arial"/>
          <w:sz w:val="16"/>
          <w:szCs w:val="16"/>
          <w:b w:val="1"/>
          <w:bCs w:val="1"/>
          <w:color w:val="auto"/>
        </w:rPr>
        <w:t xml:space="preserve"> </w:t>
      </w:r>
      <w:r>
        <w:rPr>
          <w:rFonts w:ascii="Arial" w:cs="Arial" w:eastAsia="Arial" w:hAnsi="Arial"/>
          <w:sz w:val="16"/>
          <w:szCs w:val="16"/>
          <w:color w:val="auto"/>
        </w:rPr>
        <w:t>presents growth opportunities in transportation, industrial, residential, and commercial building sectors aligned with our strategic objectives.</w:t>
      </w:r>
    </w:p>
    <w:p>
      <w:pPr>
        <w:spacing w:after="0" w:line="19" w:lineRule="exact"/>
        <w:rPr>
          <w:rFonts w:ascii="Arial" w:cs="Arial" w:eastAsia="Arial" w:hAnsi="Arial"/>
          <w:sz w:val="16"/>
          <w:szCs w:val="16"/>
          <w:b w:val="1"/>
          <w:bCs w:val="1"/>
          <w:color w:val="auto"/>
        </w:rPr>
      </w:pPr>
    </w:p>
    <w:p>
      <w:pPr>
        <w:ind w:left="200" w:right="340" w:hanging="192"/>
        <w:spacing w:after="0" w:line="321" w:lineRule="auto"/>
        <w:tabs>
          <w:tab w:leader="none" w:pos="17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Community Engagement: </w:t>
      </w:r>
      <w:r>
        <w:rPr>
          <w:rFonts w:ascii="Arial" w:cs="Arial" w:eastAsia="Arial" w:hAnsi="Arial"/>
          <w:sz w:val="16"/>
          <w:szCs w:val="16"/>
          <w:color w:val="auto"/>
        </w:rPr>
        <w:t>Exelon considers community needs in its business decisions to enable customers, business partners and members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community to fully and equitably participate in, and benefit from, social, environmental and economic progress.</w:t>
      </w:r>
    </w:p>
    <w:p>
      <w:pPr>
        <w:spacing w:after="0" w:line="7" w:lineRule="exact"/>
        <w:rPr>
          <w:rFonts w:ascii="Arial" w:cs="Arial" w:eastAsia="Arial" w:hAnsi="Arial"/>
          <w:sz w:val="16"/>
          <w:szCs w:val="16"/>
          <w:b w:val="1"/>
          <w:bCs w:val="1"/>
          <w:color w:val="auto"/>
        </w:rPr>
      </w:pPr>
    </w:p>
    <w:p>
      <w:pPr>
        <w:ind w:left="200" w:right="140" w:hanging="192"/>
        <w:spacing w:after="0" w:line="283" w:lineRule="auto"/>
        <w:tabs>
          <w:tab w:leader="none" w:pos="17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Addressing Climate Change: </w:t>
      </w:r>
      <w:r>
        <w:rPr>
          <w:rFonts w:ascii="Arial" w:cs="Arial" w:eastAsia="Arial" w:hAnsi="Arial"/>
          <w:sz w:val="16"/>
          <w:szCs w:val="16"/>
          <w:color w:val="auto"/>
        </w:rPr>
        <w:t>Climate change exacerbates many system challenges, such as storm restoration, and presents risks to energy system</w:t>
      </w:r>
      <w:r>
        <w:rPr>
          <w:rFonts w:ascii="Arial" w:cs="Arial" w:eastAsia="Arial" w:hAnsi="Arial"/>
          <w:sz w:val="16"/>
          <w:szCs w:val="16"/>
          <w:b w:val="1"/>
          <w:bCs w:val="1"/>
          <w:color w:val="auto"/>
        </w:rPr>
        <w:t xml:space="preserve"> </w:t>
      </w:r>
      <w:r>
        <w:rPr>
          <w:rFonts w:ascii="Arial" w:cs="Arial" w:eastAsia="Arial" w:hAnsi="Arial"/>
          <w:sz w:val="16"/>
          <w:szCs w:val="16"/>
          <w:color w:val="auto"/>
        </w:rPr>
        <w:t>resilience. However, efforts to mitigate climate change also present business opportunities such as integration of lower carbon energy sources and distributed resources. Through scenario planning, Exelon has developed and will continue to develop plans to manage risks and pursue opportunities to benefit customers.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Board Oversight of Sustainability and Climate Change</w:t>
      </w:r>
    </w:p>
    <w:p>
      <w:pPr>
        <w:spacing w:after="0" w:line="122"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The Corporate Governance Committee (CGC) of the Exelon Board of Directors (the Board) is tasked with overseeing sustainability and climate change strategies and efforts to protect and improve the environment. In addition to regular engagement with management, the CGC receives a comprehensive annual briefing on issues such as our GHG emission reduction goals, strategies for a decarbonized economy, and investor interest in sustainability practices and reporting. While the CGC has primary oversight, the interdisciplinary nature of these issues leads to discussions about the Company’s efforts in managing these topics by the other Committees as well. Because sustainability is a core part of our business strategy, environmental, climate-related, and other sustainability topics are inherently part of the full Board’s discussions on many topics, including long-term planning, financial risks, policy issues, and other transformational changes occurring in the energy industry.</w:t>
      </w:r>
    </w:p>
    <w:p>
      <w:pPr>
        <w:spacing w:after="0" w:line="200" w:lineRule="exact"/>
        <w:rPr>
          <w:sz w:val="20"/>
          <w:szCs w:val="20"/>
          <w:color w:val="auto"/>
        </w:rPr>
      </w:pPr>
    </w:p>
    <w:p>
      <w:pPr>
        <w:spacing w:after="0" w:line="398" w:lineRule="exact"/>
        <w:rPr>
          <w:sz w:val="20"/>
          <w:szCs w:val="20"/>
          <w:color w:val="auto"/>
        </w:rPr>
      </w:pPr>
    </w:p>
    <w:p>
      <w:pPr>
        <w:ind w:left="480" w:hanging="454"/>
        <w:spacing w:after="0"/>
        <w:tabs>
          <w:tab w:leader="none" w:pos="480"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jc w:val="right"/>
        <w:spacing w:after="0"/>
        <w:rPr>
          <w:sz w:val="20"/>
          <w:szCs w:val="20"/>
          <w:color w:val="auto"/>
        </w:rPr>
      </w:pPr>
      <w:r>
        <w:rPr>
          <w:rFonts w:ascii="Arial" w:cs="Arial" w:eastAsia="Arial" w:hAnsi="Arial"/>
          <w:sz w:val="13"/>
          <w:szCs w:val="13"/>
          <w:b w:val="1"/>
          <w:bCs w:val="1"/>
          <w:color w:val="auto"/>
        </w:rPr>
        <w:t>About Exelon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Path to Clean</w:t>
      </w:r>
    </w:p>
    <w:p>
      <w:pPr>
        <w:spacing w:after="0" w:line="122"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In 2021, we announced our goal to reduce our operations-driven emissions 50% by 2030 and ultimately to net-zero by 2050 as part of our continuing efforts to address the climate crisis.</w:t>
      </w:r>
    </w:p>
    <w:p>
      <w:pPr>
        <w:spacing w:after="0" w:line="48" w:lineRule="exact"/>
        <w:rPr>
          <w:sz w:val="20"/>
          <w:szCs w:val="20"/>
          <w:color w:val="auto"/>
        </w:rPr>
      </w:pPr>
    </w:p>
    <w:p>
      <w:pPr>
        <w:ind w:right="680"/>
        <w:spacing w:after="0" w:line="283" w:lineRule="auto"/>
        <w:rPr>
          <w:sz w:val="20"/>
          <w:szCs w:val="20"/>
          <w:color w:val="auto"/>
        </w:rPr>
      </w:pPr>
      <w:r>
        <w:rPr>
          <w:rFonts w:ascii="Arial" w:cs="Arial" w:eastAsia="Arial" w:hAnsi="Arial"/>
          <w:sz w:val="16"/>
          <w:szCs w:val="16"/>
          <w:color w:val="auto"/>
        </w:rPr>
        <w:t>Our goal focuses first on how we can lead by example by continuing to reduce GHG emissions from our own operations, and also reinforces our commitment to support our customers and communities in achieving their decarbonization ambitions through access to clean and affordable energy solutions. This goal builds on our longstanding commitment to tackle climate change and power a healthy, sustainable future for our customers and communities.</w:t>
      </w:r>
    </w:p>
    <w:p>
      <w:pPr>
        <w:spacing w:after="0" w:line="77" w:lineRule="exact"/>
        <w:rPr>
          <w:sz w:val="20"/>
          <w:szCs w:val="20"/>
          <w:color w:val="auto"/>
        </w:rPr>
      </w:pPr>
    </w:p>
    <w:p>
      <w:pPr>
        <w:ind w:right="420"/>
        <w:spacing w:after="0" w:line="304" w:lineRule="auto"/>
        <w:rPr>
          <w:sz w:val="20"/>
          <w:szCs w:val="20"/>
          <w:color w:val="auto"/>
        </w:rPr>
      </w:pPr>
      <w:r>
        <w:rPr>
          <w:rFonts w:ascii="Arial" w:cs="Arial" w:eastAsia="Arial" w:hAnsi="Arial"/>
          <w:sz w:val="16"/>
          <w:szCs w:val="16"/>
          <w:color w:val="auto"/>
        </w:rPr>
        <w:t>Exelon has line of sight to achieving approximately 80% of the targeted reductions leveraging existing tools and resources and is proactively working to support industry efforts to develop solutions to address the remaining 20%.</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Operations-Driven Goals </w:t>
      </w:r>
      <w:r>
        <w:rPr>
          <w:rFonts w:ascii="Arial" w:cs="Arial" w:eastAsia="Arial" w:hAnsi="Arial"/>
          <w:sz w:val="16"/>
          <w:szCs w:val="16"/>
          <w:color w:val="auto"/>
        </w:rPr>
        <w:t>- Scope 1 and Operations-driven Scope 2 Emissions</w:t>
      </w:r>
    </w:p>
    <w:p>
      <w:pPr>
        <w:spacing w:after="0" w:line="140"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color w:val="auto"/>
        </w:rPr>
        <w:t>To meet our goal of a 50% reduction in operations-driven GHG emissions by 2030, as well as make progress toward our 2050 goal of net-zero emissions from operations, we are taking actions in the following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7123430" cy="6172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3430" cy="617220"/>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840" w:type="dxa"/>
            <w:vAlign w:val="bottom"/>
            <w:shd w:val="clear" w:color="auto" w:fill="E8E7EA"/>
          </w:tcPr>
          <w:p>
            <w:pPr>
              <w:jc w:val="center"/>
              <w:spacing w:after="0"/>
              <w:rPr>
                <w:sz w:val="20"/>
                <w:szCs w:val="20"/>
                <w:color w:val="auto"/>
              </w:rPr>
            </w:pPr>
            <w:r>
              <w:rPr>
                <w:rFonts w:ascii="Arial" w:cs="Arial" w:eastAsia="Arial" w:hAnsi="Arial"/>
                <w:sz w:val="16"/>
                <w:szCs w:val="16"/>
                <w:b w:val="1"/>
                <w:bCs w:val="1"/>
                <w:color w:val="170D67"/>
              </w:rPr>
              <w:t>Electrifying 30% of our</w:t>
            </w:r>
          </w:p>
        </w:tc>
        <w:tc>
          <w:tcPr>
            <w:tcW w:w="2680" w:type="dxa"/>
            <w:vAlign w:val="bottom"/>
            <w:shd w:val="clear" w:color="auto" w:fill="E8E7EA"/>
          </w:tcPr>
          <w:p>
            <w:pPr>
              <w:jc w:val="center"/>
              <w:spacing w:after="0"/>
              <w:rPr>
                <w:sz w:val="20"/>
                <w:szCs w:val="20"/>
                <w:color w:val="auto"/>
              </w:rPr>
            </w:pPr>
            <w:r>
              <w:rPr>
                <w:rFonts w:ascii="Arial" w:cs="Arial" w:eastAsia="Arial" w:hAnsi="Arial"/>
                <w:sz w:val="16"/>
                <w:szCs w:val="16"/>
                <w:b w:val="1"/>
                <w:bCs w:val="1"/>
                <w:color w:val="170D67"/>
              </w:rPr>
              <w:t>Increasing energy</w:t>
            </w:r>
          </w:p>
        </w:tc>
        <w:tc>
          <w:tcPr>
            <w:tcW w:w="2880" w:type="dxa"/>
            <w:vAlign w:val="bottom"/>
            <w:vMerge w:val="restart"/>
            <w:shd w:val="clear" w:color="auto" w:fill="E8E7EA"/>
          </w:tcPr>
          <w:p>
            <w:pPr>
              <w:jc w:val="center"/>
              <w:spacing w:after="0"/>
              <w:rPr>
                <w:sz w:val="20"/>
                <w:szCs w:val="20"/>
                <w:color w:val="auto"/>
              </w:rPr>
            </w:pPr>
            <w:r>
              <w:rPr>
                <w:rFonts w:ascii="Arial" w:cs="Arial" w:eastAsia="Arial" w:hAnsi="Arial"/>
                <w:sz w:val="16"/>
                <w:szCs w:val="16"/>
                <w:b w:val="1"/>
                <w:bCs w:val="1"/>
                <w:color w:val="170D67"/>
              </w:rPr>
              <w:t>Investing in equipment and</w:t>
            </w:r>
          </w:p>
        </w:tc>
        <w:tc>
          <w:tcPr>
            <w:tcW w:w="2780" w:type="dxa"/>
            <w:vAlign w:val="bottom"/>
            <w:shd w:val="clear" w:color="auto" w:fill="E8E7EA"/>
          </w:tcPr>
          <w:p>
            <w:pPr>
              <w:jc w:val="center"/>
              <w:spacing w:after="0"/>
              <w:rPr>
                <w:sz w:val="20"/>
                <w:szCs w:val="20"/>
                <w:color w:val="auto"/>
              </w:rPr>
            </w:pPr>
            <w:r>
              <w:rPr>
                <w:rFonts w:ascii="Arial" w:cs="Arial" w:eastAsia="Arial" w:hAnsi="Arial"/>
                <w:sz w:val="16"/>
                <w:szCs w:val="16"/>
                <w:b w:val="1"/>
                <w:bCs w:val="1"/>
                <w:color w:val="170D67"/>
              </w:rPr>
              <w:t>Modernizing natural gas</w:t>
            </w:r>
          </w:p>
        </w:tc>
        <w:tc>
          <w:tcPr>
            <w:tcW w:w="0" w:type="dxa"/>
            <w:vAlign w:val="bottom"/>
          </w:tcPr>
          <w:p>
            <w:pPr>
              <w:spacing w:after="0"/>
              <w:rPr>
                <w:sz w:val="1"/>
                <w:szCs w:val="1"/>
                <w:color w:val="auto"/>
              </w:rPr>
            </w:pPr>
          </w:p>
        </w:tc>
      </w:tr>
      <w:tr>
        <w:trPr>
          <w:trHeight w:val="94"/>
        </w:trPr>
        <w:tc>
          <w:tcPr>
            <w:tcW w:w="2840" w:type="dxa"/>
            <w:vAlign w:val="bottom"/>
            <w:vMerge w:val="restart"/>
            <w:shd w:val="clear" w:color="auto" w:fill="E8E7EA"/>
          </w:tcPr>
          <w:p>
            <w:pPr>
              <w:jc w:val="center"/>
              <w:spacing w:after="0"/>
              <w:rPr>
                <w:sz w:val="20"/>
                <w:szCs w:val="20"/>
                <w:color w:val="auto"/>
              </w:rPr>
            </w:pPr>
            <w:r>
              <w:rPr>
                <w:rFonts w:ascii="Arial" w:cs="Arial" w:eastAsia="Arial" w:hAnsi="Arial"/>
                <w:sz w:val="16"/>
                <w:szCs w:val="16"/>
                <w:b w:val="1"/>
                <w:bCs w:val="1"/>
                <w:color w:val="170D67"/>
              </w:rPr>
              <w:t>light and heavy-duty</w:t>
            </w:r>
          </w:p>
        </w:tc>
        <w:tc>
          <w:tcPr>
            <w:tcW w:w="2680" w:type="dxa"/>
            <w:vAlign w:val="bottom"/>
            <w:vMerge w:val="restart"/>
            <w:shd w:val="clear" w:color="auto" w:fill="E8E7EA"/>
          </w:tcPr>
          <w:p>
            <w:pPr>
              <w:jc w:val="center"/>
              <w:spacing w:after="0"/>
              <w:rPr>
                <w:sz w:val="20"/>
                <w:szCs w:val="20"/>
                <w:color w:val="auto"/>
              </w:rPr>
            </w:pPr>
            <w:r>
              <w:rPr>
                <w:rFonts w:ascii="Arial" w:cs="Arial" w:eastAsia="Arial" w:hAnsi="Arial"/>
                <w:sz w:val="16"/>
                <w:szCs w:val="16"/>
                <w:b w:val="1"/>
                <w:bCs w:val="1"/>
                <w:color w:val="170D67"/>
              </w:rPr>
              <w:t>efficiency and utilizing</w:t>
            </w:r>
          </w:p>
        </w:tc>
        <w:tc>
          <w:tcPr>
            <w:tcW w:w="2880" w:type="dxa"/>
            <w:vAlign w:val="bottom"/>
            <w:vMerge w:val="continue"/>
            <w:shd w:val="clear" w:color="auto" w:fill="E8E7EA"/>
          </w:tcPr>
          <w:p>
            <w:pPr>
              <w:spacing w:after="0"/>
              <w:rPr>
                <w:sz w:val="8"/>
                <w:szCs w:val="8"/>
                <w:color w:val="auto"/>
              </w:rPr>
            </w:pPr>
          </w:p>
        </w:tc>
        <w:tc>
          <w:tcPr>
            <w:tcW w:w="2780" w:type="dxa"/>
            <w:vAlign w:val="bottom"/>
            <w:vMerge w:val="restart"/>
            <w:shd w:val="clear" w:color="auto" w:fill="E8E7EA"/>
          </w:tcPr>
          <w:p>
            <w:pPr>
              <w:jc w:val="center"/>
              <w:spacing w:after="0"/>
              <w:rPr>
                <w:sz w:val="20"/>
                <w:szCs w:val="20"/>
                <w:color w:val="auto"/>
              </w:rPr>
            </w:pPr>
            <w:r>
              <w:rPr>
                <w:rFonts w:ascii="Arial" w:cs="Arial" w:eastAsia="Arial" w:hAnsi="Arial"/>
                <w:sz w:val="16"/>
                <w:szCs w:val="16"/>
                <w:b w:val="1"/>
                <w:bCs w:val="1"/>
                <w:color w:val="170D67"/>
              </w:rPr>
              <w:t>infrastructure to increase</w:t>
            </w:r>
          </w:p>
        </w:tc>
        <w:tc>
          <w:tcPr>
            <w:tcW w:w="0" w:type="dxa"/>
            <w:vAlign w:val="bottom"/>
          </w:tcPr>
          <w:p>
            <w:pPr>
              <w:spacing w:after="0"/>
              <w:rPr>
                <w:sz w:val="1"/>
                <w:szCs w:val="1"/>
                <w:color w:val="auto"/>
              </w:rPr>
            </w:pPr>
          </w:p>
        </w:tc>
      </w:tr>
      <w:tr>
        <w:trPr>
          <w:trHeight w:val="122"/>
        </w:trPr>
        <w:tc>
          <w:tcPr>
            <w:tcW w:w="2840" w:type="dxa"/>
            <w:vAlign w:val="bottom"/>
            <w:vMerge w:val="continue"/>
            <w:shd w:val="clear" w:color="auto" w:fill="E8E7EA"/>
          </w:tcPr>
          <w:p>
            <w:pPr>
              <w:spacing w:after="0"/>
              <w:rPr>
                <w:sz w:val="10"/>
                <w:szCs w:val="10"/>
                <w:color w:val="auto"/>
              </w:rPr>
            </w:pPr>
          </w:p>
        </w:tc>
        <w:tc>
          <w:tcPr>
            <w:tcW w:w="2680" w:type="dxa"/>
            <w:vAlign w:val="bottom"/>
            <w:vMerge w:val="continue"/>
            <w:shd w:val="clear" w:color="auto" w:fill="E8E7EA"/>
          </w:tcPr>
          <w:p>
            <w:pPr>
              <w:spacing w:after="0"/>
              <w:rPr>
                <w:sz w:val="10"/>
                <w:szCs w:val="10"/>
                <w:color w:val="auto"/>
              </w:rPr>
            </w:pPr>
          </w:p>
        </w:tc>
        <w:tc>
          <w:tcPr>
            <w:tcW w:w="2880" w:type="dxa"/>
            <w:vAlign w:val="bottom"/>
            <w:vMerge w:val="restart"/>
            <w:shd w:val="clear" w:color="auto" w:fill="E8E7EA"/>
          </w:tcPr>
          <w:p>
            <w:pPr>
              <w:jc w:val="center"/>
              <w:spacing w:after="0"/>
              <w:rPr>
                <w:sz w:val="20"/>
                <w:szCs w:val="20"/>
                <w:color w:val="auto"/>
              </w:rPr>
            </w:pPr>
            <w:r>
              <w:rPr>
                <w:rFonts w:ascii="Arial" w:cs="Arial" w:eastAsia="Arial" w:hAnsi="Arial"/>
                <w:sz w:val="16"/>
                <w:szCs w:val="16"/>
                <w:b w:val="1"/>
                <w:bCs w:val="1"/>
                <w:color w:val="170D67"/>
              </w:rPr>
              <w:t>processes to reduce SF6</w:t>
            </w:r>
          </w:p>
        </w:tc>
        <w:tc>
          <w:tcPr>
            <w:tcW w:w="2780" w:type="dxa"/>
            <w:vAlign w:val="bottom"/>
            <w:vMerge w:val="continue"/>
            <w:shd w:val="clear" w:color="auto" w:fill="E8E7EA"/>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840" w:type="dxa"/>
            <w:vAlign w:val="bottom"/>
            <w:vMerge w:val="restart"/>
            <w:shd w:val="clear" w:color="auto" w:fill="E8E7EA"/>
          </w:tcPr>
          <w:p>
            <w:pPr>
              <w:jc w:val="center"/>
              <w:spacing w:after="0"/>
              <w:rPr>
                <w:sz w:val="20"/>
                <w:szCs w:val="20"/>
                <w:color w:val="auto"/>
              </w:rPr>
            </w:pPr>
            <w:r>
              <w:rPr>
                <w:rFonts w:ascii="Arial" w:cs="Arial" w:eastAsia="Arial" w:hAnsi="Arial"/>
                <w:sz w:val="16"/>
                <w:szCs w:val="16"/>
                <w:b w:val="1"/>
                <w:bCs w:val="1"/>
                <w:color w:val="170D67"/>
              </w:rPr>
              <w:t>vehicle fleet by 2025 and</w:t>
            </w:r>
          </w:p>
        </w:tc>
        <w:tc>
          <w:tcPr>
            <w:tcW w:w="2680" w:type="dxa"/>
            <w:vAlign w:val="bottom"/>
            <w:vMerge w:val="restart"/>
            <w:shd w:val="clear" w:color="auto" w:fill="E8E7EA"/>
          </w:tcPr>
          <w:p>
            <w:pPr>
              <w:jc w:val="center"/>
              <w:spacing w:after="0"/>
              <w:rPr>
                <w:sz w:val="20"/>
                <w:szCs w:val="20"/>
                <w:color w:val="auto"/>
              </w:rPr>
            </w:pPr>
            <w:r>
              <w:rPr>
                <w:rFonts w:ascii="Arial" w:cs="Arial" w:eastAsia="Arial" w:hAnsi="Arial"/>
                <w:sz w:val="16"/>
                <w:szCs w:val="16"/>
                <w:b w:val="1"/>
                <w:bCs w:val="1"/>
                <w:color w:val="170D67"/>
              </w:rPr>
              <w:t>clean electricity for</w:t>
            </w:r>
          </w:p>
        </w:tc>
        <w:tc>
          <w:tcPr>
            <w:tcW w:w="2880" w:type="dxa"/>
            <w:vAlign w:val="bottom"/>
            <w:vMerge w:val="continue"/>
            <w:shd w:val="clear" w:color="auto" w:fill="E8E7EA"/>
          </w:tcPr>
          <w:p>
            <w:pPr>
              <w:spacing w:after="0"/>
              <w:rPr>
                <w:sz w:val="8"/>
                <w:szCs w:val="8"/>
                <w:color w:val="auto"/>
              </w:rPr>
            </w:pPr>
          </w:p>
        </w:tc>
        <w:tc>
          <w:tcPr>
            <w:tcW w:w="2780" w:type="dxa"/>
            <w:vAlign w:val="bottom"/>
            <w:vMerge w:val="restart"/>
            <w:shd w:val="clear" w:color="auto" w:fill="E8E7EA"/>
          </w:tcPr>
          <w:p>
            <w:pPr>
              <w:jc w:val="center"/>
              <w:spacing w:after="0"/>
              <w:rPr>
                <w:sz w:val="20"/>
                <w:szCs w:val="20"/>
                <w:color w:val="auto"/>
              </w:rPr>
            </w:pPr>
            <w:r>
              <w:rPr>
                <w:rFonts w:ascii="Arial" w:cs="Arial" w:eastAsia="Arial" w:hAnsi="Arial"/>
                <w:sz w:val="16"/>
                <w:szCs w:val="16"/>
                <w:b w:val="1"/>
                <w:bCs w:val="1"/>
                <w:color w:val="170D67"/>
              </w:rPr>
              <w:t>safety and reliability and to</w:t>
            </w:r>
          </w:p>
        </w:tc>
        <w:tc>
          <w:tcPr>
            <w:tcW w:w="0" w:type="dxa"/>
            <w:vAlign w:val="bottom"/>
          </w:tcPr>
          <w:p>
            <w:pPr>
              <w:spacing w:after="0"/>
              <w:rPr>
                <w:sz w:val="1"/>
                <w:szCs w:val="1"/>
                <w:color w:val="auto"/>
              </w:rPr>
            </w:pPr>
          </w:p>
        </w:tc>
      </w:tr>
      <w:tr>
        <w:trPr>
          <w:trHeight w:val="121"/>
        </w:trPr>
        <w:tc>
          <w:tcPr>
            <w:tcW w:w="2840" w:type="dxa"/>
            <w:vAlign w:val="bottom"/>
            <w:vMerge w:val="continue"/>
            <w:shd w:val="clear" w:color="auto" w:fill="E8E7EA"/>
          </w:tcPr>
          <w:p>
            <w:pPr>
              <w:spacing w:after="0"/>
              <w:rPr>
                <w:sz w:val="10"/>
                <w:szCs w:val="10"/>
                <w:color w:val="auto"/>
              </w:rPr>
            </w:pPr>
          </w:p>
        </w:tc>
        <w:tc>
          <w:tcPr>
            <w:tcW w:w="2680" w:type="dxa"/>
            <w:vAlign w:val="bottom"/>
            <w:vMerge w:val="continue"/>
            <w:shd w:val="clear" w:color="auto" w:fill="E8E7EA"/>
          </w:tcPr>
          <w:p>
            <w:pPr>
              <w:spacing w:after="0"/>
              <w:rPr>
                <w:sz w:val="10"/>
                <w:szCs w:val="10"/>
                <w:color w:val="auto"/>
              </w:rPr>
            </w:pPr>
          </w:p>
        </w:tc>
        <w:tc>
          <w:tcPr>
            <w:tcW w:w="2880" w:type="dxa"/>
            <w:vAlign w:val="bottom"/>
            <w:vMerge w:val="restart"/>
            <w:shd w:val="clear" w:color="auto" w:fill="E8E7EA"/>
          </w:tcPr>
          <w:p>
            <w:pPr>
              <w:jc w:val="center"/>
              <w:spacing w:after="0"/>
              <w:rPr>
                <w:sz w:val="20"/>
                <w:szCs w:val="20"/>
                <w:color w:val="auto"/>
              </w:rPr>
            </w:pPr>
            <w:r>
              <w:rPr>
                <w:rFonts w:ascii="Arial" w:cs="Arial" w:eastAsia="Arial" w:hAnsi="Arial"/>
                <w:sz w:val="16"/>
                <w:szCs w:val="16"/>
                <w:b w:val="1"/>
                <w:bCs w:val="1"/>
                <w:color w:val="170D67"/>
              </w:rPr>
              <w:t>leakage from our systems</w:t>
            </w:r>
          </w:p>
        </w:tc>
        <w:tc>
          <w:tcPr>
            <w:tcW w:w="2780" w:type="dxa"/>
            <w:vAlign w:val="bottom"/>
            <w:vMerge w:val="continue"/>
            <w:shd w:val="clear" w:color="auto" w:fill="E8E7EA"/>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840" w:type="dxa"/>
            <w:vAlign w:val="bottom"/>
            <w:vMerge w:val="restart"/>
            <w:shd w:val="clear" w:color="auto" w:fill="E8E7EA"/>
          </w:tcPr>
          <w:p>
            <w:pPr>
              <w:jc w:val="center"/>
              <w:spacing w:after="0"/>
              <w:rPr>
                <w:sz w:val="20"/>
                <w:szCs w:val="20"/>
                <w:color w:val="auto"/>
              </w:rPr>
            </w:pPr>
            <w:r>
              <w:rPr>
                <w:rFonts w:ascii="Arial" w:cs="Arial" w:eastAsia="Arial" w:hAnsi="Arial"/>
                <w:sz w:val="16"/>
                <w:szCs w:val="16"/>
                <w:b w:val="1"/>
                <w:bCs w:val="1"/>
                <w:color w:val="170D67"/>
              </w:rPr>
              <w:t>50% by 2030</w:t>
            </w:r>
          </w:p>
        </w:tc>
        <w:tc>
          <w:tcPr>
            <w:tcW w:w="2680" w:type="dxa"/>
            <w:vAlign w:val="bottom"/>
            <w:vMerge w:val="restart"/>
            <w:shd w:val="clear" w:color="auto" w:fill="E8E7EA"/>
          </w:tcPr>
          <w:p>
            <w:pPr>
              <w:jc w:val="center"/>
              <w:spacing w:after="0"/>
              <w:rPr>
                <w:sz w:val="20"/>
                <w:szCs w:val="20"/>
                <w:color w:val="auto"/>
              </w:rPr>
            </w:pPr>
            <w:r>
              <w:rPr>
                <w:rFonts w:ascii="Arial" w:cs="Arial" w:eastAsia="Arial" w:hAnsi="Arial"/>
                <w:sz w:val="16"/>
                <w:szCs w:val="16"/>
                <w:b w:val="1"/>
                <w:bCs w:val="1"/>
                <w:color w:val="170D67"/>
              </w:rPr>
              <w:t>buildings we own</w:t>
            </w:r>
          </w:p>
        </w:tc>
        <w:tc>
          <w:tcPr>
            <w:tcW w:w="2880" w:type="dxa"/>
            <w:vAlign w:val="bottom"/>
            <w:vMerge w:val="continue"/>
            <w:shd w:val="clear" w:color="auto" w:fill="E8E7EA"/>
          </w:tcPr>
          <w:p>
            <w:pPr>
              <w:spacing w:after="0"/>
              <w:rPr>
                <w:sz w:val="8"/>
                <w:szCs w:val="8"/>
                <w:color w:val="auto"/>
              </w:rPr>
            </w:pPr>
          </w:p>
        </w:tc>
        <w:tc>
          <w:tcPr>
            <w:tcW w:w="2780" w:type="dxa"/>
            <w:vAlign w:val="bottom"/>
            <w:vMerge w:val="restart"/>
            <w:shd w:val="clear" w:color="auto" w:fill="E8E7EA"/>
          </w:tcPr>
          <w:p>
            <w:pPr>
              <w:jc w:val="center"/>
              <w:spacing w:after="0"/>
              <w:rPr>
                <w:sz w:val="20"/>
                <w:szCs w:val="20"/>
                <w:color w:val="auto"/>
              </w:rPr>
            </w:pPr>
            <w:r>
              <w:rPr>
                <w:rFonts w:ascii="Arial" w:cs="Arial" w:eastAsia="Arial" w:hAnsi="Arial"/>
                <w:sz w:val="16"/>
                <w:szCs w:val="16"/>
                <w:b w:val="1"/>
                <w:bCs w:val="1"/>
                <w:color w:val="170D67"/>
              </w:rPr>
              <w:t>minimize methane leaks</w:t>
            </w:r>
          </w:p>
        </w:tc>
        <w:tc>
          <w:tcPr>
            <w:tcW w:w="0" w:type="dxa"/>
            <w:vAlign w:val="bottom"/>
          </w:tcPr>
          <w:p>
            <w:pPr>
              <w:spacing w:after="0"/>
              <w:rPr>
                <w:sz w:val="1"/>
                <w:szCs w:val="1"/>
                <w:color w:val="auto"/>
              </w:rPr>
            </w:pPr>
          </w:p>
        </w:tc>
      </w:tr>
      <w:tr>
        <w:trPr>
          <w:trHeight w:val="121"/>
        </w:trPr>
        <w:tc>
          <w:tcPr>
            <w:tcW w:w="2840" w:type="dxa"/>
            <w:vAlign w:val="bottom"/>
            <w:vMerge w:val="continue"/>
            <w:shd w:val="clear" w:color="auto" w:fill="E8E7EA"/>
          </w:tcPr>
          <w:p>
            <w:pPr>
              <w:spacing w:after="0"/>
              <w:rPr>
                <w:sz w:val="10"/>
                <w:szCs w:val="10"/>
                <w:color w:val="auto"/>
              </w:rPr>
            </w:pPr>
          </w:p>
        </w:tc>
        <w:tc>
          <w:tcPr>
            <w:tcW w:w="2680" w:type="dxa"/>
            <w:vAlign w:val="bottom"/>
            <w:vMerge w:val="continue"/>
            <w:shd w:val="clear" w:color="auto" w:fill="E8E7EA"/>
          </w:tcPr>
          <w:p>
            <w:pPr>
              <w:spacing w:after="0"/>
              <w:rPr>
                <w:sz w:val="10"/>
                <w:szCs w:val="10"/>
                <w:color w:val="auto"/>
              </w:rPr>
            </w:pPr>
          </w:p>
        </w:tc>
        <w:tc>
          <w:tcPr>
            <w:tcW w:w="2880" w:type="dxa"/>
            <w:vAlign w:val="bottom"/>
            <w:shd w:val="clear" w:color="auto" w:fill="E8E7EA"/>
          </w:tcPr>
          <w:p>
            <w:pPr>
              <w:spacing w:after="0"/>
              <w:rPr>
                <w:sz w:val="10"/>
                <w:szCs w:val="10"/>
                <w:color w:val="auto"/>
              </w:rPr>
            </w:pPr>
          </w:p>
        </w:tc>
        <w:tc>
          <w:tcPr>
            <w:tcW w:w="2780" w:type="dxa"/>
            <w:vAlign w:val="bottom"/>
            <w:vMerge w:val="continue"/>
            <w:shd w:val="clear" w:color="auto" w:fill="E8E7EA"/>
          </w:tcPr>
          <w:p>
            <w:pPr>
              <w:spacing w:after="0"/>
              <w:rPr>
                <w:sz w:val="10"/>
                <w:szCs w:val="10"/>
                <w:color w:val="auto"/>
              </w:rPr>
            </w:pPr>
          </w:p>
        </w:tc>
        <w:tc>
          <w:tcPr>
            <w:tcW w:w="0" w:type="dxa"/>
            <w:vAlign w:val="bottom"/>
          </w:tcPr>
          <w:p>
            <w:pPr>
              <w:spacing w:after="0"/>
              <w:rPr>
                <w:sz w:val="1"/>
                <w:szCs w:val="1"/>
                <w:color w:val="auto"/>
              </w:rPr>
            </w:pPr>
          </w:p>
        </w:tc>
      </w:tr>
      <w:tr>
        <w:trPr>
          <w:trHeight w:val="35"/>
        </w:trPr>
        <w:tc>
          <w:tcPr>
            <w:tcW w:w="2840" w:type="dxa"/>
            <w:vAlign w:val="bottom"/>
            <w:shd w:val="clear" w:color="auto" w:fill="E8E7EA"/>
          </w:tcPr>
          <w:p>
            <w:pPr>
              <w:spacing w:after="0"/>
              <w:rPr>
                <w:sz w:val="3"/>
                <w:szCs w:val="3"/>
                <w:color w:val="auto"/>
              </w:rPr>
            </w:pPr>
          </w:p>
        </w:tc>
        <w:tc>
          <w:tcPr>
            <w:tcW w:w="2680" w:type="dxa"/>
            <w:vAlign w:val="bottom"/>
            <w:shd w:val="clear" w:color="auto" w:fill="E8E7EA"/>
          </w:tcPr>
          <w:p>
            <w:pPr>
              <w:spacing w:after="0"/>
              <w:rPr>
                <w:sz w:val="3"/>
                <w:szCs w:val="3"/>
                <w:color w:val="auto"/>
              </w:rPr>
            </w:pPr>
          </w:p>
        </w:tc>
        <w:tc>
          <w:tcPr>
            <w:tcW w:w="2880" w:type="dxa"/>
            <w:vAlign w:val="bottom"/>
            <w:shd w:val="clear" w:color="auto" w:fill="E8E7EA"/>
          </w:tcPr>
          <w:p>
            <w:pPr>
              <w:spacing w:after="0"/>
              <w:rPr>
                <w:sz w:val="3"/>
                <w:szCs w:val="3"/>
                <w:color w:val="auto"/>
              </w:rPr>
            </w:pPr>
          </w:p>
        </w:tc>
        <w:tc>
          <w:tcPr>
            <w:tcW w:w="2780" w:type="dxa"/>
            <w:vAlign w:val="bottom"/>
            <w:shd w:val="clear" w:color="auto" w:fill="E8E7EA"/>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Supporting Clean Energy Goals in Our Communities </w:t>
      </w:r>
      <w:r>
        <w:rPr>
          <w:rFonts w:ascii="Arial" w:cs="Arial" w:eastAsia="Arial" w:hAnsi="Arial"/>
          <w:sz w:val="16"/>
          <w:szCs w:val="16"/>
          <w:color w:val="auto"/>
        </w:rPr>
        <w:t>- Customer-driven Scope 2 and Scope 3 Emissions</w:t>
      </w:r>
    </w:p>
    <w:p>
      <w:pPr>
        <w:spacing w:after="0" w:line="127" w:lineRule="exact"/>
        <w:rPr>
          <w:sz w:val="20"/>
          <w:szCs w:val="20"/>
          <w:color w:val="auto"/>
        </w:rPr>
      </w:pPr>
    </w:p>
    <w:p>
      <w:pPr>
        <w:ind w:right="340"/>
        <w:spacing w:after="0" w:line="292" w:lineRule="auto"/>
        <w:rPr>
          <w:sz w:val="20"/>
          <w:szCs w:val="20"/>
          <w:color w:val="auto"/>
        </w:rPr>
      </w:pPr>
      <w:r>
        <w:rPr>
          <w:rFonts w:ascii="Arial" w:cs="Arial" w:eastAsia="Arial" w:hAnsi="Arial"/>
          <w:sz w:val="16"/>
          <w:szCs w:val="16"/>
          <w:color w:val="auto"/>
        </w:rPr>
        <w:t>Beyond our own operations, we will continue to advocate for sound climate policies and technology solutions that reduce emissions while maintaining affordability, help our communities thrive and ensure that the economic and environmental benefits of clean energy are shared equitably. Our actions will focus on empowering our customers and supporting our communities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40575" cy="10198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0575" cy="101981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160" w:type="dxa"/>
            <w:vAlign w:val="bottom"/>
            <w:shd w:val="clear" w:color="auto" w:fill="D8D3F9"/>
          </w:tcPr>
          <w:p>
            <w:pPr>
              <w:spacing w:after="0"/>
              <w:rPr>
                <w:sz w:val="21"/>
                <w:szCs w:val="21"/>
                <w:color w:val="auto"/>
              </w:rPr>
            </w:pPr>
          </w:p>
        </w:tc>
        <w:tc>
          <w:tcPr>
            <w:tcW w:w="2360" w:type="dxa"/>
            <w:vAlign w:val="bottom"/>
            <w:shd w:val="clear" w:color="auto" w:fill="D8D3F9"/>
          </w:tcPr>
          <w:p>
            <w:pPr>
              <w:spacing w:after="0"/>
              <w:rPr>
                <w:sz w:val="21"/>
                <w:szCs w:val="21"/>
                <w:color w:val="auto"/>
              </w:rPr>
            </w:pPr>
          </w:p>
        </w:tc>
        <w:tc>
          <w:tcPr>
            <w:tcW w:w="2260" w:type="dxa"/>
            <w:vAlign w:val="bottom"/>
            <w:shd w:val="clear" w:color="auto" w:fill="D8D3F9"/>
          </w:tcPr>
          <w:p>
            <w:pPr>
              <w:spacing w:after="0"/>
              <w:rPr>
                <w:sz w:val="21"/>
                <w:szCs w:val="21"/>
                <w:color w:val="auto"/>
              </w:rPr>
            </w:pPr>
          </w:p>
        </w:tc>
        <w:tc>
          <w:tcPr>
            <w:tcW w:w="2120" w:type="dxa"/>
            <w:vAlign w:val="bottom"/>
            <w:vMerge w:val="restart"/>
            <w:shd w:val="clear" w:color="auto" w:fill="D8D3F9"/>
          </w:tcPr>
          <w:p>
            <w:pPr>
              <w:jc w:val="center"/>
              <w:spacing w:after="0"/>
              <w:rPr>
                <w:sz w:val="20"/>
                <w:szCs w:val="20"/>
                <w:color w:val="auto"/>
              </w:rPr>
            </w:pPr>
            <w:r>
              <w:rPr>
                <w:rFonts w:ascii="Arial" w:cs="Arial" w:eastAsia="Arial" w:hAnsi="Arial"/>
                <w:sz w:val="16"/>
                <w:szCs w:val="16"/>
                <w:b w:val="1"/>
                <w:bCs w:val="1"/>
                <w:color w:val="170D67"/>
              </w:rPr>
              <w:t>Investing in and</w:t>
            </w:r>
          </w:p>
        </w:tc>
        <w:tc>
          <w:tcPr>
            <w:tcW w:w="2320" w:type="dxa"/>
            <w:vAlign w:val="bottom"/>
            <w:shd w:val="clear" w:color="auto" w:fill="D8D3F9"/>
          </w:tcPr>
          <w:p>
            <w:pPr>
              <w:jc w:val="center"/>
              <w:spacing w:after="0"/>
              <w:rPr>
                <w:sz w:val="20"/>
                <w:szCs w:val="20"/>
                <w:color w:val="auto"/>
              </w:rPr>
            </w:pPr>
            <w:r>
              <w:rPr>
                <w:rFonts w:ascii="Arial" w:cs="Arial" w:eastAsia="Arial" w:hAnsi="Arial"/>
                <w:sz w:val="16"/>
                <w:szCs w:val="16"/>
                <w:b w:val="1"/>
                <w:bCs w:val="1"/>
                <w:color w:val="170D67"/>
              </w:rPr>
              <w:t>Partnering with</w:t>
            </w:r>
          </w:p>
        </w:tc>
        <w:tc>
          <w:tcPr>
            <w:tcW w:w="0" w:type="dxa"/>
            <w:vAlign w:val="bottom"/>
          </w:tcPr>
          <w:p>
            <w:pPr>
              <w:spacing w:after="0"/>
              <w:rPr>
                <w:sz w:val="1"/>
                <w:szCs w:val="1"/>
                <w:color w:val="auto"/>
              </w:rPr>
            </w:pPr>
          </w:p>
        </w:tc>
      </w:tr>
      <w:tr>
        <w:trPr>
          <w:trHeight w:val="95"/>
        </w:trPr>
        <w:tc>
          <w:tcPr>
            <w:tcW w:w="2160" w:type="dxa"/>
            <w:vAlign w:val="bottom"/>
            <w:vMerge w:val="restart"/>
            <w:shd w:val="clear" w:color="auto" w:fill="D8D3F9"/>
          </w:tcPr>
          <w:p>
            <w:pPr>
              <w:jc w:val="center"/>
              <w:ind w:left="19"/>
              <w:spacing w:after="0"/>
              <w:rPr>
                <w:sz w:val="20"/>
                <w:szCs w:val="20"/>
                <w:color w:val="auto"/>
              </w:rPr>
            </w:pPr>
            <w:r>
              <w:rPr>
                <w:rFonts w:ascii="Arial" w:cs="Arial" w:eastAsia="Arial" w:hAnsi="Arial"/>
                <w:sz w:val="16"/>
                <w:szCs w:val="16"/>
                <w:b w:val="1"/>
                <w:bCs w:val="1"/>
                <w:color w:val="170D67"/>
              </w:rPr>
              <w:t>Transportation</w:t>
            </w:r>
          </w:p>
        </w:tc>
        <w:tc>
          <w:tcPr>
            <w:tcW w:w="2360" w:type="dxa"/>
            <w:vAlign w:val="bottom"/>
            <w:shd w:val="clear" w:color="auto" w:fill="D8D3F9"/>
          </w:tcPr>
          <w:p>
            <w:pPr>
              <w:spacing w:after="0"/>
              <w:rPr>
                <w:sz w:val="8"/>
                <w:szCs w:val="8"/>
                <w:color w:val="auto"/>
              </w:rPr>
            </w:pPr>
          </w:p>
        </w:tc>
        <w:tc>
          <w:tcPr>
            <w:tcW w:w="2260" w:type="dxa"/>
            <w:vAlign w:val="bottom"/>
            <w:vMerge w:val="restart"/>
            <w:shd w:val="clear" w:color="auto" w:fill="D8D3F9"/>
          </w:tcPr>
          <w:p>
            <w:pPr>
              <w:jc w:val="center"/>
              <w:spacing w:after="0"/>
              <w:rPr>
                <w:sz w:val="20"/>
                <w:szCs w:val="20"/>
                <w:color w:val="auto"/>
              </w:rPr>
            </w:pPr>
            <w:r>
              <w:rPr>
                <w:rFonts w:ascii="Arial" w:cs="Arial" w:eastAsia="Arial" w:hAnsi="Arial"/>
                <w:sz w:val="16"/>
                <w:szCs w:val="16"/>
                <w:b w:val="1"/>
                <w:bCs w:val="1"/>
                <w:color w:val="170D67"/>
              </w:rPr>
              <w:t>Building connected</w:t>
            </w:r>
          </w:p>
        </w:tc>
        <w:tc>
          <w:tcPr>
            <w:tcW w:w="2120" w:type="dxa"/>
            <w:vAlign w:val="bottom"/>
            <w:vMerge w:val="continue"/>
            <w:shd w:val="clear" w:color="auto" w:fill="D8D3F9"/>
          </w:tcPr>
          <w:p>
            <w:pPr>
              <w:spacing w:after="0"/>
              <w:rPr>
                <w:sz w:val="8"/>
                <w:szCs w:val="8"/>
                <w:color w:val="auto"/>
              </w:rPr>
            </w:pPr>
          </w:p>
        </w:tc>
        <w:tc>
          <w:tcPr>
            <w:tcW w:w="2320" w:type="dxa"/>
            <w:vAlign w:val="bottom"/>
            <w:vMerge w:val="restart"/>
            <w:shd w:val="clear" w:color="auto" w:fill="D8D3F9"/>
          </w:tcPr>
          <w:p>
            <w:pPr>
              <w:jc w:val="center"/>
              <w:spacing w:after="0"/>
              <w:rPr>
                <w:sz w:val="20"/>
                <w:szCs w:val="20"/>
                <w:color w:val="auto"/>
              </w:rPr>
            </w:pPr>
            <w:r>
              <w:rPr>
                <w:rFonts w:ascii="Arial" w:cs="Arial" w:eastAsia="Arial" w:hAnsi="Arial"/>
                <w:sz w:val="16"/>
                <w:szCs w:val="16"/>
                <w:b w:val="1"/>
                <w:bCs w:val="1"/>
                <w:color w:val="170D67"/>
              </w:rPr>
              <w:t>communities to</w:t>
            </w:r>
          </w:p>
        </w:tc>
        <w:tc>
          <w:tcPr>
            <w:tcW w:w="0" w:type="dxa"/>
            <w:vAlign w:val="bottom"/>
          </w:tcPr>
          <w:p>
            <w:pPr>
              <w:spacing w:after="0"/>
              <w:rPr>
                <w:sz w:val="1"/>
                <w:szCs w:val="1"/>
                <w:color w:val="auto"/>
              </w:rPr>
            </w:pPr>
          </w:p>
        </w:tc>
      </w:tr>
      <w:tr>
        <w:trPr>
          <w:trHeight w:val="108"/>
        </w:trPr>
        <w:tc>
          <w:tcPr>
            <w:tcW w:w="2160" w:type="dxa"/>
            <w:vAlign w:val="bottom"/>
            <w:vMerge w:val="continue"/>
            <w:shd w:val="clear" w:color="auto" w:fill="D8D3F9"/>
          </w:tcPr>
          <w:p>
            <w:pPr>
              <w:spacing w:after="0"/>
              <w:rPr>
                <w:sz w:val="9"/>
                <w:szCs w:val="9"/>
                <w:color w:val="auto"/>
              </w:rPr>
            </w:pPr>
          </w:p>
        </w:tc>
        <w:tc>
          <w:tcPr>
            <w:tcW w:w="2360" w:type="dxa"/>
            <w:vAlign w:val="bottom"/>
            <w:vMerge w:val="restart"/>
            <w:shd w:val="clear" w:color="auto" w:fill="D8D3F9"/>
          </w:tcPr>
          <w:p>
            <w:pPr>
              <w:jc w:val="center"/>
              <w:spacing w:after="0"/>
              <w:rPr>
                <w:sz w:val="20"/>
                <w:szCs w:val="20"/>
                <w:color w:val="auto"/>
              </w:rPr>
            </w:pPr>
            <w:r>
              <w:rPr>
                <w:rFonts w:ascii="Arial" w:cs="Arial" w:eastAsia="Arial" w:hAnsi="Arial"/>
                <w:sz w:val="16"/>
                <w:szCs w:val="16"/>
                <w:b w:val="1"/>
                <w:bCs w:val="1"/>
                <w:color w:val="170D67"/>
              </w:rPr>
              <w:t>Leveraging alternative</w:t>
            </w:r>
          </w:p>
        </w:tc>
        <w:tc>
          <w:tcPr>
            <w:tcW w:w="2260" w:type="dxa"/>
            <w:vAlign w:val="bottom"/>
            <w:vMerge w:val="continue"/>
            <w:shd w:val="clear" w:color="auto" w:fill="D8D3F9"/>
          </w:tcPr>
          <w:p>
            <w:pPr>
              <w:spacing w:after="0"/>
              <w:rPr>
                <w:sz w:val="9"/>
                <w:szCs w:val="9"/>
                <w:color w:val="auto"/>
              </w:rPr>
            </w:pPr>
          </w:p>
        </w:tc>
        <w:tc>
          <w:tcPr>
            <w:tcW w:w="2120" w:type="dxa"/>
            <w:vAlign w:val="bottom"/>
            <w:vMerge w:val="restart"/>
            <w:shd w:val="clear" w:color="auto" w:fill="D8D3F9"/>
          </w:tcPr>
          <w:p>
            <w:pPr>
              <w:jc w:val="center"/>
              <w:spacing w:after="0"/>
              <w:rPr>
                <w:sz w:val="20"/>
                <w:szCs w:val="20"/>
                <w:color w:val="auto"/>
              </w:rPr>
            </w:pPr>
            <w:r>
              <w:rPr>
                <w:rFonts w:ascii="Arial" w:cs="Arial" w:eastAsia="Arial" w:hAnsi="Arial"/>
                <w:sz w:val="16"/>
                <w:szCs w:val="16"/>
                <w:b w:val="1"/>
                <w:bCs w:val="1"/>
                <w:color w:val="170D67"/>
              </w:rPr>
              <w:t>supporting small</w:t>
            </w:r>
          </w:p>
        </w:tc>
        <w:tc>
          <w:tcPr>
            <w:tcW w:w="2320" w:type="dxa"/>
            <w:vAlign w:val="bottom"/>
            <w:vMerge w:val="continue"/>
            <w:shd w:val="clear" w:color="auto" w:fill="D8D3F9"/>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60" w:type="dxa"/>
            <w:vAlign w:val="bottom"/>
            <w:vMerge w:val="restart"/>
            <w:shd w:val="clear" w:color="auto" w:fill="D8D3F9"/>
          </w:tcPr>
          <w:p>
            <w:pPr>
              <w:jc w:val="center"/>
              <w:ind w:left="19"/>
              <w:spacing w:after="0"/>
              <w:rPr>
                <w:sz w:val="20"/>
                <w:szCs w:val="20"/>
                <w:color w:val="auto"/>
              </w:rPr>
            </w:pPr>
            <w:r>
              <w:rPr>
                <w:rFonts w:ascii="Arial" w:cs="Arial" w:eastAsia="Arial" w:hAnsi="Arial"/>
                <w:sz w:val="16"/>
                <w:szCs w:val="16"/>
                <w:b w:val="1"/>
                <w:bCs w:val="1"/>
                <w:color w:val="170D67"/>
              </w:rPr>
              <w:t>electrification,</w:t>
            </w:r>
          </w:p>
        </w:tc>
        <w:tc>
          <w:tcPr>
            <w:tcW w:w="2360" w:type="dxa"/>
            <w:vAlign w:val="bottom"/>
            <w:vMerge w:val="continue"/>
            <w:shd w:val="clear" w:color="auto" w:fill="D8D3F9"/>
          </w:tcPr>
          <w:p>
            <w:pPr>
              <w:spacing w:after="0"/>
              <w:rPr>
                <w:sz w:val="9"/>
                <w:szCs w:val="9"/>
                <w:color w:val="auto"/>
              </w:rPr>
            </w:pPr>
          </w:p>
        </w:tc>
        <w:tc>
          <w:tcPr>
            <w:tcW w:w="2260" w:type="dxa"/>
            <w:vAlign w:val="bottom"/>
            <w:vMerge w:val="restart"/>
            <w:shd w:val="clear" w:color="auto" w:fill="D8D3F9"/>
          </w:tcPr>
          <w:p>
            <w:pPr>
              <w:jc w:val="center"/>
              <w:spacing w:after="0"/>
              <w:rPr>
                <w:sz w:val="20"/>
                <w:szCs w:val="20"/>
                <w:color w:val="auto"/>
              </w:rPr>
            </w:pPr>
            <w:r>
              <w:rPr>
                <w:rFonts w:ascii="Arial" w:cs="Arial" w:eastAsia="Arial" w:hAnsi="Arial"/>
                <w:sz w:val="16"/>
                <w:szCs w:val="16"/>
                <w:b w:val="1"/>
                <w:bCs w:val="1"/>
                <w:color w:val="170D67"/>
              </w:rPr>
              <w:t>communities that</w:t>
            </w:r>
          </w:p>
        </w:tc>
        <w:tc>
          <w:tcPr>
            <w:tcW w:w="2120" w:type="dxa"/>
            <w:vAlign w:val="bottom"/>
            <w:vMerge w:val="continue"/>
            <w:shd w:val="clear" w:color="auto" w:fill="D8D3F9"/>
          </w:tcPr>
          <w:p>
            <w:pPr>
              <w:spacing w:after="0"/>
              <w:rPr>
                <w:sz w:val="9"/>
                <w:szCs w:val="9"/>
                <w:color w:val="auto"/>
              </w:rPr>
            </w:pPr>
          </w:p>
        </w:tc>
        <w:tc>
          <w:tcPr>
            <w:tcW w:w="2320" w:type="dxa"/>
            <w:vAlign w:val="bottom"/>
            <w:vMerge w:val="restart"/>
            <w:shd w:val="clear" w:color="auto" w:fill="D8D3F9"/>
          </w:tcPr>
          <w:p>
            <w:pPr>
              <w:jc w:val="center"/>
              <w:spacing w:after="0"/>
              <w:rPr>
                <w:sz w:val="20"/>
                <w:szCs w:val="20"/>
                <w:color w:val="auto"/>
              </w:rPr>
            </w:pPr>
            <w:r>
              <w:rPr>
                <w:rFonts w:ascii="Arial" w:cs="Arial" w:eastAsia="Arial" w:hAnsi="Arial"/>
                <w:sz w:val="16"/>
                <w:szCs w:val="16"/>
                <w:b w:val="1"/>
                <w:bCs w:val="1"/>
                <w:color w:val="170D67"/>
              </w:rPr>
              <w:t>develop and implement</w:t>
            </w:r>
          </w:p>
        </w:tc>
        <w:tc>
          <w:tcPr>
            <w:tcW w:w="0" w:type="dxa"/>
            <w:vAlign w:val="bottom"/>
          </w:tcPr>
          <w:p>
            <w:pPr>
              <w:spacing w:after="0"/>
              <w:rPr>
                <w:sz w:val="1"/>
                <w:szCs w:val="1"/>
                <w:color w:val="auto"/>
              </w:rPr>
            </w:pPr>
          </w:p>
        </w:tc>
      </w:tr>
      <w:tr>
        <w:trPr>
          <w:trHeight w:val="108"/>
        </w:trPr>
        <w:tc>
          <w:tcPr>
            <w:tcW w:w="2160" w:type="dxa"/>
            <w:vAlign w:val="bottom"/>
            <w:vMerge w:val="continue"/>
            <w:shd w:val="clear" w:color="auto" w:fill="D8D3F9"/>
          </w:tcPr>
          <w:p>
            <w:pPr>
              <w:spacing w:after="0"/>
              <w:rPr>
                <w:sz w:val="9"/>
                <w:szCs w:val="9"/>
                <w:color w:val="auto"/>
              </w:rPr>
            </w:pPr>
          </w:p>
        </w:tc>
        <w:tc>
          <w:tcPr>
            <w:tcW w:w="2360" w:type="dxa"/>
            <w:vAlign w:val="bottom"/>
            <w:vMerge w:val="restart"/>
            <w:shd w:val="clear" w:color="auto" w:fill="D8D3F9"/>
          </w:tcPr>
          <w:p>
            <w:pPr>
              <w:jc w:val="center"/>
              <w:spacing w:after="0"/>
              <w:rPr>
                <w:sz w:val="20"/>
                <w:szCs w:val="20"/>
                <w:color w:val="auto"/>
              </w:rPr>
            </w:pPr>
            <w:r>
              <w:rPr>
                <w:rFonts w:ascii="Arial" w:cs="Arial" w:eastAsia="Arial" w:hAnsi="Arial"/>
                <w:sz w:val="16"/>
                <w:szCs w:val="16"/>
                <w:b w:val="1"/>
                <w:bCs w:val="1"/>
                <w:color w:val="170D67"/>
              </w:rPr>
              <w:t>fuels to reduce</w:t>
            </w:r>
          </w:p>
        </w:tc>
        <w:tc>
          <w:tcPr>
            <w:tcW w:w="2260" w:type="dxa"/>
            <w:vAlign w:val="bottom"/>
            <w:vMerge w:val="continue"/>
            <w:shd w:val="clear" w:color="auto" w:fill="D8D3F9"/>
          </w:tcPr>
          <w:p>
            <w:pPr>
              <w:spacing w:after="0"/>
              <w:rPr>
                <w:sz w:val="9"/>
                <w:szCs w:val="9"/>
                <w:color w:val="auto"/>
              </w:rPr>
            </w:pPr>
          </w:p>
        </w:tc>
        <w:tc>
          <w:tcPr>
            <w:tcW w:w="2120" w:type="dxa"/>
            <w:vAlign w:val="bottom"/>
            <w:vMerge w:val="restart"/>
            <w:shd w:val="clear" w:color="auto" w:fill="D8D3F9"/>
          </w:tcPr>
          <w:p>
            <w:pPr>
              <w:jc w:val="center"/>
              <w:spacing w:after="0"/>
              <w:rPr>
                <w:sz w:val="20"/>
                <w:szCs w:val="20"/>
                <w:color w:val="auto"/>
              </w:rPr>
            </w:pPr>
            <w:r>
              <w:rPr>
                <w:rFonts w:ascii="Arial" w:cs="Arial" w:eastAsia="Arial" w:hAnsi="Arial"/>
                <w:sz w:val="16"/>
                <w:szCs w:val="16"/>
                <w:b w:val="1"/>
                <w:bCs w:val="1"/>
                <w:color w:val="170D67"/>
              </w:rPr>
              <w:t>businesses that are</w:t>
            </w:r>
          </w:p>
        </w:tc>
        <w:tc>
          <w:tcPr>
            <w:tcW w:w="2320" w:type="dxa"/>
            <w:vAlign w:val="bottom"/>
            <w:vMerge w:val="continue"/>
            <w:shd w:val="clear" w:color="auto" w:fill="D8D3F9"/>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60" w:type="dxa"/>
            <w:vAlign w:val="bottom"/>
            <w:vMerge w:val="restart"/>
            <w:shd w:val="clear" w:color="auto" w:fill="D8D3F9"/>
          </w:tcPr>
          <w:p>
            <w:pPr>
              <w:jc w:val="center"/>
              <w:ind w:left="19"/>
              <w:spacing w:after="0"/>
              <w:rPr>
                <w:sz w:val="20"/>
                <w:szCs w:val="20"/>
                <w:color w:val="auto"/>
              </w:rPr>
            </w:pPr>
            <w:r>
              <w:rPr>
                <w:rFonts w:ascii="Arial" w:cs="Arial" w:eastAsia="Arial" w:hAnsi="Arial"/>
                <w:sz w:val="16"/>
                <w:szCs w:val="16"/>
                <w:b w:val="1"/>
                <w:bCs w:val="1"/>
                <w:color w:val="170D67"/>
                <w:w w:val="99"/>
              </w:rPr>
              <w:t>efficiency,</w:t>
            </w:r>
          </w:p>
        </w:tc>
        <w:tc>
          <w:tcPr>
            <w:tcW w:w="2360" w:type="dxa"/>
            <w:vAlign w:val="bottom"/>
            <w:vMerge w:val="continue"/>
            <w:shd w:val="clear" w:color="auto" w:fill="D8D3F9"/>
          </w:tcPr>
          <w:p>
            <w:pPr>
              <w:spacing w:after="0"/>
              <w:rPr>
                <w:sz w:val="9"/>
                <w:szCs w:val="9"/>
                <w:color w:val="auto"/>
              </w:rPr>
            </w:pPr>
          </w:p>
        </w:tc>
        <w:tc>
          <w:tcPr>
            <w:tcW w:w="2260" w:type="dxa"/>
            <w:vAlign w:val="bottom"/>
            <w:vMerge w:val="restart"/>
            <w:shd w:val="clear" w:color="auto" w:fill="D8D3F9"/>
          </w:tcPr>
          <w:p>
            <w:pPr>
              <w:jc w:val="center"/>
              <w:spacing w:after="0"/>
              <w:rPr>
                <w:sz w:val="20"/>
                <w:szCs w:val="20"/>
                <w:color w:val="auto"/>
              </w:rPr>
            </w:pPr>
            <w:r>
              <w:rPr>
                <w:rFonts w:ascii="Arial" w:cs="Arial" w:eastAsia="Arial" w:hAnsi="Arial"/>
                <w:sz w:val="16"/>
                <w:szCs w:val="16"/>
                <w:b w:val="1"/>
                <w:bCs w:val="1"/>
                <w:color w:val="170D67"/>
              </w:rPr>
              <w:t>harness digital</w:t>
            </w:r>
          </w:p>
        </w:tc>
        <w:tc>
          <w:tcPr>
            <w:tcW w:w="2120" w:type="dxa"/>
            <w:vAlign w:val="bottom"/>
            <w:vMerge w:val="continue"/>
            <w:shd w:val="clear" w:color="auto" w:fill="D8D3F9"/>
          </w:tcPr>
          <w:p>
            <w:pPr>
              <w:spacing w:after="0"/>
              <w:rPr>
                <w:sz w:val="9"/>
                <w:szCs w:val="9"/>
                <w:color w:val="auto"/>
              </w:rPr>
            </w:pPr>
          </w:p>
        </w:tc>
        <w:tc>
          <w:tcPr>
            <w:tcW w:w="2320" w:type="dxa"/>
            <w:vAlign w:val="bottom"/>
            <w:vMerge w:val="restart"/>
            <w:shd w:val="clear" w:color="auto" w:fill="D8D3F9"/>
          </w:tcPr>
          <w:p>
            <w:pPr>
              <w:jc w:val="center"/>
              <w:spacing w:after="0"/>
              <w:rPr>
                <w:sz w:val="20"/>
                <w:szCs w:val="20"/>
                <w:color w:val="auto"/>
              </w:rPr>
            </w:pPr>
            <w:r>
              <w:rPr>
                <w:rFonts w:ascii="Arial" w:cs="Arial" w:eastAsia="Arial" w:hAnsi="Arial"/>
                <w:sz w:val="16"/>
                <w:szCs w:val="16"/>
                <w:b w:val="1"/>
                <w:bCs w:val="1"/>
                <w:color w:val="170D67"/>
              </w:rPr>
              <w:t>clean infrastructure</w:t>
            </w:r>
          </w:p>
        </w:tc>
        <w:tc>
          <w:tcPr>
            <w:tcW w:w="0" w:type="dxa"/>
            <w:vAlign w:val="bottom"/>
          </w:tcPr>
          <w:p>
            <w:pPr>
              <w:spacing w:after="0"/>
              <w:rPr>
                <w:sz w:val="1"/>
                <w:szCs w:val="1"/>
                <w:color w:val="auto"/>
              </w:rPr>
            </w:pPr>
          </w:p>
        </w:tc>
      </w:tr>
      <w:tr>
        <w:trPr>
          <w:trHeight w:val="108"/>
        </w:trPr>
        <w:tc>
          <w:tcPr>
            <w:tcW w:w="2160" w:type="dxa"/>
            <w:vAlign w:val="bottom"/>
            <w:vMerge w:val="continue"/>
            <w:shd w:val="clear" w:color="auto" w:fill="D8D3F9"/>
          </w:tcPr>
          <w:p>
            <w:pPr>
              <w:spacing w:after="0"/>
              <w:rPr>
                <w:sz w:val="9"/>
                <w:szCs w:val="9"/>
                <w:color w:val="auto"/>
              </w:rPr>
            </w:pPr>
          </w:p>
        </w:tc>
        <w:tc>
          <w:tcPr>
            <w:tcW w:w="2360" w:type="dxa"/>
            <w:vAlign w:val="bottom"/>
            <w:vMerge w:val="restart"/>
            <w:shd w:val="clear" w:color="auto" w:fill="D8D3F9"/>
          </w:tcPr>
          <w:p>
            <w:pPr>
              <w:jc w:val="center"/>
              <w:spacing w:after="0"/>
              <w:rPr>
                <w:sz w:val="20"/>
                <w:szCs w:val="20"/>
                <w:color w:val="auto"/>
              </w:rPr>
            </w:pPr>
            <w:r>
              <w:rPr>
                <w:rFonts w:ascii="Arial" w:cs="Arial" w:eastAsia="Arial" w:hAnsi="Arial"/>
                <w:sz w:val="16"/>
                <w:szCs w:val="16"/>
                <w:b w:val="1"/>
                <w:bCs w:val="1"/>
                <w:color w:val="170D67"/>
              </w:rPr>
              <w:t>natural gas lifecycle</w:t>
            </w:r>
          </w:p>
        </w:tc>
        <w:tc>
          <w:tcPr>
            <w:tcW w:w="2260" w:type="dxa"/>
            <w:vAlign w:val="bottom"/>
            <w:vMerge w:val="continue"/>
            <w:shd w:val="clear" w:color="auto" w:fill="D8D3F9"/>
          </w:tcPr>
          <w:p>
            <w:pPr>
              <w:spacing w:after="0"/>
              <w:rPr>
                <w:sz w:val="9"/>
                <w:szCs w:val="9"/>
                <w:color w:val="auto"/>
              </w:rPr>
            </w:pPr>
          </w:p>
        </w:tc>
        <w:tc>
          <w:tcPr>
            <w:tcW w:w="2120" w:type="dxa"/>
            <w:vAlign w:val="bottom"/>
            <w:vMerge w:val="restart"/>
            <w:shd w:val="clear" w:color="auto" w:fill="D8D3F9"/>
          </w:tcPr>
          <w:p>
            <w:pPr>
              <w:jc w:val="center"/>
              <w:spacing w:after="0"/>
              <w:rPr>
                <w:sz w:val="20"/>
                <w:szCs w:val="20"/>
                <w:color w:val="auto"/>
              </w:rPr>
            </w:pPr>
            <w:r>
              <w:rPr>
                <w:rFonts w:ascii="Arial" w:cs="Arial" w:eastAsia="Arial" w:hAnsi="Arial"/>
                <w:sz w:val="16"/>
                <w:szCs w:val="16"/>
                <w:b w:val="1"/>
                <w:bCs w:val="1"/>
                <w:color w:val="170D67"/>
                <w:w w:val="99"/>
              </w:rPr>
              <w:t>tackling climate</w:t>
            </w:r>
          </w:p>
        </w:tc>
        <w:tc>
          <w:tcPr>
            <w:tcW w:w="2320" w:type="dxa"/>
            <w:vAlign w:val="bottom"/>
            <w:vMerge w:val="continue"/>
            <w:shd w:val="clear" w:color="auto" w:fill="D8D3F9"/>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160" w:type="dxa"/>
            <w:vAlign w:val="bottom"/>
            <w:vMerge w:val="restart"/>
            <w:shd w:val="clear" w:color="auto" w:fill="D8D3F9"/>
          </w:tcPr>
          <w:p>
            <w:pPr>
              <w:jc w:val="center"/>
              <w:ind w:left="19"/>
              <w:spacing w:after="0"/>
              <w:rPr>
                <w:sz w:val="20"/>
                <w:szCs w:val="20"/>
                <w:color w:val="auto"/>
              </w:rPr>
            </w:pPr>
            <w:r>
              <w:rPr>
                <w:rFonts w:ascii="Arial" w:cs="Arial" w:eastAsia="Arial" w:hAnsi="Arial"/>
                <w:sz w:val="16"/>
                <w:szCs w:val="16"/>
                <w:b w:val="1"/>
                <w:bCs w:val="1"/>
                <w:color w:val="170D67"/>
              </w:rPr>
              <w:t>and conservation</w:t>
            </w:r>
          </w:p>
        </w:tc>
        <w:tc>
          <w:tcPr>
            <w:tcW w:w="2360" w:type="dxa"/>
            <w:vAlign w:val="bottom"/>
            <w:vMerge w:val="continue"/>
            <w:shd w:val="clear" w:color="auto" w:fill="D8D3F9"/>
          </w:tcPr>
          <w:p>
            <w:pPr>
              <w:spacing w:after="0"/>
              <w:rPr>
                <w:sz w:val="8"/>
                <w:szCs w:val="8"/>
                <w:color w:val="auto"/>
              </w:rPr>
            </w:pPr>
          </w:p>
        </w:tc>
        <w:tc>
          <w:tcPr>
            <w:tcW w:w="2260" w:type="dxa"/>
            <w:vAlign w:val="bottom"/>
            <w:vMerge w:val="restart"/>
            <w:shd w:val="clear" w:color="auto" w:fill="D8D3F9"/>
          </w:tcPr>
          <w:p>
            <w:pPr>
              <w:jc w:val="center"/>
              <w:spacing w:after="0"/>
              <w:rPr>
                <w:sz w:val="20"/>
                <w:szCs w:val="20"/>
                <w:color w:val="auto"/>
              </w:rPr>
            </w:pPr>
            <w:r>
              <w:rPr>
                <w:rFonts w:ascii="Arial" w:cs="Arial" w:eastAsia="Arial" w:hAnsi="Arial"/>
                <w:sz w:val="16"/>
                <w:szCs w:val="16"/>
                <w:b w:val="1"/>
                <w:bCs w:val="1"/>
                <w:color w:val="170D67"/>
              </w:rPr>
              <w:t>solutions to integrate</w:t>
            </w:r>
          </w:p>
        </w:tc>
        <w:tc>
          <w:tcPr>
            <w:tcW w:w="2120" w:type="dxa"/>
            <w:vAlign w:val="bottom"/>
            <w:vMerge w:val="continue"/>
            <w:shd w:val="clear" w:color="auto" w:fill="D8D3F9"/>
          </w:tcPr>
          <w:p>
            <w:pPr>
              <w:spacing w:after="0"/>
              <w:rPr>
                <w:sz w:val="8"/>
                <w:szCs w:val="8"/>
                <w:color w:val="auto"/>
              </w:rPr>
            </w:pPr>
          </w:p>
        </w:tc>
        <w:tc>
          <w:tcPr>
            <w:tcW w:w="2320" w:type="dxa"/>
            <w:vAlign w:val="bottom"/>
            <w:vMerge w:val="restart"/>
            <w:shd w:val="clear" w:color="auto" w:fill="D8D3F9"/>
          </w:tcPr>
          <w:p>
            <w:pPr>
              <w:jc w:val="center"/>
              <w:spacing w:after="0"/>
              <w:rPr>
                <w:sz w:val="20"/>
                <w:szCs w:val="20"/>
                <w:color w:val="auto"/>
              </w:rPr>
            </w:pPr>
            <w:r>
              <w:rPr>
                <w:rFonts w:ascii="Arial" w:cs="Arial" w:eastAsia="Arial" w:hAnsi="Arial"/>
                <w:sz w:val="16"/>
                <w:szCs w:val="16"/>
                <w:b w:val="1"/>
                <w:bCs w:val="1"/>
                <w:color w:val="170D67"/>
              </w:rPr>
              <w:t>solutions that are</w:t>
            </w:r>
          </w:p>
        </w:tc>
        <w:tc>
          <w:tcPr>
            <w:tcW w:w="0" w:type="dxa"/>
            <w:vAlign w:val="bottom"/>
          </w:tcPr>
          <w:p>
            <w:pPr>
              <w:spacing w:after="0"/>
              <w:rPr>
                <w:sz w:val="1"/>
                <w:szCs w:val="1"/>
                <w:color w:val="auto"/>
              </w:rPr>
            </w:pPr>
          </w:p>
        </w:tc>
      </w:tr>
      <w:tr>
        <w:trPr>
          <w:trHeight w:val="108"/>
        </w:trPr>
        <w:tc>
          <w:tcPr>
            <w:tcW w:w="2160" w:type="dxa"/>
            <w:vAlign w:val="bottom"/>
            <w:vMerge w:val="continue"/>
            <w:shd w:val="clear" w:color="auto" w:fill="D8D3F9"/>
          </w:tcPr>
          <w:p>
            <w:pPr>
              <w:spacing w:after="0"/>
              <w:rPr>
                <w:sz w:val="9"/>
                <w:szCs w:val="9"/>
                <w:color w:val="auto"/>
              </w:rPr>
            </w:pPr>
          </w:p>
        </w:tc>
        <w:tc>
          <w:tcPr>
            <w:tcW w:w="2360" w:type="dxa"/>
            <w:vAlign w:val="bottom"/>
            <w:vMerge w:val="restart"/>
            <w:shd w:val="clear" w:color="auto" w:fill="D8D3F9"/>
          </w:tcPr>
          <w:p>
            <w:pPr>
              <w:jc w:val="center"/>
              <w:spacing w:after="0"/>
              <w:rPr>
                <w:sz w:val="20"/>
                <w:szCs w:val="20"/>
                <w:color w:val="auto"/>
              </w:rPr>
            </w:pPr>
            <w:r>
              <w:rPr>
                <w:rFonts w:ascii="Arial" w:cs="Arial" w:eastAsia="Arial" w:hAnsi="Arial"/>
                <w:sz w:val="16"/>
                <w:szCs w:val="16"/>
                <w:b w:val="1"/>
                <w:bCs w:val="1"/>
                <w:color w:val="170D67"/>
              </w:rPr>
              <w:t>emissions</w:t>
            </w:r>
          </w:p>
        </w:tc>
        <w:tc>
          <w:tcPr>
            <w:tcW w:w="2260" w:type="dxa"/>
            <w:vAlign w:val="bottom"/>
            <w:vMerge w:val="continue"/>
            <w:shd w:val="clear" w:color="auto" w:fill="D8D3F9"/>
          </w:tcPr>
          <w:p>
            <w:pPr>
              <w:spacing w:after="0"/>
              <w:rPr>
                <w:sz w:val="9"/>
                <w:szCs w:val="9"/>
                <w:color w:val="auto"/>
              </w:rPr>
            </w:pPr>
          </w:p>
        </w:tc>
        <w:tc>
          <w:tcPr>
            <w:tcW w:w="2120" w:type="dxa"/>
            <w:vAlign w:val="bottom"/>
            <w:vMerge w:val="restart"/>
            <w:shd w:val="clear" w:color="auto" w:fill="D8D3F9"/>
          </w:tcPr>
          <w:p>
            <w:pPr>
              <w:jc w:val="center"/>
              <w:spacing w:after="0"/>
              <w:rPr>
                <w:sz w:val="20"/>
                <w:szCs w:val="20"/>
                <w:color w:val="auto"/>
              </w:rPr>
            </w:pPr>
            <w:r>
              <w:rPr>
                <w:rFonts w:ascii="Arial" w:cs="Arial" w:eastAsia="Arial" w:hAnsi="Arial"/>
                <w:sz w:val="16"/>
                <w:szCs w:val="16"/>
                <w:b w:val="1"/>
                <w:bCs w:val="1"/>
                <w:color w:val="170D67"/>
              </w:rPr>
              <w:t>problems in our</w:t>
            </w:r>
          </w:p>
        </w:tc>
        <w:tc>
          <w:tcPr>
            <w:tcW w:w="2320" w:type="dxa"/>
            <w:vAlign w:val="bottom"/>
            <w:vMerge w:val="continue"/>
            <w:shd w:val="clear" w:color="auto" w:fill="D8D3F9"/>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60" w:type="dxa"/>
            <w:vAlign w:val="bottom"/>
            <w:vMerge w:val="restart"/>
            <w:shd w:val="clear" w:color="auto" w:fill="D8D3F9"/>
          </w:tcPr>
          <w:p>
            <w:pPr>
              <w:jc w:val="center"/>
              <w:ind w:left="19"/>
              <w:spacing w:after="0"/>
              <w:rPr>
                <w:sz w:val="20"/>
                <w:szCs w:val="20"/>
                <w:color w:val="auto"/>
              </w:rPr>
            </w:pPr>
            <w:r>
              <w:rPr>
                <w:rFonts w:ascii="Arial" w:cs="Arial" w:eastAsia="Arial" w:hAnsi="Arial"/>
                <w:sz w:val="16"/>
                <w:szCs w:val="16"/>
                <w:b w:val="1"/>
                <w:bCs w:val="1"/>
                <w:color w:val="170D67"/>
              </w:rPr>
              <w:t>programs</w:t>
            </w:r>
          </w:p>
        </w:tc>
        <w:tc>
          <w:tcPr>
            <w:tcW w:w="2360" w:type="dxa"/>
            <w:vAlign w:val="bottom"/>
            <w:vMerge w:val="continue"/>
            <w:shd w:val="clear" w:color="auto" w:fill="D8D3F9"/>
          </w:tcPr>
          <w:p>
            <w:pPr>
              <w:spacing w:after="0"/>
              <w:rPr>
                <w:sz w:val="9"/>
                <w:szCs w:val="9"/>
                <w:color w:val="auto"/>
              </w:rPr>
            </w:pPr>
          </w:p>
        </w:tc>
        <w:tc>
          <w:tcPr>
            <w:tcW w:w="2260" w:type="dxa"/>
            <w:vAlign w:val="bottom"/>
            <w:vMerge w:val="restart"/>
            <w:shd w:val="clear" w:color="auto" w:fill="D8D3F9"/>
          </w:tcPr>
          <w:p>
            <w:pPr>
              <w:jc w:val="center"/>
              <w:spacing w:after="0"/>
              <w:rPr>
                <w:sz w:val="20"/>
                <w:szCs w:val="20"/>
                <w:color w:val="auto"/>
              </w:rPr>
            </w:pPr>
            <w:r>
              <w:rPr>
                <w:rFonts w:ascii="Arial" w:cs="Arial" w:eastAsia="Arial" w:hAnsi="Arial"/>
                <w:sz w:val="16"/>
                <w:szCs w:val="16"/>
                <w:b w:val="1"/>
                <w:bCs w:val="1"/>
                <w:color w:val="170D67"/>
              </w:rPr>
              <w:t>clean technologies</w:t>
            </w:r>
          </w:p>
        </w:tc>
        <w:tc>
          <w:tcPr>
            <w:tcW w:w="2120" w:type="dxa"/>
            <w:vAlign w:val="bottom"/>
            <w:vMerge w:val="continue"/>
            <w:shd w:val="clear" w:color="auto" w:fill="D8D3F9"/>
          </w:tcPr>
          <w:p>
            <w:pPr>
              <w:spacing w:after="0"/>
              <w:rPr>
                <w:sz w:val="9"/>
                <w:szCs w:val="9"/>
                <w:color w:val="auto"/>
              </w:rPr>
            </w:pPr>
          </w:p>
        </w:tc>
        <w:tc>
          <w:tcPr>
            <w:tcW w:w="2320" w:type="dxa"/>
            <w:vAlign w:val="bottom"/>
            <w:vMerge w:val="restart"/>
            <w:shd w:val="clear" w:color="auto" w:fill="D8D3F9"/>
          </w:tcPr>
          <w:p>
            <w:pPr>
              <w:jc w:val="center"/>
              <w:spacing w:after="0"/>
              <w:rPr>
                <w:sz w:val="20"/>
                <w:szCs w:val="20"/>
                <w:color w:val="auto"/>
              </w:rPr>
            </w:pPr>
            <w:r>
              <w:rPr>
                <w:rFonts w:ascii="Arial" w:cs="Arial" w:eastAsia="Arial" w:hAnsi="Arial"/>
                <w:sz w:val="16"/>
                <w:szCs w:val="16"/>
                <w:b w:val="1"/>
                <w:bCs w:val="1"/>
                <w:color w:val="170D67"/>
              </w:rPr>
              <w:t>accessible to all</w:t>
            </w:r>
          </w:p>
        </w:tc>
        <w:tc>
          <w:tcPr>
            <w:tcW w:w="0" w:type="dxa"/>
            <w:vAlign w:val="bottom"/>
          </w:tcPr>
          <w:p>
            <w:pPr>
              <w:spacing w:after="0"/>
              <w:rPr>
                <w:sz w:val="1"/>
                <w:szCs w:val="1"/>
                <w:color w:val="auto"/>
              </w:rPr>
            </w:pPr>
          </w:p>
        </w:tc>
      </w:tr>
      <w:tr>
        <w:trPr>
          <w:trHeight w:val="108"/>
        </w:trPr>
        <w:tc>
          <w:tcPr>
            <w:tcW w:w="2160" w:type="dxa"/>
            <w:vAlign w:val="bottom"/>
            <w:vMerge w:val="continue"/>
            <w:shd w:val="clear" w:color="auto" w:fill="D8D3F9"/>
          </w:tcPr>
          <w:p>
            <w:pPr>
              <w:spacing w:after="0"/>
              <w:rPr>
                <w:sz w:val="9"/>
                <w:szCs w:val="9"/>
                <w:color w:val="auto"/>
              </w:rPr>
            </w:pPr>
          </w:p>
        </w:tc>
        <w:tc>
          <w:tcPr>
            <w:tcW w:w="2360" w:type="dxa"/>
            <w:vAlign w:val="bottom"/>
            <w:shd w:val="clear" w:color="auto" w:fill="D8D3F9"/>
          </w:tcPr>
          <w:p>
            <w:pPr>
              <w:spacing w:after="0"/>
              <w:rPr>
                <w:sz w:val="9"/>
                <w:szCs w:val="9"/>
                <w:color w:val="auto"/>
              </w:rPr>
            </w:pPr>
          </w:p>
        </w:tc>
        <w:tc>
          <w:tcPr>
            <w:tcW w:w="2260" w:type="dxa"/>
            <w:vAlign w:val="bottom"/>
            <w:vMerge w:val="continue"/>
            <w:shd w:val="clear" w:color="auto" w:fill="D8D3F9"/>
          </w:tcPr>
          <w:p>
            <w:pPr>
              <w:spacing w:after="0"/>
              <w:rPr>
                <w:sz w:val="9"/>
                <w:szCs w:val="9"/>
                <w:color w:val="auto"/>
              </w:rPr>
            </w:pPr>
          </w:p>
        </w:tc>
        <w:tc>
          <w:tcPr>
            <w:tcW w:w="2120" w:type="dxa"/>
            <w:vAlign w:val="bottom"/>
            <w:vMerge w:val="restart"/>
            <w:shd w:val="clear" w:color="auto" w:fill="D8D3F9"/>
          </w:tcPr>
          <w:p>
            <w:pPr>
              <w:jc w:val="center"/>
              <w:spacing w:after="0"/>
              <w:rPr>
                <w:sz w:val="20"/>
                <w:szCs w:val="20"/>
                <w:color w:val="auto"/>
              </w:rPr>
            </w:pPr>
            <w:r>
              <w:rPr>
                <w:rFonts w:ascii="Arial" w:cs="Arial" w:eastAsia="Arial" w:hAnsi="Arial"/>
                <w:sz w:val="16"/>
                <w:szCs w:val="16"/>
                <w:b w:val="1"/>
                <w:bCs w:val="1"/>
                <w:color w:val="170D67"/>
              </w:rPr>
              <w:t>communities</w:t>
            </w:r>
          </w:p>
        </w:tc>
        <w:tc>
          <w:tcPr>
            <w:tcW w:w="2320" w:type="dxa"/>
            <w:vAlign w:val="bottom"/>
            <w:vMerge w:val="continue"/>
            <w:shd w:val="clear" w:color="auto" w:fill="D8D3F9"/>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160" w:type="dxa"/>
            <w:vAlign w:val="bottom"/>
            <w:shd w:val="clear" w:color="auto" w:fill="D8D3F9"/>
          </w:tcPr>
          <w:p>
            <w:pPr>
              <w:spacing w:after="0"/>
              <w:rPr>
                <w:sz w:val="9"/>
                <w:szCs w:val="9"/>
                <w:color w:val="auto"/>
              </w:rPr>
            </w:pPr>
          </w:p>
        </w:tc>
        <w:tc>
          <w:tcPr>
            <w:tcW w:w="2360" w:type="dxa"/>
            <w:vAlign w:val="bottom"/>
            <w:shd w:val="clear" w:color="auto" w:fill="D8D3F9"/>
          </w:tcPr>
          <w:p>
            <w:pPr>
              <w:spacing w:after="0"/>
              <w:rPr>
                <w:sz w:val="9"/>
                <w:szCs w:val="9"/>
                <w:color w:val="auto"/>
              </w:rPr>
            </w:pPr>
          </w:p>
        </w:tc>
        <w:tc>
          <w:tcPr>
            <w:tcW w:w="2260" w:type="dxa"/>
            <w:vAlign w:val="bottom"/>
            <w:shd w:val="clear" w:color="auto" w:fill="D8D3F9"/>
          </w:tcPr>
          <w:p>
            <w:pPr>
              <w:spacing w:after="0"/>
              <w:rPr>
                <w:sz w:val="9"/>
                <w:szCs w:val="9"/>
                <w:color w:val="auto"/>
              </w:rPr>
            </w:pPr>
          </w:p>
        </w:tc>
        <w:tc>
          <w:tcPr>
            <w:tcW w:w="2120" w:type="dxa"/>
            <w:vAlign w:val="bottom"/>
            <w:vMerge w:val="continue"/>
            <w:shd w:val="clear" w:color="auto" w:fill="D8D3F9"/>
          </w:tcPr>
          <w:p>
            <w:pPr>
              <w:spacing w:after="0"/>
              <w:rPr>
                <w:sz w:val="9"/>
                <w:szCs w:val="9"/>
                <w:color w:val="auto"/>
              </w:rPr>
            </w:pPr>
          </w:p>
        </w:tc>
        <w:tc>
          <w:tcPr>
            <w:tcW w:w="2320" w:type="dxa"/>
            <w:vAlign w:val="bottom"/>
            <w:vMerge w:val="restart"/>
            <w:shd w:val="clear" w:color="auto" w:fill="D8D3F9"/>
          </w:tcPr>
          <w:p>
            <w:pPr>
              <w:jc w:val="center"/>
              <w:spacing w:after="0"/>
              <w:rPr>
                <w:sz w:val="20"/>
                <w:szCs w:val="20"/>
                <w:color w:val="auto"/>
              </w:rPr>
            </w:pPr>
            <w:r>
              <w:rPr>
                <w:rFonts w:ascii="Arial" w:cs="Arial" w:eastAsia="Arial" w:hAnsi="Arial"/>
                <w:sz w:val="16"/>
                <w:szCs w:val="16"/>
                <w:b w:val="1"/>
                <w:bCs w:val="1"/>
                <w:color w:val="170D67"/>
              </w:rPr>
              <w:t>customers</w:t>
            </w:r>
          </w:p>
        </w:tc>
        <w:tc>
          <w:tcPr>
            <w:tcW w:w="0" w:type="dxa"/>
            <w:vAlign w:val="bottom"/>
          </w:tcPr>
          <w:p>
            <w:pPr>
              <w:spacing w:after="0"/>
              <w:rPr>
                <w:sz w:val="1"/>
                <w:szCs w:val="1"/>
                <w:color w:val="auto"/>
              </w:rPr>
            </w:pPr>
          </w:p>
        </w:tc>
      </w:tr>
      <w:tr>
        <w:trPr>
          <w:trHeight w:val="108"/>
        </w:trPr>
        <w:tc>
          <w:tcPr>
            <w:tcW w:w="2160" w:type="dxa"/>
            <w:vAlign w:val="bottom"/>
            <w:shd w:val="clear" w:color="auto" w:fill="D8D3F9"/>
          </w:tcPr>
          <w:p>
            <w:pPr>
              <w:spacing w:after="0"/>
              <w:rPr>
                <w:sz w:val="9"/>
                <w:szCs w:val="9"/>
                <w:color w:val="auto"/>
              </w:rPr>
            </w:pPr>
          </w:p>
        </w:tc>
        <w:tc>
          <w:tcPr>
            <w:tcW w:w="2360" w:type="dxa"/>
            <w:vAlign w:val="bottom"/>
            <w:shd w:val="clear" w:color="auto" w:fill="D8D3F9"/>
          </w:tcPr>
          <w:p>
            <w:pPr>
              <w:spacing w:after="0"/>
              <w:rPr>
                <w:sz w:val="9"/>
                <w:szCs w:val="9"/>
                <w:color w:val="auto"/>
              </w:rPr>
            </w:pPr>
          </w:p>
        </w:tc>
        <w:tc>
          <w:tcPr>
            <w:tcW w:w="2260" w:type="dxa"/>
            <w:vAlign w:val="bottom"/>
            <w:shd w:val="clear" w:color="auto" w:fill="D8D3F9"/>
          </w:tcPr>
          <w:p>
            <w:pPr>
              <w:spacing w:after="0"/>
              <w:rPr>
                <w:sz w:val="9"/>
                <w:szCs w:val="9"/>
                <w:color w:val="auto"/>
              </w:rPr>
            </w:pPr>
          </w:p>
        </w:tc>
        <w:tc>
          <w:tcPr>
            <w:tcW w:w="2120" w:type="dxa"/>
            <w:vAlign w:val="bottom"/>
            <w:shd w:val="clear" w:color="auto" w:fill="D8D3F9"/>
          </w:tcPr>
          <w:p>
            <w:pPr>
              <w:spacing w:after="0"/>
              <w:rPr>
                <w:sz w:val="9"/>
                <w:szCs w:val="9"/>
                <w:color w:val="auto"/>
              </w:rPr>
            </w:pPr>
          </w:p>
        </w:tc>
        <w:tc>
          <w:tcPr>
            <w:tcW w:w="2320" w:type="dxa"/>
            <w:vAlign w:val="bottom"/>
            <w:vMerge w:val="continue"/>
            <w:shd w:val="clear" w:color="auto" w:fill="D8D3F9"/>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160" w:type="dxa"/>
            <w:vAlign w:val="bottom"/>
            <w:shd w:val="clear" w:color="auto" w:fill="D8D3F9"/>
          </w:tcPr>
          <w:p>
            <w:pPr>
              <w:spacing w:after="0"/>
              <w:rPr>
                <w:sz w:val="4"/>
                <w:szCs w:val="4"/>
                <w:color w:val="auto"/>
              </w:rPr>
            </w:pPr>
          </w:p>
        </w:tc>
        <w:tc>
          <w:tcPr>
            <w:tcW w:w="2360" w:type="dxa"/>
            <w:vAlign w:val="bottom"/>
            <w:shd w:val="clear" w:color="auto" w:fill="D8D3F9"/>
          </w:tcPr>
          <w:p>
            <w:pPr>
              <w:spacing w:after="0"/>
              <w:rPr>
                <w:sz w:val="4"/>
                <w:szCs w:val="4"/>
                <w:color w:val="auto"/>
              </w:rPr>
            </w:pPr>
          </w:p>
        </w:tc>
        <w:tc>
          <w:tcPr>
            <w:tcW w:w="2260" w:type="dxa"/>
            <w:vAlign w:val="bottom"/>
            <w:shd w:val="clear" w:color="auto" w:fill="D8D3F9"/>
          </w:tcPr>
          <w:p>
            <w:pPr>
              <w:spacing w:after="0"/>
              <w:rPr>
                <w:sz w:val="4"/>
                <w:szCs w:val="4"/>
                <w:color w:val="auto"/>
              </w:rPr>
            </w:pPr>
          </w:p>
        </w:tc>
        <w:tc>
          <w:tcPr>
            <w:tcW w:w="2120" w:type="dxa"/>
            <w:vAlign w:val="bottom"/>
            <w:shd w:val="clear" w:color="auto" w:fill="D8D3F9"/>
          </w:tcPr>
          <w:p>
            <w:pPr>
              <w:spacing w:after="0"/>
              <w:rPr>
                <w:sz w:val="4"/>
                <w:szCs w:val="4"/>
                <w:color w:val="auto"/>
              </w:rPr>
            </w:pPr>
          </w:p>
        </w:tc>
        <w:tc>
          <w:tcPr>
            <w:tcW w:w="2320" w:type="dxa"/>
            <w:vAlign w:val="bottom"/>
            <w:shd w:val="clear" w:color="auto" w:fill="D8D3F9"/>
          </w:tcPr>
          <w:p>
            <w:pPr>
              <w:spacing w:after="0"/>
              <w:rPr>
                <w:sz w:val="4"/>
                <w:szCs w:val="4"/>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Voluntary Sustainability Reporting and Stakeholder Engagement</w:t>
      </w:r>
    </w:p>
    <w:p>
      <w:pPr>
        <w:spacing w:after="0" w:line="122"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In addition to our annual Exelon Sustainability Report, we publish a number of other voluntary reports and respond to voluntary surveys each year. Environmental and sustainability issues are regularly discussed during investor engagement meetings, at Exelon Board and Committee meetings, and at the utility board meetings. Throughout the year, we actively seek feedback from our shareholders and other stakeholders about the types of reporting that are most useful so that we can continue to evolve and improve our reports. Since 2008, Exelon has engaged with Ceres – a leading coalition of investors, environmental groups, and public interest organizations – to help inform our response to issues including climate change, water use, and environmental justice, and facilitate feedback on our sustainability reporting.</w:t>
      </w:r>
    </w:p>
    <w:p>
      <w:pPr>
        <w:spacing w:after="0" w:line="6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its voluntary sustainability reporting, Exelon uses or maps to the following: the Global Reporting Initiative (GRI) Standards and the Electric Utilities Sector Supplement; the Task Force on Climate-related Financial Disclosures (TCFD) core elements; and the Sustainability Accounting Standards Board (SASB) Electric Utilities &amp; Power Generators Standard. For more information, please see Exelon’s ESG resources page (</w:t>
      </w:r>
      <w:r>
        <w:rPr>
          <w:rFonts w:ascii="Arial" w:cs="Arial" w:eastAsia="Arial" w:hAnsi="Arial"/>
          <w:sz w:val="15"/>
          <w:szCs w:val="15"/>
          <w:b w:val="1"/>
          <w:bCs w:val="1"/>
          <w:color w:val="170D67"/>
        </w:rPr>
        <w:t>https://investors.exeloncorp.com/esg</w:t>
      </w:r>
      <w:r>
        <w:rPr>
          <w:rFonts w:ascii="Arial" w:cs="Arial" w:eastAsia="Arial" w:hAnsi="Arial"/>
          <w:sz w:val="16"/>
          <w:szCs w:val="16"/>
          <w:color w:val="auto"/>
        </w:rPr>
        <w:t xml:space="preserve">) and Exelon’s Sustainability Report available at: </w:t>
      </w:r>
      <w:r>
        <w:rPr>
          <w:rFonts w:ascii="Arial" w:cs="Arial" w:eastAsia="Arial" w:hAnsi="Arial"/>
          <w:sz w:val="15"/>
          <w:szCs w:val="15"/>
          <w:b w:val="1"/>
          <w:bCs w:val="1"/>
          <w:color w:val="170D67"/>
        </w:rPr>
        <w:t>www.exeloncorp.com/sustainability</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60" w:type="dxa"/>
            <w:vAlign w:val="bottom"/>
          </w:tcPr>
          <w:p>
            <w:pPr>
              <w:ind w:left="8780"/>
              <w:spacing w:after="0"/>
              <w:rPr>
                <w:sz w:val="20"/>
                <w:szCs w:val="20"/>
                <w:color w:val="auto"/>
              </w:rPr>
            </w:pPr>
            <w:r>
              <w:rPr>
                <w:rFonts w:ascii="Arial" w:cs="Arial" w:eastAsia="Arial" w:hAnsi="Arial"/>
                <w:sz w:val="14"/>
                <w:szCs w:val="14"/>
                <w:color w:val="auto"/>
              </w:rPr>
              <w:t>2025 ׀ Exelon Proxy Statement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7</w:t>
            </w:r>
          </w:p>
        </w:tc>
      </w:tr>
      <w:tr>
        <w:trPr>
          <w:trHeight w:val="211"/>
        </w:trPr>
        <w:tc>
          <w:tcPr>
            <w:tcW w:w="1096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color w:val="auto"/>
        </w:rPr>
        <w:t>About Exelon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Supporting Our Customers and Communities</w:t>
      </w:r>
    </w:p>
    <w:p>
      <w:pPr>
        <w:spacing w:after="0" w:line="11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success is inextricably linked with the success of the communities that we serve. Exelon supports local communities through jobs, taxes paid, corporate philanthropy, community engagement, investments, and stakeholder partnerships that grow opportunities for people and regional economies. Employees who are invested in their communities help us succeed in understanding and meeting customer expectations and continuing to innovate into the next-generation energy company.</w:t>
      </w:r>
    </w:p>
    <w:p>
      <w:pPr>
        <w:spacing w:after="0" w:line="72"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Through updated regulatory frameworks and investment prioritization to support the grid of the future, Exelon strives to provide our customers with the benefits of lower carbon energy solutions and smart grid technologies while maintaining energy affordability. We focus on providing reliable and resilient service, achieving high customer satisfaction and empowering customers to buy, manage, and use energy efficiently and cost-effectively - including through innovative energy efficiency, hourly pricing, and other programs and technology solutions to monitor and/or reduce energy use, reduce environmental impacts, and save money.</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Fostering an Inclusive, Innovative, and Rewarding Workplace</w:t>
      </w:r>
    </w:p>
    <w:p>
      <w:pPr>
        <w:spacing w:after="0" w:line="112"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At Exelon, we know that a workforce comprised of employees with varying backgrounds and experiences, who feel engaged and valued drives performance and helps us meet the needs of the customers and communities we have the privilege to serve.</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Our workforce strategy is centered around three primary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114935</wp:posOffset>
            </wp:positionV>
            <wp:extent cx="7149465" cy="7543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754380"/>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780" w:type="dxa"/>
            <w:vAlign w:val="bottom"/>
            <w:shd w:val="clear" w:color="auto" w:fill="E8E7EA"/>
          </w:tcPr>
          <w:p>
            <w:pPr>
              <w:jc w:val="center"/>
              <w:spacing w:after="0"/>
              <w:rPr>
                <w:sz w:val="20"/>
                <w:szCs w:val="20"/>
                <w:color w:val="auto"/>
              </w:rPr>
            </w:pPr>
            <w:r>
              <w:rPr>
                <w:rFonts w:ascii="Arial" w:cs="Arial" w:eastAsia="Arial" w:hAnsi="Arial"/>
                <w:sz w:val="16"/>
                <w:szCs w:val="16"/>
                <w:b w:val="1"/>
                <w:bCs w:val="1"/>
                <w:color w:val="170D67"/>
              </w:rPr>
              <w:t>Providing a workplace that ensures</w:t>
            </w:r>
          </w:p>
        </w:tc>
        <w:tc>
          <w:tcPr>
            <w:tcW w:w="3800" w:type="dxa"/>
            <w:vAlign w:val="bottom"/>
            <w:vMerge w:val="restart"/>
            <w:shd w:val="clear" w:color="auto" w:fill="E8E7EA"/>
          </w:tcPr>
          <w:p>
            <w:pPr>
              <w:jc w:val="center"/>
              <w:spacing w:after="0"/>
              <w:rPr>
                <w:sz w:val="20"/>
                <w:szCs w:val="20"/>
                <w:color w:val="auto"/>
              </w:rPr>
            </w:pPr>
            <w:r>
              <w:rPr>
                <w:rFonts w:ascii="Arial" w:cs="Arial" w:eastAsia="Arial" w:hAnsi="Arial"/>
                <w:sz w:val="16"/>
                <w:szCs w:val="16"/>
                <w:b w:val="1"/>
                <w:bCs w:val="1"/>
                <w:color w:val="170D67"/>
              </w:rPr>
              <w:t>Attracting, retaining, and developing</w:t>
            </w:r>
          </w:p>
        </w:tc>
        <w:tc>
          <w:tcPr>
            <w:tcW w:w="3640" w:type="dxa"/>
            <w:vAlign w:val="bottom"/>
            <w:shd w:val="clear" w:color="auto" w:fill="E8E7EA"/>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3780" w:type="dxa"/>
            <w:vAlign w:val="bottom"/>
            <w:vMerge w:val="restart"/>
            <w:shd w:val="clear" w:color="auto" w:fill="E8E7EA"/>
          </w:tcPr>
          <w:p>
            <w:pPr>
              <w:jc w:val="center"/>
              <w:spacing w:after="0"/>
              <w:rPr>
                <w:sz w:val="20"/>
                <w:szCs w:val="20"/>
                <w:color w:val="auto"/>
              </w:rPr>
            </w:pPr>
            <w:r>
              <w:rPr>
                <w:rFonts w:ascii="Arial" w:cs="Arial" w:eastAsia="Arial" w:hAnsi="Arial"/>
                <w:sz w:val="16"/>
                <w:szCs w:val="16"/>
                <w:b w:val="1"/>
                <w:bCs w:val="1"/>
                <w:color w:val="170D67"/>
              </w:rPr>
              <w:t>mutual respect and where each</w:t>
            </w:r>
          </w:p>
        </w:tc>
        <w:tc>
          <w:tcPr>
            <w:tcW w:w="3800" w:type="dxa"/>
            <w:vAlign w:val="bottom"/>
            <w:vMerge w:val="continue"/>
            <w:shd w:val="clear" w:color="auto" w:fill="E8E7EA"/>
          </w:tcPr>
          <w:p>
            <w:pPr>
              <w:spacing w:after="0"/>
              <w:rPr>
                <w:sz w:val="9"/>
                <w:szCs w:val="9"/>
                <w:color w:val="auto"/>
              </w:rPr>
            </w:pPr>
          </w:p>
        </w:tc>
        <w:tc>
          <w:tcPr>
            <w:tcW w:w="3640" w:type="dxa"/>
            <w:vAlign w:val="bottom"/>
            <w:vMerge w:val="restart"/>
            <w:shd w:val="clear" w:color="auto" w:fill="E8E7EA"/>
          </w:tcPr>
          <w:p>
            <w:pPr>
              <w:jc w:val="center"/>
              <w:spacing w:after="0"/>
              <w:rPr>
                <w:sz w:val="20"/>
                <w:szCs w:val="20"/>
                <w:color w:val="auto"/>
              </w:rPr>
            </w:pPr>
            <w:r>
              <w:rPr>
                <w:rFonts w:ascii="Arial" w:cs="Arial" w:eastAsia="Arial" w:hAnsi="Arial"/>
                <w:sz w:val="16"/>
                <w:szCs w:val="16"/>
                <w:b w:val="1"/>
                <w:bCs w:val="1"/>
                <w:color w:val="170D67"/>
              </w:rPr>
              <w:t>We approach every aspect of our work</w:t>
            </w:r>
          </w:p>
        </w:tc>
        <w:tc>
          <w:tcPr>
            <w:tcW w:w="0" w:type="dxa"/>
            <w:vAlign w:val="bottom"/>
          </w:tcPr>
          <w:p>
            <w:pPr>
              <w:spacing w:after="0"/>
              <w:rPr>
                <w:sz w:val="1"/>
                <w:szCs w:val="1"/>
                <w:color w:val="auto"/>
              </w:rPr>
            </w:pPr>
          </w:p>
        </w:tc>
      </w:tr>
      <w:tr>
        <w:trPr>
          <w:trHeight w:val="95"/>
        </w:trPr>
        <w:tc>
          <w:tcPr>
            <w:tcW w:w="3780" w:type="dxa"/>
            <w:vAlign w:val="bottom"/>
            <w:vMerge w:val="continue"/>
            <w:shd w:val="clear" w:color="auto" w:fill="E8E7EA"/>
          </w:tcPr>
          <w:p>
            <w:pPr>
              <w:spacing w:after="0"/>
              <w:rPr>
                <w:sz w:val="8"/>
                <w:szCs w:val="8"/>
                <w:color w:val="auto"/>
              </w:rPr>
            </w:pPr>
          </w:p>
        </w:tc>
        <w:tc>
          <w:tcPr>
            <w:tcW w:w="3800" w:type="dxa"/>
            <w:vAlign w:val="bottom"/>
            <w:vMerge w:val="restart"/>
            <w:shd w:val="clear" w:color="auto" w:fill="E8E7EA"/>
          </w:tcPr>
          <w:p>
            <w:pPr>
              <w:jc w:val="center"/>
              <w:spacing w:after="0"/>
              <w:rPr>
                <w:sz w:val="20"/>
                <w:szCs w:val="20"/>
                <w:color w:val="auto"/>
              </w:rPr>
            </w:pPr>
            <w:r>
              <w:rPr>
                <w:rFonts w:ascii="Arial" w:cs="Arial" w:eastAsia="Arial" w:hAnsi="Arial"/>
                <w:sz w:val="16"/>
                <w:szCs w:val="16"/>
                <w:b w:val="1"/>
                <w:bCs w:val="1"/>
                <w:color w:val="170D67"/>
              </w:rPr>
              <w:t>employees who will best serve and</w:t>
            </w:r>
          </w:p>
        </w:tc>
        <w:tc>
          <w:tcPr>
            <w:tcW w:w="3640" w:type="dxa"/>
            <w:vAlign w:val="bottom"/>
            <w:vMerge w:val="continue"/>
            <w:shd w:val="clear" w:color="auto" w:fill="E8E7EA"/>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780" w:type="dxa"/>
            <w:vAlign w:val="bottom"/>
            <w:vMerge w:val="restart"/>
            <w:shd w:val="clear" w:color="auto" w:fill="E8E7EA"/>
          </w:tcPr>
          <w:p>
            <w:pPr>
              <w:jc w:val="center"/>
              <w:spacing w:after="0"/>
              <w:rPr>
                <w:sz w:val="20"/>
                <w:szCs w:val="20"/>
                <w:color w:val="auto"/>
              </w:rPr>
            </w:pPr>
            <w:r>
              <w:rPr>
                <w:rFonts w:ascii="Arial" w:cs="Arial" w:eastAsia="Arial" w:hAnsi="Arial"/>
                <w:sz w:val="16"/>
                <w:szCs w:val="16"/>
                <w:b w:val="1"/>
                <w:bCs w:val="1"/>
                <w:color w:val="170D67"/>
              </w:rPr>
              <w:t>individual has the opportunity to grow</w:t>
            </w:r>
          </w:p>
        </w:tc>
        <w:tc>
          <w:tcPr>
            <w:tcW w:w="3800" w:type="dxa"/>
            <w:vAlign w:val="bottom"/>
            <w:vMerge w:val="continue"/>
            <w:shd w:val="clear" w:color="auto" w:fill="E8E7EA"/>
          </w:tcPr>
          <w:p>
            <w:pPr>
              <w:spacing w:after="0"/>
              <w:rPr>
                <w:sz w:val="10"/>
                <w:szCs w:val="10"/>
                <w:color w:val="auto"/>
              </w:rPr>
            </w:pPr>
          </w:p>
        </w:tc>
        <w:tc>
          <w:tcPr>
            <w:tcW w:w="3640" w:type="dxa"/>
            <w:vAlign w:val="bottom"/>
            <w:vMerge w:val="restart"/>
            <w:shd w:val="clear" w:color="auto" w:fill="E8E7EA"/>
          </w:tcPr>
          <w:p>
            <w:pPr>
              <w:jc w:val="center"/>
              <w:spacing w:after="0"/>
              <w:rPr>
                <w:sz w:val="20"/>
                <w:szCs w:val="20"/>
                <w:color w:val="auto"/>
              </w:rPr>
            </w:pPr>
            <w:r>
              <w:rPr>
                <w:rFonts w:ascii="Arial" w:cs="Arial" w:eastAsia="Arial" w:hAnsi="Arial"/>
                <w:sz w:val="16"/>
                <w:szCs w:val="16"/>
                <w:b w:val="1"/>
                <w:bCs w:val="1"/>
                <w:color w:val="170D67"/>
              </w:rPr>
              <w:t>with the needs of our customers and</w:t>
            </w:r>
          </w:p>
        </w:tc>
        <w:tc>
          <w:tcPr>
            <w:tcW w:w="0" w:type="dxa"/>
            <w:vAlign w:val="bottom"/>
          </w:tcPr>
          <w:p>
            <w:pPr>
              <w:spacing w:after="0"/>
              <w:rPr>
                <w:sz w:val="1"/>
                <w:szCs w:val="1"/>
                <w:color w:val="auto"/>
              </w:rPr>
            </w:pPr>
          </w:p>
        </w:tc>
      </w:tr>
      <w:tr>
        <w:trPr>
          <w:trHeight w:val="95"/>
        </w:trPr>
        <w:tc>
          <w:tcPr>
            <w:tcW w:w="3780" w:type="dxa"/>
            <w:vAlign w:val="bottom"/>
            <w:vMerge w:val="continue"/>
            <w:shd w:val="clear" w:color="auto" w:fill="E8E7EA"/>
          </w:tcPr>
          <w:p>
            <w:pPr>
              <w:spacing w:after="0"/>
              <w:rPr>
                <w:sz w:val="8"/>
                <w:szCs w:val="8"/>
                <w:color w:val="auto"/>
              </w:rPr>
            </w:pPr>
          </w:p>
        </w:tc>
        <w:tc>
          <w:tcPr>
            <w:tcW w:w="3800" w:type="dxa"/>
            <w:vAlign w:val="bottom"/>
            <w:vMerge w:val="restart"/>
            <w:shd w:val="clear" w:color="auto" w:fill="E8E7EA"/>
          </w:tcPr>
          <w:p>
            <w:pPr>
              <w:jc w:val="center"/>
              <w:spacing w:after="0"/>
              <w:rPr>
                <w:sz w:val="20"/>
                <w:szCs w:val="20"/>
                <w:color w:val="auto"/>
              </w:rPr>
            </w:pPr>
            <w:r>
              <w:rPr>
                <w:rFonts w:ascii="Arial" w:cs="Arial" w:eastAsia="Arial" w:hAnsi="Arial"/>
                <w:sz w:val="16"/>
                <w:szCs w:val="16"/>
                <w:b w:val="1"/>
                <w:bCs w:val="1"/>
                <w:color w:val="170D67"/>
              </w:rPr>
              <w:t>represent our customers, partners, and</w:t>
            </w:r>
          </w:p>
        </w:tc>
        <w:tc>
          <w:tcPr>
            <w:tcW w:w="3640" w:type="dxa"/>
            <w:vAlign w:val="bottom"/>
            <w:vMerge w:val="continue"/>
            <w:shd w:val="clear" w:color="auto" w:fill="E8E7EA"/>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780" w:type="dxa"/>
            <w:vAlign w:val="bottom"/>
            <w:vMerge w:val="restart"/>
            <w:shd w:val="clear" w:color="auto" w:fill="E8E7EA"/>
          </w:tcPr>
          <w:p>
            <w:pPr>
              <w:jc w:val="center"/>
              <w:spacing w:after="0"/>
              <w:rPr>
                <w:sz w:val="20"/>
                <w:szCs w:val="20"/>
                <w:color w:val="auto"/>
              </w:rPr>
            </w:pPr>
            <w:r>
              <w:rPr>
                <w:rFonts w:ascii="Arial" w:cs="Arial" w:eastAsia="Arial" w:hAnsi="Arial"/>
                <w:sz w:val="16"/>
                <w:szCs w:val="16"/>
                <w:b w:val="1"/>
                <w:bCs w:val="1"/>
                <w:color w:val="170D67"/>
              </w:rPr>
              <w:t>and contribute at their</w:t>
            </w:r>
          </w:p>
        </w:tc>
        <w:tc>
          <w:tcPr>
            <w:tcW w:w="3800" w:type="dxa"/>
            <w:vAlign w:val="bottom"/>
            <w:vMerge w:val="continue"/>
            <w:shd w:val="clear" w:color="auto" w:fill="E8E7EA"/>
          </w:tcPr>
          <w:p>
            <w:pPr>
              <w:spacing w:after="0"/>
              <w:rPr>
                <w:sz w:val="9"/>
                <w:szCs w:val="9"/>
                <w:color w:val="auto"/>
              </w:rPr>
            </w:pPr>
          </w:p>
        </w:tc>
        <w:tc>
          <w:tcPr>
            <w:tcW w:w="3640" w:type="dxa"/>
            <w:vAlign w:val="bottom"/>
            <w:vMerge w:val="restart"/>
            <w:shd w:val="clear" w:color="auto" w:fill="E8E7EA"/>
          </w:tcPr>
          <w:p>
            <w:pPr>
              <w:jc w:val="center"/>
              <w:spacing w:after="0"/>
              <w:rPr>
                <w:sz w:val="20"/>
                <w:szCs w:val="20"/>
                <w:color w:val="auto"/>
              </w:rPr>
            </w:pPr>
            <w:r>
              <w:rPr>
                <w:rFonts w:ascii="Arial" w:cs="Arial" w:eastAsia="Arial" w:hAnsi="Arial"/>
                <w:sz w:val="16"/>
                <w:szCs w:val="16"/>
                <w:b w:val="1"/>
                <w:bCs w:val="1"/>
                <w:color w:val="170D67"/>
              </w:rPr>
              <w:t>communities at the forefront.</w:t>
            </w:r>
          </w:p>
        </w:tc>
        <w:tc>
          <w:tcPr>
            <w:tcW w:w="0" w:type="dxa"/>
            <w:vAlign w:val="bottom"/>
          </w:tcPr>
          <w:p>
            <w:pPr>
              <w:spacing w:after="0"/>
              <w:rPr>
                <w:sz w:val="1"/>
                <w:szCs w:val="1"/>
                <w:color w:val="auto"/>
              </w:rPr>
            </w:pPr>
          </w:p>
        </w:tc>
      </w:tr>
      <w:tr>
        <w:trPr>
          <w:trHeight w:val="108"/>
        </w:trPr>
        <w:tc>
          <w:tcPr>
            <w:tcW w:w="3780" w:type="dxa"/>
            <w:vAlign w:val="bottom"/>
            <w:vMerge w:val="continue"/>
            <w:shd w:val="clear" w:color="auto" w:fill="E8E7EA"/>
          </w:tcPr>
          <w:p>
            <w:pPr>
              <w:spacing w:after="0"/>
              <w:rPr>
                <w:sz w:val="9"/>
                <w:szCs w:val="9"/>
                <w:color w:val="auto"/>
              </w:rPr>
            </w:pPr>
          </w:p>
        </w:tc>
        <w:tc>
          <w:tcPr>
            <w:tcW w:w="3800" w:type="dxa"/>
            <w:vAlign w:val="bottom"/>
            <w:vMerge w:val="restart"/>
            <w:shd w:val="clear" w:color="auto" w:fill="E8E7EA"/>
          </w:tcPr>
          <w:p>
            <w:pPr>
              <w:jc w:val="center"/>
              <w:spacing w:after="0"/>
              <w:rPr>
                <w:sz w:val="20"/>
                <w:szCs w:val="20"/>
                <w:color w:val="auto"/>
              </w:rPr>
            </w:pPr>
            <w:r>
              <w:rPr>
                <w:rFonts w:ascii="Arial" w:cs="Arial" w:eastAsia="Arial" w:hAnsi="Arial"/>
                <w:sz w:val="16"/>
                <w:szCs w:val="16"/>
                <w:b w:val="1"/>
                <w:bCs w:val="1"/>
                <w:color w:val="170D67"/>
              </w:rPr>
              <w:t>communities.</w:t>
            </w:r>
          </w:p>
        </w:tc>
        <w:tc>
          <w:tcPr>
            <w:tcW w:w="3640" w:type="dxa"/>
            <w:vAlign w:val="bottom"/>
            <w:vMerge w:val="continue"/>
            <w:shd w:val="clear" w:color="auto" w:fill="E8E7EA"/>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780" w:type="dxa"/>
            <w:vAlign w:val="bottom"/>
            <w:vMerge w:val="restart"/>
            <w:shd w:val="clear" w:color="auto" w:fill="E8E7EA"/>
          </w:tcPr>
          <w:p>
            <w:pPr>
              <w:jc w:val="center"/>
              <w:spacing w:after="0"/>
              <w:rPr>
                <w:sz w:val="20"/>
                <w:szCs w:val="20"/>
                <w:color w:val="auto"/>
              </w:rPr>
            </w:pPr>
            <w:r>
              <w:rPr>
                <w:rFonts w:ascii="Arial" w:cs="Arial" w:eastAsia="Arial" w:hAnsi="Arial"/>
                <w:sz w:val="16"/>
                <w:szCs w:val="16"/>
                <w:b w:val="1"/>
                <w:bCs w:val="1"/>
                <w:color w:val="170D67"/>
              </w:rPr>
              <w:t>greatest potential.</w:t>
            </w:r>
          </w:p>
        </w:tc>
        <w:tc>
          <w:tcPr>
            <w:tcW w:w="3800" w:type="dxa"/>
            <w:vAlign w:val="bottom"/>
            <w:vMerge w:val="continue"/>
            <w:shd w:val="clear" w:color="auto" w:fill="E8E7EA"/>
          </w:tcPr>
          <w:p>
            <w:pPr>
              <w:spacing w:after="0"/>
              <w:rPr>
                <w:sz w:val="9"/>
                <w:szCs w:val="9"/>
                <w:color w:val="auto"/>
              </w:rPr>
            </w:pPr>
          </w:p>
        </w:tc>
        <w:tc>
          <w:tcPr>
            <w:tcW w:w="3640" w:type="dxa"/>
            <w:vAlign w:val="bottom"/>
            <w:shd w:val="clear" w:color="auto" w:fill="E8E7EA"/>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80" w:type="dxa"/>
            <w:vAlign w:val="bottom"/>
            <w:vMerge w:val="continue"/>
            <w:shd w:val="clear" w:color="auto" w:fill="E8E7EA"/>
          </w:tcPr>
          <w:p>
            <w:pPr>
              <w:spacing w:after="0"/>
              <w:rPr>
                <w:sz w:val="9"/>
                <w:szCs w:val="9"/>
                <w:color w:val="auto"/>
              </w:rPr>
            </w:pPr>
          </w:p>
        </w:tc>
        <w:tc>
          <w:tcPr>
            <w:tcW w:w="3800" w:type="dxa"/>
            <w:vAlign w:val="bottom"/>
            <w:shd w:val="clear" w:color="auto" w:fill="E8E7EA"/>
          </w:tcPr>
          <w:p>
            <w:pPr>
              <w:spacing w:after="0"/>
              <w:rPr>
                <w:sz w:val="9"/>
                <w:szCs w:val="9"/>
                <w:color w:val="auto"/>
              </w:rPr>
            </w:pPr>
          </w:p>
        </w:tc>
        <w:tc>
          <w:tcPr>
            <w:tcW w:w="3640" w:type="dxa"/>
            <w:vAlign w:val="bottom"/>
            <w:shd w:val="clear" w:color="auto" w:fill="E8E7EA"/>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3780" w:type="dxa"/>
            <w:vAlign w:val="bottom"/>
            <w:shd w:val="clear" w:color="auto" w:fill="E8E7EA"/>
          </w:tcPr>
          <w:p>
            <w:pPr>
              <w:spacing w:after="0"/>
              <w:rPr>
                <w:sz w:val="4"/>
                <w:szCs w:val="4"/>
                <w:color w:val="auto"/>
              </w:rPr>
            </w:pPr>
          </w:p>
        </w:tc>
        <w:tc>
          <w:tcPr>
            <w:tcW w:w="3800" w:type="dxa"/>
            <w:vAlign w:val="bottom"/>
            <w:shd w:val="clear" w:color="auto" w:fill="E8E7EA"/>
          </w:tcPr>
          <w:p>
            <w:pPr>
              <w:spacing w:after="0"/>
              <w:rPr>
                <w:sz w:val="4"/>
                <w:szCs w:val="4"/>
                <w:color w:val="auto"/>
              </w:rPr>
            </w:pPr>
          </w:p>
        </w:tc>
        <w:tc>
          <w:tcPr>
            <w:tcW w:w="3640" w:type="dxa"/>
            <w:vAlign w:val="bottom"/>
            <w:shd w:val="clear" w:color="auto" w:fill="E8E7EA"/>
          </w:tcPr>
          <w:p>
            <w:pPr>
              <w:spacing w:after="0"/>
              <w:rPr>
                <w:sz w:val="4"/>
                <w:szCs w:val="4"/>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Board Oversight of Our Culture</w:t>
      </w:r>
    </w:p>
    <w:p>
      <w:pPr>
        <w:spacing w:after="0" w:line="122"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Our Board is focused on building and maintaining a corporate culture that makes Exelon an employer of choice. As the Board is routinely in the process of refreshing its composition, diversity of background, skills, experience, and perspective is, and has been, a key consideration in evaluating potential candidates, as discussed further on page 15. Additionally, the Board regularly engages with management on issues related to talent and corporate culture.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Investing in and Caring for Our Workforce</w:t>
      </w:r>
    </w:p>
    <w:p>
      <w:pPr>
        <w:spacing w:after="0" w:line="11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believe our employees are Exelon’s greatest asset. Exelon must continue to seek skilled applicants and develop and retain employees in craft, business, and STEM areas. Our practices, policies, and business strategy are designed to attract and retain a varied, talented, and engaged workforce with cutting-edge skills, which enables us to best serve our customers as the energy company of the future.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Career Development</w:t>
      </w:r>
    </w:p>
    <w:p>
      <w:pPr>
        <w:spacing w:after="0" w:line="122"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Exelon is committed to helping current employees grow their skills and careers to develop a talent pipeline for future jobs through training opportunities, mentoring programs, continuous feedback and development discussions, and evaluations. All employees have annual goal setting and development conversations with their managers. We understand that continued education leads to a more engaged, skilled, and productive workforce, and we support our employees in their educational endeavors. Exelon offers a variety of live and on-demand professional development workshops and classes as well as tuition reimbursement up to $10,000 annually or $15,000 annually for graduate classes.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Qualifications and Degree Requirements</w:t>
      </w:r>
    </w:p>
    <w:p>
      <w:pPr>
        <w:spacing w:after="0" w:line="122"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Beginning in 2023, we updated the minimum qualifications for exempt roles below the executive level at Exelon by recognizing years of experience in lieu of a college degree where applicable. While maintaining our focus on safety and operational excellence, the changes were implemented to recognize relevant career related experience, expand opportunities for promotion and lateral movement for all employees, and enable larger candidate pools for hiring managers. These adjustments provide more opportunities for movement and career growth throughout the company for current employees and help us to continue to attract the strongest external talent.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80" w:hanging="454"/>
        <w:spacing w:after="0"/>
        <w:tabs>
          <w:tab w:leader="none" w:pos="48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1" w:name="page12"/>
    <w:bookmarkEnd w:id="11"/>
    <w:p>
      <w:pPr>
        <w:jc w:val="right"/>
        <w:spacing w:after="0"/>
        <w:rPr>
          <w:sz w:val="20"/>
          <w:szCs w:val="20"/>
          <w:color w:val="auto"/>
        </w:rPr>
      </w:pPr>
      <w:r>
        <w:rPr>
          <w:rFonts w:ascii="Arial" w:cs="Arial" w:eastAsia="Arial" w:hAnsi="Arial"/>
          <w:sz w:val="13"/>
          <w:szCs w:val="13"/>
          <w:b w:val="1"/>
          <w:bCs w:val="1"/>
          <w:color w:val="auto"/>
        </w:rPr>
        <w:t>About Exelon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Workforce Development</w:t>
      </w:r>
    </w:p>
    <w:p>
      <w:pPr>
        <w:spacing w:after="0" w:line="122" w:lineRule="exact"/>
        <w:rPr>
          <w:sz w:val="20"/>
          <w:szCs w:val="20"/>
          <w:color w:val="auto"/>
        </w:rPr>
      </w:pPr>
    </w:p>
    <w:p>
      <w:pPr>
        <w:ind w:right="300"/>
        <w:spacing w:after="0" w:line="287" w:lineRule="auto"/>
        <w:rPr>
          <w:sz w:val="20"/>
          <w:szCs w:val="20"/>
          <w:color w:val="auto"/>
        </w:rPr>
      </w:pPr>
      <w:r>
        <w:rPr>
          <w:rFonts w:ascii="Arial" w:cs="Arial" w:eastAsia="Arial" w:hAnsi="Arial"/>
          <w:sz w:val="16"/>
          <w:szCs w:val="16"/>
          <w:color w:val="auto"/>
        </w:rPr>
        <w:t>Creating a reliable workforce pipeline is crucial to ensuring the success of the industry and meeting the needs of society for dependable power. As we promote STEM education for future leaders, it is our responsibility to also support underrepresented populations and build the next generation workforce. Exelon is committed to exposing young people within our communities to career opportunities in the energy industry. Through internships, university and veteran recruiting, STEM academies, and partnerships with non-profit and professional organizations, we are committed to providing opportunities and professional development for the next generation of our workforce.</w:t>
      </w:r>
    </w:p>
    <w:p>
      <w:pPr>
        <w:spacing w:after="0" w:line="6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recognize that many of the communities in which we live and work are economically challenged. Exelon’s workforce development strategy is focused on addressing these economic challenges in the communities we serve. In 2024, Exelon invested over $26 million to support more than 100 different workforce development programs across Exelon and our six utilities. These programs seek to bring economic growth, empowerment, and employment opportunity to underserved and under-resourced communities.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Our workforce development strategy is centered on four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106680</wp:posOffset>
            </wp:positionV>
            <wp:extent cx="6412230" cy="13201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12230" cy="1320165"/>
                    </a:xfrm>
                    <a:prstGeom prst="rect">
                      <a:avLst/>
                    </a:prstGeom>
                    <a:noFill/>
                  </pic:spPr>
                </pic:pic>
              </a:graphicData>
            </a:graphic>
          </wp:anchor>
        </w:drawing>
      </w:r>
    </w:p>
    <w:p>
      <w:pPr>
        <w:spacing w:after="0" w:line="175" w:lineRule="exact"/>
        <w:rPr>
          <w:sz w:val="20"/>
          <w:szCs w:val="20"/>
          <w:color w:val="auto"/>
        </w:rPr>
      </w:pPr>
    </w:p>
    <w:tbl>
      <w:tblPr>
        <w:tblLayout w:type="fixed"/>
        <w:tblInd w:w="620" w:type="dxa"/>
        <w:tblCellMar>
          <w:top w:w="0" w:type="dxa"/>
          <w:left w:w="0" w:type="dxa"/>
          <w:bottom w:w="0" w:type="dxa"/>
          <w:right w:w="0" w:type="dxa"/>
        </w:tblCellMar>
      </w:tblPr>
      <w:tr>
        <w:trPr>
          <w:trHeight w:val="357"/>
        </w:trPr>
        <w:tc>
          <w:tcPr>
            <w:tcW w:w="4960" w:type="dxa"/>
            <w:vAlign w:val="bottom"/>
            <w:shd w:val="clear" w:color="auto" w:fill="E8E7EA"/>
          </w:tcPr>
          <w:p>
            <w:pPr>
              <w:jc w:val="center"/>
              <w:spacing w:after="0"/>
              <w:rPr>
                <w:sz w:val="20"/>
                <w:szCs w:val="20"/>
                <w:color w:val="auto"/>
              </w:rPr>
            </w:pPr>
            <w:r>
              <w:rPr>
                <w:rFonts w:ascii="Arial" w:cs="Arial" w:eastAsia="Arial" w:hAnsi="Arial"/>
                <w:sz w:val="16"/>
                <w:szCs w:val="16"/>
                <w:b w:val="1"/>
                <w:bCs w:val="1"/>
                <w:color w:val="170D67"/>
              </w:rPr>
              <w:t>Creating Opportunities</w:t>
            </w:r>
          </w:p>
        </w:tc>
        <w:tc>
          <w:tcPr>
            <w:tcW w:w="5060" w:type="dxa"/>
            <w:vAlign w:val="bottom"/>
            <w:shd w:val="clear" w:color="auto" w:fill="E8E7EA"/>
          </w:tcPr>
          <w:p>
            <w:pPr>
              <w:jc w:val="center"/>
              <w:spacing w:after="0"/>
              <w:rPr>
                <w:sz w:val="20"/>
                <w:szCs w:val="20"/>
                <w:color w:val="auto"/>
              </w:rPr>
            </w:pPr>
            <w:r>
              <w:rPr>
                <w:rFonts w:ascii="Arial" w:cs="Arial" w:eastAsia="Arial" w:hAnsi="Arial"/>
                <w:sz w:val="16"/>
                <w:szCs w:val="16"/>
                <w:b w:val="1"/>
                <w:bCs w:val="1"/>
                <w:color w:val="170D67"/>
              </w:rPr>
              <w:t>Easing Hurdles to Employment</w:t>
            </w:r>
          </w:p>
        </w:tc>
      </w:tr>
      <w:tr>
        <w:trPr>
          <w:trHeight w:val="250"/>
        </w:trPr>
        <w:tc>
          <w:tcPr>
            <w:tcW w:w="4960" w:type="dxa"/>
            <w:vAlign w:val="bottom"/>
            <w:shd w:val="clear" w:color="auto" w:fill="E8E7EA"/>
          </w:tcPr>
          <w:p>
            <w:pPr>
              <w:jc w:val="center"/>
              <w:spacing w:after="0"/>
              <w:rPr>
                <w:sz w:val="20"/>
                <w:szCs w:val="20"/>
                <w:color w:val="auto"/>
              </w:rPr>
            </w:pPr>
            <w:r>
              <w:rPr>
                <w:rFonts w:ascii="Arial" w:cs="Arial" w:eastAsia="Arial" w:hAnsi="Arial"/>
                <w:sz w:val="16"/>
                <w:szCs w:val="16"/>
                <w:color w:val="auto"/>
              </w:rPr>
              <w:t>Partnerships with employers, nonprofits, and</w:t>
            </w:r>
          </w:p>
        </w:tc>
        <w:tc>
          <w:tcPr>
            <w:tcW w:w="5060" w:type="dxa"/>
            <w:vAlign w:val="bottom"/>
            <w:shd w:val="clear" w:color="auto" w:fill="E8E7EA"/>
          </w:tcPr>
          <w:p>
            <w:pPr>
              <w:jc w:val="center"/>
              <w:spacing w:after="0"/>
              <w:rPr>
                <w:sz w:val="20"/>
                <w:szCs w:val="20"/>
                <w:color w:val="auto"/>
              </w:rPr>
            </w:pPr>
            <w:r>
              <w:rPr>
                <w:rFonts w:ascii="Arial" w:cs="Arial" w:eastAsia="Arial" w:hAnsi="Arial"/>
                <w:sz w:val="16"/>
                <w:szCs w:val="16"/>
                <w:color w:val="auto"/>
              </w:rPr>
              <w:t>Reduce or remove employment barriers faced by</w:t>
            </w:r>
          </w:p>
        </w:tc>
      </w:tr>
      <w:tr>
        <w:trPr>
          <w:trHeight w:val="203"/>
        </w:trPr>
        <w:tc>
          <w:tcPr>
            <w:tcW w:w="4960" w:type="dxa"/>
            <w:vAlign w:val="bottom"/>
            <w:shd w:val="clear" w:color="auto" w:fill="E8E7EA"/>
          </w:tcPr>
          <w:p>
            <w:pPr>
              <w:jc w:val="center"/>
              <w:spacing w:after="0"/>
              <w:rPr>
                <w:sz w:val="20"/>
                <w:szCs w:val="20"/>
                <w:color w:val="auto"/>
              </w:rPr>
            </w:pPr>
            <w:r>
              <w:rPr>
                <w:rFonts w:ascii="Arial" w:cs="Arial" w:eastAsia="Arial" w:hAnsi="Arial"/>
                <w:sz w:val="16"/>
                <w:szCs w:val="16"/>
                <w:color w:val="auto"/>
              </w:rPr>
              <w:t>community groups to expand training and job</w:t>
            </w:r>
          </w:p>
        </w:tc>
        <w:tc>
          <w:tcPr>
            <w:tcW w:w="5060" w:type="dxa"/>
            <w:vAlign w:val="bottom"/>
            <w:shd w:val="clear" w:color="auto" w:fill="E8E7EA"/>
          </w:tcPr>
          <w:p>
            <w:pPr>
              <w:jc w:val="center"/>
              <w:spacing w:after="0"/>
              <w:rPr>
                <w:sz w:val="20"/>
                <w:szCs w:val="20"/>
                <w:color w:val="auto"/>
              </w:rPr>
            </w:pPr>
            <w:r>
              <w:rPr>
                <w:rFonts w:ascii="Arial" w:cs="Arial" w:eastAsia="Arial" w:hAnsi="Arial"/>
                <w:sz w:val="16"/>
                <w:szCs w:val="16"/>
                <w:color w:val="auto"/>
              </w:rPr>
              <w:t>youth and work-ready adults in underserved and</w:t>
            </w:r>
          </w:p>
        </w:tc>
      </w:tr>
      <w:tr>
        <w:trPr>
          <w:trHeight w:val="215"/>
        </w:trPr>
        <w:tc>
          <w:tcPr>
            <w:tcW w:w="4960" w:type="dxa"/>
            <w:vAlign w:val="bottom"/>
            <w:shd w:val="clear" w:color="auto" w:fill="E8E7EA"/>
          </w:tcPr>
          <w:p>
            <w:pPr>
              <w:jc w:val="center"/>
              <w:spacing w:after="0"/>
              <w:rPr>
                <w:sz w:val="20"/>
                <w:szCs w:val="20"/>
                <w:color w:val="auto"/>
              </w:rPr>
            </w:pPr>
            <w:r>
              <w:rPr>
                <w:rFonts w:ascii="Arial" w:cs="Arial" w:eastAsia="Arial" w:hAnsi="Arial"/>
                <w:sz w:val="16"/>
                <w:szCs w:val="16"/>
                <w:color w:val="auto"/>
              </w:rPr>
              <w:t>opportunities for youth and work-ready adults.</w:t>
            </w:r>
          </w:p>
        </w:tc>
        <w:tc>
          <w:tcPr>
            <w:tcW w:w="5060" w:type="dxa"/>
            <w:vAlign w:val="bottom"/>
            <w:shd w:val="clear" w:color="auto" w:fill="E8E7EA"/>
          </w:tcPr>
          <w:p>
            <w:pPr>
              <w:jc w:val="center"/>
              <w:spacing w:after="0"/>
              <w:rPr>
                <w:sz w:val="20"/>
                <w:szCs w:val="20"/>
                <w:color w:val="auto"/>
              </w:rPr>
            </w:pPr>
            <w:r>
              <w:rPr>
                <w:rFonts w:ascii="Arial" w:cs="Arial" w:eastAsia="Arial" w:hAnsi="Arial"/>
                <w:sz w:val="16"/>
                <w:szCs w:val="16"/>
                <w:color w:val="auto"/>
              </w:rPr>
              <w:t>under-resourced communities.</w:t>
            </w:r>
          </w:p>
        </w:tc>
      </w:tr>
      <w:tr>
        <w:trPr>
          <w:trHeight w:val="56"/>
        </w:trPr>
        <w:tc>
          <w:tcPr>
            <w:tcW w:w="4960" w:type="dxa"/>
            <w:vAlign w:val="bottom"/>
            <w:shd w:val="clear" w:color="auto" w:fill="E8E7EA"/>
          </w:tcPr>
          <w:p>
            <w:pPr>
              <w:spacing w:after="0"/>
              <w:rPr>
                <w:sz w:val="4"/>
                <w:szCs w:val="4"/>
                <w:color w:val="auto"/>
              </w:rPr>
            </w:pPr>
          </w:p>
        </w:tc>
        <w:tc>
          <w:tcPr>
            <w:tcW w:w="5060" w:type="dxa"/>
            <w:vAlign w:val="bottom"/>
            <w:shd w:val="clear" w:color="auto" w:fill="E8E7EA"/>
          </w:tcPr>
          <w:p>
            <w:pPr>
              <w:spacing w:after="0"/>
              <w:rPr>
                <w:sz w:val="4"/>
                <w:szCs w:val="4"/>
                <w:color w:val="auto"/>
              </w:rPr>
            </w:pPr>
          </w:p>
        </w:tc>
      </w:tr>
    </w:tbl>
    <w:p>
      <w:pPr>
        <w:spacing w:after="0" w:line="20" w:lineRule="exact"/>
        <w:rPr>
          <w:sz w:val="20"/>
          <w:szCs w:val="20"/>
          <w:color w:val="auto"/>
        </w:rPr>
      </w:pPr>
    </w:p>
    <w:tbl>
      <w:tblPr>
        <w:tblLayout w:type="fixed"/>
        <w:tblInd w:w="1280" w:type="dxa"/>
        <w:tblCellMar>
          <w:top w:w="0" w:type="dxa"/>
          <w:left w:w="0" w:type="dxa"/>
          <w:bottom w:w="0" w:type="dxa"/>
          <w:right w:w="0" w:type="dxa"/>
        </w:tblCellMar>
      </w:tblPr>
      <w:tr>
        <w:trPr>
          <w:trHeight w:val="364"/>
        </w:trPr>
        <w:tc>
          <w:tcPr>
            <w:tcW w:w="4340" w:type="dxa"/>
            <w:vAlign w:val="bottom"/>
          </w:tcPr>
          <w:p>
            <w:pPr>
              <w:jc w:val="center"/>
              <w:ind w:right="579"/>
              <w:spacing w:after="0"/>
              <w:rPr>
                <w:sz w:val="20"/>
                <w:szCs w:val="20"/>
                <w:color w:val="auto"/>
              </w:rPr>
            </w:pPr>
            <w:r>
              <w:rPr>
                <w:rFonts w:ascii="Arial" w:cs="Arial" w:eastAsia="Arial" w:hAnsi="Arial"/>
                <w:sz w:val="16"/>
                <w:szCs w:val="16"/>
                <w:b w:val="1"/>
                <w:bCs w:val="1"/>
                <w:color w:val="170D67"/>
              </w:rPr>
              <w:t>STEM Education and Vocational Awareness</w:t>
            </w:r>
          </w:p>
        </w:tc>
        <w:tc>
          <w:tcPr>
            <w:tcW w:w="5020" w:type="dxa"/>
            <w:vAlign w:val="bottom"/>
            <w:shd w:val="clear" w:color="auto" w:fill="E8E7EA"/>
          </w:tcPr>
          <w:p>
            <w:pPr>
              <w:jc w:val="center"/>
              <w:spacing w:after="0"/>
              <w:rPr>
                <w:sz w:val="20"/>
                <w:szCs w:val="20"/>
                <w:color w:val="auto"/>
              </w:rPr>
            </w:pPr>
            <w:r>
              <w:rPr>
                <w:rFonts w:ascii="Arial" w:cs="Arial" w:eastAsia="Arial" w:hAnsi="Arial"/>
                <w:sz w:val="16"/>
                <w:szCs w:val="16"/>
                <w:b w:val="1"/>
                <w:bCs w:val="1"/>
                <w:color w:val="170D67"/>
              </w:rPr>
              <w:t>Thought Leadership</w:t>
            </w:r>
          </w:p>
        </w:tc>
      </w:tr>
      <w:tr>
        <w:trPr>
          <w:trHeight w:val="263"/>
        </w:trPr>
        <w:tc>
          <w:tcPr>
            <w:tcW w:w="4340" w:type="dxa"/>
            <w:vAlign w:val="bottom"/>
          </w:tcPr>
          <w:p>
            <w:pPr>
              <w:jc w:val="center"/>
              <w:ind w:right="579"/>
              <w:spacing w:after="0"/>
              <w:rPr>
                <w:sz w:val="20"/>
                <w:szCs w:val="20"/>
                <w:color w:val="auto"/>
              </w:rPr>
            </w:pPr>
            <w:r>
              <w:rPr>
                <w:rFonts w:ascii="Arial" w:cs="Arial" w:eastAsia="Arial" w:hAnsi="Arial"/>
                <w:sz w:val="16"/>
                <w:szCs w:val="16"/>
                <w:color w:val="auto"/>
              </w:rPr>
              <w:t>Spark students’ interest in and knowledge of STEM</w:t>
            </w:r>
          </w:p>
        </w:tc>
        <w:tc>
          <w:tcPr>
            <w:tcW w:w="5020" w:type="dxa"/>
            <w:vAlign w:val="bottom"/>
            <w:shd w:val="clear" w:color="auto" w:fill="E8E7EA"/>
          </w:tcPr>
          <w:p>
            <w:pPr>
              <w:jc w:val="center"/>
              <w:spacing w:after="0"/>
              <w:rPr>
                <w:sz w:val="20"/>
                <w:szCs w:val="20"/>
                <w:color w:val="auto"/>
              </w:rPr>
            </w:pPr>
            <w:r>
              <w:rPr>
                <w:rFonts w:ascii="Arial" w:cs="Arial" w:eastAsia="Arial" w:hAnsi="Arial"/>
                <w:sz w:val="16"/>
                <w:szCs w:val="16"/>
                <w:color w:val="auto"/>
              </w:rPr>
              <w:t>Drive positive community impact, develop and leverage</w:t>
            </w:r>
          </w:p>
        </w:tc>
      </w:tr>
      <w:tr>
        <w:trPr>
          <w:trHeight w:val="228"/>
        </w:trPr>
        <w:tc>
          <w:tcPr>
            <w:tcW w:w="4340" w:type="dxa"/>
            <w:vAlign w:val="bottom"/>
          </w:tcPr>
          <w:p>
            <w:pPr>
              <w:jc w:val="center"/>
              <w:ind w:right="579"/>
              <w:spacing w:after="0"/>
              <w:rPr>
                <w:sz w:val="20"/>
                <w:szCs w:val="20"/>
                <w:color w:val="auto"/>
              </w:rPr>
            </w:pPr>
            <w:r>
              <w:rPr>
                <w:rFonts w:ascii="Arial" w:cs="Arial" w:eastAsia="Arial" w:hAnsi="Arial"/>
                <w:sz w:val="16"/>
                <w:szCs w:val="16"/>
                <w:color w:val="auto"/>
              </w:rPr>
              <w:t>and careers in the energy industry.</w:t>
            </w:r>
          </w:p>
        </w:tc>
        <w:tc>
          <w:tcPr>
            <w:tcW w:w="5020" w:type="dxa"/>
            <w:vAlign w:val="bottom"/>
            <w:shd w:val="clear" w:color="auto" w:fill="E8E7EA"/>
          </w:tcPr>
          <w:p>
            <w:pPr>
              <w:jc w:val="center"/>
              <w:spacing w:after="0"/>
              <w:rPr>
                <w:sz w:val="20"/>
                <w:szCs w:val="20"/>
                <w:color w:val="auto"/>
              </w:rPr>
            </w:pPr>
            <w:r>
              <w:rPr>
                <w:rFonts w:ascii="Arial" w:cs="Arial" w:eastAsia="Arial" w:hAnsi="Arial"/>
                <w:sz w:val="16"/>
                <w:szCs w:val="16"/>
                <w:color w:val="auto"/>
              </w:rPr>
              <w:t>best practices, and broadly share our successes</w:t>
            </w:r>
          </w:p>
        </w:tc>
      </w:tr>
      <w:tr>
        <w:trPr>
          <w:trHeight w:val="56"/>
        </w:trPr>
        <w:tc>
          <w:tcPr>
            <w:tcW w:w="4340" w:type="dxa"/>
            <w:vAlign w:val="bottom"/>
          </w:tcPr>
          <w:p>
            <w:pPr>
              <w:spacing w:after="0"/>
              <w:rPr>
                <w:sz w:val="4"/>
                <w:szCs w:val="4"/>
                <w:color w:val="auto"/>
              </w:rPr>
            </w:pPr>
          </w:p>
        </w:tc>
        <w:tc>
          <w:tcPr>
            <w:tcW w:w="5020" w:type="dxa"/>
            <w:vAlign w:val="bottom"/>
            <w:shd w:val="clear" w:color="auto" w:fill="E8E7EA"/>
          </w:tcPr>
          <w:p>
            <w:pPr>
              <w:spacing w:after="0"/>
              <w:rPr>
                <w:sz w:val="4"/>
                <w:szCs w:val="4"/>
                <w:color w:val="auto"/>
              </w:rPr>
            </w:pPr>
          </w:p>
        </w:tc>
      </w:tr>
    </w:tbl>
    <w:p>
      <w:pPr>
        <w:spacing w:after="0" w:line="229"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Additionally, as part of Exelon’s ongoing efforts to promote workforce development and empower young people, the Exelon Foundation, in partnership with The National Energy Education Development Project, created free year-round STEM programming to engage high school students from under-resourced communities in our key markets: northern Illinois, Philadelphia, Baltimore, and D.C.</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Benefits, Health, and Well-Being</w:t>
      </w:r>
    </w:p>
    <w:p>
      <w:pPr>
        <w:spacing w:after="0" w:line="122" w:lineRule="exact"/>
        <w:rPr>
          <w:sz w:val="20"/>
          <w:szCs w:val="20"/>
          <w:color w:val="auto"/>
        </w:rPr>
      </w:pPr>
    </w:p>
    <w:p>
      <w:pPr>
        <w:jc w:val="both"/>
        <w:ind w:right="200"/>
        <w:spacing w:after="0" w:line="289" w:lineRule="auto"/>
        <w:rPr>
          <w:sz w:val="20"/>
          <w:szCs w:val="20"/>
          <w:color w:val="auto"/>
        </w:rPr>
      </w:pPr>
      <w:r>
        <w:rPr>
          <w:rFonts w:ascii="Arial" w:cs="Arial" w:eastAsia="Arial" w:hAnsi="Arial"/>
          <w:sz w:val="16"/>
          <w:szCs w:val="16"/>
          <w:color w:val="auto"/>
        </w:rPr>
        <w:t>At Exelon, we are committed to helping our employees thrive outside the workplace. In addition to our competitive retirement, health and welfare, and paid time off benefits, Exelon offers a broad suite of benefits to help eligible employees and their families focus on their physical, emotional, and financial well-being. Eligibility for benefits listed below may vary based on employee represented status and the terms of their collective bargaining agreement, medical plan option, and length of service.</w:t>
      </w:r>
    </w:p>
    <w:p>
      <w:pPr>
        <w:sectPr>
          <w:pgSz w:w="11900" w:h="16838" w:orient="portrait"/>
          <w:cols w:equalWidth="0" w:num="1">
            <w:col w:w="11240"/>
          </w:cols>
          <w:pgMar w:left="320" w:top="122" w:right="339" w:bottom="1440" w:gutter="0" w:footer="0" w:header="0"/>
        </w:sectPr>
      </w:pP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Highlights include</w:t>
      </w:r>
      <w:r>
        <w:rPr>
          <w:rFonts w:ascii="Arial" w:cs="Arial" w:eastAsia="Arial" w:hAnsi="Arial"/>
          <w:sz w:val="16"/>
          <w:szCs w:val="16"/>
          <w:b w:val="1"/>
          <w:bCs w:val="1"/>
          <w:color w:val="auto"/>
        </w:rPr>
        <w:t>:</w:t>
      </w:r>
    </w:p>
    <w:p>
      <w:pPr>
        <w:spacing w:after="0" w:line="208" w:lineRule="exact"/>
        <w:rPr>
          <w:sz w:val="20"/>
          <w:szCs w:val="20"/>
          <w:color w:val="auto"/>
        </w:rPr>
      </w:pPr>
    </w:p>
    <w:p>
      <w:pPr>
        <w:ind w:left="200" w:right="280" w:hanging="192"/>
        <w:spacing w:after="0" w:line="301" w:lineRule="auto"/>
        <w:tabs>
          <w:tab w:leader="none" w:pos="170" w:val="left"/>
        </w:tabs>
        <w:numPr>
          <w:ilvl w:val="0"/>
          <w:numId w:val="14"/>
        </w:numPr>
        <w:rPr>
          <w:rFonts w:ascii="Arial" w:cs="Arial" w:eastAsia="Arial" w:hAnsi="Arial"/>
          <w:sz w:val="16"/>
          <w:szCs w:val="16"/>
          <w:b w:val="1"/>
          <w:bCs w:val="1"/>
          <w:color w:val="170D67"/>
        </w:rPr>
      </w:pPr>
      <w:r>
        <w:rPr>
          <w:rFonts w:ascii="Arial" w:cs="Arial" w:eastAsia="Arial" w:hAnsi="Arial"/>
          <w:sz w:val="16"/>
          <w:szCs w:val="16"/>
          <w:color w:val="auto"/>
        </w:rPr>
        <w:t>Up to 16 weeks paid leave for maternity/bonding care for birthing parent and up to 8 weeks paid leave for non-birthing and adoptive parents</w:t>
      </w:r>
    </w:p>
    <w:p>
      <w:pPr>
        <w:spacing w:after="0" w:line="9" w:lineRule="exact"/>
        <w:rPr>
          <w:rFonts w:ascii="Arial" w:cs="Arial" w:eastAsia="Arial" w:hAnsi="Arial"/>
          <w:sz w:val="16"/>
          <w:szCs w:val="16"/>
          <w:b w:val="1"/>
          <w:bCs w:val="1"/>
          <w:color w:val="170D67"/>
        </w:rPr>
      </w:pPr>
    </w:p>
    <w:p>
      <w:pPr>
        <w:ind w:left="180" w:hanging="172"/>
        <w:spacing w:after="0"/>
        <w:tabs>
          <w:tab w:leader="none" w:pos="180" w:val="left"/>
        </w:tabs>
        <w:numPr>
          <w:ilvl w:val="0"/>
          <w:numId w:val="14"/>
        </w:numPr>
        <w:rPr>
          <w:rFonts w:ascii="Arial" w:cs="Arial" w:eastAsia="Arial" w:hAnsi="Arial"/>
          <w:sz w:val="16"/>
          <w:szCs w:val="16"/>
          <w:b w:val="1"/>
          <w:bCs w:val="1"/>
          <w:color w:val="170D67"/>
        </w:rPr>
      </w:pPr>
      <w:r>
        <w:rPr>
          <w:rFonts w:ascii="Arial" w:cs="Arial" w:eastAsia="Arial" w:hAnsi="Arial"/>
          <w:sz w:val="16"/>
          <w:szCs w:val="16"/>
          <w:color w:val="auto"/>
        </w:rPr>
        <w:t>Up to 2 weeks paid leave to care for a critically ill family member</w:t>
      </w:r>
    </w:p>
    <w:p>
      <w:pPr>
        <w:spacing w:after="0" w:line="99" w:lineRule="exact"/>
        <w:rPr>
          <w:rFonts w:ascii="Arial" w:cs="Arial" w:eastAsia="Arial" w:hAnsi="Arial"/>
          <w:sz w:val="16"/>
          <w:szCs w:val="16"/>
          <w:b w:val="1"/>
          <w:bCs w:val="1"/>
          <w:color w:val="170D67"/>
        </w:rPr>
      </w:pPr>
    </w:p>
    <w:p>
      <w:pPr>
        <w:ind w:left="180" w:hanging="172"/>
        <w:spacing w:after="0"/>
        <w:tabs>
          <w:tab w:leader="none" w:pos="180" w:val="left"/>
        </w:tabs>
        <w:numPr>
          <w:ilvl w:val="0"/>
          <w:numId w:val="14"/>
        </w:numPr>
        <w:rPr>
          <w:rFonts w:ascii="Arial" w:cs="Arial" w:eastAsia="Arial" w:hAnsi="Arial"/>
          <w:sz w:val="16"/>
          <w:szCs w:val="16"/>
          <w:b w:val="1"/>
          <w:bCs w:val="1"/>
          <w:color w:val="170D67"/>
        </w:rPr>
      </w:pPr>
      <w:r>
        <w:rPr>
          <w:rFonts w:ascii="Arial" w:cs="Arial" w:eastAsia="Arial" w:hAnsi="Arial"/>
          <w:sz w:val="16"/>
          <w:szCs w:val="16"/>
          <w:color w:val="auto"/>
        </w:rPr>
        <w:t>Adoption and surrogacy assistance</w:t>
      </w:r>
    </w:p>
    <w:p>
      <w:pPr>
        <w:spacing w:after="0" w:line="99" w:lineRule="exact"/>
        <w:rPr>
          <w:rFonts w:ascii="Arial" w:cs="Arial" w:eastAsia="Arial" w:hAnsi="Arial"/>
          <w:sz w:val="16"/>
          <w:szCs w:val="16"/>
          <w:b w:val="1"/>
          <w:bCs w:val="1"/>
          <w:color w:val="170D67"/>
        </w:rPr>
      </w:pPr>
    </w:p>
    <w:p>
      <w:pPr>
        <w:ind w:left="180" w:hanging="172"/>
        <w:spacing w:after="0"/>
        <w:tabs>
          <w:tab w:leader="none" w:pos="180" w:val="left"/>
        </w:tabs>
        <w:numPr>
          <w:ilvl w:val="0"/>
          <w:numId w:val="14"/>
        </w:numPr>
        <w:rPr>
          <w:rFonts w:ascii="Arial" w:cs="Arial" w:eastAsia="Arial" w:hAnsi="Arial"/>
          <w:sz w:val="16"/>
          <w:szCs w:val="16"/>
          <w:b w:val="1"/>
          <w:bCs w:val="1"/>
          <w:color w:val="170D67"/>
        </w:rPr>
      </w:pPr>
      <w:r>
        <w:rPr>
          <w:rFonts w:ascii="Arial" w:cs="Arial" w:eastAsia="Arial" w:hAnsi="Arial"/>
          <w:sz w:val="16"/>
          <w:szCs w:val="16"/>
          <w:color w:val="auto"/>
        </w:rPr>
        <w:t>Fertility, family planning, and menopausal resources</w:t>
      </w:r>
    </w:p>
    <w:p>
      <w:pPr>
        <w:spacing w:after="0" w:line="99" w:lineRule="exact"/>
        <w:rPr>
          <w:rFonts w:ascii="Arial" w:cs="Arial" w:eastAsia="Arial" w:hAnsi="Arial"/>
          <w:sz w:val="16"/>
          <w:szCs w:val="16"/>
          <w:b w:val="1"/>
          <w:bCs w:val="1"/>
          <w:color w:val="170D67"/>
        </w:rPr>
      </w:pPr>
    </w:p>
    <w:p>
      <w:pPr>
        <w:ind w:left="180" w:hanging="172"/>
        <w:spacing w:after="0"/>
        <w:tabs>
          <w:tab w:leader="none" w:pos="180" w:val="left"/>
        </w:tabs>
        <w:numPr>
          <w:ilvl w:val="0"/>
          <w:numId w:val="14"/>
        </w:numPr>
        <w:rPr>
          <w:rFonts w:ascii="Arial" w:cs="Arial" w:eastAsia="Arial" w:hAnsi="Arial"/>
          <w:sz w:val="16"/>
          <w:szCs w:val="16"/>
          <w:b w:val="1"/>
          <w:bCs w:val="1"/>
          <w:color w:val="170D67"/>
        </w:rPr>
      </w:pPr>
      <w:r>
        <w:rPr>
          <w:rFonts w:ascii="Arial" w:cs="Arial" w:eastAsia="Arial" w:hAnsi="Arial"/>
          <w:sz w:val="16"/>
          <w:szCs w:val="16"/>
          <w:color w:val="auto"/>
        </w:rPr>
        <w:t>Lactation and breast milk shipping support</w:t>
      </w:r>
    </w:p>
    <w:p>
      <w:pPr>
        <w:spacing w:after="0" w:line="99" w:lineRule="exact"/>
        <w:rPr>
          <w:rFonts w:ascii="Arial" w:cs="Arial" w:eastAsia="Arial" w:hAnsi="Arial"/>
          <w:sz w:val="16"/>
          <w:szCs w:val="16"/>
          <w:b w:val="1"/>
          <w:bCs w:val="1"/>
          <w:color w:val="170D67"/>
        </w:rPr>
      </w:pPr>
    </w:p>
    <w:p>
      <w:pPr>
        <w:jc w:val="both"/>
        <w:ind w:left="200" w:hanging="192"/>
        <w:spacing w:after="0" w:line="321" w:lineRule="auto"/>
        <w:tabs>
          <w:tab w:leader="none" w:pos="170" w:val="left"/>
        </w:tabs>
        <w:numPr>
          <w:ilvl w:val="0"/>
          <w:numId w:val="14"/>
        </w:numPr>
        <w:rPr>
          <w:rFonts w:ascii="Arial" w:cs="Arial" w:eastAsia="Arial" w:hAnsi="Arial"/>
          <w:sz w:val="16"/>
          <w:szCs w:val="16"/>
          <w:b w:val="1"/>
          <w:bCs w:val="1"/>
          <w:color w:val="170D67"/>
        </w:rPr>
      </w:pPr>
      <w:r>
        <w:rPr>
          <w:rFonts w:ascii="Arial" w:cs="Arial" w:eastAsia="Arial" w:hAnsi="Arial"/>
          <w:sz w:val="16"/>
          <w:szCs w:val="16"/>
          <w:color w:val="auto"/>
        </w:rPr>
        <w:t>24-hour access to Employee Assistance Program resources, including digital therapy and stress management tools and counseling sessions</w:t>
      </w:r>
    </w:p>
    <w:p>
      <w:pPr>
        <w:spacing w:after="0" w:line="7" w:lineRule="exact"/>
        <w:rPr>
          <w:rFonts w:ascii="Arial" w:cs="Arial" w:eastAsia="Arial" w:hAnsi="Arial"/>
          <w:sz w:val="16"/>
          <w:szCs w:val="16"/>
          <w:b w:val="1"/>
          <w:bCs w:val="1"/>
          <w:color w:val="170D67"/>
        </w:rPr>
      </w:pPr>
    </w:p>
    <w:p>
      <w:pPr>
        <w:ind w:left="180" w:hanging="172"/>
        <w:spacing w:after="0"/>
        <w:tabs>
          <w:tab w:leader="none" w:pos="180" w:val="left"/>
        </w:tabs>
        <w:numPr>
          <w:ilvl w:val="0"/>
          <w:numId w:val="14"/>
        </w:numPr>
        <w:rPr>
          <w:rFonts w:ascii="Arial" w:cs="Arial" w:eastAsia="Arial" w:hAnsi="Arial"/>
          <w:sz w:val="16"/>
          <w:szCs w:val="16"/>
          <w:b w:val="1"/>
          <w:bCs w:val="1"/>
          <w:color w:val="170D67"/>
        </w:rPr>
      </w:pPr>
      <w:r>
        <w:rPr>
          <w:rFonts w:ascii="Arial" w:cs="Arial" w:eastAsia="Arial" w:hAnsi="Arial"/>
          <w:sz w:val="16"/>
          <w:szCs w:val="16"/>
          <w:color w:val="auto"/>
        </w:rPr>
        <w:t>Medical second opinion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ind w:left="167" w:hanging="167"/>
        <w:spacing w:after="0"/>
        <w:tabs>
          <w:tab w:leader="none" w:pos="167" w:val="left"/>
        </w:tabs>
        <w:numPr>
          <w:ilvl w:val="0"/>
          <w:numId w:val="15"/>
        </w:numPr>
        <w:rPr>
          <w:rFonts w:ascii="Arial" w:cs="Arial" w:eastAsia="Arial" w:hAnsi="Arial"/>
          <w:sz w:val="16"/>
          <w:szCs w:val="16"/>
          <w:b w:val="1"/>
          <w:bCs w:val="1"/>
          <w:color w:val="170D67"/>
        </w:rPr>
      </w:pPr>
      <w:r>
        <w:rPr>
          <w:rFonts w:ascii="Arial" w:cs="Arial" w:eastAsia="Arial" w:hAnsi="Arial"/>
          <w:sz w:val="16"/>
          <w:szCs w:val="16"/>
          <w:color w:val="auto"/>
        </w:rPr>
        <w:t>Virtual physical therapy</w:t>
      </w:r>
    </w:p>
    <w:p>
      <w:pPr>
        <w:spacing w:after="0" w:line="99" w:lineRule="exact"/>
        <w:rPr>
          <w:rFonts w:ascii="Arial" w:cs="Arial" w:eastAsia="Arial" w:hAnsi="Arial"/>
          <w:sz w:val="16"/>
          <w:szCs w:val="16"/>
          <w:b w:val="1"/>
          <w:bCs w:val="1"/>
          <w:color w:val="170D67"/>
        </w:rPr>
      </w:pPr>
    </w:p>
    <w:p>
      <w:pPr>
        <w:ind w:left="167" w:hanging="167"/>
        <w:spacing w:after="0"/>
        <w:tabs>
          <w:tab w:leader="none" w:pos="167" w:val="left"/>
        </w:tabs>
        <w:numPr>
          <w:ilvl w:val="0"/>
          <w:numId w:val="15"/>
        </w:numPr>
        <w:rPr>
          <w:rFonts w:ascii="Arial" w:cs="Arial" w:eastAsia="Arial" w:hAnsi="Arial"/>
          <w:sz w:val="16"/>
          <w:szCs w:val="16"/>
          <w:b w:val="1"/>
          <w:bCs w:val="1"/>
          <w:color w:val="170D67"/>
        </w:rPr>
      </w:pPr>
      <w:r>
        <w:rPr>
          <w:rFonts w:ascii="Arial" w:cs="Arial" w:eastAsia="Arial" w:hAnsi="Arial"/>
          <w:sz w:val="16"/>
          <w:szCs w:val="16"/>
          <w:color w:val="auto"/>
        </w:rPr>
        <w:t>Access to telehealth and tele-behavioral health services</w:t>
      </w:r>
    </w:p>
    <w:p>
      <w:pPr>
        <w:spacing w:after="0" w:line="99" w:lineRule="exact"/>
        <w:rPr>
          <w:rFonts w:ascii="Arial" w:cs="Arial" w:eastAsia="Arial" w:hAnsi="Arial"/>
          <w:sz w:val="16"/>
          <w:szCs w:val="16"/>
          <w:b w:val="1"/>
          <w:bCs w:val="1"/>
          <w:color w:val="170D67"/>
        </w:rPr>
      </w:pPr>
    </w:p>
    <w:p>
      <w:pPr>
        <w:ind w:left="167" w:hanging="167"/>
        <w:spacing w:after="0"/>
        <w:tabs>
          <w:tab w:leader="none" w:pos="167" w:val="left"/>
        </w:tabs>
        <w:numPr>
          <w:ilvl w:val="0"/>
          <w:numId w:val="15"/>
        </w:numPr>
        <w:rPr>
          <w:rFonts w:ascii="Arial" w:cs="Arial" w:eastAsia="Arial" w:hAnsi="Arial"/>
          <w:sz w:val="16"/>
          <w:szCs w:val="16"/>
          <w:b w:val="1"/>
          <w:bCs w:val="1"/>
          <w:color w:val="170D67"/>
        </w:rPr>
      </w:pPr>
      <w:r>
        <w:rPr>
          <w:rFonts w:ascii="Arial" w:cs="Arial" w:eastAsia="Arial" w:hAnsi="Arial"/>
          <w:sz w:val="16"/>
          <w:szCs w:val="16"/>
          <w:color w:val="auto"/>
        </w:rPr>
        <w:t>Fitness reimbursement and discounted fitness center partnerships</w:t>
      </w:r>
    </w:p>
    <w:p>
      <w:pPr>
        <w:spacing w:after="0" w:line="99" w:lineRule="exact"/>
        <w:rPr>
          <w:rFonts w:ascii="Arial" w:cs="Arial" w:eastAsia="Arial" w:hAnsi="Arial"/>
          <w:sz w:val="16"/>
          <w:szCs w:val="16"/>
          <w:b w:val="1"/>
          <w:bCs w:val="1"/>
          <w:color w:val="170D67"/>
        </w:rPr>
      </w:pPr>
    </w:p>
    <w:p>
      <w:pPr>
        <w:ind w:left="167" w:hanging="167"/>
        <w:spacing w:after="0"/>
        <w:tabs>
          <w:tab w:leader="none" w:pos="167" w:val="left"/>
        </w:tabs>
        <w:numPr>
          <w:ilvl w:val="0"/>
          <w:numId w:val="15"/>
        </w:numPr>
        <w:rPr>
          <w:rFonts w:ascii="Arial" w:cs="Arial" w:eastAsia="Arial" w:hAnsi="Arial"/>
          <w:sz w:val="16"/>
          <w:szCs w:val="16"/>
          <w:b w:val="1"/>
          <w:bCs w:val="1"/>
          <w:color w:val="170D67"/>
        </w:rPr>
      </w:pPr>
      <w:r>
        <w:rPr>
          <w:rFonts w:ascii="Arial" w:cs="Arial" w:eastAsia="Arial" w:hAnsi="Arial"/>
          <w:sz w:val="16"/>
          <w:szCs w:val="16"/>
          <w:color w:val="auto"/>
        </w:rPr>
        <w:t>Tuition reimbursement</w:t>
      </w:r>
    </w:p>
    <w:p>
      <w:pPr>
        <w:spacing w:after="0" w:line="99" w:lineRule="exact"/>
        <w:rPr>
          <w:rFonts w:ascii="Arial" w:cs="Arial" w:eastAsia="Arial" w:hAnsi="Arial"/>
          <w:sz w:val="16"/>
          <w:szCs w:val="16"/>
          <w:b w:val="1"/>
          <w:bCs w:val="1"/>
          <w:color w:val="170D67"/>
        </w:rPr>
      </w:pPr>
    </w:p>
    <w:p>
      <w:pPr>
        <w:ind w:left="167" w:hanging="167"/>
        <w:spacing w:after="0"/>
        <w:tabs>
          <w:tab w:leader="none" w:pos="167" w:val="left"/>
        </w:tabs>
        <w:numPr>
          <w:ilvl w:val="0"/>
          <w:numId w:val="15"/>
        </w:numPr>
        <w:rPr>
          <w:rFonts w:ascii="Arial" w:cs="Arial" w:eastAsia="Arial" w:hAnsi="Arial"/>
          <w:sz w:val="16"/>
          <w:szCs w:val="16"/>
          <w:b w:val="1"/>
          <w:bCs w:val="1"/>
          <w:color w:val="170D67"/>
        </w:rPr>
      </w:pPr>
      <w:r>
        <w:rPr>
          <w:rFonts w:ascii="Arial" w:cs="Arial" w:eastAsia="Arial" w:hAnsi="Arial"/>
          <w:sz w:val="16"/>
          <w:szCs w:val="16"/>
          <w:color w:val="auto"/>
        </w:rPr>
        <w:t>Hybrid workplace options</w:t>
      </w:r>
    </w:p>
    <w:p>
      <w:pPr>
        <w:spacing w:after="0" w:line="99" w:lineRule="exact"/>
        <w:rPr>
          <w:rFonts w:ascii="Arial" w:cs="Arial" w:eastAsia="Arial" w:hAnsi="Arial"/>
          <w:sz w:val="16"/>
          <w:szCs w:val="16"/>
          <w:b w:val="1"/>
          <w:bCs w:val="1"/>
          <w:color w:val="170D67"/>
        </w:rPr>
      </w:pPr>
    </w:p>
    <w:p>
      <w:pPr>
        <w:ind w:left="167" w:hanging="167"/>
        <w:spacing w:after="0"/>
        <w:tabs>
          <w:tab w:leader="none" w:pos="167" w:val="left"/>
        </w:tabs>
        <w:numPr>
          <w:ilvl w:val="0"/>
          <w:numId w:val="15"/>
        </w:numPr>
        <w:rPr>
          <w:rFonts w:ascii="Arial" w:cs="Arial" w:eastAsia="Arial" w:hAnsi="Arial"/>
          <w:sz w:val="16"/>
          <w:szCs w:val="16"/>
          <w:b w:val="1"/>
          <w:bCs w:val="1"/>
          <w:color w:val="170D67"/>
        </w:rPr>
      </w:pPr>
      <w:r>
        <w:rPr>
          <w:rFonts w:ascii="Arial" w:cs="Arial" w:eastAsia="Arial" w:hAnsi="Arial"/>
          <w:sz w:val="16"/>
          <w:szCs w:val="16"/>
          <w:color w:val="auto"/>
        </w:rPr>
        <w:t>Back-up childcare, tutoring, and eldercare services</w:t>
      </w:r>
    </w:p>
    <w:p>
      <w:pPr>
        <w:spacing w:after="0" w:line="99" w:lineRule="exact"/>
        <w:rPr>
          <w:rFonts w:ascii="Arial" w:cs="Arial" w:eastAsia="Arial" w:hAnsi="Arial"/>
          <w:sz w:val="16"/>
          <w:szCs w:val="16"/>
          <w:b w:val="1"/>
          <w:bCs w:val="1"/>
          <w:color w:val="170D67"/>
        </w:rPr>
      </w:pPr>
    </w:p>
    <w:p>
      <w:pPr>
        <w:ind w:left="167" w:hanging="167"/>
        <w:spacing w:after="0"/>
        <w:tabs>
          <w:tab w:leader="none" w:pos="167" w:val="left"/>
        </w:tabs>
        <w:numPr>
          <w:ilvl w:val="0"/>
          <w:numId w:val="15"/>
        </w:numPr>
        <w:rPr>
          <w:rFonts w:ascii="Arial" w:cs="Arial" w:eastAsia="Arial" w:hAnsi="Arial"/>
          <w:sz w:val="16"/>
          <w:szCs w:val="16"/>
          <w:b w:val="1"/>
          <w:bCs w:val="1"/>
          <w:color w:val="170D67"/>
        </w:rPr>
      </w:pPr>
      <w:r>
        <w:rPr>
          <w:rFonts w:ascii="Arial" w:cs="Arial" w:eastAsia="Arial" w:hAnsi="Arial"/>
          <w:sz w:val="16"/>
          <w:szCs w:val="16"/>
          <w:color w:val="auto"/>
        </w:rPr>
        <w:t>Bereavement leave, including for pregnancy loss</w:t>
      </w:r>
    </w:p>
    <w:p>
      <w:pPr>
        <w:spacing w:after="0" w:line="99" w:lineRule="exact"/>
        <w:rPr>
          <w:rFonts w:ascii="Arial" w:cs="Arial" w:eastAsia="Arial" w:hAnsi="Arial"/>
          <w:sz w:val="16"/>
          <w:szCs w:val="16"/>
          <w:b w:val="1"/>
          <w:bCs w:val="1"/>
          <w:color w:val="170D67"/>
        </w:rPr>
      </w:pPr>
    </w:p>
    <w:p>
      <w:pPr>
        <w:ind w:left="187" w:right="220" w:hanging="187"/>
        <w:spacing w:after="0" w:line="292" w:lineRule="auto"/>
        <w:tabs>
          <w:tab w:leader="none" w:pos="157" w:val="left"/>
        </w:tabs>
        <w:numPr>
          <w:ilvl w:val="0"/>
          <w:numId w:val="15"/>
        </w:numPr>
        <w:rPr>
          <w:rFonts w:ascii="Arial" w:cs="Arial" w:eastAsia="Arial" w:hAnsi="Arial"/>
          <w:sz w:val="16"/>
          <w:szCs w:val="16"/>
          <w:b w:val="1"/>
          <w:bCs w:val="1"/>
          <w:color w:val="170D67"/>
        </w:rPr>
      </w:pPr>
      <w:r>
        <w:rPr>
          <w:rFonts w:ascii="Arial" w:cs="Arial" w:eastAsia="Arial" w:hAnsi="Arial"/>
          <w:sz w:val="16"/>
          <w:szCs w:val="16"/>
          <w:color w:val="auto"/>
        </w:rPr>
        <w:t>Medical travel reimbursement under Exelon’s medical plans when care for certain covered procedures/services is not available within 100 miles of the employee’s home (up to $10,000 lifetime maximum)</w:t>
      </w:r>
    </w:p>
    <w:p>
      <w:pPr>
        <w:spacing w:after="0" w:line="200" w:lineRule="exact"/>
        <w:rPr>
          <w:sz w:val="20"/>
          <w:szCs w:val="20"/>
          <w:color w:val="auto"/>
        </w:rPr>
      </w:pPr>
    </w:p>
    <w:p>
      <w:pPr>
        <w:sectPr>
          <w:pgSz w:w="11900" w:h="16838" w:orient="portrait"/>
          <w:cols w:equalWidth="0" w:num="2">
            <w:col w:w="5200" w:space="713"/>
            <w:col w:w="5327"/>
          </w:cols>
          <w:pgMar w:left="320" w:top="122" w:right="339" w:bottom="1440" w:gutter="0" w:footer="0" w:header="0"/>
          <w:type w:val="continuous"/>
        </w:sect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60" w:type="dxa"/>
            <w:vAlign w:val="bottom"/>
          </w:tcPr>
          <w:p>
            <w:pPr>
              <w:ind w:left="8780"/>
              <w:spacing w:after="0"/>
              <w:rPr>
                <w:sz w:val="20"/>
                <w:szCs w:val="20"/>
                <w:color w:val="auto"/>
              </w:rPr>
            </w:pPr>
            <w:r>
              <w:rPr>
                <w:rFonts w:ascii="Arial" w:cs="Arial" w:eastAsia="Arial" w:hAnsi="Arial"/>
                <w:sz w:val="14"/>
                <w:szCs w:val="14"/>
                <w:color w:val="auto"/>
              </w:rPr>
              <w:t>2025 ׀ Exelon Proxy Statement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9</w:t>
            </w:r>
          </w:p>
        </w:tc>
      </w:tr>
      <w:tr>
        <w:trPr>
          <w:trHeight w:val="211"/>
        </w:trPr>
        <w:tc>
          <w:tcPr>
            <w:tcW w:w="1096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3"/>
          <w:szCs w:val="13"/>
          <w:b w:val="1"/>
          <w:bCs w:val="1"/>
          <w:color w:val="auto"/>
        </w:rPr>
        <w:t>About Exelon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Compliance and Ethics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Exelon’s Culture of Compliance and Ethics</w:t>
      </w:r>
    </w:p>
    <w:p>
      <w:pPr>
        <w:spacing w:after="0" w:line="122"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auto"/>
        </w:rPr>
        <w:t>Exelon is committed to maintaining a robust and comprehensive compliance and ethics program and recognizes that an effective program must constantly evolve in the face of changing risks. Exelon’s Compliance and Ethics department provides governance and oversight of Exelon’s compliance with its regulatory obligations and is the primary resource for ethics advice and interpretation of the Code of Business Conduct (the Code) and Supplier Code of Conduct (the Supplier Code). Compliance and Ethics conducts an annual risk assessment to identify compliance risks across the organization and assess controls for those risks.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Code of Business Conduct and Supplier Code of Conduct</w:t>
      </w:r>
    </w:p>
    <w:p>
      <w:pPr>
        <w:spacing w:after="0" w:line="122"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Exelon maintains a detailed Code of Business Conduct, applicable to all employees, officers, and directors across the enterprise. The Code sets out Exelon’s core values — which include acting with integrity — and addresses a wide range of topics, among them conflicts of interest, workplace conduct, safety, protecting confidential information and other company assets, bribery, and corruption. The Code highlights the importance of speaking up and strictly prohibits any form of retaliation for raising questions or concerns about potential violations of the Code or compliance with applicable laws and regulations. All employees must participate in annual Code training. Additionally, non-represented employees are required to complete an annual certification disclosing potential conflicts of interest and affirming their understanding of the Code. Completion of the training and certifications is tracked. New employees are required to complete Code training within 30 days of joining Exelon. The Code was most recently reviewed and updated in January 2025.</w:t>
      </w:r>
    </w:p>
    <w:p>
      <w:pPr>
        <w:spacing w:after="0" w:line="82"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Conformance with Exelon’s ethics and compliance policies and programs under the Code is incorporated into the performance management assessment of all management employees to reinforce the company’s culture of compliance and may impact annual incentive payouts. This performance management assessment reinforces Exelon’s commitment to ethical behavior, compliance with its Code, and the obligation of employees to speak up about potential noncompliance with those standards. In 2022, Exelon implemented the Supplier Code, which focuses on the responsibilities of all suppliers, contractors, and agents. Prior to implementation of the Supplier Code, these entities were subject to Exelon’s Code of Business Conduct. The Supplier Code outlines Exelon’s expectations and standards for ethical conduct with which all suppliers, their subcontractors, and their respective workforces must comply when working on behalf of Exelon. It addresses a wide range of obligations for suppliers relating to, among other things, compliance with all applicable laws and regulations, standards of integrity and ethical conduct, public and workplace safety, human rights and labor standards, diversity, the environment, conflicts of interest, bribery and corruption, fair competition, accurate recordkeeping, and retaliation.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Ethics Training and Helpline</w:t>
      </w:r>
    </w:p>
    <w:p>
      <w:pPr>
        <w:spacing w:after="0" w:line="122"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Exelon regularly trains employees on ethics expectations and provides resources to help employees meet those expectations. In addition to annual Code of Business Conduct training, Exelon requires annual training addressing security awareness (including cybersecurity and phishing), harassment prevention, and other important topics.</w:t>
      </w:r>
    </w:p>
    <w:p>
      <w:pPr>
        <w:spacing w:after="0" w:line="5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Exelon maintains a 24-hour ethics helpline that allows employees, suppliers, and the public to report ethics concerns, potential legal or regulatory violations, and pose questions. The helpline has both a phone and web portal option and reporters have the option to remain anonymous. Compliance and Ethics oversees the intake, investigation, and resolution of reports of potential compliance violations and violations of the Code and Supplier Code.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Oversight of Interactions with Public Officials</w:t>
      </w:r>
    </w:p>
    <w:p>
      <w:pPr>
        <w:spacing w:after="0" w:line="122" w:lineRule="exact"/>
        <w:rPr>
          <w:sz w:val="20"/>
          <w:szCs w:val="20"/>
          <w:color w:val="auto"/>
        </w:rPr>
      </w:pPr>
    </w:p>
    <w:p>
      <w:pPr>
        <w:ind w:right="240"/>
        <w:spacing w:after="0" w:line="282" w:lineRule="auto"/>
        <w:rPr>
          <w:sz w:val="20"/>
          <w:szCs w:val="20"/>
          <w:color w:val="auto"/>
        </w:rPr>
      </w:pPr>
      <w:r>
        <w:rPr>
          <w:rFonts w:ascii="Arial" w:cs="Arial" w:eastAsia="Arial" w:hAnsi="Arial"/>
          <w:sz w:val="16"/>
          <w:szCs w:val="16"/>
          <w:color w:val="auto"/>
        </w:rPr>
        <w:t>In 2020, Exelon implemented four company-wide ethics policies that substantially increased oversight of our interactions with public officials, instituted a series of new controls, and enhanced guidance and training. Among other things, the policies require tracking and review of requests, referrals, and recommendations from public officials; strengthen due diligence and supervision of lobbyists and political consultants; and require regular reporting to the Audit and Risk Committee (ARC) of the Board and the boards of each of Exelon’s utilities regarding interactions with public officials. These policies are regularly reviewed and were last updated in April 2024.</w:t>
      </w:r>
    </w:p>
    <w:p>
      <w:pPr>
        <w:spacing w:after="0" w:line="80"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These policies are overseen by the Executive Vice President, Compliance, Audit and Risk who reports to Exelon’s CEO and the Chair of the ARC and serves as a member of Exelon’s Executive Committee. This oversight structure ensures independence and central oversight of compliance activities, and facilitates coordination of activities and sharing of insights regarding compliance, ethics, audit, and enterprise risk matters across operating companies.</w:t>
      </w:r>
    </w:p>
    <w:p>
      <w:pPr>
        <w:spacing w:after="0" w:line="200" w:lineRule="exact"/>
        <w:rPr>
          <w:sz w:val="20"/>
          <w:szCs w:val="20"/>
          <w:color w:val="auto"/>
        </w:rPr>
      </w:pPr>
    </w:p>
    <w:p>
      <w:pPr>
        <w:spacing w:after="0" w:line="389" w:lineRule="exact"/>
        <w:rPr>
          <w:sz w:val="20"/>
          <w:szCs w:val="20"/>
          <w:color w:val="auto"/>
        </w:rPr>
      </w:pPr>
    </w:p>
    <w:p>
      <w:pPr>
        <w:ind w:left="480" w:hanging="454"/>
        <w:spacing w:after="0"/>
        <w:tabs>
          <w:tab w:leader="none" w:pos="480"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3" w:name="page14"/>
    <w:bookmarkEnd w:id="13"/>
    <w:p>
      <w:pPr>
        <w:jc w:val="right"/>
        <w:spacing w:after="0"/>
        <w:rPr>
          <w:sz w:val="20"/>
          <w:szCs w:val="20"/>
          <w:color w:val="auto"/>
        </w:rPr>
      </w:pPr>
      <w:r>
        <w:rPr>
          <w:rFonts w:ascii="Arial" w:cs="Arial" w:eastAsia="Arial" w:hAnsi="Arial"/>
          <w:sz w:val="13"/>
          <w:szCs w:val="13"/>
          <w:b w:val="1"/>
          <w:bCs w:val="1"/>
          <w:color w:val="auto"/>
        </w:rPr>
        <w:t>About Exelon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Legislative and External Stakeholder Engagement</w:t>
      </w:r>
    </w:p>
    <w:p>
      <w:pPr>
        <w:spacing w:after="0" w:line="112"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color w:val="auto"/>
        </w:rPr>
        <w:t>Exelon is impacted by a wide variety of government regulations and policies that have a significant impact on our business and we have a responsibility to our shareholders, employees, and customers to advocate for public policies that align with our core mission. Exelon engages with policymakers to find solutions that provide value to customers, support our business interests, and create desirable outcomes for stakeholders. This includes encouraging industry associations to support constructive regulatory outcomes and development of critical infrastructure to ensure safe, reliable, affordable, and clean energy for the customers and communities we serve.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Public Policy</w:t>
      </w:r>
    </w:p>
    <w:p>
      <w:pPr>
        <w:spacing w:after="0" w:line="122"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color w:val="auto"/>
        </w:rPr>
        <w:t>Exelon’s public policy positions and advocacy are developed and directed by the company’s executive leadership team in consultation with the Board of Directors on major policy initiatives and strategic policy alternatives. For over 20 years, Exelon has been a strong advocate for sound energy and environmental policies which address customer expectations, help create value for our investors, and contribute to meeting national and state energy and environmental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23430" cy="411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23430" cy="411480"/>
                    </a:xfrm>
                    <a:prstGeom prst="rect">
                      <a:avLst/>
                    </a:prstGeom>
                    <a:noFill/>
                  </pic:spPr>
                </pic:pic>
              </a:graphicData>
            </a:graphic>
          </wp:anchor>
        </w:drawing>
      </w:r>
    </w:p>
    <w:p>
      <w:pPr>
        <w:spacing w:after="0" w:line="201" w:lineRule="exact"/>
        <w:rPr>
          <w:sz w:val="20"/>
          <w:szCs w:val="20"/>
          <w:color w:val="auto"/>
        </w:rPr>
      </w:pPr>
    </w:p>
    <w:p>
      <w:pPr>
        <w:ind w:left="160" w:right="940"/>
        <w:spacing w:after="0" w:line="314" w:lineRule="auto"/>
        <w:rPr>
          <w:sz w:val="20"/>
          <w:szCs w:val="20"/>
          <w:color w:val="auto"/>
        </w:rPr>
      </w:pPr>
      <w:r>
        <w:rPr>
          <w:rFonts w:ascii="Arial" w:cs="Arial" w:eastAsia="Arial" w:hAnsi="Arial"/>
          <w:sz w:val="16"/>
          <w:szCs w:val="16"/>
          <w:b w:val="1"/>
          <w:bCs w:val="1"/>
          <w:color w:val="170D67"/>
        </w:rPr>
        <w:t>Exelon supports policies that advance an affordable and clean energy future for our customers and communities, enable innovative technologies to serve customer needs, and ensure the reliability, security, and efficiency of the nation’s critical electric grid.</w:t>
      </w:r>
    </w:p>
    <w:p>
      <w:pPr>
        <w:spacing w:after="0" w:line="248" w:lineRule="exact"/>
        <w:rPr>
          <w:sz w:val="20"/>
          <w:szCs w:val="20"/>
          <w:color w:val="auto"/>
        </w:rPr>
      </w:pPr>
    </w:p>
    <w:p>
      <w:pPr>
        <w:ind w:right="220"/>
        <w:spacing w:after="0" w:line="282" w:lineRule="auto"/>
        <w:rPr>
          <w:sz w:val="20"/>
          <w:szCs w:val="20"/>
          <w:color w:val="auto"/>
        </w:rPr>
      </w:pPr>
      <w:r>
        <w:rPr>
          <w:rFonts w:ascii="Arial" w:cs="Arial" w:eastAsia="Arial" w:hAnsi="Arial"/>
          <w:sz w:val="16"/>
          <w:szCs w:val="16"/>
          <w:color w:val="auto"/>
        </w:rPr>
        <w:t>Exelon’s lobbying policies require stringent due diligence and supervision of lobbyists and political consultants. Any indication of conduct that could violate Company policies concerning political activity, lobbying laws or regulations, or anti-bribery laws must be promptly escalated to Exelon’s Executive Vice President for Compliance, Audit, and Risk, Chief Legal Officer, and Chief Compliance and Ethics Officer for review. In addition to routine monitoring of the activities and services provided by lobbyists and political consultants engaged by Exelon, each individual or firm is subject to mid-year and annual performance reviews.</w:t>
      </w:r>
    </w:p>
    <w:p>
      <w:pPr>
        <w:spacing w:after="0" w:line="6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file quarterly federal lobbying activity reports in compliance with the Lobbying Disclosure Act and Honest Leadership and Open Government Act. These reports, which are filed with the U.S. House of Representatives and the U.S. Senate, are posted on the House and Senate websites and are accessible to the public. We file similar reports when required at the state and local level. Consultants who lobby on behalf of the Company are required to adhere to these disclosure requirements as well.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Trade Associations</w:t>
      </w:r>
    </w:p>
    <w:p>
      <w:pPr>
        <w:spacing w:after="0" w:line="122"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As we work to advance public policy, we work with many associations and business groups, such as the Edison Electric Institute, American Gas Association, and Business Roundtable, on a wide variety of matters, including clean energy, cybersecurity, supply chain, tax policy, workforce development, and other related business issues.</w:t>
      </w:r>
    </w:p>
    <w:p>
      <w:pPr>
        <w:spacing w:after="0" w:line="7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many cases, we are in alignment with the advocacy positions of these organizations, but not always. In cases where our views diverge, we typically advocate for change in the association’s positions. In addition, we may voice our positions separately or in conjunction with stakeholders who are more closely aligned with us. Through these alliances and other efforts, Exelon helps advance policies that support an affordable, safe, resilient, and reliable clean energy future and benefit our customers and shareholders.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Transparent Reporting of Political Contributions</w:t>
      </w:r>
    </w:p>
    <w:p>
      <w:pPr>
        <w:spacing w:after="0" w:line="12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Since 2013, Exelon has published semi-annual reports of its political contributions on its website. These reports include contributions to political parties, political committees, candidates for political office, and 501(c)(4) entities. The reports also include dues paid to trade organizations and similar non-profit entities and identify the portion of those dues that were used for expenditures or contributions that are non-deductible. Political contribution reports as well as Exelon’s Corporate Political Contribution Guidelines are available at www.exeloncorp.com.</w:t>
      </w:r>
    </w:p>
    <w:p>
      <w:pPr>
        <w:spacing w:after="0" w:line="72" w:lineRule="exact"/>
        <w:rPr>
          <w:sz w:val="20"/>
          <w:szCs w:val="20"/>
          <w:color w:val="auto"/>
        </w:rPr>
      </w:pPr>
    </w:p>
    <w:p>
      <w:pPr>
        <w:ind w:right="320"/>
        <w:spacing w:after="0" w:line="283" w:lineRule="auto"/>
        <w:rPr>
          <w:sz w:val="20"/>
          <w:szCs w:val="20"/>
          <w:color w:val="auto"/>
        </w:rPr>
      </w:pPr>
      <w:r>
        <w:rPr>
          <w:rFonts w:ascii="Arial" w:cs="Arial" w:eastAsia="Arial" w:hAnsi="Arial"/>
          <w:sz w:val="16"/>
          <w:szCs w:val="16"/>
          <w:color w:val="auto"/>
        </w:rPr>
        <w:t>In 2022 and 2023, Exelon enhanced its corporate political contributions reporting by disclosing dues paid to trade associations in excess of $10,000 (we previously reported all dues over $50,000) and disclosing any 501(c)(6) trade organization where an Exelon executive (or an executive of any of our controlled affiliates) has a board seat; 501(c)(3) charitable organizations that receive company matching funds of over $5,000 to the limit of $10,000 from senior executives; and reporting payments to trade associations that include funds for grassroots lobbying.</w:t>
      </w:r>
    </w:p>
    <w:p>
      <w:pPr>
        <w:spacing w:after="0" w:line="77"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The CPA-Zicklin Index for Corporate Political Disclosure and Accountability is a report measuring electoral spending transparency and accountability among the country’s largest public corporations. In the 2024 CPA-Zicklin report, Exelon scored 92.9 (out of 100) earning the highest possible designation as an “Index Trendsetter.”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780"/>
              <w:spacing w:after="0"/>
              <w:rPr>
                <w:sz w:val="20"/>
                <w:szCs w:val="20"/>
                <w:color w:val="auto"/>
              </w:rPr>
            </w:pPr>
            <w:r>
              <w:rPr>
                <w:rFonts w:ascii="Arial" w:cs="Arial" w:eastAsia="Arial" w:hAnsi="Arial"/>
                <w:sz w:val="14"/>
                <w:szCs w:val="14"/>
                <w:color w:val="auto"/>
              </w:rPr>
              <w:t>2025 ׀ Exelon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11</w:t>
            </w:r>
          </w:p>
        </w:tc>
      </w:tr>
      <w:tr>
        <w:trPr>
          <w:trHeight w:val="211"/>
        </w:trPr>
        <w:tc>
          <w:tcPr>
            <w:tcW w:w="109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41"/>
          <w:szCs w:val="41"/>
          <w:color w:val="170D67"/>
        </w:rPr>
        <w:t xml:space="preserve">Proxy </w:t>
      </w:r>
      <w:r>
        <w:rPr>
          <w:rFonts w:ascii="Arial" w:cs="Arial" w:eastAsia="Arial" w:hAnsi="Arial"/>
          <w:sz w:val="41"/>
          <w:szCs w:val="41"/>
          <w:b w:val="1"/>
          <w:bCs w:val="1"/>
          <w:color w:val="170D67"/>
        </w:rPr>
        <w:t>Summary and Roadmap</w:t>
      </w:r>
    </w:p>
    <w:p>
      <w:pPr>
        <w:spacing w:after="0" w:line="200" w:lineRule="exact"/>
        <w:rPr>
          <w:sz w:val="20"/>
          <w:szCs w:val="20"/>
          <w:color w:val="auto"/>
        </w:rPr>
      </w:pPr>
    </w:p>
    <w:p>
      <w:pPr>
        <w:spacing w:after="0" w:line="24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This summary highlights selected information contained in this Proxy Statement, but it does not contain all the information you should consider. We urge you to read the whole Proxy Statement before you vote. You should also review Exelon’s Annual Report on Form 10-K for the fiscal year ended December 31, 2024.</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Meeting Logistics</w:t>
      </w:r>
    </w:p>
    <w:p>
      <w:pPr>
        <w:spacing w:after="0" w:line="11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Details for attending the Annual Meeting are below. Please act as soon as possible to vote your shares, even if you plan to participate in the annual meeting online. You are entitled to vote at the meeting if you were a holder of record of shares of Exelon common stock as of the close of business on March 3, 2025, the record date.</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3580" w:type="dxa"/>
            <w:vAlign w:val="bottom"/>
          </w:tcPr>
          <w:p>
            <w:pPr>
              <w:jc w:val="center"/>
              <w:spacing w:after="0"/>
              <w:rPr>
                <w:sz w:val="20"/>
                <w:szCs w:val="20"/>
                <w:color w:val="auto"/>
              </w:rPr>
            </w:pPr>
            <w:r>
              <w:rPr>
                <w:rFonts w:ascii="Arial" w:cs="Arial" w:eastAsia="Arial" w:hAnsi="Arial"/>
                <w:sz w:val="16"/>
                <w:szCs w:val="16"/>
                <w:b w:val="1"/>
                <w:bCs w:val="1"/>
                <w:color w:val="3A5CFF"/>
              </w:rPr>
              <w:t>Date and Time</w:t>
            </w:r>
          </w:p>
        </w:tc>
        <w:tc>
          <w:tcPr>
            <w:tcW w:w="22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6"/>
                <w:szCs w:val="16"/>
                <w:b w:val="1"/>
                <w:bCs w:val="1"/>
                <w:color w:val="3A5CFF"/>
              </w:rPr>
              <w:t>Place</w:t>
            </w:r>
          </w:p>
        </w:tc>
        <w:tc>
          <w:tcPr>
            <w:tcW w:w="20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6"/>
                <w:szCs w:val="16"/>
                <w:b w:val="1"/>
                <w:bCs w:val="1"/>
                <w:color w:val="3A5CFF"/>
                <w:w w:val="99"/>
              </w:rPr>
              <w:t>Record Date</w:t>
            </w:r>
          </w:p>
        </w:tc>
        <w:tc>
          <w:tcPr>
            <w:tcW w:w="0" w:type="dxa"/>
            <w:vAlign w:val="bottom"/>
          </w:tcPr>
          <w:p>
            <w:pPr>
              <w:spacing w:after="0"/>
              <w:rPr>
                <w:sz w:val="1"/>
                <w:szCs w:val="1"/>
                <w:color w:val="auto"/>
              </w:rPr>
            </w:pPr>
          </w:p>
        </w:tc>
      </w:tr>
      <w:tr>
        <w:trPr>
          <w:trHeight w:val="42"/>
        </w:trPr>
        <w:tc>
          <w:tcPr>
            <w:tcW w:w="3580" w:type="dxa"/>
            <w:vAlign w:val="bottom"/>
            <w:tcBorders>
              <w:bottom w:val="single" w:sz="8" w:color="170D67"/>
            </w:tcBorders>
          </w:tcPr>
          <w:p>
            <w:pPr>
              <w:spacing w:after="0"/>
              <w:rPr>
                <w:sz w:val="3"/>
                <w:szCs w:val="3"/>
                <w:color w:val="auto"/>
              </w:rPr>
            </w:pPr>
          </w:p>
        </w:tc>
        <w:tc>
          <w:tcPr>
            <w:tcW w:w="220" w:type="dxa"/>
            <w:vAlign w:val="bottom"/>
          </w:tcPr>
          <w:p>
            <w:pPr>
              <w:spacing w:after="0"/>
              <w:rPr>
                <w:sz w:val="3"/>
                <w:szCs w:val="3"/>
                <w:color w:val="auto"/>
              </w:rPr>
            </w:pPr>
          </w:p>
        </w:tc>
        <w:tc>
          <w:tcPr>
            <w:tcW w:w="3580" w:type="dxa"/>
            <w:vAlign w:val="bottom"/>
            <w:tcBorders>
              <w:bottom w:val="single" w:sz="8" w:color="170D67"/>
            </w:tcBorders>
          </w:tcPr>
          <w:p>
            <w:pPr>
              <w:spacing w:after="0"/>
              <w:rPr>
                <w:sz w:val="3"/>
                <w:szCs w:val="3"/>
                <w:color w:val="auto"/>
              </w:rPr>
            </w:pPr>
          </w:p>
        </w:tc>
        <w:tc>
          <w:tcPr>
            <w:tcW w:w="200" w:type="dxa"/>
            <w:vAlign w:val="bottom"/>
          </w:tcPr>
          <w:p>
            <w:pPr>
              <w:spacing w:after="0"/>
              <w:rPr>
                <w:sz w:val="3"/>
                <w:szCs w:val="3"/>
                <w:color w:val="auto"/>
              </w:rPr>
            </w:pPr>
          </w:p>
        </w:tc>
        <w:tc>
          <w:tcPr>
            <w:tcW w:w="3580" w:type="dxa"/>
            <w:vAlign w:val="bottom"/>
            <w:tcBorders>
              <w:bottom w:val="single" w:sz="8" w:color="170D67"/>
            </w:tcBorders>
          </w:tcPr>
          <w:p>
            <w:pPr>
              <w:spacing w:after="0"/>
              <w:rPr>
                <w:sz w:val="3"/>
                <w:szCs w:val="3"/>
                <w:color w:val="auto"/>
              </w:rPr>
            </w:pPr>
          </w:p>
        </w:tc>
        <w:tc>
          <w:tcPr>
            <w:tcW w:w="0" w:type="dxa"/>
            <w:vAlign w:val="bottom"/>
          </w:tcPr>
          <w:p>
            <w:pPr>
              <w:spacing w:after="0"/>
              <w:rPr>
                <w:sz w:val="1"/>
                <w:szCs w:val="1"/>
                <w:color w:val="auto"/>
              </w:rPr>
            </w:pPr>
          </w:p>
        </w:tc>
      </w:tr>
      <w:tr>
        <w:trPr>
          <w:trHeight w:val="337"/>
        </w:trPr>
        <w:tc>
          <w:tcPr>
            <w:tcW w:w="3580" w:type="dxa"/>
            <w:vAlign w:val="bottom"/>
            <w:shd w:val="clear" w:color="auto" w:fill="E8E7EA"/>
          </w:tcPr>
          <w:p>
            <w:pPr>
              <w:jc w:val="center"/>
              <w:spacing w:after="0"/>
              <w:rPr>
                <w:sz w:val="20"/>
                <w:szCs w:val="20"/>
                <w:color w:val="auto"/>
              </w:rPr>
            </w:pPr>
            <w:r>
              <w:rPr>
                <w:rFonts w:ascii="Arial" w:cs="Arial" w:eastAsia="Arial" w:hAnsi="Arial"/>
                <w:sz w:val="16"/>
                <w:szCs w:val="16"/>
                <w:b w:val="1"/>
                <w:bCs w:val="1"/>
                <w:color w:val="170D67"/>
              </w:rPr>
              <w:t>Tuesday, April 29, 2025</w:t>
            </w:r>
          </w:p>
        </w:tc>
        <w:tc>
          <w:tcPr>
            <w:tcW w:w="220" w:type="dxa"/>
            <w:vAlign w:val="bottom"/>
            <w:tcBorders>
              <w:right w:val="single" w:sz="8" w:color="E8E7EA"/>
            </w:tcBorders>
          </w:tcPr>
          <w:p>
            <w:pPr>
              <w:spacing w:after="0"/>
              <w:rPr>
                <w:sz w:val="24"/>
                <w:szCs w:val="24"/>
                <w:color w:val="auto"/>
              </w:rPr>
            </w:pPr>
          </w:p>
        </w:tc>
        <w:tc>
          <w:tcPr>
            <w:tcW w:w="3580" w:type="dxa"/>
            <w:vAlign w:val="bottom"/>
            <w:tcBorders>
              <w:right w:val="single" w:sz="8" w:color="E8E7EA"/>
            </w:tcBorders>
            <w:shd w:val="clear" w:color="auto" w:fill="E8E7EA"/>
          </w:tcPr>
          <w:p>
            <w:pPr>
              <w:jc w:val="center"/>
              <w:spacing w:after="0"/>
              <w:rPr>
                <w:sz w:val="20"/>
                <w:szCs w:val="20"/>
                <w:color w:val="auto"/>
              </w:rPr>
            </w:pPr>
            <w:r>
              <w:rPr>
                <w:rFonts w:ascii="Arial" w:cs="Arial" w:eastAsia="Arial" w:hAnsi="Arial"/>
                <w:sz w:val="16"/>
                <w:szCs w:val="16"/>
                <w:b w:val="1"/>
                <w:bCs w:val="1"/>
                <w:color w:val="170D67"/>
              </w:rPr>
              <w:t>The Annual Meeting will be held online:</w:t>
            </w:r>
          </w:p>
        </w:tc>
        <w:tc>
          <w:tcPr>
            <w:tcW w:w="200" w:type="dxa"/>
            <w:vAlign w:val="bottom"/>
          </w:tcPr>
          <w:p>
            <w:pPr>
              <w:spacing w:after="0"/>
              <w:rPr>
                <w:sz w:val="24"/>
                <w:szCs w:val="24"/>
                <w:color w:val="auto"/>
              </w:rPr>
            </w:pPr>
          </w:p>
        </w:tc>
        <w:tc>
          <w:tcPr>
            <w:tcW w:w="3580" w:type="dxa"/>
            <w:vAlign w:val="bottom"/>
            <w:vMerge w:val="restart"/>
            <w:shd w:val="clear" w:color="auto" w:fill="E8E7EA"/>
          </w:tcPr>
          <w:p>
            <w:pPr>
              <w:jc w:val="center"/>
              <w:spacing w:after="0"/>
              <w:rPr>
                <w:sz w:val="20"/>
                <w:szCs w:val="20"/>
                <w:color w:val="auto"/>
              </w:rPr>
            </w:pPr>
            <w:r>
              <w:rPr>
                <w:rFonts w:ascii="Arial" w:cs="Arial" w:eastAsia="Arial" w:hAnsi="Arial"/>
                <w:sz w:val="16"/>
                <w:szCs w:val="16"/>
                <w:b w:val="1"/>
                <w:bCs w:val="1"/>
                <w:color w:val="170D67"/>
                <w:w w:val="99"/>
              </w:rPr>
              <w:t>Monday, March 3, 2025</w:t>
            </w:r>
          </w:p>
        </w:tc>
        <w:tc>
          <w:tcPr>
            <w:tcW w:w="0" w:type="dxa"/>
            <w:vAlign w:val="bottom"/>
          </w:tcPr>
          <w:p>
            <w:pPr>
              <w:spacing w:after="0"/>
              <w:rPr>
                <w:sz w:val="1"/>
                <w:szCs w:val="1"/>
                <w:color w:val="auto"/>
              </w:rPr>
            </w:pPr>
          </w:p>
        </w:tc>
      </w:tr>
      <w:tr>
        <w:trPr>
          <w:trHeight w:val="101"/>
        </w:trPr>
        <w:tc>
          <w:tcPr>
            <w:tcW w:w="3580" w:type="dxa"/>
            <w:vAlign w:val="bottom"/>
            <w:vMerge w:val="restart"/>
            <w:shd w:val="clear" w:color="auto" w:fill="E8E7EA"/>
          </w:tcPr>
          <w:p>
            <w:pPr>
              <w:jc w:val="center"/>
              <w:spacing w:after="0" w:line="176" w:lineRule="exact"/>
              <w:rPr>
                <w:sz w:val="20"/>
                <w:szCs w:val="20"/>
                <w:color w:val="auto"/>
              </w:rPr>
            </w:pPr>
            <w:r>
              <w:rPr>
                <w:rFonts w:ascii="Arial" w:cs="Arial" w:eastAsia="Arial" w:hAnsi="Arial"/>
                <w:sz w:val="16"/>
                <w:szCs w:val="16"/>
                <w:b w:val="1"/>
                <w:bCs w:val="1"/>
                <w:color w:val="170D67"/>
              </w:rPr>
              <w:t>9:00 a.m. ET</w:t>
            </w:r>
          </w:p>
        </w:tc>
        <w:tc>
          <w:tcPr>
            <w:tcW w:w="220" w:type="dxa"/>
            <w:vAlign w:val="bottom"/>
            <w:tcBorders>
              <w:right w:val="single" w:sz="8" w:color="E8E7EA"/>
            </w:tcBorders>
          </w:tcPr>
          <w:p>
            <w:pPr>
              <w:spacing w:after="0"/>
              <w:rPr>
                <w:sz w:val="8"/>
                <w:szCs w:val="8"/>
                <w:color w:val="auto"/>
              </w:rPr>
            </w:pPr>
          </w:p>
        </w:tc>
        <w:tc>
          <w:tcPr>
            <w:tcW w:w="3580" w:type="dxa"/>
            <w:vAlign w:val="bottom"/>
            <w:tcBorders>
              <w:right w:val="single" w:sz="8" w:color="E8E7EA"/>
            </w:tcBorders>
            <w:vMerge w:val="restart"/>
            <w:shd w:val="clear" w:color="auto" w:fill="E8E7EA"/>
          </w:tcPr>
          <w:p>
            <w:pPr>
              <w:jc w:val="center"/>
              <w:spacing w:after="0" w:line="176" w:lineRule="exact"/>
              <w:rPr>
                <w:sz w:val="20"/>
                <w:szCs w:val="20"/>
                <w:color w:val="auto"/>
              </w:rPr>
            </w:pPr>
            <w:r>
              <w:rPr>
                <w:rFonts w:ascii="Arial" w:cs="Arial" w:eastAsia="Arial" w:hAnsi="Arial"/>
                <w:sz w:val="16"/>
                <w:szCs w:val="16"/>
                <w:b w:val="1"/>
                <w:bCs w:val="1"/>
                <w:color w:val="170D67"/>
              </w:rPr>
              <w:t>www.virtualshareholdermeeting.com/EXC2025</w:t>
            </w:r>
          </w:p>
        </w:tc>
        <w:tc>
          <w:tcPr>
            <w:tcW w:w="200" w:type="dxa"/>
            <w:vAlign w:val="bottom"/>
          </w:tcPr>
          <w:p>
            <w:pPr>
              <w:spacing w:after="0"/>
              <w:rPr>
                <w:sz w:val="8"/>
                <w:szCs w:val="8"/>
                <w:color w:val="auto"/>
              </w:rPr>
            </w:pPr>
          </w:p>
        </w:tc>
        <w:tc>
          <w:tcPr>
            <w:tcW w:w="3580" w:type="dxa"/>
            <w:vAlign w:val="bottom"/>
            <w:vMerge w:val="continue"/>
            <w:shd w:val="clear" w:color="auto" w:fill="E8E7EA"/>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3580" w:type="dxa"/>
            <w:vAlign w:val="bottom"/>
            <w:vMerge w:val="continue"/>
            <w:shd w:val="clear" w:color="auto" w:fill="E8E7EA"/>
          </w:tcPr>
          <w:p>
            <w:pPr>
              <w:spacing w:after="0"/>
              <w:rPr>
                <w:sz w:val="6"/>
                <w:szCs w:val="6"/>
                <w:color w:val="auto"/>
              </w:rPr>
            </w:pPr>
          </w:p>
        </w:tc>
        <w:tc>
          <w:tcPr>
            <w:tcW w:w="220" w:type="dxa"/>
            <w:vAlign w:val="bottom"/>
            <w:tcBorders>
              <w:right w:val="single" w:sz="8" w:color="E8E7EA"/>
            </w:tcBorders>
          </w:tcPr>
          <w:p>
            <w:pPr>
              <w:spacing w:after="0"/>
              <w:rPr>
                <w:sz w:val="6"/>
                <w:szCs w:val="6"/>
                <w:color w:val="auto"/>
              </w:rPr>
            </w:pPr>
          </w:p>
        </w:tc>
        <w:tc>
          <w:tcPr>
            <w:tcW w:w="3580" w:type="dxa"/>
            <w:vAlign w:val="bottom"/>
            <w:tcBorders>
              <w:right w:val="single" w:sz="8" w:color="E8E7EA"/>
            </w:tcBorders>
            <w:vMerge w:val="continue"/>
            <w:shd w:val="clear" w:color="auto" w:fill="E8E7EA"/>
          </w:tcPr>
          <w:p>
            <w:pPr>
              <w:spacing w:after="0"/>
              <w:rPr>
                <w:sz w:val="6"/>
                <w:szCs w:val="6"/>
                <w:color w:val="auto"/>
              </w:rPr>
            </w:pPr>
          </w:p>
        </w:tc>
        <w:tc>
          <w:tcPr>
            <w:tcW w:w="200" w:type="dxa"/>
            <w:vAlign w:val="bottom"/>
          </w:tcPr>
          <w:p>
            <w:pPr>
              <w:spacing w:after="0"/>
              <w:rPr>
                <w:sz w:val="6"/>
                <w:szCs w:val="6"/>
                <w:color w:val="auto"/>
              </w:rPr>
            </w:pPr>
          </w:p>
        </w:tc>
        <w:tc>
          <w:tcPr>
            <w:tcW w:w="3580" w:type="dxa"/>
            <w:vAlign w:val="bottom"/>
            <w:shd w:val="clear" w:color="auto" w:fill="E8E7EA"/>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580" w:type="dxa"/>
            <w:vAlign w:val="bottom"/>
            <w:tcBorders>
              <w:top w:val="single" w:sz="8" w:color="E8E7EA"/>
            </w:tcBorders>
            <w:shd w:val="clear" w:color="auto" w:fill="E8E7EA"/>
          </w:tcPr>
          <w:p>
            <w:pPr>
              <w:spacing w:after="0"/>
              <w:rPr>
                <w:sz w:val="13"/>
                <w:szCs w:val="13"/>
                <w:color w:val="auto"/>
              </w:rPr>
            </w:pPr>
          </w:p>
        </w:tc>
        <w:tc>
          <w:tcPr>
            <w:tcW w:w="220" w:type="dxa"/>
            <w:vAlign w:val="bottom"/>
            <w:tcBorders>
              <w:right w:val="single" w:sz="8" w:color="E8E7EA"/>
            </w:tcBorders>
          </w:tcPr>
          <w:p>
            <w:pPr>
              <w:spacing w:after="0"/>
              <w:rPr>
                <w:sz w:val="13"/>
                <w:szCs w:val="13"/>
                <w:color w:val="auto"/>
              </w:rPr>
            </w:pPr>
          </w:p>
        </w:tc>
        <w:tc>
          <w:tcPr>
            <w:tcW w:w="3580" w:type="dxa"/>
            <w:vAlign w:val="bottom"/>
            <w:tcBorders>
              <w:top w:val="single" w:sz="8" w:color="170D67"/>
              <w:right w:val="single" w:sz="8" w:color="E8E7EA"/>
            </w:tcBorders>
            <w:shd w:val="clear" w:color="auto" w:fill="E8E7EA"/>
          </w:tcPr>
          <w:p>
            <w:pPr>
              <w:spacing w:after="0"/>
              <w:rPr>
                <w:sz w:val="13"/>
                <w:szCs w:val="13"/>
                <w:color w:val="auto"/>
              </w:rPr>
            </w:pPr>
          </w:p>
        </w:tc>
        <w:tc>
          <w:tcPr>
            <w:tcW w:w="200" w:type="dxa"/>
            <w:vAlign w:val="bottom"/>
          </w:tcPr>
          <w:p>
            <w:pPr>
              <w:spacing w:after="0"/>
              <w:rPr>
                <w:sz w:val="13"/>
                <w:szCs w:val="13"/>
                <w:color w:val="auto"/>
              </w:rPr>
            </w:pPr>
          </w:p>
        </w:tc>
        <w:tc>
          <w:tcPr>
            <w:tcW w:w="3580" w:type="dxa"/>
            <w:vAlign w:val="bottom"/>
            <w:tcBorders>
              <w:top w:val="single" w:sz="8" w:color="E8E7EA"/>
            </w:tcBorders>
            <w:shd w:val="clear" w:color="auto" w:fill="E8E7EA"/>
          </w:tcPr>
          <w:p>
            <w:pPr>
              <w:spacing w:after="0"/>
              <w:rPr>
                <w:sz w:val="13"/>
                <w:szCs w:val="13"/>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Voting instructions are below. Refer to the Additional Information section beginning on page 79 and the Frequently Asked Questions section beginning on page 82 for more information on how to vote your shares and other important 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234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vMerge w:val="restart"/>
          </w:tcPr>
          <w:p>
            <w:pPr>
              <w:ind w:left="20"/>
              <w:spacing w:after="0"/>
              <w:rPr>
                <w:sz w:val="20"/>
                <w:szCs w:val="20"/>
                <w:color w:val="auto"/>
              </w:rPr>
            </w:pPr>
            <w:r>
              <w:rPr>
                <w:rFonts w:ascii="Arial" w:cs="Arial" w:eastAsia="Arial" w:hAnsi="Arial"/>
                <w:sz w:val="16"/>
                <w:szCs w:val="16"/>
                <w:b w:val="1"/>
                <w:bCs w:val="1"/>
                <w:color w:val="170D67"/>
              </w:rPr>
              <w:t>ONLINE:</w:t>
            </w:r>
          </w:p>
        </w:tc>
        <w:tc>
          <w:tcPr>
            <w:tcW w:w="9900" w:type="dxa"/>
            <w:vAlign w:val="bottom"/>
          </w:tcPr>
          <w:p>
            <w:pPr>
              <w:ind w:left="280"/>
              <w:spacing w:after="0"/>
              <w:rPr>
                <w:sz w:val="20"/>
                <w:szCs w:val="20"/>
                <w:color w:val="auto"/>
              </w:rPr>
            </w:pPr>
            <w:r>
              <w:rPr>
                <w:rFonts w:ascii="Arial" w:cs="Arial" w:eastAsia="Arial" w:hAnsi="Arial"/>
                <w:sz w:val="16"/>
                <w:szCs w:val="16"/>
                <w:color w:val="auto"/>
              </w:rPr>
              <w:t xml:space="preserve">Vote online at </w:t>
            </w:r>
            <w:r>
              <w:rPr>
                <w:rFonts w:ascii="Arial" w:cs="Arial" w:eastAsia="Arial" w:hAnsi="Arial"/>
                <w:sz w:val="16"/>
                <w:szCs w:val="16"/>
                <w:b w:val="1"/>
                <w:bCs w:val="1"/>
                <w:color w:val="auto"/>
              </w:rPr>
              <w:t>www.proxyvote.com</w:t>
            </w:r>
            <w:r>
              <w:rPr>
                <w:rFonts w:ascii="Arial" w:cs="Arial" w:eastAsia="Arial" w:hAnsi="Arial"/>
                <w:sz w:val="16"/>
                <w:szCs w:val="16"/>
                <w:color w:val="auto"/>
              </w:rPr>
              <w:t xml:space="preserve"> 24 hours a day. You will need the 16- digit control number on the Notice of Internet Availability,</w:t>
            </w:r>
          </w:p>
        </w:tc>
        <w:tc>
          <w:tcPr>
            <w:tcW w:w="0" w:type="dxa"/>
            <w:vAlign w:val="bottom"/>
          </w:tcPr>
          <w:p>
            <w:pPr>
              <w:spacing w:after="0"/>
              <w:rPr>
                <w:sz w:val="1"/>
                <w:szCs w:val="1"/>
                <w:color w:val="auto"/>
              </w:rPr>
            </w:pPr>
          </w:p>
        </w:tc>
      </w:tr>
      <w:tr>
        <w:trPr>
          <w:trHeight w:val="115"/>
        </w:trPr>
        <w:tc>
          <w:tcPr>
            <w:tcW w:w="1320" w:type="dxa"/>
            <w:vAlign w:val="bottom"/>
            <w:vMerge w:val="continue"/>
          </w:tcPr>
          <w:p>
            <w:pPr>
              <w:spacing w:after="0"/>
              <w:rPr>
                <w:sz w:val="9"/>
                <w:szCs w:val="9"/>
                <w:color w:val="auto"/>
              </w:rPr>
            </w:pPr>
          </w:p>
        </w:tc>
        <w:tc>
          <w:tcPr>
            <w:tcW w:w="9900" w:type="dxa"/>
            <w:vAlign w:val="bottom"/>
            <w:vMerge w:val="restart"/>
          </w:tcPr>
          <w:p>
            <w:pPr>
              <w:ind w:left="280"/>
              <w:spacing w:after="0"/>
              <w:rPr>
                <w:sz w:val="20"/>
                <w:szCs w:val="20"/>
                <w:color w:val="auto"/>
              </w:rPr>
            </w:pPr>
            <w:r>
              <w:rPr>
                <w:rFonts w:ascii="Arial" w:cs="Arial" w:eastAsia="Arial" w:hAnsi="Arial"/>
                <w:sz w:val="16"/>
                <w:szCs w:val="16"/>
                <w:color w:val="auto"/>
              </w:rPr>
              <w:t>voting instruction form, or proxy card.</w:t>
            </w:r>
          </w:p>
        </w:tc>
        <w:tc>
          <w:tcPr>
            <w:tcW w:w="0" w:type="dxa"/>
            <w:vAlign w:val="bottom"/>
          </w:tcPr>
          <w:p>
            <w:pPr>
              <w:spacing w:after="0"/>
              <w:rPr>
                <w:sz w:val="1"/>
                <w:szCs w:val="1"/>
                <w:color w:val="auto"/>
              </w:rPr>
            </w:pPr>
          </w:p>
        </w:tc>
      </w:tr>
      <w:tr>
        <w:trPr>
          <w:trHeight w:val="100"/>
        </w:trPr>
        <w:tc>
          <w:tcPr>
            <w:tcW w:w="1320" w:type="dxa"/>
            <w:vAlign w:val="bottom"/>
          </w:tcPr>
          <w:p>
            <w:pPr>
              <w:spacing w:after="0"/>
              <w:rPr>
                <w:sz w:val="8"/>
                <w:szCs w:val="8"/>
                <w:color w:val="auto"/>
              </w:rPr>
            </w:pPr>
          </w:p>
        </w:tc>
        <w:tc>
          <w:tcPr>
            <w:tcW w:w="9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320" w:type="dxa"/>
            <w:vAlign w:val="bottom"/>
            <w:tcBorders>
              <w:bottom w:val="single" w:sz="8" w:color="929292"/>
            </w:tcBorders>
          </w:tcPr>
          <w:p>
            <w:pPr>
              <w:spacing w:after="0"/>
              <w:rPr>
                <w:sz w:val="9"/>
                <w:szCs w:val="9"/>
                <w:color w:val="auto"/>
              </w:rPr>
            </w:pPr>
          </w:p>
        </w:tc>
        <w:tc>
          <w:tcPr>
            <w:tcW w:w="9900" w:type="dxa"/>
            <w:vAlign w:val="bottom"/>
            <w:tcBorders>
              <w:bottom w:val="single" w:sz="8" w:color="929292"/>
            </w:tcBorders>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6"/>
                <w:szCs w:val="16"/>
                <w:b w:val="1"/>
                <w:bCs w:val="1"/>
                <w:color w:val="170D67"/>
              </w:rPr>
              <w:t>BY PHONE:</w:t>
            </w:r>
          </w:p>
        </w:tc>
        <w:tc>
          <w:tcPr>
            <w:tcW w:w="9900" w:type="dxa"/>
            <w:vAlign w:val="bottom"/>
          </w:tcPr>
          <w:p>
            <w:pPr>
              <w:ind w:left="280"/>
              <w:spacing w:after="0"/>
              <w:rPr>
                <w:sz w:val="20"/>
                <w:szCs w:val="20"/>
                <w:color w:val="auto"/>
              </w:rPr>
            </w:pPr>
            <w:r>
              <w:rPr>
                <w:rFonts w:ascii="Arial" w:cs="Arial" w:eastAsia="Arial" w:hAnsi="Arial"/>
                <w:sz w:val="16"/>
                <w:szCs w:val="16"/>
                <w:color w:val="auto"/>
              </w:rPr>
              <w:t xml:space="preserve">Call toll-free </w:t>
            </w:r>
            <w:r>
              <w:rPr>
                <w:rFonts w:ascii="Arial" w:cs="Arial" w:eastAsia="Arial" w:hAnsi="Arial"/>
                <w:sz w:val="16"/>
                <w:szCs w:val="16"/>
                <w:b w:val="1"/>
                <w:bCs w:val="1"/>
                <w:color w:val="auto"/>
              </w:rPr>
              <w:t>1-800-690-6903</w:t>
            </w:r>
          </w:p>
        </w:tc>
        <w:tc>
          <w:tcPr>
            <w:tcW w:w="0" w:type="dxa"/>
            <w:vAlign w:val="bottom"/>
          </w:tcPr>
          <w:p>
            <w:pPr>
              <w:spacing w:after="0"/>
              <w:rPr>
                <w:sz w:val="1"/>
                <w:szCs w:val="1"/>
                <w:color w:val="auto"/>
              </w:rPr>
            </w:pPr>
          </w:p>
        </w:tc>
      </w:tr>
      <w:tr>
        <w:trPr>
          <w:trHeight w:val="34"/>
        </w:trPr>
        <w:tc>
          <w:tcPr>
            <w:tcW w:w="1320" w:type="dxa"/>
            <w:vAlign w:val="bottom"/>
            <w:tcBorders>
              <w:bottom w:val="single" w:sz="8" w:color="929292"/>
            </w:tcBorders>
          </w:tcPr>
          <w:p>
            <w:pPr>
              <w:spacing w:after="0"/>
              <w:rPr>
                <w:sz w:val="3"/>
                <w:szCs w:val="3"/>
                <w:color w:val="auto"/>
              </w:rPr>
            </w:pPr>
          </w:p>
        </w:tc>
        <w:tc>
          <w:tcPr>
            <w:tcW w:w="9900" w:type="dxa"/>
            <w:vAlign w:val="bottom"/>
            <w:tcBorders>
              <w:bottom w:val="single" w:sz="8" w:color="929292"/>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1320" w:type="dxa"/>
            <w:vAlign w:val="bottom"/>
            <w:vMerge w:val="restart"/>
          </w:tcPr>
          <w:p>
            <w:pPr>
              <w:ind w:left="20"/>
              <w:spacing w:after="0"/>
              <w:rPr>
                <w:sz w:val="20"/>
                <w:szCs w:val="20"/>
                <w:color w:val="auto"/>
              </w:rPr>
            </w:pPr>
            <w:r>
              <w:rPr>
                <w:rFonts w:ascii="Arial" w:cs="Arial" w:eastAsia="Arial" w:hAnsi="Arial"/>
                <w:sz w:val="16"/>
                <w:szCs w:val="16"/>
                <w:b w:val="1"/>
                <w:bCs w:val="1"/>
                <w:color w:val="170D67"/>
              </w:rPr>
              <w:t>BY MAIL:</w:t>
            </w:r>
          </w:p>
        </w:tc>
        <w:tc>
          <w:tcPr>
            <w:tcW w:w="9900" w:type="dxa"/>
            <w:vAlign w:val="bottom"/>
          </w:tcPr>
          <w:p>
            <w:pPr>
              <w:ind w:left="280"/>
              <w:spacing w:after="0"/>
              <w:rPr>
                <w:sz w:val="20"/>
                <w:szCs w:val="20"/>
                <w:color w:val="auto"/>
              </w:rPr>
            </w:pPr>
            <w:r>
              <w:rPr>
                <w:rFonts w:ascii="Arial" w:cs="Arial" w:eastAsia="Arial" w:hAnsi="Arial"/>
                <w:sz w:val="16"/>
                <w:szCs w:val="16"/>
                <w:color w:val="auto"/>
              </w:rPr>
              <w:t>If you have received a printed version of these proxy materials, mark, date, sign, and mail your proxy card in the postage-paid</w:t>
            </w:r>
          </w:p>
        </w:tc>
        <w:tc>
          <w:tcPr>
            <w:tcW w:w="0" w:type="dxa"/>
            <w:vAlign w:val="bottom"/>
          </w:tcPr>
          <w:p>
            <w:pPr>
              <w:spacing w:after="0"/>
              <w:rPr>
                <w:sz w:val="1"/>
                <w:szCs w:val="1"/>
                <w:color w:val="auto"/>
              </w:rPr>
            </w:pPr>
          </w:p>
        </w:tc>
      </w:tr>
      <w:tr>
        <w:trPr>
          <w:trHeight w:val="116"/>
        </w:trPr>
        <w:tc>
          <w:tcPr>
            <w:tcW w:w="1320" w:type="dxa"/>
            <w:vAlign w:val="bottom"/>
            <w:vMerge w:val="continue"/>
          </w:tcPr>
          <w:p>
            <w:pPr>
              <w:spacing w:after="0"/>
              <w:rPr>
                <w:sz w:val="10"/>
                <w:szCs w:val="10"/>
                <w:color w:val="auto"/>
              </w:rPr>
            </w:pPr>
          </w:p>
        </w:tc>
        <w:tc>
          <w:tcPr>
            <w:tcW w:w="9900" w:type="dxa"/>
            <w:vAlign w:val="bottom"/>
            <w:vMerge w:val="restart"/>
          </w:tcPr>
          <w:p>
            <w:pPr>
              <w:ind w:left="280"/>
              <w:spacing w:after="0"/>
              <w:rPr>
                <w:sz w:val="20"/>
                <w:szCs w:val="20"/>
                <w:color w:val="auto"/>
              </w:rPr>
            </w:pPr>
            <w:r>
              <w:rPr>
                <w:rFonts w:ascii="Arial" w:cs="Arial" w:eastAsia="Arial" w:hAnsi="Arial"/>
                <w:sz w:val="16"/>
                <w:szCs w:val="16"/>
                <w:color w:val="auto"/>
              </w:rPr>
              <w:t>envelope provided.</w:t>
            </w:r>
          </w:p>
        </w:tc>
        <w:tc>
          <w:tcPr>
            <w:tcW w:w="0" w:type="dxa"/>
            <w:vAlign w:val="bottom"/>
          </w:tcPr>
          <w:p>
            <w:pPr>
              <w:spacing w:after="0"/>
              <w:rPr>
                <w:sz w:val="1"/>
                <w:szCs w:val="1"/>
                <w:color w:val="auto"/>
              </w:rPr>
            </w:pPr>
          </w:p>
        </w:tc>
      </w:tr>
      <w:tr>
        <w:trPr>
          <w:trHeight w:val="100"/>
        </w:trPr>
        <w:tc>
          <w:tcPr>
            <w:tcW w:w="1320" w:type="dxa"/>
            <w:vAlign w:val="bottom"/>
          </w:tcPr>
          <w:p>
            <w:pPr>
              <w:spacing w:after="0"/>
              <w:rPr>
                <w:sz w:val="8"/>
                <w:szCs w:val="8"/>
                <w:color w:val="auto"/>
              </w:rPr>
            </w:pPr>
          </w:p>
        </w:tc>
        <w:tc>
          <w:tcPr>
            <w:tcW w:w="9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1320" w:type="dxa"/>
            <w:vAlign w:val="bottom"/>
            <w:tcBorders>
              <w:bottom w:val="single" w:sz="8" w:color="929292"/>
            </w:tcBorders>
          </w:tcPr>
          <w:p>
            <w:pPr>
              <w:spacing w:after="0"/>
              <w:rPr>
                <w:sz w:val="3"/>
                <w:szCs w:val="3"/>
                <w:color w:val="auto"/>
              </w:rPr>
            </w:pPr>
          </w:p>
        </w:tc>
        <w:tc>
          <w:tcPr>
            <w:tcW w:w="9900" w:type="dxa"/>
            <w:vAlign w:val="bottom"/>
            <w:tcBorders>
              <w:bottom w:val="single" w:sz="8" w:color="929292"/>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320" w:type="dxa"/>
            <w:vAlign w:val="bottom"/>
          </w:tcPr>
          <w:p>
            <w:pPr>
              <w:ind w:left="20"/>
              <w:spacing w:after="0"/>
              <w:rPr>
                <w:sz w:val="20"/>
                <w:szCs w:val="20"/>
                <w:color w:val="auto"/>
              </w:rPr>
            </w:pPr>
            <w:r>
              <w:rPr>
                <w:rFonts w:ascii="Arial" w:cs="Arial" w:eastAsia="Arial" w:hAnsi="Arial"/>
                <w:sz w:val="16"/>
                <w:szCs w:val="16"/>
                <w:b w:val="1"/>
                <w:bCs w:val="1"/>
                <w:color w:val="170D67"/>
              </w:rPr>
              <w:t>DURING THE</w:t>
            </w:r>
          </w:p>
        </w:tc>
        <w:tc>
          <w:tcPr>
            <w:tcW w:w="9900" w:type="dxa"/>
            <w:vAlign w:val="bottom"/>
            <w:vMerge w:val="restart"/>
          </w:tcPr>
          <w:p>
            <w:pPr>
              <w:ind w:left="280"/>
              <w:spacing w:after="0"/>
              <w:rPr>
                <w:sz w:val="20"/>
                <w:szCs w:val="20"/>
                <w:color w:val="auto"/>
              </w:rPr>
            </w:pPr>
            <w:r>
              <w:rPr>
                <w:rFonts w:ascii="Arial" w:cs="Arial" w:eastAsia="Arial" w:hAnsi="Arial"/>
                <w:sz w:val="16"/>
                <w:szCs w:val="16"/>
                <w:color w:val="auto"/>
              </w:rPr>
              <w:t>You can vote electronically at the Annual Meeting.</w:t>
            </w:r>
          </w:p>
        </w:tc>
        <w:tc>
          <w:tcPr>
            <w:tcW w:w="0" w:type="dxa"/>
            <w:vAlign w:val="bottom"/>
          </w:tcPr>
          <w:p>
            <w:pPr>
              <w:spacing w:after="0"/>
              <w:rPr>
                <w:sz w:val="1"/>
                <w:szCs w:val="1"/>
                <w:color w:val="auto"/>
              </w:rPr>
            </w:pPr>
          </w:p>
        </w:tc>
      </w:tr>
      <w:tr>
        <w:trPr>
          <w:trHeight w:val="93"/>
        </w:trPr>
        <w:tc>
          <w:tcPr>
            <w:tcW w:w="1320" w:type="dxa"/>
            <w:vAlign w:val="bottom"/>
            <w:vMerge w:val="restart"/>
          </w:tcPr>
          <w:p>
            <w:pPr>
              <w:ind w:left="20"/>
              <w:spacing w:after="0"/>
              <w:rPr>
                <w:sz w:val="20"/>
                <w:szCs w:val="20"/>
                <w:color w:val="auto"/>
              </w:rPr>
            </w:pPr>
            <w:r>
              <w:rPr>
                <w:rFonts w:ascii="Arial" w:cs="Arial" w:eastAsia="Arial" w:hAnsi="Arial"/>
                <w:sz w:val="16"/>
                <w:szCs w:val="16"/>
                <w:b w:val="1"/>
                <w:bCs w:val="1"/>
                <w:color w:val="170D67"/>
              </w:rPr>
              <w:t>MEETING:</w:t>
            </w:r>
          </w:p>
        </w:tc>
        <w:tc>
          <w:tcPr>
            <w:tcW w:w="9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20" w:type="dxa"/>
            <w:vAlign w:val="bottom"/>
            <w:vMerge w:val="continue"/>
          </w:tcPr>
          <w:p>
            <w:pPr>
              <w:spacing w:after="0"/>
              <w:rPr>
                <w:sz w:val="11"/>
                <w:szCs w:val="11"/>
                <w:color w:val="auto"/>
              </w:rPr>
            </w:pPr>
          </w:p>
        </w:tc>
        <w:tc>
          <w:tcPr>
            <w:tcW w:w="9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320" w:type="dxa"/>
            <w:vAlign w:val="bottom"/>
            <w:tcBorders>
              <w:bottom w:val="single" w:sz="8" w:color="929292"/>
            </w:tcBorders>
          </w:tcPr>
          <w:p>
            <w:pPr>
              <w:spacing w:after="0" w:line="20" w:lineRule="exact"/>
              <w:rPr>
                <w:sz w:val="1"/>
                <w:szCs w:val="1"/>
                <w:color w:val="auto"/>
              </w:rPr>
            </w:pPr>
          </w:p>
        </w:tc>
        <w:tc>
          <w:tcPr>
            <w:tcW w:w="990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Proposal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2343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23430" cy="34290"/>
                    </a:xfrm>
                    <a:prstGeom prst="rect">
                      <a:avLst/>
                    </a:prstGeom>
                    <a:noFill/>
                  </pic:spPr>
                </pic:pic>
              </a:graphicData>
            </a:graphic>
          </wp:anchor>
        </w:drawing>
      </w:r>
    </w:p>
    <w:p>
      <w:pPr>
        <w:spacing w:after="0" w:line="256" w:lineRule="exact"/>
        <w:rPr>
          <w:sz w:val="20"/>
          <w:szCs w:val="20"/>
          <w:color w:val="auto"/>
        </w:rPr>
      </w:pPr>
    </w:p>
    <w:p>
      <w:pPr>
        <w:ind w:left="560" w:hanging="379"/>
        <w:spacing w:after="0"/>
        <w:tabs>
          <w:tab w:leader="none" w:pos="560" w:val="left"/>
        </w:tabs>
        <w:numPr>
          <w:ilvl w:val="0"/>
          <w:numId w:val="17"/>
        </w:numPr>
        <w:rPr>
          <w:rFonts w:ascii="Arial" w:cs="Arial" w:eastAsia="Arial" w:hAnsi="Arial"/>
          <w:sz w:val="32"/>
          <w:szCs w:val="32"/>
          <w:b w:val="1"/>
          <w:bCs w:val="1"/>
          <w:color w:val="FFFFFF"/>
        </w:rPr>
      </w:pPr>
      <w:r>
        <w:rPr>
          <w:rFonts w:ascii="Arial" w:cs="Arial" w:eastAsia="Arial" w:hAnsi="Arial"/>
          <w:sz w:val="18"/>
          <w:szCs w:val="18"/>
          <w:color w:val="auto"/>
        </w:rPr>
        <w:t>Elect nine Director nominees named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334010" cy="2825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4010" cy="2825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142875</wp:posOffset>
            </wp:positionV>
            <wp:extent cx="20574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5740" cy="163195"/>
                    </a:xfrm>
                    <a:prstGeom prst="rect">
                      <a:avLst/>
                    </a:prstGeom>
                    <a:noFill/>
                  </pic:spPr>
                </pic:pic>
              </a:graphicData>
            </a:graphic>
          </wp:anchor>
        </w:drawing>
      </w:r>
    </w:p>
    <w:p>
      <w:pPr>
        <w:spacing w:after="0" w:line="277"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170D67"/>
        </w:rPr>
        <w:t xml:space="preserve">The Board recommends a vote </w:t>
      </w:r>
      <w:r>
        <w:rPr>
          <w:rFonts w:ascii="Arial" w:cs="Arial" w:eastAsia="Arial" w:hAnsi="Arial"/>
          <w:sz w:val="14"/>
          <w:szCs w:val="14"/>
          <w:b w:val="1"/>
          <w:bCs w:val="1"/>
          <w:color w:val="00E4A5"/>
        </w:rPr>
        <w:t>“FOR”</w:t>
      </w:r>
      <w:r>
        <w:rPr>
          <w:rFonts w:ascii="Arial" w:cs="Arial" w:eastAsia="Arial" w:hAnsi="Arial"/>
          <w:sz w:val="14"/>
          <w:szCs w:val="14"/>
          <w:b w:val="1"/>
          <w:bCs w:val="1"/>
          <w:color w:val="170D67"/>
        </w:rPr>
        <w:t xml:space="preserve"> each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234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Your vote is requested to elect the nine nominees for the Board of Directors, all of whom currently serve as Directors. Every member of our Board is elected annually. Each nominee is a proven leader who has demonstrated a commitment to upholding Exelon’s core values, and together, this talented slate of nominees will provide exceptional oversight and leadership in the year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62865</wp:posOffset>
            </wp:positionV>
            <wp:extent cx="34290" cy="8826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88265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62865</wp:posOffset>
            </wp:positionV>
            <wp:extent cx="34290" cy="8826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88265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62865</wp:posOffset>
            </wp:positionV>
            <wp:extent cx="34290" cy="8826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882650"/>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62865</wp:posOffset>
            </wp:positionV>
            <wp:extent cx="34290" cy="8826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882650"/>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2240" w:type="dxa"/>
            <w:vAlign w:val="bottom"/>
            <w:shd w:val="clear" w:color="auto" w:fill="E8E7EA"/>
          </w:tcPr>
          <w:p>
            <w:pPr>
              <w:ind w:left="180"/>
              <w:spacing w:after="0"/>
              <w:rPr>
                <w:sz w:val="20"/>
                <w:szCs w:val="20"/>
                <w:color w:val="auto"/>
              </w:rPr>
            </w:pPr>
            <w:r>
              <w:rPr>
                <w:rFonts w:ascii="Arial" w:cs="Arial" w:eastAsia="Arial" w:hAnsi="Arial"/>
                <w:sz w:val="16"/>
                <w:szCs w:val="16"/>
                <w:b w:val="1"/>
                <w:bCs w:val="1"/>
                <w:color w:val="170D67"/>
              </w:rPr>
              <w:t>Directors’</w:t>
            </w:r>
          </w:p>
        </w:tc>
        <w:tc>
          <w:tcPr>
            <w:tcW w:w="2240" w:type="dxa"/>
            <w:vAlign w:val="bottom"/>
            <w:shd w:val="clear" w:color="auto" w:fill="E8E7EA"/>
          </w:tcPr>
          <w:p>
            <w:pPr>
              <w:ind w:left="220"/>
              <w:spacing w:after="0"/>
              <w:rPr>
                <w:sz w:val="20"/>
                <w:szCs w:val="20"/>
                <w:color w:val="auto"/>
              </w:rPr>
            </w:pPr>
            <w:r>
              <w:rPr>
                <w:rFonts w:ascii="Arial" w:cs="Arial" w:eastAsia="Arial" w:hAnsi="Arial"/>
                <w:sz w:val="16"/>
                <w:szCs w:val="16"/>
                <w:b w:val="1"/>
                <w:bCs w:val="1"/>
                <w:color w:val="170D67"/>
              </w:rPr>
              <w:t>Directors’ Gender</w:t>
            </w:r>
          </w:p>
        </w:tc>
        <w:tc>
          <w:tcPr>
            <w:tcW w:w="2260" w:type="dxa"/>
            <w:vAlign w:val="bottom"/>
            <w:shd w:val="clear" w:color="auto" w:fill="E8E7EA"/>
          </w:tcPr>
          <w:p>
            <w:pPr>
              <w:ind w:left="220"/>
              <w:spacing w:after="0"/>
              <w:rPr>
                <w:sz w:val="20"/>
                <w:szCs w:val="20"/>
                <w:color w:val="auto"/>
              </w:rPr>
            </w:pPr>
            <w:r>
              <w:rPr>
                <w:rFonts w:ascii="Arial" w:cs="Arial" w:eastAsia="Arial" w:hAnsi="Arial"/>
                <w:sz w:val="16"/>
                <w:szCs w:val="16"/>
                <w:b w:val="1"/>
                <w:bCs w:val="1"/>
                <w:color w:val="170D67"/>
              </w:rPr>
              <w:t>Directors’ Tenure</w:t>
            </w:r>
          </w:p>
        </w:tc>
        <w:tc>
          <w:tcPr>
            <w:tcW w:w="2300" w:type="dxa"/>
            <w:vAlign w:val="bottom"/>
            <w:shd w:val="clear" w:color="auto" w:fill="E8E7EA"/>
          </w:tcPr>
          <w:p>
            <w:pPr>
              <w:ind w:left="200"/>
              <w:spacing w:after="0"/>
              <w:rPr>
                <w:sz w:val="20"/>
                <w:szCs w:val="20"/>
                <w:color w:val="auto"/>
              </w:rPr>
            </w:pPr>
            <w:r>
              <w:rPr>
                <w:rFonts w:ascii="Arial" w:cs="Arial" w:eastAsia="Arial" w:hAnsi="Arial"/>
                <w:sz w:val="16"/>
                <w:szCs w:val="16"/>
                <w:b w:val="1"/>
                <w:bCs w:val="1"/>
                <w:color w:val="170D67"/>
              </w:rPr>
              <w:t>Directors’ Age (Average)</w:t>
            </w:r>
            <w:r>
              <w:rPr>
                <w:rFonts w:ascii="Arial" w:cs="Arial" w:eastAsia="Arial" w:hAnsi="Arial"/>
                <w:sz w:val="21"/>
                <w:szCs w:val="21"/>
                <w:b w:val="1"/>
                <w:bCs w:val="1"/>
                <w:color w:val="170D67"/>
                <w:vertAlign w:val="superscript"/>
              </w:rPr>
              <w:t>1</w:t>
            </w:r>
          </w:p>
        </w:tc>
        <w:tc>
          <w:tcPr>
            <w:tcW w:w="2180" w:type="dxa"/>
            <w:vAlign w:val="bottom"/>
            <w:shd w:val="clear" w:color="auto" w:fill="E8E7EA"/>
          </w:tcPr>
          <w:p>
            <w:pPr>
              <w:ind w:left="140"/>
              <w:spacing w:after="0"/>
              <w:rPr>
                <w:sz w:val="20"/>
                <w:szCs w:val="20"/>
                <w:color w:val="auto"/>
              </w:rPr>
            </w:pPr>
            <w:r>
              <w:rPr>
                <w:rFonts w:ascii="Arial" w:cs="Arial" w:eastAsia="Arial" w:hAnsi="Arial"/>
                <w:sz w:val="16"/>
                <w:szCs w:val="16"/>
                <w:b w:val="1"/>
                <w:bCs w:val="1"/>
                <w:color w:val="170D67"/>
              </w:rPr>
              <w:t>Independence</w:t>
            </w:r>
          </w:p>
        </w:tc>
      </w:tr>
      <w:tr>
        <w:trPr>
          <w:trHeight w:val="173"/>
        </w:trPr>
        <w:tc>
          <w:tcPr>
            <w:tcW w:w="2240" w:type="dxa"/>
            <w:vAlign w:val="bottom"/>
            <w:shd w:val="clear" w:color="auto" w:fill="E8E7EA"/>
          </w:tcPr>
          <w:p>
            <w:pPr>
              <w:ind w:left="180"/>
              <w:spacing w:after="0" w:line="173" w:lineRule="exact"/>
              <w:rPr>
                <w:sz w:val="20"/>
                <w:szCs w:val="20"/>
                <w:color w:val="auto"/>
              </w:rPr>
            </w:pPr>
            <w:r>
              <w:rPr>
                <w:rFonts w:ascii="Arial" w:cs="Arial" w:eastAsia="Arial" w:hAnsi="Arial"/>
                <w:sz w:val="16"/>
                <w:szCs w:val="16"/>
                <w:b w:val="1"/>
                <w:bCs w:val="1"/>
                <w:color w:val="170D67"/>
              </w:rPr>
              <w:t>Race/Ethnicity</w:t>
            </w:r>
          </w:p>
        </w:tc>
        <w:tc>
          <w:tcPr>
            <w:tcW w:w="2240" w:type="dxa"/>
            <w:vAlign w:val="bottom"/>
            <w:shd w:val="clear" w:color="auto" w:fill="E8E7EA"/>
          </w:tcPr>
          <w:p>
            <w:pPr>
              <w:spacing w:after="0"/>
              <w:rPr>
                <w:sz w:val="15"/>
                <w:szCs w:val="15"/>
                <w:color w:val="auto"/>
              </w:rPr>
            </w:pPr>
          </w:p>
        </w:tc>
        <w:tc>
          <w:tcPr>
            <w:tcW w:w="2260" w:type="dxa"/>
            <w:vAlign w:val="bottom"/>
            <w:shd w:val="clear" w:color="auto" w:fill="E8E7EA"/>
          </w:tcPr>
          <w:p>
            <w:pPr>
              <w:ind w:left="220"/>
              <w:spacing w:after="0" w:line="173" w:lineRule="exact"/>
              <w:rPr>
                <w:sz w:val="20"/>
                <w:szCs w:val="20"/>
                <w:color w:val="auto"/>
              </w:rPr>
            </w:pPr>
            <w:r>
              <w:rPr>
                <w:rFonts w:ascii="Arial" w:cs="Arial" w:eastAsia="Arial" w:hAnsi="Arial"/>
                <w:sz w:val="15"/>
                <w:szCs w:val="15"/>
                <w:b w:val="1"/>
                <w:bCs w:val="1"/>
                <w:color w:val="170D67"/>
              </w:rPr>
              <w:t>(Average)</w:t>
            </w:r>
            <w:r>
              <w:rPr>
                <w:rFonts w:ascii="Arial" w:cs="Arial" w:eastAsia="Arial" w:hAnsi="Arial"/>
                <w:sz w:val="20"/>
                <w:szCs w:val="20"/>
                <w:b w:val="1"/>
                <w:bCs w:val="1"/>
                <w:color w:val="170D67"/>
                <w:vertAlign w:val="superscript"/>
              </w:rPr>
              <w:t>1</w:t>
            </w:r>
          </w:p>
        </w:tc>
        <w:tc>
          <w:tcPr>
            <w:tcW w:w="2300" w:type="dxa"/>
            <w:vAlign w:val="bottom"/>
            <w:shd w:val="clear" w:color="auto" w:fill="E8E7EA"/>
          </w:tcPr>
          <w:p>
            <w:pPr>
              <w:spacing w:after="0"/>
              <w:rPr>
                <w:sz w:val="15"/>
                <w:szCs w:val="15"/>
                <w:color w:val="auto"/>
              </w:rPr>
            </w:pPr>
          </w:p>
        </w:tc>
        <w:tc>
          <w:tcPr>
            <w:tcW w:w="2180" w:type="dxa"/>
            <w:vAlign w:val="bottom"/>
            <w:shd w:val="clear" w:color="auto" w:fill="E8E7EA"/>
          </w:tcPr>
          <w:p>
            <w:pPr>
              <w:spacing w:after="0"/>
              <w:rPr>
                <w:sz w:val="15"/>
                <w:szCs w:val="15"/>
                <w:color w:val="auto"/>
              </w:rPr>
            </w:pPr>
          </w:p>
        </w:tc>
      </w:tr>
      <w:tr>
        <w:trPr>
          <w:trHeight w:val="462"/>
        </w:trPr>
        <w:tc>
          <w:tcPr>
            <w:tcW w:w="2240" w:type="dxa"/>
            <w:vAlign w:val="bottom"/>
            <w:shd w:val="clear" w:color="auto" w:fill="E8E7EA"/>
          </w:tcPr>
          <w:p>
            <w:pPr>
              <w:ind w:left="180"/>
              <w:spacing w:after="0" w:line="462" w:lineRule="exact"/>
              <w:rPr>
                <w:sz w:val="20"/>
                <w:szCs w:val="20"/>
                <w:color w:val="auto"/>
              </w:rPr>
            </w:pPr>
            <w:r>
              <w:rPr>
                <w:rFonts w:ascii="Arial" w:cs="Arial" w:eastAsia="Arial" w:hAnsi="Arial"/>
                <w:sz w:val="43"/>
                <w:szCs w:val="43"/>
                <w:b w:val="1"/>
                <w:bCs w:val="1"/>
                <w:color w:val="3A5CFF"/>
              </w:rPr>
              <w:t>44%</w:t>
            </w:r>
          </w:p>
        </w:tc>
        <w:tc>
          <w:tcPr>
            <w:tcW w:w="2240" w:type="dxa"/>
            <w:vAlign w:val="bottom"/>
            <w:shd w:val="clear" w:color="auto" w:fill="E8E7EA"/>
          </w:tcPr>
          <w:p>
            <w:pPr>
              <w:ind w:left="220"/>
              <w:spacing w:after="0" w:line="462" w:lineRule="exact"/>
              <w:rPr>
                <w:sz w:val="20"/>
                <w:szCs w:val="20"/>
                <w:color w:val="auto"/>
              </w:rPr>
            </w:pPr>
            <w:r>
              <w:rPr>
                <w:rFonts w:ascii="Arial" w:cs="Arial" w:eastAsia="Arial" w:hAnsi="Arial"/>
                <w:sz w:val="43"/>
                <w:szCs w:val="43"/>
                <w:b w:val="1"/>
                <w:bCs w:val="1"/>
                <w:color w:val="3A5CFF"/>
              </w:rPr>
              <w:t>44%</w:t>
            </w:r>
          </w:p>
        </w:tc>
        <w:tc>
          <w:tcPr>
            <w:tcW w:w="2260" w:type="dxa"/>
            <w:vAlign w:val="bottom"/>
            <w:shd w:val="clear" w:color="auto" w:fill="E8E7EA"/>
          </w:tcPr>
          <w:p>
            <w:pPr>
              <w:ind w:left="220"/>
              <w:spacing w:after="0" w:line="462" w:lineRule="exact"/>
              <w:rPr>
                <w:sz w:val="20"/>
                <w:szCs w:val="20"/>
                <w:color w:val="auto"/>
              </w:rPr>
            </w:pPr>
            <w:r>
              <w:rPr>
                <w:rFonts w:ascii="Arial" w:cs="Arial" w:eastAsia="Arial" w:hAnsi="Arial"/>
                <w:sz w:val="43"/>
                <w:szCs w:val="43"/>
                <w:b w:val="1"/>
                <w:bCs w:val="1"/>
                <w:color w:val="3A5CFF"/>
              </w:rPr>
              <w:t>3</w:t>
            </w:r>
          </w:p>
        </w:tc>
        <w:tc>
          <w:tcPr>
            <w:tcW w:w="2300" w:type="dxa"/>
            <w:vAlign w:val="bottom"/>
            <w:shd w:val="clear" w:color="auto" w:fill="E8E7EA"/>
          </w:tcPr>
          <w:p>
            <w:pPr>
              <w:ind w:left="200"/>
              <w:spacing w:after="0" w:line="462" w:lineRule="exact"/>
              <w:rPr>
                <w:sz w:val="20"/>
                <w:szCs w:val="20"/>
                <w:color w:val="auto"/>
              </w:rPr>
            </w:pPr>
            <w:r>
              <w:rPr>
                <w:rFonts w:ascii="Arial" w:cs="Arial" w:eastAsia="Arial" w:hAnsi="Arial"/>
                <w:sz w:val="43"/>
                <w:szCs w:val="43"/>
                <w:b w:val="1"/>
                <w:bCs w:val="1"/>
                <w:color w:val="3A5CFF"/>
              </w:rPr>
              <w:t>62</w:t>
            </w:r>
          </w:p>
        </w:tc>
        <w:tc>
          <w:tcPr>
            <w:tcW w:w="2180" w:type="dxa"/>
            <w:vAlign w:val="bottom"/>
            <w:shd w:val="clear" w:color="auto" w:fill="E8E7EA"/>
          </w:tcPr>
          <w:p>
            <w:pPr>
              <w:ind w:left="140"/>
              <w:spacing w:after="0" w:line="462" w:lineRule="exact"/>
              <w:rPr>
                <w:sz w:val="20"/>
                <w:szCs w:val="20"/>
                <w:color w:val="auto"/>
              </w:rPr>
            </w:pPr>
            <w:r>
              <w:rPr>
                <w:rFonts w:ascii="Arial" w:cs="Arial" w:eastAsia="Arial" w:hAnsi="Arial"/>
                <w:sz w:val="43"/>
                <w:szCs w:val="43"/>
                <w:b w:val="1"/>
                <w:bCs w:val="1"/>
                <w:color w:val="3A5CFF"/>
              </w:rPr>
              <w:t>88%</w:t>
            </w:r>
          </w:p>
        </w:tc>
      </w:tr>
      <w:tr>
        <w:trPr>
          <w:trHeight w:val="276"/>
        </w:trPr>
        <w:tc>
          <w:tcPr>
            <w:tcW w:w="2240" w:type="dxa"/>
            <w:vAlign w:val="bottom"/>
            <w:shd w:val="clear" w:color="auto" w:fill="E8E7EA"/>
          </w:tcPr>
          <w:p>
            <w:pPr>
              <w:ind w:left="180"/>
              <w:spacing w:after="0"/>
              <w:rPr>
                <w:sz w:val="20"/>
                <w:szCs w:val="20"/>
                <w:color w:val="auto"/>
              </w:rPr>
            </w:pPr>
            <w:r>
              <w:rPr>
                <w:rFonts w:ascii="Arial" w:cs="Arial" w:eastAsia="Arial" w:hAnsi="Arial"/>
                <w:sz w:val="16"/>
                <w:szCs w:val="16"/>
                <w:b w:val="1"/>
                <w:bCs w:val="1"/>
                <w:color w:val="3A5CFF"/>
              </w:rPr>
              <w:t>Diverse</w:t>
            </w:r>
          </w:p>
        </w:tc>
        <w:tc>
          <w:tcPr>
            <w:tcW w:w="2240" w:type="dxa"/>
            <w:vAlign w:val="bottom"/>
            <w:shd w:val="clear" w:color="auto" w:fill="E8E7EA"/>
          </w:tcPr>
          <w:p>
            <w:pPr>
              <w:ind w:left="220"/>
              <w:spacing w:after="0"/>
              <w:rPr>
                <w:sz w:val="20"/>
                <w:szCs w:val="20"/>
                <w:color w:val="auto"/>
              </w:rPr>
            </w:pPr>
            <w:r>
              <w:rPr>
                <w:rFonts w:ascii="Arial" w:cs="Arial" w:eastAsia="Arial" w:hAnsi="Arial"/>
                <w:sz w:val="16"/>
                <w:szCs w:val="16"/>
                <w:b w:val="1"/>
                <w:bCs w:val="1"/>
                <w:color w:val="3A5CFF"/>
              </w:rPr>
              <w:t>Female</w:t>
            </w:r>
          </w:p>
        </w:tc>
        <w:tc>
          <w:tcPr>
            <w:tcW w:w="2260" w:type="dxa"/>
            <w:vAlign w:val="bottom"/>
            <w:shd w:val="clear" w:color="auto" w:fill="E8E7EA"/>
          </w:tcPr>
          <w:p>
            <w:pPr>
              <w:ind w:left="220"/>
              <w:spacing w:after="0"/>
              <w:rPr>
                <w:sz w:val="20"/>
                <w:szCs w:val="20"/>
                <w:color w:val="auto"/>
              </w:rPr>
            </w:pPr>
            <w:r>
              <w:rPr>
                <w:rFonts w:ascii="Arial" w:cs="Arial" w:eastAsia="Arial" w:hAnsi="Arial"/>
                <w:sz w:val="16"/>
                <w:szCs w:val="16"/>
                <w:b w:val="1"/>
                <w:bCs w:val="1"/>
                <w:color w:val="3A5CFF"/>
              </w:rPr>
              <w:t>years</w:t>
            </w:r>
          </w:p>
        </w:tc>
        <w:tc>
          <w:tcPr>
            <w:tcW w:w="2300" w:type="dxa"/>
            <w:vAlign w:val="bottom"/>
            <w:shd w:val="clear" w:color="auto" w:fill="E8E7EA"/>
          </w:tcPr>
          <w:p>
            <w:pPr>
              <w:ind w:left="200"/>
              <w:spacing w:after="0"/>
              <w:rPr>
                <w:sz w:val="20"/>
                <w:szCs w:val="20"/>
                <w:color w:val="auto"/>
              </w:rPr>
            </w:pPr>
            <w:r>
              <w:rPr>
                <w:rFonts w:ascii="Arial" w:cs="Arial" w:eastAsia="Arial" w:hAnsi="Arial"/>
                <w:sz w:val="16"/>
                <w:szCs w:val="16"/>
                <w:b w:val="1"/>
                <w:bCs w:val="1"/>
                <w:color w:val="3A5CFF"/>
              </w:rPr>
              <w:t>years</w:t>
            </w:r>
          </w:p>
        </w:tc>
        <w:tc>
          <w:tcPr>
            <w:tcW w:w="2180" w:type="dxa"/>
            <w:vAlign w:val="bottom"/>
            <w:shd w:val="clear" w:color="auto" w:fill="E8E7EA"/>
          </w:tcPr>
          <w:p>
            <w:pPr>
              <w:ind w:left="140"/>
              <w:spacing w:after="0"/>
              <w:rPr>
                <w:sz w:val="20"/>
                <w:szCs w:val="20"/>
                <w:color w:val="auto"/>
              </w:rPr>
            </w:pPr>
            <w:r>
              <w:rPr>
                <w:rFonts w:ascii="Arial" w:cs="Arial" w:eastAsia="Arial" w:hAnsi="Arial"/>
                <w:sz w:val="16"/>
                <w:szCs w:val="16"/>
                <w:b w:val="1"/>
                <w:bCs w:val="1"/>
                <w:color w:val="3A5CFF"/>
              </w:rPr>
              <w:t>Independent</w:t>
            </w:r>
          </w:p>
        </w:tc>
      </w:tr>
      <w:tr>
        <w:trPr>
          <w:trHeight w:val="143"/>
        </w:trPr>
        <w:tc>
          <w:tcPr>
            <w:tcW w:w="2240" w:type="dxa"/>
            <w:vAlign w:val="bottom"/>
            <w:shd w:val="clear" w:color="auto" w:fill="E8E7EA"/>
          </w:tcPr>
          <w:p>
            <w:pPr>
              <w:spacing w:after="0"/>
              <w:rPr>
                <w:sz w:val="12"/>
                <w:szCs w:val="12"/>
                <w:color w:val="auto"/>
              </w:rPr>
            </w:pPr>
          </w:p>
        </w:tc>
        <w:tc>
          <w:tcPr>
            <w:tcW w:w="2240" w:type="dxa"/>
            <w:vAlign w:val="bottom"/>
            <w:shd w:val="clear" w:color="auto" w:fill="E8E7EA"/>
          </w:tcPr>
          <w:p>
            <w:pPr>
              <w:spacing w:after="0"/>
              <w:rPr>
                <w:sz w:val="12"/>
                <w:szCs w:val="12"/>
                <w:color w:val="auto"/>
              </w:rPr>
            </w:pPr>
          </w:p>
        </w:tc>
        <w:tc>
          <w:tcPr>
            <w:tcW w:w="2260" w:type="dxa"/>
            <w:vAlign w:val="bottom"/>
            <w:shd w:val="clear" w:color="auto" w:fill="E8E7EA"/>
          </w:tcPr>
          <w:p>
            <w:pPr>
              <w:spacing w:after="0"/>
              <w:rPr>
                <w:sz w:val="12"/>
                <w:szCs w:val="12"/>
                <w:color w:val="auto"/>
              </w:rPr>
            </w:pPr>
          </w:p>
        </w:tc>
        <w:tc>
          <w:tcPr>
            <w:tcW w:w="2300" w:type="dxa"/>
            <w:vAlign w:val="bottom"/>
            <w:shd w:val="clear" w:color="auto" w:fill="E8E7EA"/>
          </w:tcPr>
          <w:p>
            <w:pPr>
              <w:spacing w:after="0"/>
              <w:rPr>
                <w:sz w:val="12"/>
                <w:szCs w:val="12"/>
                <w:color w:val="auto"/>
              </w:rPr>
            </w:pPr>
          </w:p>
        </w:tc>
        <w:tc>
          <w:tcPr>
            <w:tcW w:w="2180" w:type="dxa"/>
            <w:vAlign w:val="bottom"/>
            <w:shd w:val="clear" w:color="auto" w:fill="E8E7EA"/>
          </w:tcPr>
          <w:p>
            <w:pPr>
              <w:spacing w:after="0"/>
              <w:rPr>
                <w:sz w:val="12"/>
                <w:szCs w:val="12"/>
                <w:color w:val="auto"/>
              </w:rPr>
            </w:pPr>
          </w:p>
        </w:tc>
      </w:tr>
    </w:tbl>
    <w:p>
      <w:pPr>
        <w:spacing w:after="0" w:line="153"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8"/>
          <w:szCs w:val="8"/>
          <w:color w:val="auto"/>
        </w:rPr>
      </w:pPr>
      <w:r>
        <w:rPr>
          <w:rFonts w:ascii="Arial" w:cs="Arial" w:eastAsia="Arial" w:hAnsi="Arial"/>
          <w:sz w:val="14"/>
          <w:szCs w:val="14"/>
          <w:color w:val="auto"/>
        </w:rPr>
        <w:t>Measured as of the date of the Annual Meeting, April 29, 2025.</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80" w:hanging="454"/>
        <w:spacing w:after="0"/>
        <w:tabs>
          <w:tab w:leader="none" w:pos="480" w:val="left"/>
        </w:tabs>
        <w:numPr>
          <w:ilvl w:val="0"/>
          <w:numId w:val="19"/>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2" w:right="359" w:bottom="1440" w:gutter="0" w:footer="0" w:header="0"/>
        </w:sectPr>
      </w:pPr>
    </w:p>
    <w:bookmarkStart w:id="15" w:name="page16"/>
    <w:bookmarkEnd w:id="15"/>
    <w:p>
      <w:pPr>
        <w:jc w:val="right"/>
        <w:spacing w:after="0"/>
        <w:rPr>
          <w:sz w:val="20"/>
          <w:szCs w:val="20"/>
          <w:color w:val="auto"/>
        </w:rPr>
      </w:pPr>
      <w:r>
        <w:rPr>
          <w:rFonts w:ascii="Arial" w:cs="Arial" w:eastAsia="Arial" w:hAnsi="Arial"/>
          <w:sz w:val="13"/>
          <w:szCs w:val="13"/>
          <w:b w:val="1"/>
          <w:bCs w:val="1"/>
          <w:color w:val="auto"/>
        </w:rPr>
        <w:t>Proxy Summary &amp; Roadmap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Director Nominees</w:t>
      </w:r>
    </w:p>
    <w:p>
      <w:pPr>
        <w:spacing w:after="0" w:line="265" w:lineRule="exact"/>
        <w:rPr>
          <w:sz w:val="20"/>
          <w:szCs w:val="20"/>
          <w:color w:val="auto"/>
        </w:rPr>
      </w:pPr>
    </w:p>
    <w:p>
      <w:pPr>
        <w:ind w:left="8700"/>
        <w:spacing w:after="0"/>
        <w:rPr>
          <w:sz w:val="20"/>
          <w:szCs w:val="20"/>
          <w:color w:val="auto"/>
        </w:rPr>
      </w:pPr>
      <w:r>
        <w:rPr>
          <w:rFonts w:ascii="Arial" w:cs="Arial" w:eastAsia="Arial" w:hAnsi="Arial"/>
          <w:sz w:val="15"/>
          <w:szCs w:val="15"/>
          <w:b w:val="1"/>
          <w:bCs w:val="1"/>
          <w:color w:val="170D67"/>
        </w:rPr>
        <w:t>Committee Assignments</w:t>
      </w:r>
      <w:r>
        <w:rPr>
          <w:rFonts w:ascii="Arial" w:cs="Arial" w:eastAsia="Arial" w:hAnsi="Arial"/>
          <w:sz w:val="19"/>
          <w:szCs w:val="19"/>
          <w:b w:val="1"/>
          <w:bCs w:val="1"/>
          <w:color w:val="170D67"/>
          <w:vertAlign w:val="superscript"/>
        </w:rPr>
        <w:t>2</w:t>
      </w:r>
    </w:p>
    <w:p>
      <w:pPr>
        <w:spacing w:after="0" w:line="105" w:lineRule="exact"/>
        <w:rPr>
          <w:sz w:val="20"/>
          <w:szCs w:val="20"/>
          <w:color w:val="auto"/>
        </w:rPr>
      </w:pPr>
    </w:p>
    <w:tbl>
      <w:tblPr>
        <w:tblLayout w:type="fixed"/>
        <w:tblInd w:w="800" w:type="dxa"/>
        <w:tblCellMar>
          <w:top w:w="0" w:type="dxa"/>
          <w:left w:w="0" w:type="dxa"/>
          <w:bottom w:w="0" w:type="dxa"/>
          <w:right w:w="0" w:type="dxa"/>
        </w:tblCellMar>
      </w:tblPr>
      <w:tr>
        <w:trPr>
          <w:trHeight w:val="332"/>
        </w:trPr>
        <w:tc>
          <w:tcPr>
            <w:tcW w:w="4740" w:type="dxa"/>
            <w:vAlign w:val="bottom"/>
            <w:tcBorders>
              <w:top w:val="single" w:sz="8" w:color="6D6D6D"/>
              <w:right w:val="single" w:sz="8" w:color="6D6D6D"/>
            </w:tcBorders>
            <w:vMerge w:val="restart"/>
            <w:shd w:val="clear" w:color="auto" w:fill="E8E7EA"/>
          </w:tcPr>
          <w:p>
            <w:pPr>
              <w:spacing w:after="0"/>
              <w:rPr>
                <w:sz w:val="20"/>
                <w:szCs w:val="20"/>
                <w:color w:val="auto"/>
              </w:rPr>
            </w:pPr>
            <w:r>
              <w:rPr>
                <w:rFonts w:ascii="Arial" w:cs="Arial" w:eastAsia="Arial" w:hAnsi="Arial"/>
                <w:sz w:val="15"/>
                <w:szCs w:val="15"/>
                <w:b w:val="1"/>
                <w:bCs w:val="1"/>
                <w:color w:val="170D67"/>
              </w:rPr>
              <w:t>Name, Principal Occupation</w:t>
            </w:r>
          </w:p>
        </w:tc>
        <w:tc>
          <w:tcPr>
            <w:tcW w:w="800" w:type="dxa"/>
            <w:vAlign w:val="bottom"/>
            <w:tcBorders>
              <w:top w:val="single" w:sz="8" w:color="6D6D6D"/>
              <w:right w:val="single" w:sz="8" w:color="6D6D6D"/>
            </w:tcBorders>
            <w:shd w:val="clear" w:color="auto" w:fill="E8E7EA"/>
          </w:tcPr>
          <w:p>
            <w:pPr>
              <w:jc w:val="center"/>
              <w:spacing w:after="0"/>
              <w:rPr>
                <w:sz w:val="20"/>
                <w:szCs w:val="20"/>
                <w:color w:val="auto"/>
              </w:rPr>
            </w:pPr>
            <w:r>
              <w:rPr>
                <w:rFonts w:ascii="Arial" w:cs="Arial" w:eastAsia="Arial" w:hAnsi="Arial"/>
                <w:sz w:val="15"/>
                <w:szCs w:val="15"/>
                <w:b w:val="1"/>
                <w:bCs w:val="1"/>
                <w:color w:val="170D67"/>
                <w:w w:val="99"/>
              </w:rPr>
              <w:t>Tenure</w:t>
            </w:r>
          </w:p>
        </w:tc>
        <w:tc>
          <w:tcPr>
            <w:tcW w:w="500" w:type="dxa"/>
            <w:vAlign w:val="bottom"/>
            <w:tcBorders>
              <w:top w:val="single" w:sz="8" w:color="6D6D6D"/>
            </w:tcBorders>
            <w:vMerge w:val="restart"/>
            <w:shd w:val="clear" w:color="auto" w:fill="E8E7EA"/>
          </w:tcPr>
          <w:p>
            <w:pPr>
              <w:jc w:val="right"/>
              <w:spacing w:after="0"/>
              <w:rPr>
                <w:sz w:val="20"/>
                <w:szCs w:val="20"/>
                <w:color w:val="auto"/>
              </w:rPr>
            </w:pPr>
            <w:r>
              <w:rPr>
                <w:rFonts w:ascii="Arial" w:cs="Arial" w:eastAsia="Arial" w:hAnsi="Arial"/>
                <w:sz w:val="15"/>
                <w:szCs w:val="15"/>
                <w:b w:val="1"/>
                <w:bCs w:val="1"/>
                <w:color w:val="170D67"/>
              </w:rPr>
              <w:t>Age</w:t>
            </w:r>
          </w:p>
        </w:tc>
        <w:tc>
          <w:tcPr>
            <w:tcW w:w="300" w:type="dxa"/>
            <w:vAlign w:val="bottom"/>
            <w:tcBorders>
              <w:top w:val="single" w:sz="8" w:color="6D6D6D"/>
              <w:right w:val="single" w:sz="8" w:color="6D6D6D"/>
            </w:tcBorders>
            <w:shd w:val="clear" w:color="auto" w:fill="E8E7EA"/>
          </w:tcPr>
          <w:p>
            <w:pPr>
              <w:jc w:val="right"/>
              <w:ind w:right="190"/>
              <w:spacing w:after="0"/>
              <w:rPr>
                <w:sz w:val="20"/>
                <w:szCs w:val="20"/>
                <w:color w:val="auto"/>
              </w:rPr>
            </w:pPr>
            <w:r>
              <w:rPr>
                <w:rFonts w:ascii="Arial" w:cs="Arial" w:eastAsia="Arial" w:hAnsi="Arial"/>
                <w:sz w:val="10"/>
                <w:szCs w:val="10"/>
                <w:color w:val="170D67"/>
                <w:w w:val="71"/>
              </w:rPr>
              <w:t>1</w:t>
            </w:r>
          </w:p>
        </w:tc>
        <w:tc>
          <w:tcPr>
            <w:tcW w:w="920" w:type="dxa"/>
            <w:vAlign w:val="bottom"/>
            <w:tcBorders>
              <w:top w:val="single" w:sz="8" w:color="6D6D6D"/>
              <w:right w:val="single" w:sz="8" w:color="6D6D6D"/>
            </w:tcBorders>
            <w:vMerge w:val="restart"/>
            <w:shd w:val="clear" w:color="auto" w:fill="E8E7EA"/>
          </w:tcPr>
          <w:p>
            <w:pPr>
              <w:jc w:val="center"/>
              <w:spacing w:after="0"/>
              <w:rPr>
                <w:sz w:val="20"/>
                <w:szCs w:val="20"/>
                <w:color w:val="auto"/>
              </w:rPr>
            </w:pPr>
            <w:r>
              <w:rPr>
                <w:rFonts w:ascii="Arial" w:cs="Arial" w:eastAsia="Arial" w:hAnsi="Arial"/>
                <w:sz w:val="15"/>
                <w:szCs w:val="15"/>
                <w:b w:val="1"/>
                <w:bCs w:val="1"/>
                <w:color w:val="170D67"/>
              </w:rPr>
              <w:t>Indep.</w:t>
            </w:r>
          </w:p>
        </w:tc>
        <w:tc>
          <w:tcPr>
            <w:tcW w:w="800" w:type="dxa"/>
            <w:vAlign w:val="bottom"/>
            <w:tcBorders>
              <w:top w:val="single" w:sz="8" w:color="6D6D6D"/>
              <w:right w:val="single" w:sz="8" w:color="6D6D6D"/>
            </w:tcBorders>
            <w:vMerge w:val="restart"/>
            <w:shd w:val="clear" w:color="auto" w:fill="D8D3F9"/>
          </w:tcPr>
          <w:p>
            <w:pPr>
              <w:jc w:val="center"/>
              <w:spacing w:after="0"/>
              <w:rPr>
                <w:sz w:val="20"/>
                <w:szCs w:val="20"/>
                <w:color w:val="auto"/>
              </w:rPr>
            </w:pPr>
            <w:r>
              <w:rPr>
                <w:rFonts w:ascii="Arial" w:cs="Arial" w:eastAsia="Arial" w:hAnsi="Arial"/>
                <w:sz w:val="15"/>
                <w:szCs w:val="15"/>
                <w:b w:val="1"/>
                <w:bCs w:val="1"/>
                <w:color w:val="170D67"/>
              </w:rPr>
              <w:t>ARC</w:t>
            </w:r>
          </w:p>
        </w:tc>
        <w:tc>
          <w:tcPr>
            <w:tcW w:w="800" w:type="dxa"/>
            <w:vAlign w:val="bottom"/>
            <w:tcBorders>
              <w:top w:val="single" w:sz="8" w:color="6D6D6D"/>
              <w:right w:val="single" w:sz="8" w:color="6D6D6D"/>
            </w:tcBorders>
            <w:vMerge w:val="restart"/>
            <w:shd w:val="clear" w:color="auto" w:fill="D8D3F9"/>
          </w:tcPr>
          <w:p>
            <w:pPr>
              <w:jc w:val="center"/>
              <w:spacing w:after="0"/>
              <w:rPr>
                <w:sz w:val="20"/>
                <w:szCs w:val="20"/>
                <w:color w:val="auto"/>
              </w:rPr>
            </w:pPr>
            <w:r>
              <w:rPr>
                <w:rFonts w:ascii="Arial" w:cs="Arial" w:eastAsia="Arial" w:hAnsi="Arial"/>
                <w:sz w:val="15"/>
                <w:szCs w:val="15"/>
                <w:b w:val="1"/>
                <w:bCs w:val="1"/>
                <w:color w:val="170D67"/>
              </w:rPr>
              <w:t>CGC</w:t>
            </w:r>
          </w:p>
        </w:tc>
        <w:tc>
          <w:tcPr>
            <w:tcW w:w="780" w:type="dxa"/>
            <w:vAlign w:val="bottom"/>
            <w:tcBorders>
              <w:top w:val="single" w:sz="8" w:color="6D6D6D"/>
              <w:right w:val="single" w:sz="8" w:color="6D6D6D"/>
            </w:tcBorders>
            <w:vMerge w:val="restart"/>
            <w:shd w:val="clear" w:color="auto" w:fill="D8D3F9"/>
          </w:tcPr>
          <w:p>
            <w:pPr>
              <w:jc w:val="center"/>
              <w:spacing w:after="0"/>
              <w:rPr>
                <w:sz w:val="20"/>
                <w:szCs w:val="20"/>
                <w:color w:val="auto"/>
              </w:rPr>
            </w:pPr>
            <w:r>
              <w:rPr>
                <w:rFonts w:ascii="Arial" w:cs="Arial" w:eastAsia="Arial" w:hAnsi="Arial"/>
                <w:sz w:val="15"/>
                <w:szCs w:val="15"/>
                <w:b w:val="1"/>
                <w:bCs w:val="1"/>
                <w:color w:val="170D67"/>
              </w:rPr>
              <w:t>TMCC</w:t>
            </w:r>
          </w:p>
        </w:tc>
        <w:tc>
          <w:tcPr>
            <w:tcW w:w="800" w:type="dxa"/>
            <w:vAlign w:val="bottom"/>
            <w:tcBorders>
              <w:top w:val="single" w:sz="8" w:color="6D6D6D"/>
              <w:right w:val="single" w:sz="8" w:color="6D6D6D"/>
            </w:tcBorders>
            <w:vMerge w:val="restart"/>
            <w:shd w:val="clear" w:color="auto" w:fill="D8D3F9"/>
          </w:tcPr>
          <w:p>
            <w:pPr>
              <w:jc w:val="center"/>
              <w:spacing w:after="0"/>
              <w:rPr>
                <w:sz w:val="20"/>
                <w:szCs w:val="20"/>
                <w:color w:val="auto"/>
              </w:rPr>
            </w:pPr>
            <w:r>
              <w:rPr>
                <w:rFonts w:ascii="Arial" w:cs="Arial" w:eastAsia="Arial" w:hAnsi="Arial"/>
                <w:sz w:val="15"/>
                <w:szCs w:val="15"/>
                <w:b w:val="1"/>
                <w:bCs w:val="1"/>
                <w:color w:val="170D67"/>
              </w:rPr>
              <w:t>OSCC</w:t>
            </w:r>
          </w:p>
        </w:tc>
        <w:tc>
          <w:tcPr>
            <w:tcW w:w="0" w:type="dxa"/>
            <w:vAlign w:val="bottom"/>
          </w:tcPr>
          <w:p>
            <w:pPr>
              <w:spacing w:after="0"/>
              <w:rPr>
                <w:sz w:val="1"/>
                <w:szCs w:val="1"/>
                <w:color w:val="auto"/>
              </w:rPr>
            </w:pPr>
          </w:p>
        </w:tc>
      </w:tr>
      <w:tr>
        <w:trPr>
          <w:trHeight w:val="267"/>
        </w:trPr>
        <w:tc>
          <w:tcPr>
            <w:tcW w:w="4740" w:type="dxa"/>
            <w:vAlign w:val="bottom"/>
            <w:tcBorders>
              <w:right w:val="single" w:sz="8" w:color="6D6D6D"/>
            </w:tcBorders>
            <w:vMerge w:val="continue"/>
            <w:shd w:val="clear" w:color="auto" w:fill="E8E7EA"/>
          </w:tcPr>
          <w:p>
            <w:pPr>
              <w:spacing w:after="0"/>
              <w:rPr>
                <w:sz w:val="23"/>
                <w:szCs w:val="23"/>
                <w:color w:val="auto"/>
              </w:rPr>
            </w:pPr>
          </w:p>
        </w:tc>
        <w:tc>
          <w:tcPr>
            <w:tcW w:w="800" w:type="dxa"/>
            <w:vAlign w:val="bottom"/>
            <w:tcBorders>
              <w:right w:val="single" w:sz="8" w:color="6D6D6D"/>
            </w:tcBorders>
            <w:shd w:val="clear" w:color="auto" w:fill="E8E7EA"/>
          </w:tcPr>
          <w:p>
            <w:pPr>
              <w:jc w:val="center"/>
              <w:spacing w:after="0"/>
              <w:rPr>
                <w:sz w:val="20"/>
                <w:szCs w:val="20"/>
                <w:color w:val="auto"/>
              </w:rPr>
            </w:pPr>
            <w:r>
              <w:rPr>
                <w:rFonts w:ascii="Arial" w:cs="Arial" w:eastAsia="Arial" w:hAnsi="Arial"/>
                <w:sz w:val="15"/>
                <w:szCs w:val="15"/>
                <w:color w:val="170D67"/>
                <w:w w:val="97"/>
              </w:rPr>
              <w:t>(yrs)</w:t>
            </w:r>
            <w:r>
              <w:rPr>
                <w:rFonts w:ascii="Arial" w:cs="Arial" w:eastAsia="Arial" w:hAnsi="Arial"/>
                <w:sz w:val="19"/>
                <w:szCs w:val="19"/>
                <w:color w:val="170D67"/>
                <w:w w:val="97"/>
                <w:vertAlign w:val="superscript"/>
              </w:rPr>
              <w:t>1</w:t>
            </w:r>
          </w:p>
        </w:tc>
        <w:tc>
          <w:tcPr>
            <w:tcW w:w="500" w:type="dxa"/>
            <w:vAlign w:val="bottom"/>
            <w:vMerge w:val="continue"/>
            <w:shd w:val="clear" w:color="auto" w:fill="E8E7EA"/>
          </w:tcPr>
          <w:p>
            <w:pPr>
              <w:spacing w:after="0"/>
              <w:rPr>
                <w:sz w:val="23"/>
                <w:szCs w:val="23"/>
                <w:color w:val="auto"/>
              </w:rPr>
            </w:pPr>
          </w:p>
        </w:tc>
        <w:tc>
          <w:tcPr>
            <w:tcW w:w="300" w:type="dxa"/>
            <w:vAlign w:val="bottom"/>
            <w:tcBorders>
              <w:right w:val="single" w:sz="8" w:color="6D6D6D"/>
            </w:tcBorders>
            <w:shd w:val="clear" w:color="auto" w:fill="E8E7EA"/>
          </w:tcPr>
          <w:p>
            <w:pPr>
              <w:spacing w:after="0"/>
              <w:rPr>
                <w:sz w:val="23"/>
                <w:szCs w:val="23"/>
                <w:color w:val="auto"/>
              </w:rPr>
            </w:pPr>
          </w:p>
        </w:tc>
        <w:tc>
          <w:tcPr>
            <w:tcW w:w="920" w:type="dxa"/>
            <w:vAlign w:val="bottom"/>
            <w:tcBorders>
              <w:right w:val="single" w:sz="8" w:color="6D6D6D"/>
            </w:tcBorders>
            <w:vMerge w:val="continue"/>
            <w:shd w:val="clear" w:color="auto" w:fill="E8E7EA"/>
          </w:tcPr>
          <w:p>
            <w:pPr>
              <w:spacing w:after="0"/>
              <w:rPr>
                <w:sz w:val="23"/>
                <w:szCs w:val="23"/>
                <w:color w:val="auto"/>
              </w:rPr>
            </w:pPr>
          </w:p>
        </w:tc>
        <w:tc>
          <w:tcPr>
            <w:tcW w:w="800" w:type="dxa"/>
            <w:vAlign w:val="bottom"/>
            <w:tcBorders>
              <w:right w:val="single" w:sz="8" w:color="6D6D6D"/>
            </w:tcBorders>
            <w:vMerge w:val="continue"/>
            <w:shd w:val="clear" w:color="auto" w:fill="D8D3F9"/>
          </w:tcPr>
          <w:p>
            <w:pPr>
              <w:spacing w:after="0"/>
              <w:rPr>
                <w:sz w:val="23"/>
                <w:szCs w:val="23"/>
                <w:color w:val="auto"/>
              </w:rPr>
            </w:pPr>
          </w:p>
        </w:tc>
        <w:tc>
          <w:tcPr>
            <w:tcW w:w="800" w:type="dxa"/>
            <w:vAlign w:val="bottom"/>
            <w:tcBorders>
              <w:right w:val="single" w:sz="8" w:color="6D6D6D"/>
            </w:tcBorders>
            <w:vMerge w:val="continue"/>
            <w:shd w:val="clear" w:color="auto" w:fill="D8D3F9"/>
          </w:tcPr>
          <w:p>
            <w:pPr>
              <w:spacing w:after="0"/>
              <w:rPr>
                <w:sz w:val="23"/>
                <w:szCs w:val="23"/>
                <w:color w:val="auto"/>
              </w:rPr>
            </w:pPr>
          </w:p>
        </w:tc>
        <w:tc>
          <w:tcPr>
            <w:tcW w:w="780" w:type="dxa"/>
            <w:vAlign w:val="bottom"/>
            <w:tcBorders>
              <w:right w:val="single" w:sz="8" w:color="6D6D6D"/>
            </w:tcBorders>
            <w:vMerge w:val="continue"/>
            <w:shd w:val="clear" w:color="auto" w:fill="D8D3F9"/>
          </w:tcPr>
          <w:p>
            <w:pPr>
              <w:spacing w:after="0"/>
              <w:rPr>
                <w:sz w:val="23"/>
                <w:szCs w:val="23"/>
                <w:color w:val="auto"/>
              </w:rPr>
            </w:pPr>
          </w:p>
        </w:tc>
        <w:tc>
          <w:tcPr>
            <w:tcW w:w="800" w:type="dxa"/>
            <w:vAlign w:val="bottom"/>
            <w:tcBorders>
              <w:right w:val="single" w:sz="8" w:color="6D6D6D"/>
            </w:tcBorders>
            <w:vMerge w:val="continue"/>
            <w:shd w:val="clear" w:color="auto" w:fill="D8D3F9"/>
          </w:tcPr>
          <w:p>
            <w:pPr>
              <w:spacing w:after="0"/>
              <w:rPr>
                <w:sz w:val="23"/>
                <w:szCs w:val="23"/>
                <w:color w:val="auto"/>
              </w:rPr>
            </w:pPr>
          </w:p>
        </w:tc>
        <w:tc>
          <w:tcPr>
            <w:tcW w:w="0" w:type="dxa"/>
            <w:vAlign w:val="bottom"/>
          </w:tcPr>
          <w:p>
            <w:pPr>
              <w:spacing w:after="0"/>
              <w:rPr>
                <w:sz w:val="1"/>
                <w:szCs w:val="1"/>
                <w:color w:val="auto"/>
              </w:rPr>
            </w:pPr>
          </w:p>
        </w:tc>
      </w:tr>
      <w:tr>
        <w:trPr>
          <w:trHeight w:val="76"/>
        </w:trPr>
        <w:tc>
          <w:tcPr>
            <w:tcW w:w="4740" w:type="dxa"/>
            <w:vAlign w:val="bottom"/>
            <w:tcBorders>
              <w:bottom w:val="single" w:sz="8" w:color="6D6D6D"/>
              <w:right w:val="single" w:sz="8" w:color="6D6D6D"/>
            </w:tcBorders>
            <w:shd w:val="clear" w:color="auto" w:fill="E8E7EA"/>
          </w:tcPr>
          <w:p>
            <w:pPr>
              <w:spacing w:after="0"/>
              <w:rPr>
                <w:sz w:val="6"/>
                <w:szCs w:val="6"/>
                <w:color w:val="auto"/>
              </w:rPr>
            </w:pPr>
          </w:p>
        </w:tc>
        <w:tc>
          <w:tcPr>
            <w:tcW w:w="800" w:type="dxa"/>
            <w:vAlign w:val="bottom"/>
            <w:tcBorders>
              <w:bottom w:val="single" w:sz="8" w:color="6D6D6D"/>
              <w:right w:val="single" w:sz="8" w:color="6D6D6D"/>
            </w:tcBorders>
            <w:shd w:val="clear" w:color="auto" w:fill="E8E7EA"/>
          </w:tcPr>
          <w:p>
            <w:pPr>
              <w:spacing w:after="0"/>
              <w:rPr>
                <w:sz w:val="6"/>
                <w:szCs w:val="6"/>
                <w:color w:val="auto"/>
              </w:rPr>
            </w:pPr>
          </w:p>
        </w:tc>
        <w:tc>
          <w:tcPr>
            <w:tcW w:w="500" w:type="dxa"/>
            <w:vAlign w:val="bottom"/>
            <w:tcBorders>
              <w:bottom w:val="single" w:sz="8" w:color="6D6D6D"/>
            </w:tcBorders>
            <w:shd w:val="clear" w:color="auto" w:fill="E8E7EA"/>
          </w:tcPr>
          <w:p>
            <w:pPr>
              <w:spacing w:after="0"/>
              <w:rPr>
                <w:sz w:val="6"/>
                <w:szCs w:val="6"/>
                <w:color w:val="auto"/>
              </w:rPr>
            </w:pPr>
          </w:p>
        </w:tc>
        <w:tc>
          <w:tcPr>
            <w:tcW w:w="300" w:type="dxa"/>
            <w:vAlign w:val="bottom"/>
            <w:tcBorders>
              <w:bottom w:val="single" w:sz="8" w:color="6D6D6D"/>
              <w:right w:val="single" w:sz="8" w:color="6D6D6D"/>
            </w:tcBorders>
            <w:shd w:val="clear" w:color="auto" w:fill="E8E7EA"/>
          </w:tcPr>
          <w:p>
            <w:pPr>
              <w:spacing w:after="0"/>
              <w:rPr>
                <w:sz w:val="6"/>
                <w:szCs w:val="6"/>
                <w:color w:val="auto"/>
              </w:rPr>
            </w:pPr>
          </w:p>
        </w:tc>
        <w:tc>
          <w:tcPr>
            <w:tcW w:w="920" w:type="dxa"/>
            <w:vAlign w:val="bottom"/>
            <w:tcBorders>
              <w:bottom w:val="single" w:sz="8" w:color="6D6D6D"/>
              <w:right w:val="single" w:sz="8" w:color="6D6D6D"/>
            </w:tcBorders>
            <w:shd w:val="clear" w:color="auto" w:fill="E8E7EA"/>
          </w:tcPr>
          <w:p>
            <w:pPr>
              <w:spacing w:after="0"/>
              <w:rPr>
                <w:sz w:val="6"/>
                <w:szCs w:val="6"/>
                <w:color w:val="auto"/>
              </w:rPr>
            </w:pPr>
          </w:p>
        </w:tc>
        <w:tc>
          <w:tcPr>
            <w:tcW w:w="800" w:type="dxa"/>
            <w:vAlign w:val="bottom"/>
            <w:tcBorders>
              <w:bottom w:val="single" w:sz="8" w:color="6D6D6D"/>
              <w:right w:val="single" w:sz="8" w:color="6D6D6D"/>
            </w:tcBorders>
            <w:shd w:val="clear" w:color="auto" w:fill="D8D3F9"/>
          </w:tcPr>
          <w:p>
            <w:pPr>
              <w:spacing w:after="0"/>
              <w:rPr>
                <w:sz w:val="6"/>
                <w:szCs w:val="6"/>
                <w:color w:val="auto"/>
              </w:rPr>
            </w:pPr>
          </w:p>
        </w:tc>
        <w:tc>
          <w:tcPr>
            <w:tcW w:w="800" w:type="dxa"/>
            <w:vAlign w:val="bottom"/>
            <w:tcBorders>
              <w:bottom w:val="single" w:sz="8" w:color="6D6D6D"/>
              <w:right w:val="single" w:sz="8" w:color="6D6D6D"/>
            </w:tcBorders>
            <w:shd w:val="clear" w:color="auto" w:fill="D8D3F9"/>
          </w:tcPr>
          <w:p>
            <w:pPr>
              <w:spacing w:after="0"/>
              <w:rPr>
                <w:sz w:val="6"/>
                <w:szCs w:val="6"/>
                <w:color w:val="auto"/>
              </w:rPr>
            </w:pPr>
          </w:p>
        </w:tc>
        <w:tc>
          <w:tcPr>
            <w:tcW w:w="780" w:type="dxa"/>
            <w:vAlign w:val="bottom"/>
            <w:tcBorders>
              <w:bottom w:val="single" w:sz="8" w:color="6D6D6D"/>
              <w:right w:val="single" w:sz="8" w:color="6D6D6D"/>
            </w:tcBorders>
            <w:shd w:val="clear" w:color="auto" w:fill="D8D3F9"/>
          </w:tcPr>
          <w:p>
            <w:pPr>
              <w:spacing w:after="0"/>
              <w:rPr>
                <w:sz w:val="6"/>
                <w:szCs w:val="6"/>
                <w:color w:val="auto"/>
              </w:rPr>
            </w:pPr>
          </w:p>
        </w:tc>
        <w:tc>
          <w:tcPr>
            <w:tcW w:w="800" w:type="dxa"/>
            <w:vAlign w:val="bottom"/>
            <w:tcBorders>
              <w:bottom w:val="single" w:sz="8" w:color="6D6D6D"/>
              <w:right w:val="single" w:sz="8" w:color="6D6D6D"/>
            </w:tcBorders>
            <w:shd w:val="clear" w:color="auto" w:fill="D8D3F9"/>
          </w:tcPr>
          <w:p>
            <w:pPr>
              <w:spacing w:after="0"/>
              <w:rPr>
                <w:sz w:val="6"/>
                <w:szCs w:val="6"/>
                <w:color w:val="auto"/>
              </w:rPr>
            </w:pPr>
          </w:p>
        </w:tc>
        <w:tc>
          <w:tcPr>
            <w:tcW w:w="0" w:type="dxa"/>
            <w:vAlign w:val="bottom"/>
          </w:tcPr>
          <w:p>
            <w:pPr>
              <w:spacing w:after="0"/>
              <w:rPr>
                <w:sz w:val="1"/>
                <w:szCs w:val="1"/>
                <w:color w:val="auto"/>
              </w:rPr>
            </w:pPr>
          </w:p>
        </w:tc>
      </w:tr>
      <w:tr>
        <w:trPr>
          <w:trHeight w:val="376"/>
        </w:trPr>
        <w:tc>
          <w:tcPr>
            <w:tcW w:w="4740" w:type="dxa"/>
            <w:vAlign w:val="bottom"/>
            <w:tcBorders>
              <w:right w:val="single" w:sz="8" w:color="6D6D6D"/>
            </w:tcBorders>
          </w:tcPr>
          <w:p>
            <w:pPr>
              <w:spacing w:after="0"/>
              <w:rPr>
                <w:sz w:val="20"/>
                <w:szCs w:val="20"/>
                <w:color w:val="auto"/>
              </w:rPr>
            </w:pPr>
            <w:r>
              <w:rPr>
                <w:rFonts w:ascii="Arial" w:cs="Arial" w:eastAsia="Arial" w:hAnsi="Arial"/>
                <w:sz w:val="15"/>
                <w:szCs w:val="15"/>
                <w:b w:val="1"/>
                <w:bCs w:val="1"/>
                <w:color w:val="170D67"/>
              </w:rPr>
              <w:t>Calvin G. Butler, Jr.</w:t>
            </w:r>
          </w:p>
        </w:tc>
        <w:tc>
          <w:tcPr>
            <w:tcW w:w="800" w:type="dxa"/>
            <w:vAlign w:val="bottom"/>
            <w:tcBorders>
              <w:right w:val="single" w:sz="8" w:color="6D6D6D"/>
            </w:tcBorders>
            <w:vMerge w:val="restart"/>
          </w:tcPr>
          <w:p>
            <w:pPr>
              <w:jc w:val="center"/>
              <w:spacing w:after="0"/>
              <w:rPr>
                <w:sz w:val="20"/>
                <w:szCs w:val="20"/>
                <w:color w:val="auto"/>
              </w:rPr>
            </w:pPr>
            <w:r>
              <w:rPr>
                <w:rFonts w:ascii="Arial" w:cs="Arial" w:eastAsia="Arial" w:hAnsi="Arial"/>
                <w:sz w:val="16"/>
                <w:szCs w:val="16"/>
                <w:b w:val="1"/>
                <w:bCs w:val="1"/>
                <w:color w:val="170D67"/>
                <w:w w:val="98"/>
              </w:rPr>
              <w:t>2.3</w:t>
            </w:r>
          </w:p>
        </w:tc>
        <w:tc>
          <w:tcPr>
            <w:tcW w:w="500" w:type="dxa"/>
            <w:vAlign w:val="bottom"/>
            <w:vMerge w:val="restart"/>
          </w:tcPr>
          <w:p>
            <w:pPr>
              <w:jc w:val="right"/>
              <w:spacing w:after="0"/>
              <w:rPr>
                <w:sz w:val="20"/>
                <w:szCs w:val="20"/>
                <w:color w:val="auto"/>
              </w:rPr>
            </w:pPr>
            <w:r>
              <w:rPr>
                <w:rFonts w:ascii="Arial" w:cs="Arial" w:eastAsia="Arial" w:hAnsi="Arial"/>
                <w:sz w:val="16"/>
                <w:szCs w:val="16"/>
                <w:b w:val="1"/>
                <w:bCs w:val="1"/>
                <w:color w:val="170D67"/>
              </w:rPr>
              <w:t>55</w:t>
            </w:r>
          </w:p>
        </w:tc>
        <w:tc>
          <w:tcPr>
            <w:tcW w:w="300" w:type="dxa"/>
            <w:vAlign w:val="bottom"/>
            <w:tcBorders>
              <w:right w:val="single" w:sz="8" w:color="6D6D6D"/>
            </w:tcBorders>
          </w:tcPr>
          <w:p>
            <w:pPr>
              <w:spacing w:after="0"/>
              <w:rPr>
                <w:sz w:val="24"/>
                <w:szCs w:val="24"/>
                <w:color w:val="auto"/>
              </w:rPr>
            </w:pPr>
          </w:p>
        </w:tc>
        <w:tc>
          <w:tcPr>
            <w:tcW w:w="920" w:type="dxa"/>
            <w:vAlign w:val="bottom"/>
            <w:tcBorders>
              <w:right w:val="single" w:sz="8" w:color="6D6D6D"/>
            </w:tcBorders>
          </w:tcPr>
          <w:p>
            <w:pPr>
              <w:spacing w:after="0"/>
              <w:rPr>
                <w:sz w:val="24"/>
                <w:szCs w:val="24"/>
                <w:color w:val="auto"/>
              </w:rPr>
            </w:pPr>
          </w:p>
        </w:tc>
        <w:tc>
          <w:tcPr>
            <w:tcW w:w="800" w:type="dxa"/>
            <w:vAlign w:val="bottom"/>
            <w:tcBorders>
              <w:right w:val="single" w:sz="8" w:color="6D6D6D"/>
            </w:tcBorders>
          </w:tcPr>
          <w:p>
            <w:pPr>
              <w:spacing w:after="0"/>
              <w:rPr>
                <w:sz w:val="24"/>
                <w:szCs w:val="24"/>
                <w:color w:val="auto"/>
              </w:rPr>
            </w:pPr>
          </w:p>
        </w:tc>
        <w:tc>
          <w:tcPr>
            <w:tcW w:w="800" w:type="dxa"/>
            <w:vAlign w:val="bottom"/>
            <w:tcBorders>
              <w:right w:val="single" w:sz="8" w:color="6D6D6D"/>
            </w:tcBorders>
          </w:tcPr>
          <w:p>
            <w:pPr>
              <w:spacing w:after="0"/>
              <w:rPr>
                <w:sz w:val="24"/>
                <w:szCs w:val="24"/>
                <w:color w:val="auto"/>
              </w:rPr>
            </w:pPr>
          </w:p>
        </w:tc>
        <w:tc>
          <w:tcPr>
            <w:tcW w:w="780" w:type="dxa"/>
            <w:vAlign w:val="bottom"/>
            <w:tcBorders>
              <w:right w:val="single" w:sz="8" w:color="6D6D6D"/>
            </w:tcBorders>
          </w:tcPr>
          <w:p>
            <w:pPr>
              <w:spacing w:after="0"/>
              <w:rPr>
                <w:sz w:val="24"/>
                <w:szCs w:val="24"/>
                <w:color w:val="auto"/>
              </w:rPr>
            </w:pPr>
          </w:p>
        </w:tc>
        <w:tc>
          <w:tcPr>
            <w:tcW w:w="800" w:type="dxa"/>
            <w:vAlign w:val="bottom"/>
            <w:tcBorders>
              <w:right w:val="single" w:sz="8" w:color="6D6D6D"/>
            </w:tcBorders>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740" w:type="dxa"/>
            <w:vAlign w:val="bottom"/>
            <w:tcBorders>
              <w:right w:val="single" w:sz="8" w:color="6D6D6D"/>
            </w:tcBorders>
            <w:vMerge w:val="restart"/>
          </w:tcPr>
          <w:p>
            <w:pPr>
              <w:spacing w:after="0"/>
              <w:rPr>
                <w:sz w:val="20"/>
                <w:szCs w:val="20"/>
                <w:color w:val="auto"/>
              </w:rPr>
            </w:pPr>
            <w:r>
              <w:rPr>
                <w:rFonts w:ascii="Arial" w:cs="Arial" w:eastAsia="Arial" w:hAnsi="Arial"/>
                <w:sz w:val="14"/>
                <w:szCs w:val="14"/>
                <w:color w:val="auto"/>
              </w:rPr>
              <w:t>President &amp; CEO, Exelon Corporation</w:t>
            </w:r>
          </w:p>
        </w:tc>
        <w:tc>
          <w:tcPr>
            <w:tcW w:w="800" w:type="dxa"/>
            <w:vAlign w:val="bottom"/>
            <w:tcBorders>
              <w:right w:val="single" w:sz="8" w:color="6D6D6D"/>
            </w:tcBorders>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00" w:type="dxa"/>
            <w:vAlign w:val="bottom"/>
            <w:tcBorders>
              <w:right w:val="single" w:sz="8" w:color="6D6D6D"/>
            </w:tcBorders>
          </w:tcPr>
          <w:p>
            <w:pPr>
              <w:spacing w:after="0"/>
              <w:rPr>
                <w:sz w:val="10"/>
                <w:szCs w:val="10"/>
                <w:color w:val="auto"/>
              </w:rPr>
            </w:pPr>
          </w:p>
        </w:tc>
        <w:tc>
          <w:tcPr>
            <w:tcW w:w="920" w:type="dxa"/>
            <w:vAlign w:val="bottom"/>
            <w:tcBorders>
              <w:right w:val="single" w:sz="8" w:color="6D6D6D"/>
            </w:tcBorders>
          </w:tcPr>
          <w:p>
            <w:pPr>
              <w:spacing w:after="0"/>
              <w:rPr>
                <w:sz w:val="10"/>
                <w:szCs w:val="10"/>
                <w:color w:val="auto"/>
              </w:rPr>
            </w:pPr>
          </w:p>
        </w:tc>
        <w:tc>
          <w:tcPr>
            <w:tcW w:w="800" w:type="dxa"/>
            <w:vAlign w:val="bottom"/>
            <w:tcBorders>
              <w:right w:val="single" w:sz="8" w:color="6D6D6D"/>
            </w:tcBorders>
          </w:tcPr>
          <w:p>
            <w:pPr>
              <w:spacing w:after="0"/>
              <w:rPr>
                <w:sz w:val="10"/>
                <w:szCs w:val="10"/>
                <w:color w:val="auto"/>
              </w:rPr>
            </w:pPr>
          </w:p>
        </w:tc>
        <w:tc>
          <w:tcPr>
            <w:tcW w:w="800" w:type="dxa"/>
            <w:vAlign w:val="bottom"/>
            <w:tcBorders>
              <w:right w:val="single" w:sz="8" w:color="6D6D6D"/>
            </w:tcBorders>
          </w:tcPr>
          <w:p>
            <w:pPr>
              <w:spacing w:after="0"/>
              <w:rPr>
                <w:sz w:val="10"/>
                <w:szCs w:val="10"/>
                <w:color w:val="auto"/>
              </w:rPr>
            </w:pPr>
          </w:p>
        </w:tc>
        <w:tc>
          <w:tcPr>
            <w:tcW w:w="780" w:type="dxa"/>
            <w:vAlign w:val="bottom"/>
            <w:tcBorders>
              <w:right w:val="single" w:sz="8" w:color="6D6D6D"/>
            </w:tcBorders>
          </w:tcPr>
          <w:p>
            <w:pPr>
              <w:spacing w:after="0"/>
              <w:rPr>
                <w:sz w:val="10"/>
                <w:szCs w:val="10"/>
                <w:color w:val="auto"/>
              </w:rPr>
            </w:pPr>
          </w:p>
        </w:tc>
        <w:tc>
          <w:tcPr>
            <w:tcW w:w="800" w:type="dxa"/>
            <w:vAlign w:val="bottom"/>
            <w:tcBorders>
              <w:right w:val="single" w:sz="8" w:color="6D6D6D"/>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4740" w:type="dxa"/>
            <w:vAlign w:val="bottom"/>
            <w:tcBorders>
              <w:right w:val="single" w:sz="8" w:color="6D6D6D"/>
            </w:tcBorders>
            <w:vMerge w:val="continue"/>
          </w:tcPr>
          <w:p>
            <w:pPr>
              <w:spacing w:after="0"/>
              <w:rPr>
                <w:sz w:val="5"/>
                <w:szCs w:val="5"/>
                <w:color w:val="auto"/>
              </w:rPr>
            </w:pPr>
          </w:p>
        </w:tc>
        <w:tc>
          <w:tcPr>
            <w:tcW w:w="800" w:type="dxa"/>
            <w:vAlign w:val="bottom"/>
            <w:tcBorders>
              <w:right w:val="single" w:sz="8" w:color="6D6D6D"/>
            </w:tcBorders>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Borders>
              <w:right w:val="single" w:sz="8" w:color="6D6D6D"/>
            </w:tcBorders>
          </w:tcPr>
          <w:p>
            <w:pPr>
              <w:spacing w:after="0"/>
              <w:rPr>
                <w:sz w:val="5"/>
                <w:szCs w:val="5"/>
                <w:color w:val="auto"/>
              </w:rPr>
            </w:pPr>
          </w:p>
        </w:tc>
        <w:tc>
          <w:tcPr>
            <w:tcW w:w="920" w:type="dxa"/>
            <w:vAlign w:val="bottom"/>
            <w:tcBorders>
              <w:right w:val="single" w:sz="8" w:color="6D6D6D"/>
            </w:tcBorders>
          </w:tcPr>
          <w:p>
            <w:pPr>
              <w:spacing w:after="0"/>
              <w:rPr>
                <w:sz w:val="5"/>
                <w:szCs w:val="5"/>
                <w:color w:val="auto"/>
              </w:rPr>
            </w:pPr>
          </w:p>
        </w:tc>
        <w:tc>
          <w:tcPr>
            <w:tcW w:w="800" w:type="dxa"/>
            <w:vAlign w:val="bottom"/>
            <w:tcBorders>
              <w:right w:val="single" w:sz="8" w:color="6D6D6D"/>
            </w:tcBorders>
          </w:tcPr>
          <w:p>
            <w:pPr>
              <w:spacing w:after="0"/>
              <w:rPr>
                <w:sz w:val="5"/>
                <w:szCs w:val="5"/>
                <w:color w:val="auto"/>
              </w:rPr>
            </w:pPr>
          </w:p>
        </w:tc>
        <w:tc>
          <w:tcPr>
            <w:tcW w:w="800" w:type="dxa"/>
            <w:vAlign w:val="bottom"/>
            <w:tcBorders>
              <w:right w:val="single" w:sz="8" w:color="6D6D6D"/>
            </w:tcBorders>
          </w:tcPr>
          <w:p>
            <w:pPr>
              <w:spacing w:after="0"/>
              <w:rPr>
                <w:sz w:val="5"/>
                <w:szCs w:val="5"/>
                <w:color w:val="auto"/>
              </w:rPr>
            </w:pPr>
          </w:p>
        </w:tc>
        <w:tc>
          <w:tcPr>
            <w:tcW w:w="780" w:type="dxa"/>
            <w:vAlign w:val="bottom"/>
            <w:tcBorders>
              <w:right w:val="single" w:sz="8" w:color="6D6D6D"/>
            </w:tcBorders>
          </w:tcPr>
          <w:p>
            <w:pPr>
              <w:spacing w:after="0"/>
              <w:rPr>
                <w:sz w:val="5"/>
                <w:szCs w:val="5"/>
                <w:color w:val="auto"/>
              </w:rPr>
            </w:pPr>
          </w:p>
        </w:tc>
        <w:tc>
          <w:tcPr>
            <w:tcW w:w="800" w:type="dxa"/>
            <w:vAlign w:val="bottom"/>
            <w:tcBorders>
              <w:right w:val="single" w:sz="8" w:color="6D6D6D"/>
            </w:tcBorders>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4740" w:type="dxa"/>
            <w:vAlign w:val="bottom"/>
            <w:tcBorders>
              <w:bottom w:val="single" w:sz="8" w:color="6D6D6D"/>
              <w:right w:val="single" w:sz="8" w:color="6D6D6D"/>
            </w:tcBorders>
          </w:tcPr>
          <w:p>
            <w:pPr>
              <w:spacing w:after="0"/>
              <w:rPr>
                <w:sz w:val="20"/>
                <w:szCs w:val="20"/>
                <w:color w:val="auto"/>
              </w:rPr>
            </w:pPr>
          </w:p>
        </w:tc>
        <w:tc>
          <w:tcPr>
            <w:tcW w:w="800" w:type="dxa"/>
            <w:vAlign w:val="bottom"/>
            <w:tcBorders>
              <w:bottom w:val="single" w:sz="8" w:color="6D6D6D"/>
              <w:right w:val="single" w:sz="8" w:color="6D6D6D"/>
            </w:tcBorders>
          </w:tcPr>
          <w:p>
            <w:pPr>
              <w:spacing w:after="0"/>
              <w:rPr>
                <w:sz w:val="20"/>
                <w:szCs w:val="20"/>
                <w:color w:val="auto"/>
              </w:rPr>
            </w:pPr>
          </w:p>
        </w:tc>
        <w:tc>
          <w:tcPr>
            <w:tcW w:w="500" w:type="dxa"/>
            <w:vAlign w:val="bottom"/>
            <w:tcBorders>
              <w:bottom w:val="single" w:sz="8" w:color="6D6D6D"/>
            </w:tcBorders>
          </w:tcPr>
          <w:p>
            <w:pPr>
              <w:spacing w:after="0"/>
              <w:rPr>
                <w:sz w:val="20"/>
                <w:szCs w:val="20"/>
                <w:color w:val="auto"/>
              </w:rPr>
            </w:pPr>
          </w:p>
        </w:tc>
        <w:tc>
          <w:tcPr>
            <w:tcW w:w="300" w:type="dxa"/>
            <w:vAlign w:val="bottom"/>
            <w:tcBorders>
              <w:bottom w:val="single" w:sz="8" w:color="6D6D6D"/>
              <w:right w:val="single" w:sz="8" w:color="6D6D6D"/>
            </w:tcBorders>
          </w:tcPr>
          <w:p>
            <w:pPr>
              <w:spacing w:after="0"/>
              <w:rPr>
                <w:sz w:val="20"/>
                <w:szCs w:val="20"/>
                <w:color w:val="auto"/>
              </w:rPr>
            </w:pPr>
          </w:p>
        </w:tc>
        <w:tc>
          <w:tcPr>
            <w:tcW w:w="920" w:type="dxa"/>
            <w:vAlign w:val="bottom"/>
            <w:tcBorders>
              <w:bottom w:val="single" w:sz="8" w:color="6D6D6D"/>
              <w:right w:val="single" w:sz="8" w:color="6D6D6D"/>
            </w:tcBorders>
          </w:tcPr>
          <w:p>
            <w:pPr>
              <w:spacing w:after="0"/>
              <w:rPr>
                <w:sz w:val="20"/>
                <w:szCs w:val="20"/>
                <w:color w:val="auto"/>
              </w:rPr>
            </w:pPr>
          </w:p>
        </w:tc>
        <w:tc>
          <w:tcPr>
            <w:tcW w:w="800" w:type="dxa"/>
            <w:vAlign w:val="bottom"/>
            <w:tcBorders>
              <w:bottom w:val="single" w:sz="8" w:color="6D6D6D"/>
              <w:right w:val="single" w:sz="8" w:color="6D6D6D"/>
            </w:tcBorders>
          </w:tcPr>
          <w:p>
            <w:pPr>
              <w:spacing w:after="0"/>
              <w:rPr>
                <w:sz w:val="20"/>
                <w:szCs w:val="20"/>
                <w:color w:val="auto"/>
              </w:rPr>
            </w:pPr>
          </w:p>
        </w:tc>
        <w:tc>
          <w:tcPr>
            <w:tcW w:w="800" w:type="dxa"/>
            <w:vAlign w:val="bottom"/>
            <w:tcBorders>
              <w:bottom w:val="single" w:sz="8" w:color="6D6D6D"/>
              <w:right w:val="single" w:sz="8" w:color="6D6D6D"/>
            </w:tcBorders>
          </w:tcPr>
          <w:p>
            <w:pPr>
              <w:spacing w:after="0"/>
              <w:rPr>
                <w:sz w:val="20"/>
                <w:szCs w:val="20"/>
                <w:color w:val="auto"/>
              </w:rPr>
            </w:pPr>
          </w:p>
        </w:tc>
        <w:tc>
          <w:tcPr>
            <w:tcW w:w="780" w:type="dxa"/>
            <w:vAlign w:val="bottom"/>
            <w:tcBorders>
              <w:bottom w:val="single" w:sz="8" w:color="6D6D6D"/>
              <w:right w:val="single" w:sz="8" w:color="6D6D6D"/>
            </w:tcBorders>
          </w:tcPr>
          <w:p>
            <w:pPr>
              <w:spacing w:after="0"/>
              <w:rPr>
                <w:sz w:val="20"/>
                <w:szCs w:val="20"/>
                <w:color w:val="auto"/>
              </w:rPr>
            </w:pPr>
          </w:p>
        </w:tc>
        <w:tc>
          <w:tcPr>
            <w:tcW w:w="800" w:type="dxa"/>
            <w:vAlign w:val="bottom"/>
            <w:tcBorders>
              <w:bottom w:val="single" w:sz="8" w:color="6D6D6D"/>
              <w:right w:val="single" w:sz="8" w:color="6D6D6D"/>
            </w:tcBorders>
          </w:tcPr>
          <w:p>
            <w:pPr>
              <w:spacing w:after="0"/>
              <w:rPr>
                <w:sz w:val="20"/>
                <w:szCs w:val="20"/>
                <w:color w:val="auto"/>
              </w:rPr>
            </w:pPr>
          </w:p>
        </w:tc>
        <w:tc>
          <w:tcPr>
            <w:tcW w:w="0" w:type="dxa"/>
            <w:vAlign w:val="bottom"/>
          </w:tcPr>
          <w:p>
            <w:pPr>
              <w:spacing w:after="0"/>
              <w:rPr>
                <w:sz w:val="1"/>
                <w:szCs w:val="1"/>
                <w:color w:val="auto"/>
              </w:rPr>
            </w:pPr>
          </w:p>
        </w:tc>
      </w:tr>
      <w:tr>
        <w:trPr>
          <w:trHeight w:val="376"/>
        </w:trPr>
        <w:tc>
          <w:tcPr>
            <w:tcW w:w="4740" w:type="dxa"/>
            <w:vAlign w:val="bottom"/>
            <w:tcBorders>
              <w:right w:val="single" w:sz="8" w:color="6D6D6D"/>
            </w:tcBorders>
          </w:tcPr>
          <w:p>
            <w:pPr>
              <w:spacing w:after="0"/>
              <w:rPr>
                <w:sz w:val="20"/>
                <w:szCs w:val="20"/>
                <w:color w:val="auto"/>
              </w:rPr>
            </w:pPr>
            <w:r>
              <w:rPr>
                <w:rFonts w:ascii="Arial" w:cs="Arial" w:eastAsia="Arial" w:hAnsi="Arial"/>
                <w:sz w:val="15"/>
                <w:szCs w:val="15"/>
                <w:b w:val="1"/>
                <w:bCs w:val="1"/>
                <w:color w:val="170D67"/>
              </w:rPr>
              <w:t>W. Paul Bowers</w:t>
            </w:r>
          </w:p>
        </w:tc>
        <w:tc>
          <w:tcPr>
            <w:tcW w:w="800" w:type="dxa"/>
            <w:vAlign w:val="bottom"/>
            <w:tcBorders>
              <w:right w:val="single" w:sz="8" w:color="6D6D6D"/>
            </w:tcBorders>
            <w:vMerge w:val="restart"/>
          </w:tcPr>
          <w:p>
            <w:pPr>
              <w:jc w:val="center"/>
              <w:spacing w:after="0"/>
              <w:rPr>
                <w:sz w:val="20"/>
                <w:szCs w:val="20"/>
                <w:color w:val="auto"/>
              </w:rPr>
            </w:pPr>
            <w:r>
              <w:rPr>
                <w:rFonts w:ascii="Arial" w:cs="Arial" w:eastAsia="Arial" w:hAnsi="Arial"/>
                <w:sz w:val="16"/>
                <w:szCs w:val="16"/>
                <w:b w:val="1"/>
                <w:bCs w:val="1"/>
                <w:color w:val="170D67"/>
                <w:w w:val="98"/>
              </w:rPr>
              <w:t>3.8</w:t>
            </w:r>
          </w:p>
        </w:tc>
        <w:tc>
          <w:tcPr>
            <w:tcW w:w="500" w:type="dxa"/>
            <w:vAlign w:val="bottom"/>
            <w:vMerge w:val="restart"/>
          </w:tcPr>
          <w:p>
            <w:pPr>
              <w:jc w:val="right"/>
              <w:spacing w:after="0"/>
              <w:rPr>
                <w:sz w:val="20"/>
                <w:szCs w:val="20"/>
                <w:color w:val="auto"/>
              </w:rPr>
            </w:pPr>
            <w:r>
              <w:rPr>
                <w:rFonts w:ascii="Arial" w:cs="Arial" w:eastAsia="Arial" w:hAnsi="Arial"/>
                <w:sz w:val="16"/>
                <w:szCs w:val="16"/>
                <w:b w:val="1"/>
                <w:bCs w:val="1"/>
                <w:color w:val="170D67"/>
              </w:rPr>
              <w:t>68</w:t>
            </w:r>
          </w:p>
        </w:tc>
        <w:tc>
          <w:tcPr>
            <w:tcW w:w="300" w:type="dxa"/>
            <w:vAlign w:val="bottom"/>
            <w:tcBorders>
              <w:right w:val="single" w:sz="8" w:color="6D6D6D"/>
            </w:tcBorders>
          </w:tcPr>
          <w:p>
            <w:pPr>
              <w:spacing w:after="0"/>
              <w:rPr>
                <w:sz w:val="24"/>
                <w:szCs w:val="24"/>
                <w:color w:val="auto"/>
              </w:rPr>
            </w:pPr>
          </w:p>
        </w:tc>
        <w:tc>
          <w:tcPr>
            <w:tcW w:w="920" w:type="dxa"/>
            <w:vAlign w:val="bottom"/>
            <w:tcBorders>
              <w:right w:val="single" w:sz="8" w:color="6D6D6D"/>
            </w:tcBorders>
            <w:vMerge w:val="restart"/>
          </w:tcPr>
          <w:p>
            <w:pPr>
              <w:jc w:val="center"/>
              <w:spacing w:after="0"/>
              <w:rPr>
                <w:sz w:val="20"/>
                <w:szCs w:val="20"/>
                <w:color w:val="auto"/>
              </w:rPr>
            </w:pPr>
            <w:r>
              <w:rPr>
                <w:rFonts w:ascii="Arial" w:cs="Arial" w:eastAsia="Arial" w:hAnsi="Arial"/>
                <w:sz w:val="16"/>
                <w:szCs w:val="16"/>
                <w:color w:val="3A5CFF"/>
              </w:rPr>
              <w:t>●</w:t>
            </w:r>
          </w:p>
        </w:tc>
        <w:tc>
          <w:tcPr>
            <w:tcW w:w="800" w:type="dxa"/>
            <w:vAlign w:val="bottom"/>
            <w:tcBorders>
              <w:right w:val="single" w:sz="8" w:color="6D6D6D"/>
            </w:tcBorders>
          </w:tcPr>
          <w:p>
            <w:pPr>
              <w:spacing w:after="0"/>
              <w:rPr>
                <w:sz w:val="24"/>
                <w:szCs w:val="24"/>
                <w:color w:val="auto"/>
              </w:rPr>
            </w:pPr>
          </w:p>
        </w:tc>
        <w:tc>
          <w:tcPr>
            <w:tcW w:w="800" w:type="dxa"/>
            <w:vAlign w:val="bottom"/>
            <w:tcBorders>
              <w:right w:val="single" w:sz="8" w:color="6D6D6D"/>
            </w:tcBorders>
            <w:vMerge w:val="restart"/>
          </w:tcPr>
          <w:p>
            <w:pPr>
              <w:jc w:val="center"/>
              <w:spacing w:after="0"/>
              <w:rPr>
                <w:sz w:val="20"/>
                <w:szCs w:val="20"/>
                <w:color w:val="auto"/>
              </w:rPr>
            </w:pPr>
            <w:r>
              <w:rPr>
                <w:rFonts w:ascii="Arial" w:cs="Arial" w:eastAsia="Arial" w:hAnsi="Arial"/>
                <w:sz w:val="16"/>
                <w:szCs w:val="16"/>
                <w:color w:val="170D67"/>
              </w:rPr>
              <w:t>●</w:t>
            </w:r>
          </w:p>
        </w:tc>
        <w:tc>
          <w:tcPr>
            <w:tcW w:w="780" w:type="dxa"/>
            <w:vAlign w:val="bottom"/>
            <w:tcBorders>
              <w:right w:val="single" w:sz="8" w:color="6D6D6D"/>
            </w:tcBorders>
            <w:vMerge w:val="restart"/>
          </w:tcPr>
          <w:p>
            <w:pPr>
              <w:jc w:val="center"/>
              <w:spacing w:after="0"/>
              <w:rPr>
                <w:sz w:val="20"/>
                <w:szCs w:val="20"/>
                <w:color w:val="auto"/>
              </w:rPr>
            </w:pPr>
            <w:r>
              <w:rPr>
                <w:rFonts w:ascii="Arial" w:cs="Arial" w:eastAsia="Arial" w:hAnsi="Arial"/>
                <w:sz w:val="16"/>
                <w:szCs w:val="16"/>
                <w:color w:val="170D67"/>
              </w:rPr>
              <w:t>●</w:t>
            </w:r>
          </w:p>
        </w:tc>
        <w:tc>
          <w:tcPr>
            <w:tcW w:w="800" w:type="dxa"/>
            <w:vAlign w:val="bottom"/>
            <w:tcBorders>
              <w:right w:val="single" w:sz="8" w:color="6D6D6D"/>
            </w:tcBorders>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740" w:type="dxa"/>
            <w:vAlign w:val="bottom"/>
            <w:tcBorders>
              <w:right w:val="single" w:sz="8" w:color="6D6D6D"/>
            </w:tcBorders>
            <w:vMerge w:val="restart"/>
          </w:tcPr>
          <w:p>
            <w:pPr>
              <w:spacing w:after="0"/>
              <w:rPr>
                <w:sz w:val="20"/>
                <w:szCs w:val="20"/>
                <w:color w:val="auto"/>
              </w:rPr>
            </w:pPr>
            <w:r>
              <w:rPr>
                <w:rFonts w:ascii="Arial" w:cs="Arial" w:eastAsia="Arial" w:hAnsi="Arial"/>
                <w:sz w:val="14"/>
                <w:szCs w:val="14"/>
                <w:color w:val="auto"/>
              </w:rPr>
              <w:t>Former Chairman and CEO of Georgia Power Company</w:t>
            </w:r>
          </w:p>
        </w:tc>
        <w:tc>
          <w:tcPr>
            <w:tcW w:w="800" w:type="dxa"/>
            <w:vAlign w:val="bottom"/>
            <w:tcBorders>
              <w:right w:val="single" w:sz="8" w:color="6D6D6D"/>
            </w:tcBorders>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00" w:type="dxa"/>
            <w:vAlign w:val="bottom"/>
            <w:tcBorders>
              <w:right w:val="single" w:sz="8" w:color="6D6D6D"/>
            </w:tcBorders>
          </w:tcPr>
          <w:p>
            <w:pPr>
              <w:spacing w:after="0"/>
              <w:rPr>
                <w:sz w:val="10"/>
                <w:szCs w:val="10"/>
                <w:color w:val="auto"/>
              </w:rPr>
            </w:pPr>
          </w:p>
        </w:tc>
        <w:tc>
          <w:tcPr>
            <w:tcW w:w="920" w:type="dxa"/>
            <w:vAlign w:val="bottom"/>
            <w:tcBorders>
              <w:right w:val="single" w:sz="8" w:color="6D6D6D"/>
            </w:tcBorders>
            <w:vMerge w:val="continue"/>
          </w:tcPr>
          <w:p>
            <w:pPr>
              <w:spacing w:after="0"/>
              <w:rPr>
                <w:sz w:val="10"/>
                <w:szCs w:val="10"/>
                <w:color w:val="auto"/>
              </w:rPr>
            </w:pPr>
          </w:p>
        </w:tc>
        <w:tc>
          <w:tcPr>
            <w:tcW w:w="800" w:type="dxa"/>
            <w:vAlign w:val="bottom"/>
            <w:tcBorders>
              <w:right w:val="single" w:sz="8" w:color="6D6D6D"/>
            </w:tcBorders>
          </w:tcPr>
          <w:p>
            <w:pPr>
              <w:spacing w:after="0"/>
              <w:rPr>
                <w:sz w:val="10"/>
                <w:szCs w:val="10"/>
                <w:color w:val="auto"/>
              </w:rPr>
            </w:pPr>
          </w:p>
        </w:tc>
        <w:tc>
          <w:tcPr>
            <w:tcW w:w="800" w:type="dxa"/>
            <w:vAlign w:val="bottom"/>
            <w:tcBorders>
              <w:right w:val="single" w:sz="8" w:color="6D6D6D"/>
            </w:tcBorders>
            <w:vMerge w:val="continue"/>
          </w:tcPr>
          <w:p>
            <w:pPr>
              <w:spacing w:after="0"/>
              <w:rPr>
                <w:sz w:val="10"/>
                <w:szCs w:val="10"/>
                <w:color w:val="auto"/>
              </w:rPr>
            </w:pPr>
          </w:p>
        </w:tc>
        <w:tc>
          <w:tcPr>
            <w:tcW w:w="780" w:type="dxa"/>
            <w:vAlign w:val="bottom"/>
            <w:tcBorders>
              <w:right w:val="single" w:sz="8" w:color="6D6D6D"/>
            </w:tcBorders>
            <w:vMerge w:val="continue"/>
          </w:tcPr>
          <w:p>
            <w:pPr>
              <w:spacing w:after="0"/>
              <w:rPr>
                <w:sz w:val="10"/>
                <w:szCs w:val="10"/>
                <w:color w:val="auto"/>
              </w:rPr>
            </w:pPr>
          </w:p>
        </w:tc>
        <w:tc>
          <w:tcPr>
            <w:tcW w:w="800" w:type="dxa"/>
            <w:vAlign w:val="bottom"/>
            <w:tcBorders>
              <w:right w:val="single" w:sz="8" w:color="6D6D6D"/>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4740" w:type="dxa"/>
            <w:vAlign w:val="bottom"/>
            <w:tcBorders>
              <w:right w:val="single" w:sz="8" w:color="6D6D6D"/>
            </w:tcBorders>
            <w:vMerge w:val="continue"/>
          </w:tcPr>
          <w:p>
            <w:pPr>
              <w:spacing w:after="0"/>
              <w:rPr>
                <w:sz w:val="5"/>
                <w:szCs w:val="5"/>
                <w:color w:val="auto"/>
              </w:rPr>
            </w:pPr>
          </w:p>
        </w:tc>
        <w:tc>
          <w:tcPr>
            <w:tcW w:w="800" w:type="dxa"/>
            <w:vAlign w:val="bottom"/>
            <w:tcBorders>
              <w:right w:val="single" w:sz="8" w:color="6D6D6D"/>
            </w:tcBorders>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Borders>
              <w:right w:val="single" w:sz="8" w:color="6D6D6D"/>
            </w:tcBorders>
          </w:tcPr>
          <w:p>
            <w:pPr>
              <w:spacing w:after="0"/>
              <w:rPr>
                <w:sz w:val="5"/>
                <w:szCs w:val="5"/>
                <w:color w:val="auto"/>
              </w:rPr>
            </w:pPr>
          </w:p>
        </w:tc>
        <w:tc>
          <w:tcPr>
            <w:tcW w:w="920" w:type="dxa"/>
            <w:vAlign w:val="bottom"/>
            <w:tcBorders>
              <w:right w:val="single" w:sz="8" w:color="6D6D6D"/>
            </w:tcBorders>
          </w:tcPr>
          <w:p>
            <w:pPr>
              <w:spacing w:after="0"/>
              <w:rPr>
                <w:sz w:val="5"/>
                <w:szCs w:val="5"/>
                <w:color w:val="auto"/>
              </w:rPr>
            </w:pPr>
          </w:p>
        </w:tc>
        <w:tc>
          <w:tcPr>
            <w:tcW w:w="800" w:type="dxa"/>
            <w:vAlign w:val="bottom"/>
            <w:tcBorders>
              <w:right w:val="single" w:sz="8" w:color="6D6D6D"/>
            </w:tcBorders>
          </w:tcPr>
          <w:p>
            <w:pPr>
              <w:spacing w:after="0"/>
              <w:rPr>
                <w:sz w:val="5"/>
                <w:szCs w:val="5"/>
                <w:color w:val="auto"/>
              </w:rPr>
            </w:pPr>
          </w:p>
        </w:tc>
        <w:tc>
          <w:tcPr>
            <w:tcW w:w="800" w:type="dxa"/>
            <w:vAlign w:val="bottom"/>
            <w:tcBorders>
              <w:right w:val="single" w:sz="8" w:color="6D6D6D"/>
            </w:tcBorders>
          </w:tcPr>
          <w:p>
            <w:pPr>
              <w:spacing w:after="0"/>
              <w:rPr>
                <w:sz w:val="5"/>
                <w:szCs w:val="5"/>
                <w:color w:val="auto"/>
              </w:rPr>
            </w:pPr>
          </w:p>
        </w:tc>
        <w:tc>
          <w:tcPr>
            <w:tcW w:w="780" w:type="dxa"/>
            <w:vAlign w:val="bottom"/>
            <w:tcBorders>
              <w:right w:val="single" w:sz="8" w:color="6D6D6D"/>
            </w:tcBorders>
          </w:tcPr>
          <w:p>
            <w:pPr>
              <w:spacing w:after="0"/>
              <w:rPr>
                <w:sz w:val="5"/>
                <w:szCs w:val="5"/>
                <w:color w:val="auto"/>
              </w:rPr>
            </w:pPr>
          </w:p>
        </w:tc>
        <w:tc>
          <w:tcPr>
            <w:tcW w:w="800" w:type="dxa"/>
            <w:vAlign w:val="bottom"/>
            <w:tcBorders>
              <w:right w:val="single" w:sz="8" w:color="6D6D6D"/>
            </w:tcBorders>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4740" w:type="dxa"/>
            <w:vAlign w:val="bottom"/>
            <w:tcBorders>
              <w:bottom w:val="single" w:sz="8" w:color="6D6D6D"/>
              <w:right w:val="single" w:sz="8" w:color="6D6D6D"/>
            </w:tcBorders>
          </w:tcPr>
          <w:p>
            <w:pPr>
              <w:spacing w:after="0"/>
              <w:rPr>
                <w:sz w:val="20"/>
                <w:szCs w:val="20"/>
                <w:color w:val="auto"/>
              </w:rPr>
            </w:pPr>
          </w:p>
        </w:tc>
        <w:tc>
          <w:tcPr>
            <w:tcW w:w="800" w:type="dxa"/>
            <w:vAlign w:val="bottom"/>
            <w:tcBorders>
              <w:bottom w:val="single" w:sz="8" w:color="6D6D6D"/>
              <w:right w:val="single" w:sz="8" w:color="6D6D6D"/>
            </w:tcBorders>
          </w:tcPr>
          <w:p>
            <w:pPr>
              <w:spacing w:after="0"/>
              <w:rPr>
                <w:sz w:val="20"/>
                <w:szCs w:val="20"/>
                <w:color w:val="auto"/>
              </w:rPr>
            </w:pPr>
          </w:p>
        </w:tc>
        <w:tc>
          <w:tcPr>
            <w:tcW w:w="500" w:type="dxa"/>
            <w:vAlign w:val="bottom"/>
            <w:tcBorders>
              <w:bottom w:val="single" w:sz="8" w:color="6D6D6D"/>
            </w:tcBorders>
          </w:tcPr>
          <w:p>
            <w:pPr>
              <w:spacing w:after="0"/>
              <w:rPr>
                <w:sz w:val="20"/>
                <w:szCs w:val="20"/>
                <w:color w:val="auto"/>
              </w:rPr>
            </w:pPr>
          </w:p>
        </w:tc>
        <w:tc>
          <w:tcPr>
            <w:tcW w:w="300" w:type="dxa"/>
            <w:vAlign w:val="bottom"/>
            <w:tcBorders>
              <w:bottom w:val="single" w:sz="8" w:color="6D6D6D"/>
              <w:right w:val="single" w:sz="8" w:color="6D6D6D"/>
            </w:tcBorders>
          </w:tcPr>
          <w:p>
            <w:pPr>
              <w:spacing w:after="0"/>
              <w:rPr>
                <w:sz w:val="20"/>
                <w:szCs w:val="20"/>
                <w:color w:val="auto"/>
              </w:rPr>
            </w:pPr>
          </w:p>
        </w:tc>
        <w:tc>
          <w:tcPr>
            <w:tcW w:w="920" w:type="dxa"/>
            <w:vAlign w:val="bottom"/>
            <w:tcBorders>
              <w:bottom w:val="single" w:sz="8" w:color="6D6D6D"/>
              <w:right w:val="single" w:sz="8" w:color="6D6D6D"/>
            </w:tcBorders>
          </w:tcPr>
          <w:p>
            <w:pPr>
              <w:spacing w:after="0"/>
              <w:rPr>
                <w:sz w:val="20"/>
                <w:szCs w:val="20"/>
                <w:color w:val="auto"/>
              </w:rPr>
            </w:pPr>
          </w:p>
        </w:tc>
        <w:tc>
          <w:tcPr>
            <w:tcW w:w="800" w:type="dxa"/>
            <w:vAlign w:val="bottom"/>
            <w:tcBorders>
              <w:bottom w:val="single" w:sz="8" w:color="6D6D6D"/>
              <w:right w:val="single" w:sz="8" w:color="6D6D6D"/>
            </w:tcBorders>
          </w:tcPr>
          <w:p>
            <w:pPr>
              <w:spacing w:after="0"/>
              <w:rPr>
                <w:sz w:val="20"/>
                <w:szCs w:val="20"/>
                <w:color w:val="auto"/>
              </w:rPr>
            </w:pPr>
          </w:p>
        </w:tc>
        <w:tc>
          <w:tcPr>
            <w:tcW w:w="800" w:type="dxa"/>
            <w:vAlign w:val="bottom"/>
            <w:tcBorders>
              <w:bottom w:val="single" w:sz="8" w:color="6D6D6D"/>
              <w:right w:val="single" w:sz="8" w:color="6D6D6D"/>
            </w:tcBorders>
          </w:tcPr>
          <w:p>
            <w:pPr>
              <w:spacing w:after="0"/>
              <w:rPr>
                <w:sz w:val="20"/>
                <w:szCs w:val="20"/>
                <w:color w:val="auto"/>
              </w:rPr>
            </w:pPr>
          </w:p>
        </w:tc>
        <w:tc>
          <w:tcPr>
            <w:tcW w:w="780" w:type="dxa"/>
            <w:vAlign w:val="bottom"/>
            <w:tcBorders>
              <w:bottom w:val="single" w:sz="8" w:color="6D6D6D"/>
              <w:right w:val="single" w:sz="8" w:color="6D6D6D"/>
            </w:tcBorders>
          </w:tcPr>
          <w:p>
            <w:pPr>
              <w:spacing w:after="0"/>
              <w:rPr>
                <w:sz w:val="20"/>
                <w:szCs w:val="20"/>
                <w:color w:val="auto"/>
              </w:rPr>
            </w:pPr>
          </w:p>
        </w:tc>
        <w:tc>
          <w:tcPr>
            <w:tcW w:w="800" w:type="dxa"/>
            <w:vAlign w:val="bottom"/>
            <w:tcBorders>
              <w:bottom w:val="single" w:sz="8" w:color="6D6D6D"/>
              <w:right w:val="single" w:sz="8" w:color="6D6D6D"/>
            </w:tcBorders>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4740" w:type="dxa"/>
            <w:vAlign w:val="bottom"/>
            <w:tcBorders>
              <w:right w:val="single" w:sz="8" w:color="6D6D6D"/>
            </w:tcBorders>
          </w:tcPr>
          <w:p>
            <w:pPr>
              <w:spacing w:after="0"/>
              <w:rPr>
                <w:sz w:val="20"/>
                <w:szCs w:val="20"/>
                <w:color w:val="auto"/>
              </w:rPr>
            </w:pPr>
            <w:r>
              <w:rPr>
                <w:rFonts w:ascii="Arial" w:cs="Arial" w:eastAsia="Arial" w:hAnsi="Arial"/>
                <w:sz w:val="15"/>
                <w:szCs w:val="15"/>
                <w:b w:val="1"/>
                <w:bCs w:val="1"/>
                <w:color w:val="170D67"/>
              </w:rPr>
              <w:t>Marjorie Rodgers Cheshire</w:t>
            </w:r>
          </w:p>
        </w:tc>
        <w:tc>
          <w:tcPr>
            <w:tcW w:w="800" w:type="dxa"/>
            <w:vAlign w:val="bottom"/>
            <w:tcBorders>
              <w:right w:val="single" w:sz="8" w:color="6D6D6D"/>
            </w:tcBorders>
            <w:vMerge w:val="restart"/>
          </w:tcPr>
          <w:p>
            <w:pPr>
              <w:jc w:val="center"/>
              <w:spacing w:after="0"/>
              <w:rPr>
                <w:sz w:val="20"/>
                <w:szCs w:val="20"/>
                <w:color w:val="auto"/>
              </w:rPr>
            </w:pPr>
            <w:r>
              <w:rPr>
                <w:rFonts w:ascii="Arial" w:cs="Arial" w:eastAsia="Arial" w:hAnsi="Arial"/>
                <w:sz w:val="16"/>
                <w:szCs w:val="16"/>
                <w:b w:val="1"/>
                <w:bCs w:val="1"/>
                <w:color w:val="170D67"/>
                <w:w w:val="98"/>
              </w:rPr>
              <w:t>4.8</w:t>
            </w:r>
          </w:p>
        </w:tc>
        <w:tc>
          <w:tcPr>
            <w:tcW w:w="500" w:type="dxa"/>
            <w:vAlign w:val="bottom"/>
            <w:vMerge w:val="restart"/>
          </w:tcPr>
          <w:p>
            <w:pPr>
              <w:jc w:val="right"/>
              <w:spacing w:after="0"/>
              <w:rPr>
                <w:sz w:val="20"/>
                <w:szCs w:val="20"/>
                <w:color w:val="auto"/>
              </w:rPr>
            </w:pPr>
            <w:r>
              <w:rPr>
                <w:rFonts w:ascii="Arial" w:cs="Arial" w:eastAsia="Arial" w:hAnsi="Arial"/>
                <w:sz w:val="16"/>
                <w:szCs w:val="16"/>
                <w:b w:val="1"/>
                <w:bCs w:val="1"/>
                <w:color w:val="170D67"/>
              </w:rPr>
              <w:t>56</w:t>
            </w:r>
          </w:p>
        </w:tc>
        <w:tc>
          <w:tcPr>
            <w:tcW w:w="300" w:type="dxa"/>
            <w:vAlign w:val="bottom"/>
            <w:tcBorders>
              <w:right w:val="single" w:sz="8" w:color="6D6D6D"/>
            </w:tcBorders>
          </w:tcPr>
          <w:p>
            <w:pPr>
              <w:spacing w:after="0"/>
              <w:rPr>
                <w:sz w:val="24"/>
                <w:szCs w:val="24"/>
                <w:color w:val="auto"/>
              </w:rPr>
            </w:pPr>
          </w:p>
        </w:tc>
        <w:tc>
          <w:tcPr>
            <w:tcW w:w="920" w:type="dxa"/>
            <w:vAlign w:val="bottom"/>
            <w:tcBorders>
              <w:right w:val="single" w:sz="8" w:color="6D6D6D"/>
            </w:tcBorders>
            <w:vMerge w:val="restart"/>
          </w:tcPr>
          <w:p>
            <w:pPr>
              <w:jc w:val="center"/>
              <w:spacing w:after="0"/>
              <w:rPr>
                <w:sz w:val="20"/>
                <w:szCs w:val="20"/>
                <w:color w:val="auto"/>
              </w:rPr>
            </w:pPr>
            <w:r>
              <w:rPr>
                <w:rFonts w:ascii="Arial" w:cs="Arial" w:eastAsia="Arial" w:hAnsi="Arial"/>
                <w:sz w:val="16"/>
                <w:szCs w:val="16"/>
                <w:color w:val="3A5CFF"/>
              </w:rPr>
              <w:t>●</w:t>
            </w:r>
          </w:p>
        </w:tc>
        <w:tc>
          <w:tcPr>
            <w:tcW w:w="800" w:type="dxa"/>
            <w:vAlign w:val="bottom"/>
            <w:tcBorders>
              <w:right w:val="single" w:sz="8" w:color="6D6D6D"/>
            </w:tcBorders>
          </w:tcPr>
          <w:p>
            <w:pPr>
              <w:spacing w:after="0"/>
              <w:rPr>
                <w:sz w:val="24"/>
                <w:szCs w:val="24"/>
                <w:color w:val="auto"/>
              </w:rPr>
            </w:pPr>
          </w:p>
        </w:tc>
        <w:tc>
          <w:tcPr>
            <w:tcW w:w="800" w:type="dxa"/>
            <w:vAlign w:val="bottom"/>
            <w:tcBorders>
              <w:right w:val="single" w:sz="8" w:color="6D6D6D"/>
            </w:tcBorders>
            <w:vMerge w:val="restart"/>
          </w:tcPr>
          <w:p>
            <w:pPr>
              <w:jc w:val="center"/>
              <w:spacing w:after="0"/>
              <w:rPr>
                <w:sz w:val="20"/>
                <w:szCs w:val="20"/>
                <w:color w:val="auto"/>
              </w:rPr>
            </w:pPr>
            <w:r>
              <w:rPr>
                <w:rFonts w:ascii="Arial" w:cs="Arial" w:eastAsia="Arial" w:hAnsi="Arial"/>
                <w:sz w:val="16"/>
                <w:szCs w:val="16"/>
                <w:color w:val="170D67"/>
              </w:rPr>
              <w:t>●</w:t>
            </w:r>
          </w:p>
        </w:tc>
        <w:tc>
          <w:tcPr>
            <w:tcW w:w="780" w:type="dxa"/>
            <w:vAlign w:val="bottom"/>
            <w:tcBorders>
              <w:right w:val="single" w:sz="8" w:color="6D6D6D"/>
            </w:tcBorders>
            <w:vMerge w:val="restart"/>
          </w:tcPr>
          <w:p>
            <w:pPr>
              <w:jc w:val="center"/>
              <w:spacing w:after="0"/>
              <w:rPr>
                <w:sz w:val="20"/>
                <w:szCs w:val="20"/>
                <w:color w:val="auto"/>
              </w:rPr>
            </w:pPr>
            <w:r>
              <w:rPr>
                <w:rFonts w:ascii="Arial" w:cs="Arial" w:eastAsia="Arial" w:hAnsi="Arial"/>
                <w:sz w:val="16"/>
                <w:szCs w:val="16"/>
                <w:b w:val="1"/>
                <w:bCs w:val="1"/>
                <w:color w:val="170D67"/>
                <w:w w:val="97"/>
              </w:rPr>
              <w:t>Chair</w:t>
            </w:r>
          </w:p>
        </w:tc>
        <w:tc>
          <w:tcPr>
            <w:tcW w:w="800" w:type="dxa"/>
            <w:vAlign w:val="bottom"/>
            <w:tcBorders>
              <w:right w:val="single" w:sz="8" w:color="6D6D6D"/>
            </w:tcBorders>
            <w:vMerge w:val="restart"/>
          </w:tcPr>
          <w:p>
            <w:pPr>
              <w:jc w:val="center"/>
              <w:spacing w:after="0"/>
              <w:rPr>
                <w:sz w:val="20"/>
                <w:szCs w:val="20"/>
                <w:color w:val="auto"/>
              </w:rPr>
            </w:pPr>
            <w:r>
              <w:rPr>
                <w:rFonts w:ascii="Arial" w:cs="Arial" w:eastAsia="Arial" w:hAnsi="Arial"/>
                <w:sz w:val="16"/>
                <w:szCs w:val="16"/>
                <w:color w:val="170D67"/>
              </w:rPr>
              <w:t>●</w:t>
            </w:r>
          </w:p>
        </w:tc>
        <w:tc>
          <w:tcPr>
            <w:tcW w:w="0" w:type="dxa"/>
            <w:vAlign w:val="bottom"/>
          </w:tcPr>
          <w:p>
            <w:pPr>
              <w:spacing w:after="0"/>
              <w:rPr>
                <w:sz w:val="1"/>
                <w:szCs w:val="1"/>
                <w:color w:val="auto"/>
              </w:rPr>
            </w:pPr>
          </w:p>
        </w:tc>
      </w:tr>
      <w:tr>
        <w:trPr>
          <w:trHeight w:val="190"/>
        </w:trPr>
        <w:tc>
          <w:tcPr>
            <w:tcW w:w="4740" w:type="dxa"/>
            <w:vAlign w:val="bottom"/>
            <w:tcBorders>
              <w:right w:val="single" w:sz="8" w:color="6D6D6D"/>
            </w:tcBorders>
          </w:tcPr>
          <w:p>
            <w:pPr>
              <w:spacing w:after="0"/>
              <w:rPr>
                <w:sz w:val="20"/>
                <w:szCs w:val="20"/>
                <w:color w:val="auto"/>
              </w:rPr>
            </w:pPr>
            <w:r>
              <w:rPr>
                <w:rFonts w:ascii="Arial" w:cs="Arial" w:eastAsia="Arial" w:hAnsi="Arial"/>
                <w:sz w:val="14"/>
                <w:szCs w:val="14"/>
                <w:color w:val="auto"/>
              </w:rPr>
              <w:t>Principal, A&amp;R Development Corp.</w:t>
            </w:r>
          </w:p>
        </w:tc>
        <w:tc>
          <w:tcPr>
            <w:tcW w:w="800" w:type="dxa"/>
            <w:vAlign w:val="bottom"/>
            <w:tcBorders>
              <w:right w:val="single" w:sz="8" w:color="6D6D6D"/>
            </w:tcBorders>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300" w:type="dxa"/>
            <w:vAlign w:val="bottom"/>
            <w:tcBorders>
              <w:right w:val="single" w:sz="8" w:color="6D6D6D"/>
            </w:tcBorders>
          </w:tcPr>
          <w:p>
            <w:pPr>
              <w:spacing w:after="0"/>
              <w:rPr>
                <w:sz w:val="16"/>
                <w:szCs w:val="16"/>
                <w:color w:val="auto"/>
              </w:rPr>
            </w:pPr>
          </w:p>
        </w:tc>
        <w:tc>
          <w:tcPr>
            <w:tcW w:w="920" w:type="dxa"/>
            <w:vAlign w:val="bottom"/>
            <w:tcBorders>
              <w:right w:val="single" w:sz="8" w:color="6D6D6D"/>
            </w:tcBorders>
            <w:vMerge w:val="continue"/>
          </w:tcPr>
          <w:p>
            <w:pPr>
              <w:spacing w:after="0"/>
              <w:rPr>
                <w:sz w:val="16"/>
                <w:szCs w:val="16"/>
                <w:color w:val="auto"/>
              </w:rPr>
            </w:pPr>
          </w:p>
        </w:tc>
        <w:tc>
          <w:tcPr>
            <w:tcW w:w="800" w:type="dxa"/>
            <w:vAlign w:val="bottom"/>
            <w:tcBorders>
              <w:right w:val="single" w:sz="8" w:color="6D6D6D"/>
            </w:tcBorders>
          </w:tcPr>
          <w:p>
            <w:pPr>
              <w:spacing w:after="0"/>
              <w:rPr>
                <w:sz w:val="16"/>
                <w:szCs w:val="16"/>
                <w:color w:val="auto"/>
              </w:rPr>
            </w:pPr>
          </w:p>
        </w:tc>
        <w:tc>
          <w:tcPr>
            <w:tcW w:w="800" w:type="dxa"/>
            <w:vAlign w:val="bottom"/>
            <w:tcBorders>
              <w:right w:val="single" w:sz="8" w:color="6D6D6D"/>
            </w:tcBorders>
            <w:vMerge w:val="continue"/>
          </w:tcPr>
          <w:p>
            <w:pPr>
              <w:spacing w:after="0"/>
              <w:rPr>
                <w:sz w:val="16"/>
                <w:szCs w:val="16"/>
                <w:color w:val="auto"/>
              </w:rPr>
            </w:pPr>
          </w:p>
        </w:tc>
        <w:tc>
          <w:tcPr>
            <w:tcW w:w="780" w:type="dxa"/>
            <w:vAlign w:val="bottom"/>
            <w:tcBorders>
              <w:right w:val="single" w:sz="8" w:color="6D6D6D"/>
            </w:tcBorders>
            <w:vMerge w:val="continue"/>
          </w:tcPr>
          <w:p>
            <w:pPr>
              <w:spacing w:after="0"/>
              <w:rPr>
                <w:sz w:val="16"/>
                <w:szCs w:val="16"/>
                <w:color w:val="auto"/>
              </w:rPr>
            </w:pPr>
          </w:p>
        </w:tc>
        <w:tc>
          <w:tcPr>
            <w:tcW w:w="800" w:type="dxa"/>
            <w:vAlign w:val="bottom"/>
            <w:tcBorders>
              <w:right w:val="single" w:sz="8" w:color="6D6D6D"/>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4740" w:type="dxa"/>
            <w:vAlign w:val="bottom"/>
            <w:tcBorders>
              <w:bottom w:val="single" w:sz="8" w:color="6D6D6D"/>
              <w:right w:val="single" w:sz="8" w:color="6D6D6D"/>
            </w:tcBorders>
          </w:tcPr>
          <w:p>
            <w:pPr>
              <w:spacing w:after="0"/>
              <w:rPr>
                <w:sz w:val="24"/>
                <w:szCs w:val="24"/>
                <w:color w:val="auto"/>
              </w:rPr>
            </w:pPr>
          </w:p>
        </w:tc>
        <w:tc>
          <w:tcPr>
            <w:tcW w:w="800" w:type="dxa"/>
            <w:vAlign w:val="bottom"/>
            <w:tcBorders>
              <w:bottom w:val="single" w:sz="8" w:color="6D6D6D"/>
              <w:right w:val="single" w:sz="8" w:color="6D6D6D"/>
            </w:tcBorders>
          </w:tcPr>
          <w:p>
            <w:pPr>
              <w:spacing w:after="0"/>
              <w:rPr>
                <w:sz w:val="24"/>
                <w:szCs w:val="24"/>
                <w:color w:val="auto"/>
              </w:rPr>
            </w:pPr>
          </w:p>
        </w:tc>
        <w:tc>
          <w:tcPr>
            <w:tcW w:w="500" w:type="dxa"/>
            <w:vAlign w:val="bottom"/>
            <w:tcBorders>
              <w:bottom w:val="single" w:sz="8" w:color="6D6D6D"/>
            </w:tcBorders>
          </w:tcPr>
          <w:p>
            <w:pPr>
              <w:spacing w:after="0"/>
              <w:rPr>
                <w:sz w:val="24"/>
                <w:szCs w:val="24"/>
                <w:color w:val="auto"/>
              </w:rPr>
            </w:pPr>
          </w:p>
        </w:tc>
        <w:tc>
          <w:tcPr>
            <w:tcW w:w="300" w:type="dxa"/>
            <w:vAlign w:val="bottom"/>
            <w:tcBorders>
              <w:bottom w:val="single" w:sz="8" w:color="6D6D6D"/>
              <w:right w:val="single" w:sz="8" w:color="6D6D6D"/>
            </w:tcBorders>
          </w:tcPr>
          <w:p>
            <w:pPr>
              <w:spacing w:after="0"/>
              <w:rPr>
                <w:sz w:val="24"/>
                <w:szCs w:val="24"/>
                <w:color w:val="auto"/>
              </w:rPr>
            </w:pPr>
          </w:p>
        </w:tc>
        <w:tc>
          <w:tcPr>
            <w:tcW w:w="920" w:type="dxa"/>
            <w:vAlign w:val="bottom"/>
            <w:tcBorders>
              <w:bottom w:val="single" w:sz="8" w:color="6D6D6D"/>
              <w:right w:val="single" w:sz="8" w:color="6D6D6D"/>
            </w:tcBorders>
          </w:tcPr>
          <w:p>
            <w:pPr>
              <w:spacing w:after="0"/>
              <w:rPr>
                <w:sz w:val="24"/>
                <w:szCs w:val="24"/>
                <w:color w:val="auto"/>
              </w:rPr>
            </w:pPr>
          </w:p>
        </w:tc>
        <w:tc>
          <w:tcPr>
            <w:tcW w:w="800" w:type="dxa"/>
            <w:vAlign w:val="bottom"/>
            <w:tcBorders>
              <w:bottom w:val="single" w:sz="8" w:color="6D6D6D"/>
              <w:right w:val="single" w:sz="8" w:color="6D6D6D"/>
            </w:tcBorders>
          </w:tcPr>
          <w:p>
            <w:pPr>
              <w:spacing w:after="0"/>
              <w:rPr>
                <w:sz w:val="24"/>
                <w:szCs w:val="24"/>
                <w:color w:val="auto"/>
              </w:rPr>
            </w:pPr>
          </w:p>
        </w:tc>
        <w:tc>
          <w:tcPr>
            <w:tcW w:w="800" w:type="dxa"/>
            <w:vAlign w:val="bottom"/>
            <w:tcBorders>
              <w:bottom w:val="single" w:sz="8" w:color="6D6D6D"/>
              <w:right w:val="single" w:sz="8" w:color="6D6D6D"/>
            </w:tcBorders>
          </w:tcPr>
          <w:p>
            <w:pPr>
              <w:spacing w:after="0"/>
              <w:rPr>
                <w:sz w:val="24"/>
                <w:szCs w:val="24"/>
                <w:color w:val="auto"/>
              </w:rPr>
            </w:pPr>
          </w:p>
        </w:tc>
        <w:tc>
          <w:tcPr>
            <w:tcW w:w="780" w:type="dxa"/>
            <w:vAlign w:val="bottom"/>
            <w:tcBorders>
              <w:bottom w:val="single" w:sz="8" w:color="6D6D6D"/>
              <w:right w:val="single" w:sz="8" w:color="6D6D6D"/>
            </w:tcBorders>
          </w:tcPr>
          <w:p>
            <w:pPr>
              <w:spacing w:after="0"/>
              <w:rPr>
                <w:sz w:val="24"/>
                <w:szCs w:val="24"/>
                <w:color w:val="auto"/>
              </w:rPr>
            </w:pPr>
          </w:p>
        </w:tc>
        <w:tc>
          <w:tcPr>
            <w:tcW w:w="800" w:type="dxa"/>
            <w:vAlign w:val="bottom"/>
            <w:tcBorders>
              <w:bottom w:val="single" w:sz="8" w:color="6D6D6D"/>
              <w:right w:val="single" w:sz="8" w:color="6D6D6D"/>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4740" w:type="dxa"/>
            <w:vAlign w:val="bottom"/>
            <w:tcBorders>
              <w:right w:val="single" w:sz="8" w:color="6D6D6D"/>
            </w:tcBorders>
          </w:tcPr>
          <w:p>
            <w:pPr>
              <w:spacing w:after="0"/>
              <w:rPr>
                <w:sz w:val="20"/>
                <w:szCs w:val="20"/>
                <w:color w:val="auto"/>
              </w:rPr>
            </w:pPr>
            <w:r>
              <w:rPr>
                <w:rFonts w:ascii="Arial" w:cs="Arial" w:eastAsia="Arial" w:hAnsi="Arial"/>
                <w:sz w:val="15"/>
                <w:szCs w:val="15"/>
                <w:b w:val="1"/>
                <w:bCs w:val="1"/>
                <w:color w:val="170D67"/>
              </w:rPr>
              <w:t>David DeWalt</w:t>
            </w:r>
          </w:p>
        </w:tc>
        <w:tc>
          <w:tcPr>
            <w:tcW w:w="800" w:type="dxa"/>
            <w:vAlign w:val="bottom"/>
            <w:tcBorders>
              <w:right w:val="single" w:sz="8" w:color="6D6D6D"/>
            </w:tcBorders>
            <w:vMerge w:val="restart"/>
          </w:tcPr>
          <w:p>
            <w:pPr>
              <w:jc w:val="center"/>
              <w:spacing w:after="0"/>
              <w:rPr>
                <w:sz w:val="20"/>
                <w:szCs w:val="20"/>
                <w:color w:val="auto"/>
              </w:rPr>
            </w:pPr>
            <w:r>
              <w:rPr>
                <w:rFonts w:ascii="Arial" w:cs="Arial" w:eastAsia="Arial" w:hAnsi="Arial"/>
                <w:sz w:val="16"/>
                <w:szCs w:val="16"/>
                <w:b w:val="1"/>
                <w:bCs w:val="1"/>
                <w:color w:val="170D67"/>
                <w:w w:val="98"/>
              </w:rPr>
              <w:t>0.1</w:t>
            </w:r>
          </w:p>
        </w:tc>
        <w:tc>
          <w:tcPr>
            <w:tcW w:w="500" w:type="dxa"/>
            <w:vAlign w:val="bottom"/>
            <w:vMerge w:val="restart"/>
          </w:tcPr>
          <w:p>
            <w:pPr>
              <w:jc w:val="right"/>
              <w:spacing w:after="0"/>
              <w:rPr>
                <w:sz w:val="20"/>
                <w:szCs w:val="20"/>
                <w:color w:val="auto"/>
              </w:rPr>
            </w:pPr>
            <w:r>
              <w:rPr>
                <w:rFonts w:ascii="Arial" w:cs="Arial" w:eastAsia="Arial" w:hAnsi="Arial"/>
                <w:sz w:val="16"/>
                <w:szCs w:val="16"/>
                <w:b w:val="1"/>
                <w:bCs w:val="1"/>
                <w:color w:val="170D67"/>
              </w:rPr>
              <w:t>60</w:t>
            </w:r>
          </w:p>
        </w:tc>
        <w:tc>
          <w:tcPr>
            <w:tcW w:w="300" w:type="dxa"/>
            <w:vAlign w:val="bottom"/>
            <w:tcBorders>
              <w:right w:val="single" w:sz="8" w:color="6D6D6D"/>
            </w:tcBorders>
          </w:tcPr>
          <w:p>
            <w:pPr>
              <w:spacing w:after="0"/>
              <w:rPr>
                <w:sz w:val="24"/>
                <w:szCs w:val="24"/>
                <w:color w:val="auto"/>
              </w:rPr>
            </w:pPr>
          </w:p>
        </w:tc>
        <w:tc>
          <w:tcPr>
            <w:tcW w:w="920" w:type="dxa"/>
            <w:vAlign w:val="bottom"/>
            <w:tcBorders>
              <w:right w:val="single" w:sz="8" w:color="6D6D6D"/>
            </w:tcBorders>
            <w:vMerge w:val="restart"/>
          </w:tcPr>
          <w:p>
            <w:pPr>
              <w:jc w:val="center"/>
              <w:spacing w:after="0"/>
              <w:rPr>
                <w:sz w:val="20"/>
                <w:szCs w:val="20"/>
                <w:color w:val="auto"/>
              </w:rPr>
            </w:pPr>
            <w:r>
              <w:rPr>
                <w:rFonts w:ascii="Arial" w:cs="Arial" w:eastAsia="Arial" w:hAnsi="Arial"/>
                <w:sz w:val="16"/>
                <w:szCs w:val="16"/>
                <w:color w:val="3A5CFF"/>
              </w:rPr>
              <w:t>●</w:t>
            </w:r>
          </w:p>
        </w:tc>
        <w:tc>
          <w:tcPr>
            <w:tcW w:w="800" w:type="dxa"/>
            <w:vAlign w:val="bottom"/>
            <w:tcBorders>
              <w:right w:val="single" w:sz="8" w:color="6D6D6D"/>
            </w:tcBorders>
          </w:tcPr>
          <w:p>
            <w:pPr>
              <w:spacing w:after="0"/>
              <w:rPr>
                <w:sz w:val="24"/>
                <w:szCs w:val="24"/>
                <w:color w:val="auto"/>
              </w:rPr>
            </w:pPr>
          </w:p>
        </w:tc>
        <w:tc>
          <w:tcPr>
            <w:tcW w:w="800" w:type="dxa"/>
            <w:vAlign w:val="bottom"/>
            <w:tcBorders>
              <w:right w:val="single" w:sz="8" w:color="6D6D6D"/>
            </w:tcBorders>
          </w:tcPr>
          <w:p>
            <w:pPr>
              <w:spacing w:after="0"/>
              <w:rPr>
                <w:sz w:val="24"/>
                <w:szCs w:val="24"/>
                <w:color w:val="auto"/>
              </w:rPr>
            </w:pPr>
          </w:p>
        </w:tc>
        <w:tc>
          <w:tcPr>
            <w:tcW w:w="780" w:type="dxa"/>
            <w:vAlign w:val="bottom"/>
            <w:tcBorders>
              <w:right w:val="single" w:sz="8" w:color="6D6D6D"/>
            </w:tcBorders>
          </w:tcPr>
          <w:p>
            <w:pPr>
              <w:spacing w:after="0"/>
              <w:rPr>
                <w:sz w:val="24"/>
                <w:szCs w:val="24"/>
                <w:color w:val="auto"/>
              </w:rPr>
            </w:pPr>
          </w:p>
        </w:tc>
        <w:tc>
          <w:tcPr>
            <w:tcW w:w="800" w:type="dxa"/>
            <w:vAlign w:val="bottom"/>
            <w:tcBorders>
              <w:right w:val="single" w:sz="8" w:color="6D6D6D"/>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740" w:type="dxa"/>
            <w:vAlign w:val="bottom"/>
            <w:tcBorders>
              <w:right w:val="single" w:sz="8" w:color="6D6D6D"/>
            </w:tcBorders>
          </w:tcPr>
          <w:p>
            <w:pPr>
              <w:spacing w:after="0"/>
              <w:rPr>
                <w:sz w:val="20"/>
                <w:szCs w:val="20"/>
                <w:color w:val="auto"/>
              </w:rPr>
            </w:pPr>
            <w:r>
              <w:rPr>
                <w:rFonts w:ascii="Arial" w:cs="Arial" w:eastAsia="Arial" w:hAnsi="Arial"/>
                <w:sz w:val="14"/>
                <w:szCs w:val="14"/>
                <w:color w:val="auto"/>
              </w:rPr>
              <w:t>Founder and CEO, NightDragon</w:t>
            </w:r>
          </w:p>
        </w:tc>
        <w:tc>
          <w:tcPr>
            <w:tcW w:w="800" w:type="dxa"/>
            <w:vAlign w:val="bottom"/>
            <w:tcBorders>
              <w:right w:val="single" w:sz="8" w:color="6D6D6D"/>
            </w:tcBorders>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300" w:type="dxa"/>
            <w:vAlign w:val="bottom"/>
            <w:tcBorders>
              <w:right w:val="single" w:sz="8" w:color="6D6D6D"/>
            </w:tcBorders>
          </w:tcPr>
          <w:p>
            <w:pPr>
              <w:spacing w:after="0"/>
              <w:rPr>
                <w:sz w:val="16"/>
                <w:szCs w:val="16"/>
                <w:color w:val="auto"/>
              </w:rPr>
            </w:pPr>
          </w:p>
        </w:tc>
        <w:tc>
          <w:tcPr>
            <w:tcW w:w="920" w:type="dxa"/>
            <w:vAlign w:val="bottom"/>
            <w:tcBorders>
              <w:right w:val="single" w:sz="8" w:color="6D6D6D"/>
            </w:tcBorders>
            <w:vMerge w:val="continue"/>
          </w:tcPr>
          <w:p>
            <w:pPr>
              <w:spacing w:after="0"/>
              <w:rPr>
                <w:sz w:val="16"/>
                <w:szCs w:val="16"/>
                <w:color w:val="auto"/>
              </w:rPr>
            </w:pPr>
          </w:p>
        </w:tc>
        <w:tc>
          <w:tcPr>
            <w:tcW w:w="800" w:type="dxa"/>
            <w:vAlign w:val="bottom"/>
            <w:tcBorders>
              <w:right w:val="single" w:sz="8" w:color="6D6D6D"/>
            </w:tcBorders>
          </w:tcPr>
          <w:p>
            <w:pPr>
              <w:spacing w:after="0"/>
              <w:rPr>
                <w:sz w:val="16"/>
                <w:szCs w:val="16"/>
                <w:color w:val="auto"/>
              </w:rPr>
            </w:pPr>
          </w:p>
        </w:tc>
        <w:tc>
          <w:tcPr>
            <w:tcW w:w="800" w:type="dxa"/>
            <w:vAlign w:val="bottom"/>
            <w:tcBorders>
              <w:right w:val="single" w:sz="8" w:color="6D6D6D"/>
            </w:tcBorders>
          </w:tcPr>
          <w:p>
            <w:pPr>
              <w:spacing w:after="0"/>
              <w:rPr>
                <w:sz w:val="16"/>
                <w:szCs w:val="16"/>
                <w:color w:val="auto"/>
              </w:rPr>
            </w:pPr>
          </w:p>
        </w:tc>
        <w:tc>
          <w:tcPr>
            <w:tcW w:w="780" w:type="dxa"/>
            <w:vAlign w:val="bottom"/>
            <w:tcBorders>
              <w:right w:val="single" w:sz="8" w:color="6D6D6D"/>
            </w:tcBorders>
          </w:tcPr>
          <w:p>
            <w:pPr>
              <w:spacing w:after="0"/>
              <w:rPr>
                <w:sz w:val="16"/>
                <w:szCs w:val="16"/>
                <w:color w:val="auto"/>
              </w:rPr>
            </w:pPr>
          </w:p>
        </w:tc>
        <w:tc>
          <w:tcPr>
            <w:tcW w:w="800" w:type="dxa"/>
            <w:vAlign w:val="bottom"/>
            <w:tcBorders>
              <w:right w:val="single" w:sz="8" w:color="6D6D6D"/>
            </w:tcBorders>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4740" w:type="dxa"/>
            <w:vAlign w:val="bottom"/>
            <w:tcBorders>
              <w:bottom w:val="single" w:sz="8" w:color="6D6D6D"/>
              <w:right w:val="single" w:sz="8" w:color="6D6D6D"/>
            </w:tcBorders>
          </w:tcPr>
          <w:p>
            <w:pPr>
              <w:spacing w:after="0"/>
              <w:rPr>
                <w:sz w:val="24"/>
                <w:szCs w:val="24"/>
                <w:color w:val="auto"/>
              </w:rPr>
            </w:pPr>
          </w:p>
        </w:tc>
        <w:tc>
          <w:tcPr>
            <w:tcW w:w="800" w:type="dxa"/>
            <w:vAlign w:val="bottom"/>
            <w:tcBorders>
              <w:bottom w:val="single" w:sz="8" w:color="6D6D6D"/>
              <w:right w:val="single" w:sz="8" w:color="6D6D6D"/>
            </w:tcBorders>
          </w:tcPr>
          <w:p>
            <w:pPr>
              <w:spacing w:after="0"/>
              <w:rPr>
                <w:sz w:val="24"/>
                <w:szCs w:val="24"/>
                <w:color w:val="auto"/>
              </w:rPr>
            </w:pPr>
          </w:p>
        </w:tc>
        <w:tc>
          <w:tcPr>
            <w:tcW w:w="500" w:type="dxa"/>
            <w:vAlign w:val="bottom"/>
            <w:tcBorders>
              <w:bottom w:val="single" w:sz="8" w:color="6D6D6D"/>
            </w:tcBorders>
          </w:tcPr>
          <w:p>
            <w:pPr>
              <w:spacing w:after="0"/>
              <w:rPr>
                <w:sz w:val="24"/>
                <w:szCs w:val="24"/>
                <w:color w:val="auto"/>
              </w:rPr>
            </w:pPr>
          </w:p>
        </w:tc>
        <w:tc>
          <w:tcPr>
            <w:tcW w:w="300" w:type="dxa"/>
            <w:vAlign w:val="bottom"/>
            <w:tcBorders>
              <w:bottom w:val="single" w:sz="8" w:color="6D6D6D"/>
              <w:right w:val="single" w:sz="8" w:color="6D6D6D"/>
            </w:tcBorders>
          </w:tcPr>
          <w:p>
            <w:pPr>
              <w:spacing w:after="0"/>
              <w:rPr>
                <w:sz w:val="24"/>
                <w:szCs w:val="24"/>
                <w:color w:val="auto"/>
              </w:rPr>
            </w:pPr>
          </w:p>
        </w:tc>
        <w:tc>
          <w:tcPr>
            <w:tcW w:w="920" w:type="dxa"/>
            <w:vAlign w:val="bottom"/>
            <w:tcBorders>
              <w:bottom w:val="single" w:sz="8" w:color="6D6D6D"/>
              <w:right w:val="single" w:sz="8" w:color="6D6D6D"/>
            </w:tcBorders>
          </w:tcPr>
          <w:p>
            <w:pPr>
              <w:spacing w:after="0"/>
              <w:rPr>
                <w:sz w:val="24"/>
                <w:szCs w:val="24"/>
                <w:color w:val="auto"/>
              </w:rPr>
            </w:pPr>
          </w:p>
        </w:tc>
        <w:tc>
          <w:tcPr>
            <w:tcW w:w="800" w:type="dxa"/>
            <w:vAlign w:val="bottom"/>
            <w:tcBorders>
              <w:bottom w:val="single" w:sz="8" w:color="6D6D6D"/>
              <w:right w:val="single" w:sz="8" w:color="6D6D6D"/>
            </w:tcBorders>
          </w:tcPr>
          <w:p>
            <w:pPr>
              <w:spacing w:after="0"/>
              <w:rPr>
                <w:sz w:val="24"/>
                <w:szCs w:val="24"/>
                <w:color w:val="auto"/>
              </w:rPr>
            </w:pPr>
          </w:p>
        </w:tc>
        <w:tc>
          <w:tcPr>
            <w:tcW w:w="800" w:type="dxa"/>
            <w:vAlign w:val="bottom"/>
            <w:tcBorders>
              <w:bottom w:val="single" w:sz="8" w:color="6D6D6D"/>
              <w:right w:val="single" w:sz="8" w:color="6D6D6D"/>
            </w:tcBorders>
          </w:tcPr>
          <w:p>
            <w:pPr>
              <w:spacing w:after="0"/>
              <w:rPr>
                <w:sz w:val="24"/>
                <w:szCs w:val="24"/>
                <w:color w:val="auto"/>
              </w:rPr>
            </w:pPr>
          </w:p>
        </w:tc>
        <w:tc>
          <w:tcPr>
            <w:tcW w:w="780" w:type="dxa"/>
            <w:vAlign w:val="bottom"/>
            <w:tcBorders>
              <w:bottom w:val="single" w:sz="8" w:color="6D6D6D"/>
              <w:right w:val="single" w:sz="8" w:color="6D6D6D"/>
            </w:tcBorders>
          </w:tcPr>
          <w:p>
            <w:pPr>
              <w:spacing w:after="0"/>
              <w:rPr>
                <w:sz w:val="24"/>
                <w:szCs w:val="24"/>
                <w:color w:val="auto"/>
              </w:rPr>
            </w:pPr>
          </w:p>
        </w:tc>
        <w:tc>
          <w:tcPr>
            <w:tcW w:w="800" w:type="dxa"/>
            <w:vAlign w:val="bottom"/>
            <w:tcBorders>
              <w:bottom w:val="single" w:sz="8" w:color="6D6D6D"/>
              <w:right w:val="single" w:sz="8" w:color="6D6D6D"/>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740" w:type="dxa"/>
            <w:vAlign w:val="bottom"/>
            <w:tcBorders>
              <w:right w:val="single" w:sz="8" w:color="6D6D6D"/>
            </w:tcBorders>
          </w:tcPr>
          <w:p>
            <w:pPr>
              <w:spacing w:after="0"/>
              <w:rPr>
                <w:sz w:val="20"/>
                <w:szCs w:val="20"/>
                <w:color w:val="auto"/>
              </w:rPr>
            </w:pPr>
            <w:r>
              <w:rPr>
                <w:rFonts w:ascii="Arial" w:cs="Arial" w:eastAsia="Arial" w:hAnsi="Arial"/>
                <w:sz w:val="15"/>
                <w:szCs w:val="15"/>
                <w:b w:val="1"/>
                <w:bCs w:val="1"/>
                <w:color w:val="170D67"/>
              </w:rPr>
              <w:t>Linda Jojo</w:t>
            </w:r>
          </w:p>
        </w:tc>
        <w:tc>
          <w:tcPr>
            <w:tcW w:w="800" w:type="dxa"/>
            <w:vAlign w:val="bottom"/>
            <w:tcBorders>
              <w:right w:val="single" w:sz="8" w:color="6D6D6D"/>
            </w:tcBorders>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Borders>
              <w:right w:val="single" w:sz="8" w:color="6D6D6D"/>
            </w:tcBorders>
          </w:tcPr>
          <w:p>
            <w:pPr>
              <w:spacing w:after="0"/>
              <w:rPr>
                <w:sz w:val="20"/>
                <w:szCs w:val="20"/>
                <w:color w:val="auto"/>
              </w:rPr>
            </w:pPr>
          </w:p>
        </w:tc>
        <w:tc>
          <w:tcPr>
            <w:tcW w:w="920" w:type="dxa"/>
            <w:vAlign w:val="bottom"/>
            <w:tcBorders>
              <w:right w:val="single" w:sz="8" w:color="6D6D6D"/>
            </w:tcBorders>
          </w:tcPr>
          <w:p>
            <w:pPr>
              <w:spacing w:after="0"/>
              <w:rPr>
                <w:sz w:val="20"/>
                <w:szCs w:val="20"/>
                <w:color w:val="auto"/>
              </w:rPr>
            </w:pPr>
          </w:p>
        </w:tc>
        <w:tc>
          <w:tcPr>
            <w:tcW w:w="800" w:type="dxa"/>
            <w:vAlign w:val="bottom"/>
            <w:tcBorders>
              <w:right w:val="single" w:sz="8" w:color="6D6D6D"/>
            </w:tcBorders>
          </w:tcPr>
          <w:p>
            <w:pPr>
              <w:spacing w:after="0"/>
              <w:rPr>
                <w:sz w:val="20"/>
                <w:szCs w:val="20"/>
                <w:color w:val="auto"/>
              </w:rPr>
            </w:pPr>
          </w:p>
        </w:tc>
        <w:tc>
          <w:tcPr>
            <w:tcW w:w="800" w:type="dxa"/>
            <w:vAlign w:val="bottom"/>
            <w:tcBorders>
              <w:right w:val="single" w:sz="8" w:color="6D6D6D"/>
            </w:tcBorders>
          </w:tcPr>
          <w:p>
            <w:pPr>
              <w:spacing w:after="0"/>
              <w:rPr>
                <w:sz w:val="20"/>
                <w:szCs w:val="20"/>
                <w:color w:val="auto"/>
              </w:rPr>
            </w:pPr>
          </w:p>
        </w:tc>
        <w:tc>
          <w:tcPr>
            <w:tcW w:w="780" w:type="dxa"/>
            <w:vAlign w:val="bottom"/>
            <w:tcBorders>
              <w:right w:val="single" w:sz="8" w:color="6D6D6D"/>
            </w:tcBorders>
          </w:tcPr>
          <w:p>
            <w:pPr>
              <w:spacing w:after="0"/>
              <w:rPr>
                <w:sz w:val="20"/>
                <w:szCs w:val="20"/>
                <w:color w:val="auto"/>
              </w:rPr>
            </w:pPr>
          </w:p>
        </w:tc>
        <w:tc>
          <w:tcPr>
            <w:tcW w:w="800" w:type="dxa"/>
            <w:vAlign w:val="bottom"/>
            <w:tcBorders>
              <w:right w:val="single" w:sz="8" w:color="6D6D6D"/>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40" w:type="dxa"/>
            <w:vAlign w:val="bottom"/>
            <w:tcBorders>
              <w:right w:val="single" w:sz="8" w:color="6D6D6D"/>
            </w:tcBorders>
          </w:tcPr>
          <w:p>
            <w:pPr>
              <w:spacing w:after="0"/>
              <w:rPr>
                <w:sz w:val="20"/>
                <w:szCs w:val="20"/>
                <w:color w:val="auto"/>
              </w:rPr>
            </w:pPr>
            <w:r>
              <w:rPr>
                <w:rFonts w:ascii="Arial" w:cs="Arial" w:eastAsia="Arial" w:hAnsi="Arial"/>
                <w:sz w:val="14"/>
                <w:szCs w:val="14"/>
                <w:color w:val="auto"/>
              </w:rPr>
              <w:t>Former Executive Vice President, Chief Customer Officer, United Airlines</w:t>
            </w:r>
          </w:p>
        </w:tc>
        <w:tc>
          <w:tcPr>
            <w:tcW w:w="800" w:type="dxa"/>
            <w:vAlign w:val="bottom"/>
            <w:tcBorders>
              <w:right w:val="single" w:sz="8" w:color="6D6D6D"/>
            </w:tcBorders>
          </w:tcPr>
          <w:p>
            <w:pPr>
              <w:jc w:val="center"/>
              <w:spacing w:after="0"/>
              <w:rPr>
                <w:sz w:val="20"/>
                <w:szCs w:val="20"/>
                <w:color w:val="auto"/>
              </w:rPr>
            </w:pPr>
            <w:r>
              <w:rPr>
                <w:rFonts w:ascii="Arial" w:cs="Arial" w:eastAsia="Arial" w:hAnsi="Arial"/>
                <w:sz w:val="16"/>
                <w:szCs w:val="16"/>
                <w:b w:val="1"/>
                <w:bCs w:val="1"/>
                <w:color w:val="170D67"/>
                <w:w w:val="98"/>
              </w:rPr>
              <w:t>9.6</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170D67"/>
              </w:rPr>
              <w:t>59</w:t>
            </w:r>
          </w:p>
        </w:tc>
        <w:tc>
          <w:tcPr>
            <w:tcW w:w="300" w:type="dxa"/>
            <w:vAlign w:val="bottom"/>
            <w:tcBorders>
              <w:right w:val="single" w:sz="8" w:color="6D6D6D"/>
            </w:tcBorders>
          </w:tcPr>
          <w:p>
            <w:pPr>
              <w:spacing w:after="0"/>
              <w:rPr>
                <w:sz w:val="17"/>
                <w:szCs w:val="17"/>
                <w:color w:val="auto"/>
              </w:rPr>
            </w:pPr>
          </w:p>
        </w:tc>
        <w:tc>
          <w:tcPr>
            <w:tcW w:w="920" w:type="dxa"/>
            <w:vAlign w:val="bottom"/>
            <w:tcBorders>
              <w:right w:val="single" w:sz="8" w:color="6D6D6D"/>
            </w:tcBorders>
          </w:tcPr>
          <w:p>
            <w:pPr>
              <w:jc w:val="center"/>
              <w:spacing w:after="0"/>
              <w:rPr>
                <w:sz w:val="20"/>
                <w:szCs w:val="20"/>
                <w:color w:val="auto"/>
              </w:rPr>
            </w:pPr>
            <w:r>
              <w:rPr>
                <w:rFonts w:ascii="Arial" w:cs="Arial" w:eastAsia="Arial" w:hAnsi="Arial"/>
                <w:sz w:val="16"/>
                <w:szCs w:val="16"/>
                <w:color w:val="3A5CFF"/>
              </w:rPr>
              <w:t>●</w:t>
            </w:r>
          </w:p>
        </w:tc>
        <w:tc>
          <w:tcPr>
            <w:tcW w:w="800" w:type="dxa"/>
            <w:vAlign w:val="bottom"/>
            <w:tcBorders>
              <w:right w:val="single" w:sz="8" w:color="6D6D6D"/>
            </w:tcBorders>
          </w:tcPr>
          <w:p>
            <w:pPr>
              <w:jc w:val="center"/>
              <w:spacing w:after="0"/>
              <w:rPr>
                <w:sz w:val="20"/>
                <w:szCs w:val="20"/>
                <w:color w:val="auto"/>
              </w:rPr>
            </w:pPr>
            <w:r>
              <w:rPr>
                <w:rFonts w:ascii="Arial" w:cs="Arial" w:eastAsia="Arial" w:hAnsi="Arial"/>
                <w:sz w:val="16"/>
                <w:szCs w:val="16"/>
                <w:color w:val="170D67"/>
              </w:rPr>
              <w:t>●</w:t>
            </w:r>
          </w:p>
        </w:tc>
        <w:tc>
          <w:tcPr>
            <w:tcW w:w="800" w:type="dxa"/>
            <w:vAlign w:val="bottom"/>
            <w:tcBorders>
              <w:right w:val="single" w:sz="8" w:color="6D6D6D"/>
            </w:tcBorders>
          </w:tcPr>
          <w:p>
            <w:pPr>
              <w:jc w:val="center"/>
              <w:spacing w:after="0"/>
              <w:rPr>
                <w:sz w:val="20"/>
                <w:szCs w:val="20"/>
                <w:color w:val="auto"/>
              </w:rPr>
            </w:pPr>
            <w:r>
              <w:rPr>
                <w:rFonts w:ascii="Arial" w:cs="Arial" w:eastAsia="Arial" w:hAnsi="Arial"/>
                <w:sz w:val="16"/>
                <w:szCs w:val="16"/>
                <w:b w:val="1"/>
                <w:bCs w:val="1"/>
                <w:color w:val="170D67"/>
                <w:w w:val="97"/>
              </w:rPr>
              <w:t>Chair</w:t>
            </w:r>
          </w:p>
        </w:tc>
        <w:tc>
          <w:tcPr>
            <w:tcW w:w="780" w:type="dxa"/>
            <w:vAlign w:val="bottom"/>
            <w:tcBorders>
              <w:right w:val="single" w:sz="8" w:color="6D6D6D"/>
            </w:tcBorders>
          </w:tcPr>
          <w:p>
            <w:pPr>
              <w:spacing w:after="0"/>
              <w:rPr>
                <w:sz w:val="17"/>
                <w:szCs w:val="17"/>
                <w:color w:val="auto"/>
              </w:rPr>
            </w:pPr>
          </w:p>
        </w:tc>
        <w:tc>
          <w:tcPr>
            <w:tcW w:w="800" w:type="dxa"/>
            <w:vAlign w:val="bottom"/>
            <w:tcBorders>
              <w:right w:val="single" w:sz="8" w:color="6D6D6D"/>
            </w:tcBorders>
          </w:tcPr>
          <w:p>
            <w:pPr>
              <w:jc w:val="center"/>
              <w:spacing w:after="0"/>
              <w:rPr>
                <w:sz w:val="20"/>
                <w:szCs w:val="20"/>
                <w:color w:val="auto"/>
              </w:rPr>
            </w:pPr>
            <w:r>
              <w:rPr>
                <w:rFonts w:ascii="Arial" w:cs="Arial" w:eastAsia="Arial" w:hAnsi="Arial"/>
                <w:sz w:val="16"/>
                <w:szCs w:val="16"/>
                <w:color w:val="170D67"/>
              </w:rPr>
              <w:t>●</w:t>
            </w:r>
          </w:p>
        </w:tc>
        <w:tc>
          <w:tcPr>
            <w:tcW w:w="0" w:type="dxa"/>
            <w:vAlign w:val="bottom"/>
          </w:tcPr>
          <w:p>
            <w:pPr>
              <w:spacing w:after="0"/>
              <w:rPr>
                <w:sz w:val="1"/>
                <w:szCs w:val="1"/>
                <w:color w:val="auto"/>
              </w:rPr>
            </w:pPr>
          </w:p>
        </w:tc>
      </w:tr>
      <w:tr>
        <w:trPr>
          <w:trHeight w:val="190"/>
        </w:trPr>
        <w:tc>
          <w:tcPr>
            <w:tcW w:w="4740" w:type="dxa"/>
            <w:vAlign w:val="bottom"/>
            <w:tcBorders>
              <w:right w:val="single" w:sz="8" w:color="6D6D6D"/>
            </w:tcBorders>
          </w:tcPr>
          <w:p>
            <w:pPr>
              <w:spacing w:after="0"/>
              <w:rPr>
                <w:sz w:val="20"/>
                <w:szCs w:val="20"/>
                <w:color w:val="auto"/>
              </w:rPr>
            </w:pPr>
            <w:r>
              <w:rPr>
                <w:rFonts w:ascii="Arial" w:cs="Arial" w:eastAsia="Arial" w:hAnsi="Arial"/>
                <w:sz w:val="14"/>
                <w:szCs w:val="14"/>
                <w:color w:val="auto"/>
              </w:rPr>
              <w:t>Holdings, Inc.</w:t>
            </w:r>
          </w:p>
        </w:tc>
        <w:tc>
          <w:tcPr>
            <w:tcW w:w="800" w:type="dxa"/>
            <w:vAlign w:val="bottom"/>
            <w:tcBorders>
              <w:right w:val="single" w:sz="8" w:color="6D6D6D"/>
            </w:tcBorders>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Borders>
              <w:right w:val="single" w:sz="8" w:color="6D6D6D"/>
            </w:tcBorders>
          </w:tcPr>
          <w:p>
            <w:pPr>
              <w:spacing w:after="0"/>
              <w:rPr>
                <w:sz w:val="16"/>
                <w:szCs w:val="16"/>
                <w:color w:val="auto"/>
              </w:rPr>
            </w:pPr>
          </w:p>
        </w:tc>
        <w:tc>
          <w:tcPr>
            <w:tcW w:w="920" w:type="dxa"/>
            <w:vAlign w:val="bottom"/>
            <w:tcBorders>
              <w:right w:val="single" w:sz="8" w:color="6D6D6D"/>
            </w:tcBorders>
          </w:tcPr>
          <w:p>
            <w:pPr>
              <w:spacing w:after="0"/>
              <w:rPr>
                <w:sz w:val="16"/>
                <w:szCs w:val="16"/>
                <w:color w:val="auto"/>
              </w:rPr>
            </w:pPr>
          </w:p>
        </w:tc>
        <w:tc>
          <w:tcPr>
            <w:tcW w:w="800" w:type="dxa"/>
            <w:vAlign w:val="bottom"/>
            <w:tcBorders>
              <w:right w:val="single" w:sz="8" w:color="6D6D6D"/>
            </w:tcBorders>
          </w:tcPr>
          <w:p>
            <w:pPr>
              <w:spacing w:after="0"/>
              <w:rPr>
                <w:sz w:val="16"/>
                <w:szCs w:val="16"/>
                <w:color w:val="auto"/>
              </w:rPr>
            </w:pPr>
          </w:p>
        </w:tc>
        <w:tc>
          <w:tcPr>
            <w:tcW w:w="800" w:type="dxa"/>
            <w:vAlign w:val="bottom"/>
            <w:tcBorders>
              <w:right w:val="single" w:sz="8" w:color="6D6D6D"/>
            </w:tcBorders>
          </w:tcPr>
          <w:p>
            <w:pPr>
              <w:spacing w:after="0"/>
              <w:rPr>
                <w:sz w:val="16"/>
                <w:szCs w:val="16"/>
                <w:color w:val="auto"/>
              </w:rPr>
            </w:pPr>
          </w:p>
        </w:tc>
        <w:tc>
          <w:tcPr>
            <w:tcW w:w="780" w:type="dxa"/>
            <w:vAlign w:val="bottom"/>
            <w:tcBorders>
              <w:right w:val="single" w:sz="8" w:color="6D6D6D"/>
            </w:tcBorders>
          </w:tcPr>
          <w:p>
            <w:pPr>
              <w:spacing w:after="0"/>
              <w:rPr>
                <w:sz w:val="16"/>
                <w:szCs w:val="16"/>
                <w:color w:val="auto"/>
              </w:rPr>
            </w:pPr>
          </w:p>
        </w:tc>
        <w:tc>
          <w:tcPr>
            <w:tcW w:w="800" w:type="dxa"/>
            <w:vAlign w:val="bottom"/>
            <w:tcBorders>
              <w:right w:val="single" w:sz="8" w:color="6D6D6D"/>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740" w:type="dxa"/>
            <w:vAlign w:val="bottom"/>
            <w:tcBorders>
              <w:bottom w:val="single" w:sz="8" w:color="6D6D6D"/>
              <w:right w:val="single" w:sz="8" w:color="6D6D6D"/>
            </w:tcBorders>
          </w:tcPr>
          <w:p>
            <w:pPr>
              <w:spacing w:after="0"/>
              <w:rPr>
                <w:sz w:val="15"/>
                <w:szCs w:val="15"/>
                <w:color w:val="auto"/>
              </w:rPr>
            </w:pPr>
          </w:p>
        </w:tc>
        <w:tc>
          <w:tcPr>
            <w:tcW w:w="800" w:type="dxa"/>
            <w:vAlign w:val="bottom"/>
            <w:tcBorders>
              <w:bottom w:val="single" w:sz="8" w:color="6D6D6D"/>
              <w:right w:val="single" w:sz="8" w:color="6D6D6D"/>
            </w:tcBorders>
          </w:tcPr>
          <w:p>
            <w:pPr>
              <w:spacing w:after="0"/>
              <w:rPr>
                <w:sz w:val="15"/>
                <w:szCs w:val="15"/>
                <w:color w:val="auto"/>
              </w:rPr>
            </w:pPr>
          </w:p>
        </w:tc>
        <w:tc>
          <w:tcPr>
            <w:tcW w:w="500" w:type="dxa"/>
            <w:vAlign w:val="bottom"/>
            <w:tcBorders>
              <w:bottom w:val="single" w:sz="8" w:color="6D6D6D"/>
            </w:tcBorders>
          </w:tcPr>
          <w:p>
            <w:pPr>
              <w:spacing w:after="0"/>
              <w:rPr>
                <w:sz w:val="15"/>
                <w:szCs w:val="15"/>
                <w:color w:val="auto"/>
              </w:rPr>
            </w:pPr>
          </w:p>
        </w:tc>
        <w:tc>
          <w:tcPr>
            <w:tcW w:w="300" w:type="dxa"/>
            <w:vAlign w:val="bottom"/>
            <w:tcBorders>
              <w:bottom w:val="single" w:sz="8" w:color="6D6D6D"/>
              <w:right w:val="single" w:sz="8" w:color="6D6D6D"/>
            </w:tcBorders>
          </w:tcPr>
          <w:p>
            <w:pPr>
              <w:spacing w:after="0"/>
              <w:rPr>
                <w:sz w:val="15"/>
                <w:szCs w:val="15"/>
                <w:color w:val="auto"/>
              </w:rPr>
            </w:pPr>
          </w:p>
        </w:tc>
        <w:tc>
          <w:tcPr>
            <w:tcW w:w="920" w:type="dxa"/>
            <w:vAlign w:val="bottom"/>
            <w:tcBorders>
              <w:bottom w:val="single" w:sz="8" w:color="6D6D6D"/>
              <w:right w:val="single" w:sz="8" w:color="6D6D6D"/>
            </w:tcBorders>
          </w:tcPr>
          <w:p>
            <w:pPr>
              <w:spacing w:after="0"/>
              <w:rPr>
                <w:sz w:val="15"/>
                <w:szCs w:val="15"/>
                <w:color w:val="auto"/>
              </w:rPr>
            </w:pPr>
          </w:p>
        </w:tc>
        <w:tc>
          <w:tcPr>
            <w:tcW w:w="800" w:type="dxa"/>
            <w:vAlign w:val="bottom"/>
            <w:tcBorders>
              <w:bottom w:val="single" w:sz="8" w:color="6D6D6D"/>
              <w:right w:val="single" w:sz="8" w:color="6D6D6D"/>
            </w:tcBorders>
          </w:tcPr>
          <w:p>
            <w:pPr>
              <w:spacing w:after="0"/>
              <w:rPr>
                <w:sz w:val="15"/>
                <w:szCs w:val="15"/>
                <w:color w:val="auto"/>
              </w:rPr>
            </w:pPr>
          </w:p>
        </w:tc>
        <w:tc>
          <w:tcPr>
            <w:tcW w:w="800" w:type="dxa"/>
            <w:vAlign w:val="bottom"/>
            <w:tcBorders>
              <w:bottom w:val="single" w:sz="8" w:color="6D6D6D"/>
              <w:right w:val="single" w:sz="8" w:color="6D6D6D"/>
            </w:tcBorders>
          </w:tcPr>
          <w:p>
            <w:pPr>
              <w:spacing w:after="0"/>
              <w:rPr>
                <w:sz w:val="15"/>
                <w:szCs w:val="15"/>
                <w:color w:val="auto"/>
              </w:rPr>
            </w:pPr>
          </w:p>
        </w:tc>
        <w:tc>
          <w:tcPr>
            <w:tcW w:w="780" w:type="dxa"/>
            <w:vAlign w:val="bottom"/>
            <w:tcBorders>
              <w:bottom w:val="single" w:sz="8" w:color="6D6D6D"/>
              <w:right w:val="single" w:sz="8" w:color="6D6D6D"/>
            </w:tcBorders>
          </w:tcPr>
          <w:p>
            <w:pPr>
              <w:spacing w:after="0"/>
              <w:rPr>
                <w:sz w:val="15"/>
                <w:szCs w:val="15"/>
                <w:color w:val="auto"/>
              </w:rPr>
            </w:pPr>
          </w:p>
        </w:tc>
        <w:tc>
          <w:tcPr>
            <w:tcW w:w="800" w:type="dxa"/>
            <w:vAlign w:val="bottom"/>
            <w:tcBorders>
              <w:bottom w:val="single" w:sz="8" w:color="6D6D6D"/>
              <w:right w:val="single" w:sz="8" w:color="6D6D6D"/>
            </w:tcBorders>
          </w:tcPr>
          <w:p>
            <w:pPr>
              <w:spacing w:after="0"/>
              <w:rPr>
                <w:sz w:val="15"/>
                <w:szCs w:val="15"/>
                <w:color w:val="auto"/>
              </w:rPr>
            </w:pPr>
          </w:p>
        </w:tc>
        <w:tc>
          <w:tcPr>
            <w:tcW w:w="0" w:type="dxa"/>
            <w:vAlign w:val="bottom"/>
          </w:tcPr>
          <w:p>
            <w:pPr>
              <w:spacing w:after="0"/>
              <w:rPr>
                <w:sz w:val="1"/>
                <w:szCs w:val="1"/>
                <w:color w:val="auto"/>
              </w:rPr>
            </w:pPr>
          </w:p>
        </w:tc>
      </w:tr>
      <w:tr>
        <w:trPr>
          <w:trHeight w:val="376"/>
        </w:trPr>
        <w:tc>
          <w:tcPr>
            <w:tcW w:w="4740" w:type="dxa"/>
            <w:vAlign w:val="bottom"/>
            <w:tcBorders>
              <w:right w:val="single" w:sz="8" w:color="6D6D6D"/>
            </w:tcBorders>
          </w:tcPr>
          <w:p>
            <w:pPr>
              <w:spacing w:after="0"/>
              <w:rPr>
                <w:sz w:val="20"/>
                <w:szCs w:val="20"/>
                <w:color w:val="auto"/>
              </w:rPr>
            </w:pPr>
            <w:r>
              <w:rPr>
                <w:rFonts w:ascii="Arial" w:cs="Arial" w:eastAsia="Arial" w:hAnsi="Arial"/>
                <w:sz w:val="15"/>
                <w:szCs w:val="15"/>
                <w:b w:val="1"/>
                <w:bCs w:val="1"/>
                <w:color w:val="170D67"/>
              </w:rPr>
              <w:t>Charisse Lillie</w:t>
            </w:r>
          </w:p>
        </w:tc>
        <w:tc>
          <w:tcPr>
            <w:tcW w:w="800" w:type="dxa"/>
            <w:vAlign w:val="bottom"/>
            <w:tcBorders>
              <w:right w:val="single" w:sz="8" w:color="6D6D6D"/>
            </w:tcBorders>
            <w:vMerge w:val="restart"/>
          </w:tcPr>
          <w:p>
            <w:pPr>
              <w:jc w:val="center"/>
              <w:spacing w:after="0"/>
              <w:rPr>
                <w:sz w:val="20"/>
                <w:szCs w:val="20"/>
                <w:color w:val="auto"/>
              </w:rPr>
            </w:pPr>
            <w:r>
              <w:rPr>
                <w:rFonts w:ascii="Arial" w:cs="Arial" w:eastAsia="Arial" w:hAnsi="Arial"/>
                <w:sz w:val="16"/>
                <w:szCs w:val="16"/>
                <w:b w:val="1"/>
                <w:bCs w:val="1"/>
                <w:color w:val="170D67"/>
                <w:w w:val="98"/>
              </w:rPr>
              <w:t>2.0</w:t>
            </w:r>
          </w:p>
        </w:tc>
        <w:tc>
          <w:tcPr>
            <w:tcW w:w="500" w:type="dxa"/>
            <w:vAlign w:val="bottom"/>
            <w:vMerge w:val="restart"/>
          </w:tcPr>
          <w:p>
            <w:pPr>
              <w:jc w:val="right"/>
              <w:spacing w:after="0"/>
              <w:rPr>
                <w:sz w:val="20"/>
                <w:szCs w:val="20"/>
                <w:color w:val="auto"/>
              </w:rPr>
            </w:pPr>
            <w:r>
              <w:rPr>
                <w:rFonts w:ascii="Arial" w:cs="Arial" w:eastAsia="Arial" w:hAnsi="Arial"/>
                <w:sz w:val="16"/>
                <w:szCs w:val="16"/>
                <w:b w:val="1"/>
                <w:bCs w:val="1"/>
                <w:color w:val="170D67"/>
              </w:rPr>
              <w:t>73</w:t>
            </w:r>
          </w:p>
        </w:tc>
        <w:tc>
          <w:tcPr>
            <w:tcW w:w="300" w:type="dxa"/>
            <w:vAlign w:val="bottom"/>
            <w:tcBorders>
              <w:right w:val="single" w:sz="8" w:color="6D6D6D"/>
            </w:tcBorders>
          </w:tcPr>
          <w:p>
            <w:pPr>
              <w:spacing w:after="0"/>
              <w:rPr>
                <w:sz w:val="24"/>
                <w:szCs w:val="24"/>
                <w:color w:val="auto"/>
              </w:rPr>
            </w:pPr>
          </w:p>
        </w:tc>
        <w:tc>
          <w:tcPr>
            <w:tcW w:w="920" w:type="dxa"/>
            <w:vAlign w:val="bottom"/>
            <w:tcBorders>
              <w:right w:val="single" w:sz="8" w:color="6D6D6D"/>
            </w:tcBorders>
            <w:vMerge w:val="restart"/>
          </w:tcPr>
          <w:p>
            <w:pPr>
              <w:jc w:val="center"/>
              <w:spacing w:after="0"/>
              <w:rPr>
                <w:sz w:val="20"/>
                <w:szCs w:val="20"/>
                <w:color w:val="auto"/>
              </w:rPr>
            </w:pPr>
            <w:r>
              <w:rPr>
                <w:rFonts w:ascii="Arial" w:cs="Arial" w:eastAsia="Arial" w:hAnsi="Arial"/>
                <w:sz w:val="16"/>
                <w:szCs w:val="16"/>
                <w:color w:val="3A5CFF"/>
              </w:rPr>
              <w:t>●</w:t>
            </w:r>
          </w:p>
        </w:tc>
        <w:tc>
          <w:tcPr>
            <w:tcW w:w="800" w:type="dxa"/>
            <w:vAlign w:val="bottom"/>
            <w:tcBorders>
              <w:right w:val="single" w:sz="8" w:color="6D6D6D"/>
            </w:tcBorders>
          </w:tcPr>
          <w:p>
            <w:pPr>
              <w:spacing w:after="0"/>
              <w:rPr>
                <w:sz w:val="24"/>
                <w:szCs w:val="24"/>
                <w:color w:val="auto"/>
              </w:rPr>
            </w:pPr>
          </w:p>
        </w:tc>
        <w:tc>
          <w:tcPr>
            <w:tcW w:w="800" w:type="dxa"/>
            <w:vAlign w:val="bottom"/>
            <w:tcBorders>
              <w:right w:val="single" w:sz="8" w:color="6D6D6D"/>
            </w:tcBorders>
          </w:tcPr>
          <w:p>
            <w:pPr>
              <w:spacing w:after="0"/>
              <w:rPr>
                <w:sz w:val="24"/>
                <w:szCs w:val="24"/>
                <w:color w:val="auto"/>
              </w:rPr>
            </w:pPr>
          </w:p>
        </w:tc>
        <w:tc>
          <w:tcPr>
            <w:tcW w:w="780" w:type="dxa"/>
            <w:vAlign w:val="bottom"/>
            <w:tcBorders>
              <w:right w:val="single" w:sz="8" w:color="6D6D6D"/>
            </w:tcBorders>
            <w:vMerge w:val="restart"/>
          </w:tcPr>
          <w:p>
            <w:pPr>
              <w:jc w:val="center"/>
              <w:spacing w:after="0"/>
              <w:rPr>
                <w:sz w:val="20"/>
                <w:szCs w:val="20"/>
                <w:color w:val="auto"/>
              </w:rPr>
            </w:pPr>
            <w:r>
              <w:rPr>
                <w:rFonts w:ascii="Arial" w:cs="Arial" w:eastAsia="Arial" w:hAnsi="Arial"/>
                <w:sz w:val="16"/>
                <w:szCs w:val="16"/>
                <w:color w:val="170D67"/>
              </w:rPr>
              <w:t>●</w:t>
            </w:r>
          </w:p>
        </w:tc>
        <w:tc>
          <w:tcPr>
            <w:tcW w:w="800" w:type="dxa"/>
            <w:vAlign w:val="bottom"/>
            <w:tcBorders>
              <w:right w:val="single" w:sz="8" w:color="6D6D6D"/>
            </w:tcBorders>
            <w:vMerge w:val="restart"/>
          </w:tcPr>
          <w:p>
            <w:pPr>
              <w:jc w:val="center"/>
              <w:spacing w:after="0"/>
              <w:rPr>
                <w:sz w:val="20"/>
                <w:szCs w:val="20"/>
                <w:color w:val="auto"/>
              </w:rPr>
            </w:pPr>
            <w:r>
              <w:rPr>
                <w:rFonts w:ascii="Arial" w:cs="Arial" w:eastAsia="Arial" w:hAnsi="Arial"/>
                <w:sz w:val="16"/>
                <w:szCs w:val="16"/>
                <w:color w:val="170D67"/>
              </w:rPr>
              <w:t>●</w:t>
            </w:r>
          </w:p>
        </w:tc>
        <w:tc>
          <w:tcPr>
            <w:tcW w:w="0" w:type="dxa"/>
            <w:vAlign w:val="bottom"/>
          </w:tcPr>
          <w:p>
            <w:pPr>
              <w:spacing w:after="0"/>
              <w:rPr>
                <w:sz w:val="1"/>
                <w:szCs w:val="1"/>
                <w:color w:val="auto"/>
              </w:rPr>
            </w:pPr>
          </w:p>
        </w:tc>
      </w:tr>
      <w:tr>
        <w:trPr>
          <w:trHeight w:val="123"/>
        </w:trPr>
        <w:tc>
          <w:tcPr>
            <w:tcW w:w="4740" w:type="dxa"/>
            <w:vAlign w:val="bottom"/>
            <w:tcBorders>
              <w:right w:val="single" w:sz="8" w:color="6D6D6D"/>
            </w:tcBorders>
            <w:vMerge w:val="restart"/>
          </w:tcPr>
          <w:p>
            <w:pPr>
              <w:spacing w:after="0"/>
              <w:rPr>
                <w:sz w:val="20"/>
                <w:szCs w:val="20"/>
                <w:color w:val="auto"/>
              </w:rPr>
            </w:pPr>
            <w:r>
              <w:rPr>
                <w:rFonts w:ascii="Arial" w:cs="Arial" w:eastAsia="Arial" w:hAnsi="Arial"/>
                <w:sz w:val="14"/>
                <w:szCs w:val="14"/>
                <w:color w:val="auto"/>
              </w:rPr>
              <w:t>Principal, CRL Consulting, LLC</w:t>
            </w:r>
          </w:p>
        </w:tc>
        <w:tc>
          <w:tcPr>
            <w:tcW w:w="800" w:type="dxa"/>
            <w:vAlign w:val="bottom"/>
            <w:tcBorders>
              <w:right w:val="single" w:sz="8" w:color="6D6D6D"/>
            </w:tcBorders>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00" w:type="dxa"/>
            <w:vAlign w:val="bottom"/>
            <w:tcBorders>
              <w:right w:val="single" w:sz="8" w:color="6D6D6D"/>
            </w:tcBorders>
          </w:tcPr>
          <w:p>
            <w:pPr>
              <w:spacing w:after="0"/>
              <w:rPr>
                <w:sz w:val="10"/>
                <w:szCs w:val="10"/>
                <w:color w:val="auto"/>
              </w:rPr>
            </w:pPr>
          </w:p>
        </w:tc>
        <w:tc>
          <w:tcPr>
            <w:tcW w:w="920" w:type="dxa"/>
            <w:vAlign w:val="bottom"/>
            <w:tcBorders>
              <w:right w:val="single" w:sz="8" w:color="6D6D6D"/>
            </w:tcBorders>
            <w:vMerge w:val="continue"/>
          </w:tcPr>
          <w:p>
            <w:pPr>
              <w:spacing w:after="0"/>
              <w:rPr>
                <w:sz w:val="10"/>
                <w:szCs w:val="10"/>
                <w:color w:val="auto"/>
              </w:rPr>
            </w:pPr>
          </w:p>
        </w:tc>
        <w:tc>
          <w:tcPr>
            <w:tcW w:w="800" w:type="dxa"/>
            <w:vAlign w:val="bottom"/>
            <w:tcBorders>
              <w:right w:val="single" w:sz="8" w:color="6D6D6D"/>
            </w:tcBorders>
          </w:tcPr>
          <w:p>
            <w:pPr>
              <w:spacing w:after="0"/>
              <w:rPr>
                <w:sz w:val="10"/>
                <w:szCs w:val="10"/>
                <w:color w:val="auto"/>
              </w:rPr>
            </w:pPr>
          </w:p>
        </w:tc>
        <w:tc>
          <w:tcPr>
            <w:tcW w:w="800" w:type="dxa"/>
            <w:vAlign w:val="bottom"/>
            <w:tcBorders>
              <w:right w:val="single" w:sz="8" w:color="6D6D6D"/>
            </w:tcBorders>
          </w:tcPr>
          <w:p>
            <w:pPr>
              <w:spacing w:after="0"/>
              <w:rPr>
                <w:sz w:val="10"/>
                <w:szCs w:val="10"/>
                <w:color w:val="auto"/>
              </w:rPr>
            </w:pPr>
          </w:p>
        </w:tc>
        <w:tc>
          <w:tcPr>
            <w:tcW w:w="780" w:type="dxa"/>
            <w:vAlign w:val="bottom"/>
            <w:tcBorders>
              <w:right w:val="single" w:sz="8" w:color="6D6D6D"/>
            </w:tcBorders>
            <w:vMerge w:val="continue"/>
          </w:tcPr>
          <w:p>
            <w:pPr>
              <w:spacing w:after="0"/>
              <w:rPr>
                <w:sz w:val="10"/>
                <w:szCs w:val="10"/>
                <w:color w:val="auto"/>
              </w:rPr>
            </w:pPr>
          </w:p>
        </w:tc>
        <w:tc>
          <w:tcPr>
            <w:tcW w:w="800" w:type="dxa"/>
            <w:vAlign w:val="bottom"/>
            <w:tcBorders>
              <w:right w:val="single" w:sz="8" w:color="6D6D6D"/>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4740" w:type="dxa"/>
            <w:vAlign w:val="bottom"/>
            <w:tcBorders>
              <w:right w:val="single" w:sz="8" w:color="6D6D6D"/>
            </w:tcBorders>
            <w:vMerge w:val="continue"/>
          </w:tcPr>
          <w:p>
            <w:pPr>
              <w:spacing w:after="0"/>
              <w:rPr>
                <w:sz w:val="5"/>
                <w:szCs w:val="5"/>
                <w:color w:val="auto"/>
              </w:rPr>
            </w:pPr>
          </w:p>
        </w:tc>
        <w:tc>
          <w:tcPr>
            <w:tcW w:w="800" w:type="dxa"/>
            <w:vAlign w:val="bottom"/>
            <w:tcBorders>
              <w:right w:val="single" w:sz="8" w:color="6D6D6D"/>
            </w:tcBorders>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Borders>
              <w:right w:val="single" w:sz="8" w:color="6D6D6D"/>
            </w:tcBorders>
          </w:tcPr>
          <w:p>
            <w:pPr>
              <w:spacing w:after="0"/>
              <w:rPr>
                <w:sz w:val="5"/>
                <w:szCs w:val="5"/>
                <w:color w:val="auto"/>
              </w:rPr>
            </w:pPr>
          </w:p>
        </w:tc>
        <w:tc>
          <w:tcPr>
            <w:tcW w:w="920" w:type="dxa"/>
            <w:vAlign w:val="bottom"/>
            <w:tcBorders>
              <w:right w:val="single" w:sz="8" w:color="6D6D6D"/>
            </w:tcBorders>
          </w:tcPr>
          <w:p>
            <w:pPr>
              <w:spacing w:after="0"/>
              <w:rPr>
                <w:sz w:val="5"/>
                <w:szCs w:val="5"/>
                <w:color w:val="auto"/>
              </w:rPr>
            </w:pPr>
          </w:p>
        </w:tc>
        <w:tc>
          <w:tcPr>
            <w:tcW w:w="800" w:type="dxa"/>
            <w:vAlign w:val="bottom"/>
            <w:tcBorders>
              <w:right w:val="single" w:sz="8" w:color="6D6D6D"/>
            </w:tcBorders>
          </w:tcPr>
          <w:p>
            <w:pPr>
              <w:spacing w:after="0"/>
              <w:rPr>
                <w:sz w:val="5"/>
                <w:szCs w:val="5"/>
                <w:color w:val="auto"/>
              </w:rPr>
            </w:pPr>
          </w:p>
        </w:tc>
        <w:tc>
          <w:tcPr>
            <w:tcW w:w="800" w:type="dxa"/>
            <w:vAlign w:val="bottom"/>
            <w:tcBorders>
              <w:right w:val="single" w:sz="8" w:color="6D6D6D"/>
            </w:tcBorders>
          </w:tcPr>
          <w:p>
            <w:pPr>
              <w:spacing w:after="0"/>
              <w:rPr>
                <w:sz w:val="5"/>
                <w:szCs w:val="5"/>
                <w:color w:val="auto"/>
              </w:rPr>
            </w:pPr>
          </w:p>
        </w:tc>
        <w:tc>
          <w:tcPr>
            <w:tcW w:w="780" w:type="dxa"/>
            <w:vAlign w:val="bottom"/>
            <w:tcBorders>
              <w:right w:val="single" w:sz="8" w:color="6D6D6D"/>
            </w:tcBorders>
          </w:tcPr>
          <w:p>
            <w:pPr>
              <w:spacing w:after="0"/>
              <w:rPr>
                <w:sz w:val="5"/>
                <w:szCs w:val="5"/>
                <w:color w:val="auto"/>
              </w:rPr>
            </w:pPr>
          </w:p>
        </w:tc>
        <w:tc>
          <w:tcPr>
            <w:tcW w:w="800" w:type="dxa"/>
            <w:vAlign w:val="bottom"/>
            <w:tcBorders>
              <w:right w:val="single" w:sz="8" w:color="6D6D6D"/>
            </w:tcBorders>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4740" w:type="dxa"/>
            <w:vAlign w:val="bottom"/>
            <w:tcBorders>
              <w:bottom w:val="single" w:sz="8" w:color="6D6D6D"/>
              <w:right w:val="single" w:sz="8" w:color="6D6D6D"/>
            </w:tcBorders>
          </w:tcPr>
          <w:p>
            <w:pPr>
              <w:spacing w:after="0"/>
              <w:rPr>
                <w:sz w:val="20"/>
                <w:szCs w:val="20"/>
                <w:color w:val="auto"/>
              </w:rPr>
            </w:pPr>
          </w:p>
        </w:tc>
        <w:tc>
          <w:tcPr>
            <w:tcW w:w="800" w:type="dxa"/>
            <w:vAlign w:val="bottom"/>
            <w:tcBorders>
              <w:bottom w:val="single" w:sz="8" w:color="6D6D6D"/>
              <w:right w:val="single" w:sz="8" w:color="6D6D6D"/>
            </w:tcBorders>
          </w:tcPr>
          <w:p>
            <w:pPr>
              <w:spacing w:after="0"/>
              <w:rPr>
                <w:sz w:val="20"/>
                <w:szCs w:val="20"/>
                <w:color w:val="auto"/>
              </w:rPr>
            </w:pPr>
          </w:p>
        </w:tc>
        <w:tc>
          <w:tcPr>
            <w:tcW w:w="500" w:type="dxa"/>
            <w:vAlign w:val="bottom"/>
            <w:tcBorders>
              <w:bottom w:val="single" w:sz="8" w:color="6D6D6D"/>
            </w:tcBorders>
          </w:tcPr>
          <w:p>
            <w:pPr>
              <w:spacing w:after="0"/>
              <w:rPr>
                <w:sz w:val="20"/>
                <w:szCs w:val="20"/>
                <w:color w:val="auto"/>
              </w:rPr>
            </w:pPr>
          </w:p>
        </w:tc>
        <w:tc>
          <w:tcPr>
            <w:tcW w:w="300" w:type="dxa"/>
            <w:vAlign w:val="bottom"/>
            <w:tcBorders>
              <w:bottom w:val="single" w:sz="8" w:color="6D6D6D"/>
              <w:right w:val="single" w:sz="8" w:color="6D6D6D"/>
            </w:tcBorders>
          </w:tcPr>
          <w:p>
            <w:pPr>
              <w:spacing w:after="0"/>
              <w:rPr>
                <w:sz w:val="20"/>
                <w:szCs w:val="20"/>
                <w:color w:val="auto"/>
              </w:rPr>
            </w:pPr>
          </w:p>
        </w:tc>
        <w:tc>
          <w:tcPr>
            <w:tcW w:w="920" w:type="dxa"/>
            <w:vAlign w:val="bottom"/>
            <w:tcBorders>
              <w:bottom w:val="single" w:sz="8" w:color="6D6D6D"/>
              <w:right w:val="single" w:sz="8" w:color="6D6D6D"/>
            </w:tcBorders>
          </w:tcPr>
          <w:p>
            <w:pPr>
              <w:spacing w:after="0"/>
              <w:rPr>
                <w:sz w:val="20"/>
                <w:szCs w:val="20"/>
                <w:color w:val="auto"/>
              </w:rPr>
            </w:pPr>
          </w:p>
        </w:tc>
        <w:tc>
          <w:tcPr>
            <w:tcW w:w="800" w:type="dxa"/>
            <w:vAlign w:val="bottom"/>
            <w:tcBorders>
              <w:bottom w:val="single" w:sz="8" w:color="6D6D6D"/>
              <w:right w:val="single" w:sz="8" w:color="6D6D6D"/>
            </w:tcBorders>
          </w:tcPr>
          <w:p>
            <w:pPr>
              <w:spacing w:after="0"/>
              <w:rPr>
                <w:sz w:val="20"/>
                <w:szCs w:val="20"/>
                <w:color w:val="auto"/>
              </w:rPr>
            </w:pPr>
          </w:p>
        </w:tc>
        <w:tc>
          <w:tcPr>
            <w:tcW w:w="800" w:type="dxa"/>
            <w:vAlign w:val="bottom"/>
            <w:tcBorders>
              <w:bottom w:val="single" w:sz="8" w:color="6D6D6D"/>
              <w:right w:val="single" w:sz="8" w:color="6D6D6D"/>
            </w:tcBorders>
          </w:tcPr>
          <w:p>
            <w:pPr>
              <w:spacing w:after="0"/>
              <w:rPr>
                <w:sz w:val="20"/>
                <w:szCs w:val="20"/>
                <w:color w:val="auto"/>
              </w:rPr>
            </w:pPr>
          </w:p>
        </w:tc>
        <w:tc>
          <w:tcPr>
            <w:tcW w:w="780" w:type="dxa"/>
            <w:vAlign w:val="bottom"/>
            <w:tcBorders>
              <w:bottom w:val="single" w:sz="8" w:color="6D6D6D"/>
              <w:right w:val="single" w:sz="8" w:color="6D6D6D"/>
            </w:tcBorders>
          </w:tcPr>
          <w:p>
            <w:pPr>
              <w:spacing w:after="0"/>
              <w:rPr>
                <w:sz w:val="20"/>
                <w:szCs w:val="20"/>
                <w:color w:val="auto"/>
              </w:rPr>
            </w:pPr>
          </w:p>
        </w:tc>
        <w:tc>
          <w:tcPr>
            <w:tcW w:w="800" w:type="dxa"/>
            <w:vAlign w:val="bottom"/>
            <w:tcBorders>
              <w:bottom w:val="single" w:sz="8" w:color="6D6D6D"/>
              <w:right w:val="single" w:sz="8" w:color="6D6D6D"/>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740" w:type="dxa"/>
            <w:vAlign w:val="bottom"/>
            <w:tcBorders>
              <w:right w:val="single" w:sz="8" w:color="6D6D6D"/>
            </w:tcBorders>
          </w:tcPr>
          <w:p>
            <w:pPr>
              <w:spacing w:after="0"/>
              <w:rPr>
                <w:sz w:val="20"/>
                <w:szCs w:val="20"/>
                <w:color w:val="auto"/>
              </w:rPr>
            </w:pPr>
            <w:r>
              <w:rPr>
                <w:rFonts w:ascii="Arial" w:cs="Arial" w:eastAsia="Arial" w:hAnsi="Arial"/>
                <w:sz w:val="15"/>
                <w:szCs w:val="15"/>
                <w:b w:val="1"/>
                <w:bCs w:val="1"/>
                <w:color w:val="170D67"/>
              </w:rPr>
              <w:t>Anna Richo</w:t>
            </w:r>
          </w:p>
        </w:tc>
        <w:tc>
          <w:tcPr>
            <w:tcW w:w="800" w:type="dxa"/>
            <w:vAlign w:val="bottom"/>
            <w:tcBorders>
              <w:right w:val="single" w:sz="8" w:color="6D6D6D"/>
            </w:tcBorders>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Borders>
              <w:right w:val="single" w:sz="8" w:color="6D6D6D"/>
            </w:tcBorders>
          </w:tcPr>
          <w:p>
            <w:pPr>
              <w:spacing w:after="0"/>
              <w:rPr>
                <w:sz w:val="22"/>
                <w:szCs w:val="22"/>
                <w:color w:val="auto"/>
              </w:rPr>
            </w:pPr>
          </w:p>
        </w:tc>
        <w:tc>
          <w:tcPr>
            <w:tcW w:w="920" w:type="dxa"/>
            <w:vAlign w:val="bottom"/>
            <w:tcBorders>
              <w:right w:val="single" w:sz="8" w:color="6D6D6D"/>
            </w:tcBorders>
          </w:tcPr>
          <w:p>
            <w:pPr>
              <w:spacing w:after="0"/>
              <w:rPr>
                <w:sz w:val="22"/>
                <w:szCs w:val="22"/>
                <w:color w:val="auto"/>
              </w:rPr>
            </w:pPr>
          </w:p>
        </w:tc>
        <w:tc>
          <w:tcPr>
            <w:tcW w:w="800" w:type="dxa"/>
            <w:vAlign w:val="bottom"/>
            <w:tcBorders>
              <w:right w:val="single" w:sz="8" w:color="6D6D6D"/>
            </w:tcBorders>
          </w:tcPr>
          <w:p>
            <w:pPr>
              <w:spacing w:after="0"/>
              <w:rPr>
                <w:sz w:val="22"/>
                <w:szCs w:val="22"/>
                <w:color w:val="auto"/>
              </w:rPr>
            </w:pPr>
          </w:p>
        </w:tc>
        <w:tc>
          <w:tcPr>
            <w:tcW w:w="800" w:type="dxa"/>
            <w:vAlign w:val="bottom"/>
            <w:tcBorders>
              <w:right w:val="single" w:sz="8" w:color="6D6D6D"/>
            </w:tcBorders>
          </w:tcPr>
          <w:p>
            <w:pPr>
              <w:spacing w:after="0"/>
              <w:rPr>
                <w:sz w:val="22"/>
                <w:szCs w:val="22"/>
                <w:color w:val="auto"/>
              </w:rPr>
            </w:pPr>
          </w:p>
        </w:tc>
        <w:tc>
          <w:tcPr>
            <w:tcW w:w="780" w:type="dxa"/>
            <w:vAlign w:val="bottom"/>
            <w:tcBorders>
              <w:right w:val="single" w:sz="8" w:color="6D6D6D"/>
            </w:tcBorders>
          </w:tcPr>
          <w:p>
            <w:pPr>
              <w:spacing w:after="0"/>
              <w:rPr>
                <w:sz w:val="22"/>
                <w:szCs w:val="22"/>
                <w:color w:val="auto"/>
              </w:rPr>
            </w:pPr>
          </w:p>
        </w:tc>
        <w:tc>
          <w:tcPr>
            <w:tcW w:w="800" w:type="dxa"/>
            <w:vAlign w:val="bottom"/>
            <w:tcBorders>
              <w:right w:val="single" w:sz="8" w:color="6D6D6D"/>
            </w:tcBorders>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740" w:type="dxa"/>
            <w:vAlign w:val="bottom"/>
            <w:tcBorders>
              <w:right w:val="single" w:sz="8" w:color="6D6D6D"/>
            </w:tcBorders>
          </w:tcPr>
          <w:p>
            <w:pPr>
              <w:spacing w:after="0"/>
              <w:rPr>
                <w:sz w:val="20"/>
                <w:szCs w:val="20"/>
                <w:color w:val="auto"/>
              </w:rPr>
            </w:pPr>
            <w:r>
              <w:rPr>
                <w:rFonts w:ascii="Arial" w:cs="Arial" w:eastAsia="Arial" w:hAnsi="Arial"/>
                <w:sz w:val="14"/>
                <w:szCs w:val="14"/>
                <w:color w:val="auto"/>
              </w:rPr>
              <w:t>Former Senior Vice President, General Counsel, and Chief Compliance</w:t>
            </w:r>
          </w:p>
        </w:tc>
        <w:tc>
          <w:tcPr>
            <w:tcW w:w="800" w:type="dxa"/>
            <w:vAlign w:val="bottom"/>
            <w:tcBorders>
              <w:right w:val="single" w:sz="8" w:color="6D6D6D"/>
            </w:tcBorders>
          </w:tcPr>
          <w:p>
            <w:pPr>
              <w:jc w:val="center"/>
              <w:spacing w:after="0"/>
              <w:rPr>
                <w:sz w:val="20"/>
                <w:szCs w:val="20"/>
                <w:color w:val="auto"/>
              </w:rPr>
            </w:pPr>
            <w:r>
              <w:rPr>
                <w:rFonts w:ascii="Arial" w:cs="Arial" w:eastAsia="Arial" w:hAnsi="Arial"/>
                <w:sz w:val="16"/>
                <w:szCs w:val="16"/>
                <w:b w:val="1"/>
                <w:bCs w:val="1"/>
                <w:color w:val="170D67"/>
                <w:w w:val="98"/>
              </w:rPr>
              <w:t>1.7</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170D67"/>
              </w:rPr>
              <w:t>64</w:t>
            </w:r>
          </w:p>
        </w:tc>
        <w:tc>
          <w:tcPr>
            <w:tcW w:w="300" w:type="dxa"/>
            <w:vAlign w:val="bottom"/>
            <w:tcBorders>
              <w:right w:val="single" w:sz="8" w:color="6D6D6D"/>
            </w:tcBorders>
          </w:tcPr>
          <w:p>
            <w:pPr>
              <w:spacing w:after="0"/>
              <w:rPr>
                <w:sz w:val="16"/>
                <w:szCs w:val="16"/>
                <w:color w:val="auto"/>
              </w:rPr>
            </w:pPr>
          </w:p>
        </w:tc>
        <w:tc>
          <w:tcPr>
            <w:tcW w:w="920" w:type="dxa"/>
            <w:vAlign w:val="bottom"/>
            <w:tcBorders>
              <w:right w:val="single" w:sz="8" w:color="6D6D6D"/>
            </w:tcBorders>
          </w:tcPr>
          <w:p>
            <w:pPr>
              <w:jc w:val="center"/>
              <w:spacing w:after="0"/>
              <w:rPr>
                <w:sz w:val="20"/>
                <w:szCs w:val="20"/>
                <w:color w:val="auto"/>
              </w:rPr>
            </w:pPr>
            <w:r>
              <w:rPr>
                <w:rFonts w:ascii="Arial" w:cs="Arial" w:eastAsia="Arial" w:hAnsi="Arial"/>
                <w:sz w:val="16"/>
                <w:szCs w:val="16"/>
                <w:color w:val="3A5CFF"/>
              </w:rPr>
              <w:t>●</w:t>
            </w:r>
          </w:p>
        </w:tc>
        <w:tc>
          <w:tcPr>
            <w:tcW w:w="800" w:type="dxa"/>
            <w:vAlign w:val="bottom"/>
            <w:tcBorders>
              <w:right w:val="single" w:sz="8" w:color="6D6D6D"/>
            </w:tcBorders>
          </w:tcPr>
          <w:p>
            <w:pPr>
              <w:jc w:val="center"/>
              <w:spacing w:after="0"/>
              <w:rPr>
                <w:sz w:val="20"/>
                <w:szCs w:val="20"/>
                <w:color w:val="auto"/>
              </w:rPr>
            </w:pPr>
            <w:r>
              <w:rPr>
                <w:rFonts w:ascii="Arial" w:cs="Arial" w:eastAsia="Arial" w:hAnsi="Arial"/>
                <w:sz w:val="16"/>
                <w:szCs w:val="16"/>
                <w:color w:val="170D67"/>
              </w:rPr>
              <w:t>●</w:t>
            </w:r>
          </w:p>
        </w:tc>
        <w:tc>
          <w:tcPr>
            <w:tcW w:w="800" w:type="dxa"/>
            <w:vAlign w:val="bottom"/>
            <w:tcBorders>
              <w:right w:val="single" w:sz="8" w:color="6D6D6D"/>
            </w:tcBorders>
          </w:tcPr>
          <w:p>
            <w:pPr>
              <w:spacing w:after="0"/>
              <w:rPr>
                <w:sz w:val="16"/>
                <w:szCs w:val="16"/>
                <w:color w:val="auto"/>
              </w:rPr>
            </w:pPr>
          </w:p>
        </w:tc>
        <w:tc>
          <w:tcPr>
            <w:tcW w:w="780" w:type="dxa"/>
            <w:vAlign w:val="bottom"/>
            <w:tcBorders>
              <w:right w:val="single" w:sz="8" w:color="6D6D6D"/>
            </w:tcBorders>
          </w:tcPr>
          <w:p>
            <w:pPr>
              <w:jc w:val="center"/>
              <w:spacing w:after="0"/>
              <w:rPr>
                <w:sz w:val="20"/>
                <w:szCs w:val="20"/>
                <w:color w:val="auto"/>
              </w:rPr>
            </w:pPr>
            <w:r>
              <w:rPr>
                <w:rFonts w:ascii="Arial" w:cs="Arial" w:eastAsia="Arial" w:hAnsi="Arial"/>
                <w:sz w:val="16"/>
                <w:szCs w:val="16"/>
                <w:color w:val="170D67"/>
              </w:rPr>
              <w:t>●</w:t>
            </w:r>
          </w:p>
        </w:tc>
        <w:tc>
          <w:tcPr>
            <w:tcW w:w="800" w:type="dxa"/>
            <w:vAlign w:val="bottom"/>
            <w:tcBorders>
              <w:right w:val="single" w:sz="8" w:color="6D6D6D"/>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40" w:type="dxa"/>
            <w:vAlign w:val="bottom"/>
            <w:tcBorders>
              <w:right w:val="single" w:sz="8" w:color="6D6D6D"/>
            </w:tcBorders>
          </w:tcPr>
          <w:p>
            <w:pPr>
              <w:spacing w:after="0"/>
              <w:rPr>
                <w:sz w:val="20"/>
                <w:szCs w:val="20"/>
                <w:color w:val="auto"/>
              </w:rPr>
            </w:pPr>
            <w:r>
              <w:rPr>
                <w:rFonts w:ascii="Arial" w:cs="Arial" w:eastAsia="Arial" w:hAnsi="Arial"/>
                <w:sz w:val="14"/>
                <w:szCs w:val="14"/>
                <w:color w:val="auto"/>
              </w:rPr>
              <w:t>Officer, Cargill, Inc.</w:t>
            </w:r>
          </w:p>
        </w:tc>
        <w:tc>
          <w:tcPr>
            <w:tcW w:w="800" w:type="dxa"/>
            <w:vAlign w:val="bottom"/>
            <w:tcBorders>
              <w:right w:val="single" w:sz="8" w:color="6D6D6D"/>
            </w:tcBorders>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Borders>
              <w:right w:val="single" w:sz="8" w:color="6D6D6D"/>
            </w:tcBorders>
          </w:tcPr>
          <w:p>
            <w:pPr>
              <w:spacing w:after="0"/>
              <w:rPr>
                <w:sz w:val="16"/>
                <w:szCs w:val="16"/>
                <w:color w:val="auto"/>
              </w:rPr>
            </w:pPr>
          </w:p>
        </w:tc>
        <w:tc>
          <w:tcPr>
            <w:tcW w:w="920" w:type="dxa"/>
            <w:vAlign w:val="bottom"/>
            <w:tcBorders>
              <w:right w:val="single" w:sz="8" w:color="6D6D6D"/>
            </w:tcBorders>
          </w:tcPr>
          <w:p>
            <w:pPr>
              <w:spacing w:after="0"/>
              <w:rPr>
                <w:sz w:val="16"/>
                <w:szCs w:val="16"/>
                <w:color w:val="auto"/>
              </w:rPr>
            </w:pPr>
          </w:p>
        </w:tc>
        <w:tc>
          <w:tcPr>
            <w:tcW w:w="800" w:type="dxa"/>
            <w:vAlign w:val="bottom"/>
            <w:tcBorders>
              <w:right w:val="single" w:sz="8" w:color="6D6D6D"/>
            </w:tcBorders>
          </w:tcPr>
          <w:p>
            <w:pPr>
              <w:spacing w:after="0"/>
              <w:rPr>
                <w:sz w:val="16"/>
                <w:szCs w:val="16"/>
                <w:color w:val="auto"/>
              </w:rPr>
            </w:pPr>
          </w:p>
        </w:tc>
        <w:tc>
          <w:tcPr>
            <w:tcW w:w="800" w:type="dxa"/>
            <w:vAlign w:val="bottom"/>
            <w:tcBorders>
              <w:right w:val="single" w:sz="8" w:color="6D6D6D"/>
            </w:tcBorders>
          </w:tcPr>
          <w:p>
            <w:pPr>
              <w:spacing w:after="0"/>
              <w:rPr>
                <w:sz w:val="16"/>
                <w:szCs w:val="16"/>
                <w:color w:val="auto"/>
              </w:rPr>
            </w:pPr>
          </w:p>
        </w:tc>
        <w:tc>
          <w:tcPr>
            <w:tcW w:w="780" w:type="dxa"/>
            <w:vAlign w:val="bottom"/>
            <w:tcBorders>
              <w:right w:val="single" w:sz="8" w:color="6D6D6D"/>
            </w:tcBorders>
          </w:tcPr>
          <w:p>
            <w:pPr>
              <w:spacing w:after="0"/>
              <w:rPr>
                <w:sz w:val="16"/>
                <w:szCs w:val="16"/>
                <w:color w:val="auto"/>
              </w:rPr>
            </w:pPr>
          </w:p>
        </w:tc>
        <w:tc>
          <w:tcPr>
            <w:tcW w:w="800" w:type="dxa"/>
            <w:vAlign w:val="bottom"/>
            <w:tcBorders>
              <w:right w:val="single" w:sz="8" w:color="6D6D6D"/>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740" w:type="dxa"/>
            <w:vAlign w:val="bottom"/>
            <w:tcBorders>
              <w:bottom w:val="single" w:sz="8" w:color="6D6D6D"/>
              <w:right w:val="single" w:sz="8" w:color="6D6D6D"/>
            </w:tcBorders>
          </w:tcPr>
          <w:p>
            <w:pPr>
              <w:spacing w:after="0"/>
              <w:rPr>
                <w:sz w:val="14"/>
                <w:szCs w:val="14"/>
                <w:color w:val="auto"/>
              </w:rPr>
            </w:pPr>
          </w:p>
        </w:tc>
        <w:tc>
          <w:tcPr>
            <w:tcW w:w="800" w:type="dxa"/>
            <w:vAlign w:val="bottom"/>
            <w:tcBorders>
              <w:bottom w:val="single" w:sz="8" w:color="6D6D6D"/>
              <w:right w:val="single" w:sz="8" w:color="6D6D6D"/>
            </w:tcBorders>
          </w:tcPr>
          <w:p>
            <w:pPr>
              <w:spacing w:after="0"/>
              <w:rPr>
                <w:sz w:val="14"/>
                <w:szCs w:val="14"/>
                <w:color w:val="auto"/>
              </w:rPr>
            </w:pPr>
          </w:p>
        </w:tc>
        <w:tc>
          <w:tcPr>
            <w:tcW w:w="500" w:type="dxa"/>
            <w:vAlign w:val="bottom"/>
            <w:tcBorders>
              <w:bottom w:val="single" w:sz="8" w:color="6D6D6D"/>
            </w:tcBorders>
          </w:tcPr>
          <w:p>
            <w:pPr>
              <w:spacing w:after="0"/>
              <w:rPr>
                <w:sz w:val="14"/>
                <w:szCs w:val="14"/>
                <w:color w:val="auto"/>
              </w:rPr>
            </w:pPr>
          </w:p>
        </w:tc>
        <w:tc>
          <w:tcPr>
            <w:tcW w:w="300" w:type="dxa"/>
            <w:vAlign w:val="bottom"/>
            <w:tcBorders>
              <w:bottom w:val="single" w:sz="8" w:color="6D6D6D"/>
              <w:right w:val="single" w:sz="8" w:color="6D6D6D"/>
            </w:tcBorders>
          </w:tcPr>
          <w:p>
            <w:pPr>
              <w:spacing w:after="0"/>
              <w:rPr>
                <w:sz w:val="14"/>
                <w:szCs w:val="14"/>
                <w:color w:val="auto"/>
              </w:rPr>
            </w:pPr>
          </w:p>
        </w:tc>
        <w:tc>
          <w:tcPr>
            <w:tcW w:w="920" w:type="dxa"/>
            <w:vAlign w:val="bottom"/>
            <w:tcBorders>
              <w:bottom w:val="single" w:sz="8" w:color="6D6D6D"/>
              <w:right w:val="single" w:sz="8" w:color="6D6D6D"/>
            </w:tcBorders>
          </w:tcPr>
          <w:p>
            <w:pPr>
              <w:spacing w:after="0"/>
              <w:rPr>
                <w:sz w:val="14"/>
                <w:szCs w:val="14"/>
                <w:color w:val="auto"/>
              </w:rPr>
            </w:pPr>
          </w:p>
        </w:tc>
        <w:tc>
          <w:tcPr>
            <w:tcW w:w="800" w:type="dxa"/>
            <w:vAlign w:val="bottom"/>
            <w:tcBorders>
              <w:bottom w:val="single" w:sz="8" w:color="6D6D6D"/>
              <w:right w:val="single" w:sz="8" w:color="6D6D6D"/>
            </w:tcBorders>
          </w:tcPr>
          <w:p>
            <w:pPr>
              <w:spacing w:after="0"/>
              <w:rPr>
                <w:sz w:val="14"/>
                <w:szCs w:val="14"/>
                <w:color w:val="auto"/>
              </w:rPr>
            </w:pPr>
          </w:p>
        </w:tc>
        <w:tc>
          <w:tcPr>
            <w:tcW w:w="800" w:type="dxa"/>
            <w:vAlign w:val="bottom"/>
            <w:tcBorders>
              <w:bottom w:val="single" w:sz="8" w:color="6D6D6D"/>
              <w:right w:val="single" w:sz="8" w:color="6D6D6D"/>
            </w:tcBorders>
          </w:tcPr>
          <w:p>
            <w:pPr>
              <w:spacing w:after="0"/>
              <w:rPr>
                <w:sz w:val="14"/>
                <w:szCs w:val="14"/>
                <w:color w:val="auto"/>
              </w:rPr>
            </w:pPr>
          </w:p>
        </w:tc>
        <w:tc>
          <w:tcPr>
            <w:tcW w:w="780" w:type="dxa"/>
            <w:vAlign w:val="bottom"/>
            <w:tcBorders>
              <w:bottom w:val="single" w:sz="8" w:color="6D6D6D"/>
              <w:right w:val="single" w:sz="8" w:color="6D6D6D"/>
            </w:tcBorders>
          </w:tcPr>
          <w:p>
            <w:pPr>
              <w:spacing w:after="0"/>
              <w:rPr>
                <w:sz w:val="14"/>
                <w:szCs w:val="14"/>
                <w:color w:val="auto"/>
              </w:rPr>
            </w:pPr>
          </w:p>
        </w:tc>
        <w:tc>
          <w:tcPr>
            <w:tcW w:w="800" w:type="dxa"/>
            <w:vAlign w:val="bottom"/>
            <w:tcBorders>
              <w:bottom w:val="single" w:sz="8" w:color="6D6D6D"/>
              <w:right w:val="single" w:sz="8" w:color="6D6D6D"/>
            </w:tcBorders>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4740" w:type="dxa"/>
            <w:vAlign w:val="bottom"/>
            <w:tcBorders>
              <w:right w:val="single" w:sz="8" w:color="6D6D6D"/>
            </w:tcBorders>
          </w:tcPr>
          <w:p>
            <w:pPr>
              <w:spacing w:after="0"/>
              <w:rPr>
                <w:sz w:val="20"/>
                <w:szCs w:val="20"/>
                <w:color w:val="auto"/>
              </w:rPr>
            </w:pPr>
            <w:r>
              <w:rPr>
                <w:rFonts w:ascii="Arial" w:cs="Arial" w:eastAsia="Arial" w:hAnsi="Arial"/>
                <w:sz w:val="15"/>
                <w:szCs w:val="15"/>
                <w:b w:val="1"/>
                <w:bCs w:val="1"/>
                <w:color w:val="170D67"/>
              </w:rPr>
              <w:t>Matthew Rogers</w:t>
            </w:r>
          </w:p>
        </w:tc>
        <w:tc>
          <w:tcPr>
            <w:tcW w:w="800" w:type="dxa"/>
            <w:vAlign w:val="bottom"/>
            <w:tcBorders>
              <w:right w:val="single" w:sz="8" w:color="6D6D6D"/>
            </w:tcBorders>
            <w:vMerge w:val="restart"/>
          </w:tcPr>
          <w:p>
            <w:pPr>
              <w:jc w:val="center"/>
              <w:spacing w:after="0"/>
              <w:rPr>
                <w:sz w:val="20"/>
                <w:szCs w:val="20"/>
                <w:color w:val="auto"/>
              </w:rPr>
            </w:pPr>
            <w:r>
              <w:rPr>
                <w:rFonts w:ascii="Arial" w:cs="Arial" w:eastAsia="Arial" w:hAnsi="Arial"/>
                <w:sz w:val="16"/>
                <w:szCs w:val="16"/>
                <w:b w:val="1"/>
                <w:bCs w:val="1"/>
                <w:color w:val="170D67"/>
                <w:w w:val="98"/>
              </w:rPr>
              <w:t>2.0</w:t>
            </w:r>
          </w:p>
        </w:tc>
        <w:tc>
          <w:tcPr>
            <w:tcW w:w="500" w:type="dxa"/>
            <w:vAlign w:val="bottom"/>
            <w:vMerge w:val="restart"/>
          </w:tcPr>
          <w:p>
            <w:pPr>
              <w:jc w:val="right"/>
              <w:spacing w:after="0"/>
              <w:rPr>
                <w:sz w:val="20"/>
                <w:szCs w:val="20"/>
                <w:color w:val="auto"/>
              </w:rPr>
            </w:pPr>
            <w:r>
              <w:rPr>
                <w:rFonts w:ascii="Arial" w:cs="Arial" w:eastAsia="Arial" w:hAnsi="Arial"/>
                <w:sz w:val="16"/>
                <w:szCs w:val="16"/>
                <w:b w:val="1"/>
                <w:bCs w:val="1"/>
                <w:color w:val="170D67"/>
              </w:rPr>
              <w:t>62</w:t>
            </w:r>
          </w:p>
        </w:tc>
        <w:tc>
          <w:tcPr>
            <w:tcW w:w="300" w:type="dxa"/>
            <w:vAlign w:val="bottom"/>
            <w:tcBorders>
              <w:right w:val="single" w:sz="8" w:color="6D6D6D"/>
            </w:tcBorders>
          </w:tcPr>
          <w:p>
            <w:pPr>
              <w:spacing w:after="0"/>
              <w:rPr>
                <w:sz w:val="24"/>
                <w:szCs w:val="24"/>
                <w:color w:val="auto"/>
              </w:rPr>
            </w:pPr>
          </w:p>
        </w:tc>
        <w:tc>
          <w:tcPr>
            <w:tcW w:w="920" w:type="dxa"/>
            <w:vAlign w:val="bottom"/>
            <w:tcBorders>
              <w:right w:val="single" w:sz="8" w:color="6D6D6D"/>
            </w:tcBorders>
            <w:vMerge w:val="restart"/>
          </w:tcPr>
          <w:p>
            <w:pPr>
              <w:jc w:val="center"/>
              <w:spacing w:after="0"/>
              <w:rPr>
                <w:sz w:val="20"/>
                <w:szCs w:val="20"/>
                <w:color w:val="auto"/>
              </w:rPr>
            </w:pPr>
            <w:r>
              <w:rPr>
                <w:rFonts w:ascii="Arial" w:cs="Arial" w:eastAsia="Arial" w:hAnsi="Arial"/>
                <w:sz w:val="16"/>
                <w:szCs w:val="16"/>
                <w:color w:val="3A5CFF"/>
              </w:rPr>
              <w:t>●</w:t>
            </w:r>
          </w:p>
        </w:tc>
        <w:tc>
          <w:tcPr>
            <w:tcW w:w="800" w:type="dxa"/>
            <w:vAlign w:val="bottom"/>
            <w:tcBorders>
              <w:right w:val="single" w:sz="8" w:color="6D6D6D"/>
            </w:tcBorders>
            <w:vMerge w:val="restart"/>
          </w:tcPr>
          <w:p>
            <w:pPr>
              <w:jc w:val="center"/>
              <w:spacing w:after="0"/>
              <w:rPr>
                <w:sz w:val="20"/>
                <w:szCs w:val="20"/>
                <w:color w:val="auto"/>
              </w:rPr>
            </w:pPr>
            <w:r>
              <w:rPr>
                <w:rFonts w:ascii="Arial" w:cs="Arial" w:eastAsia="Arial" w:hAnsi="Arial"/>
                <w:sz w:val="16"/>
                <w:szCs w:val="16"/>
                <w:color w:val="170D67"/>
              </w:rPr>
              <w:t>●</w:t>
            </w:r>
          </w:p>
        </w:tc>
        <w:tc>
          <w:tcPr>
            <w:tcW w:w="800" w:type="dxa"/>
            <w:vAlign w:val="bottom"/>
            <w:tcBorders>
              <w:right w:val="single" w:sz="8" w:color="6D6D6D"/>
            </w:tcBorders>
          </w:tcPr>
          <w:p>
            <w:pPr>
              <w:spacing w:after="0"/>
              <w:rPr>
                <w:sz w:val="24"/>
                <w:szCs w:val="24"/>
                <w:color w:val="auto"/>
              </w:rPr>
            </w:pPr>
          </w:p>
        </w:tc>
        <w:tc>
          <w:tcPr>
            <w:tcW w:w="780" w:type="dxa"/>
            <w:vAlign w:val="bottom"/>
            <w:tcBorders>
              <w:right w:val="single" w:sz="8" w:color="6D6D6D"/>
            </w:tcBorders>
          </w:tcPr>
          <w:p>
            <w:pPr>
              <w:spacing w:after="0"/>
              <w:rPr>
                <w:sz w:val="24"/>
                <w:szCs w:val="24"/>
                <w:color w:val="auto"/>
              </w:rPr>
            </w:pPr>
          </w:p>
        </w:tc>
        <w:tc>
          <w:tcPr>
            <w:tcW w:w="800" w:type="dxa"/>
            <w:vAlign w:val="bottom"/>
            <w:tcBorders>
              <w:right w:val="single" w:sz="8" w:color="6D6D6D"/>
            </w:tcBorders>
            <w:vMerge w:val="restart"/>
          </w:tcPr>
          <w:p>
            <w:pPr>
              <w:jc w:val="center"/>
              <w:spacing w:after="0"/>
              <w:rPr>
                <w:sz w:val="20"/>
                <w:szCs w:val="20"/>
                <w:color w:val="auto"/>
              </w:rPr>
            </w:pPr>
            <w:r>
              <w:rPr>
                <w:rFonts w:ascii="Arial" w:cs="Arial" w:eastAsia="Arial" w:hAnsi="Arial"/>
                <w:sz w:val="16"/>
                <w:szCs w:val="16"/>
                <w:b w:val="1"/>
                <w:bCs w:val="1"/>
                <w:color w:val="170D67"/>
              </w:rPr>
              <w:t>Chair</w:t>
            </w:r>
          </w:p>
        </w:tc>
        <w:tc>
          <w:tcPr>
            <w:tcW w:w="0" w:type="dxa"/>
            <w:vAlign w:val="bottom"/>
          </w:tcPr>
          <w:p>
            <w:pPr>
              <w:spacing w:after="0"/>
              <w:rPr>
                <w:sz w:val="1"/>
                <w:szCs w:val="1"/>
                <w:color w:val="auto"/>
              </w:rPr>
            </w:pPr>
          </w:p>
        </w:tc>
      </w:tr>
      <w:tr>
        <w:trPr>
          <w:trHeight w:val="190"/>
        </w:trPr>
        <w:tc>
          <w:tcPr>
            <w:tcW w:w="4740" w:type="dxa"/>
            <w:vAlign w:val="bottom"/>
            <w:tcBorders>
              <w:right w:val="single" w:sz="8" w:color="6D6D6D"/>
            </w:tcBorders>
          </w:tcPr>
          <w:p>
            <w:pPr>
              <w:spacing w:after="0"/>
              <w:rPr>
                <w:sz w:val="20"/>
                <w:szCs w:val="20"/>
                <w:color w:val="auto"/>
              </w:rPr>
            </w:pPr>
            <w:r>
              <w:rPr>
                <w:rFonts w:ascii="Arial" w:cs="Arial" w:eastAsia="Arial" w:hAnsi="Arial"/>
                <w:sz w:val="14"/>
                <w:szCs w:val="14"/>
                <w:color w:val="auto"/>
              </w:rPr>
              <w:t>Operating Partner, Ajax Strategies, LLC</w:t>
            </w:r>
          </w:p>
        </w:tc>
        <w:tc>
          <w:tcPr>
            <w:tcW w:w="800" w:type="dxa"/>
            <w:vAlign w:val="bottom"/>
            <w:tcBorders>
              <w:right w:val="single" w:sz="8" w:color="6D6D6D"/>
            </w:tcBorders>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300" w:type="dxa"/>
            <w:vAlign w:val="bottom"/>
            <w:tcBorders>
              <w:right w:val="single" w:sz="8" w:color="6D6D6D"/>
            </w:tcBorders>
          </w:tcPr>
          <w:p>
            <w:pPr>
              <w:spacing w:after="0"/>
              <w:rPr>
                <w:sz w:val="16"/>
                <w:szCs w:val="16"/>
                <w:color w:val="auto"/>
              </w:rPr>
            </w:pPr>
          </w:p>
        </w:tc>
        <w:tc>
          <w:tcPr>
            <w:tcW w:w="920" w:type="dxa"/>
            <w:vAlign w:val="bottom"/>
            <w:tcBorders>
              <w:right w:val="single" w:sz="8" w:color="6D6D6D"/>
            </w:tcBorders>
            <w:vMerge w:val="continue"/>
          </w:tcPr>
          <w:p>
            <w:pPr>
              <w:spacing w:after="0"/>
              <w:rPr>
                <w:sz w:val="16"/>
                <w:szCs w:val="16"/>
                <w:color w:val="auto"/>
              </w:rPr>
            </w:pPr>
          </w:p>
        </w:tc>
        <w:tc>
          <w:tcPr>
            <w:tcW w:w="800" w:type="dxa"/>
            <w:vAlign w:val="bottom"/>
            <w:tcBorders>
              <w:right w:val="single" w:sz="8" w:color="6D6D6D"/>
            </w:tcBorders>
            <w:vMerge w:val="continue"/>
          </w:tcPr>
          <w:p>
            <w:pPr>
              <w:spacing w:after="0"/>
              <w:rPr>
                <w:sz w:val="16"/>
                <w:szCs w:val="16"/>
                <w:color w:val="auto"/>
              </w:rPr>
            </w:pPr>
          </w:p>
        </w:tc>
        <w:tc>
          <w:tcPr>
            <w:tcW w:w="800" w:type="dxa"/>
            <w:vAlign w:val="bottom"/>
            <w:tcBorders>
              <w:right w:val="single" w:sz="8" w:color="6D6D6D"/>
            </w:tcBorders>
          </w:tcPr>
          <w:p>
            <w:pPr>
              <w:spacing w:after="0"/>
              <w:rPr>
                <w:sz w:val="16"/>
                <w:szCs w:val="16"/>
                <w:color w:val="auto"/>
              </w:rPr>
            </w:pPr>
          </w:p>
        </w:tc>
        <w:tc>
          <w:tcPr>
            <w:tcW w:w="780" w:type="dxa"/>
            <w:vAlign w:val="bottom"/>
            <w:tcBorders>
              <w:right w:val="single" w:sz="8" w:color="6D6D6D"/>
            </w:tcBorders>
          </w:tcPr>
          <w:p>
            <w:pPr>
              <w:spacing w:after="0"/>
              <w:rPr>
                <w:sz w:val="16"/>
                <w:szCs w:val="16"/>
                <w:color w:val="auto"/>
              </w:rPr>
            </w:pPr>
          </w:p>
        </w:tc>
        <w:tc>
          <w:tcPr>
            <w:tcW w:w="800" w:type="dxa"/>
            <w:vAlign w:val="bottom"/>
            <w:tcBorders>
              <w:right w:val="single" w:sz="8" w:color="6D6D6D"/>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4740" w:type="dxa"/>
            <w:vAlign w:val="bottom"/>
            <w:tcBorders>
              <w:bottom w:val="single" w:sz="8" w:color="6D6D6D"/>
              <w:right w:val="single" w:sz="8" w:color="6D6D6D"/>
            </w:tcBorders>
          </w:tcPr>
          <w:p>
            <w:pPr>
              <w:spacing w:after="0"/>
              <w:rPr>
                <w:sz w:val="24"/>
                <w:szCs w:val="24"/>
                <w:color w:val="auto"/>
              </w:rPr>
            </w:pPr>
          </w:p>
        </w:tc>
        <w:tc>
          <w:tcPr>
            <w:tcW w:w="800" w:type="dxa"/>
            <w:vAlign w:val="bottom"/>
            <w:tcBorders>
              <w:bottom w:val="single" w:sz="8" w:color="6D6D6D"/>
              <w:right w:val="single" w:sz="8" w:color="6D6D6D"/>
            </w:tcBorders>
          </w:tcPr>
          <w:p>
            <w:pPr>
              <w:spacing w:after="0"/>
              <w:rPr>
                <w:sz w:val="24"/>
                <w:szCs w:val="24"/>
                <w:color w:val="auto"/>
              </w:rPr>
            </w:pPr>
          </w:p>
        </w:tc>
        <w:tc>
          <w:tcPr>
            <w:tcW w:w="500" w:type="dxa"/>
            <w:vAlign w:val="bottom"/>
            <w:tcBorders>
              <w:bottom w:val="single" w:sz="8" w:color="6D6D6D"/>
            </w:tcBorders>
          </w:tcPr>
          <w:p>
            <w:pPr>
              <w:spacing w:after="0"/>
              <w:rPr>
                <w:sz w:val="24"/>
                <w:szCs w:val="24"/>
                <w:color w:val="auto"/>
              </w:rPr>
            </w:pPr>
          </w:p>
        </w:tc>
        <w:tc>
          <w:tcPr>
            <w:tcW w:w="300" w:type="dxa"/>
            <w:vAlign w:val="bottom"/>
            <w:tcBorders>
              <w:bottom w:val="single" w:sz="8" w:color="6D6D6D"/>
              <w:right w:val="single" w:sz="8" w:color="6D6D6D"/>
            </w:tcBorders>
          </w:tcPr>
          <w:p>
            <w:pPr>
              <w:spacing w:after="0"/>
              <w:rPr>
                <w:sz w:val="24"/>
                <w:szCs w:val="24"/>
                <w:color w:val="auto"/>
              </w:rPr>
            </w:pPr>
          </w:p>
        </w:tc>
        <w:tc>
          <w:tcPr>
            <w:tcW w:w="920" w:type="dxa"/>
            <w:vAlign w:val="bottom"/>
            <w:tcBorders>
              <w:bottom w:val="single" w:sz="8" w:color="6D6D6D"/>
              <w:right w:val="single" w:sz="8" w:color="6D6D6D"/>
            </w:tcBorders>
          </w:tcPr>
          <w:p>
            <w:pPr>
              <w:spacing w:after="0"/>
              <w:rPr>
                <w:sz w:val="24"/>
                <w:szCs w:val="24"/>
                <w:color w:val="auto"/>
              </w:rPr>
            </w:pPr>
          </w:p>
        </w:tc>
        <w:tc>
          <w:tcPr>
            <w:tcW w:w="800" w:type="dxa"/>
            <w:vAlign w:val="bottom"/>
            <w:tcBorders>
              <w:bottom w:val="single" w:sz="8" w:color="6D6D6D"/>
              <w:right w:val="single" w:sz="8" w:color="6D6D6D"/>
            </w:tcBorders>
          </w:tcPr>
          <w:p>
            <w:pPr>
              <w:spacing w:after="0"/>
              <w:rPr>
                <w:sz w:val="24"/>
                <w:szCs w:val="24"/>
                <w:color w:val="auto"/>
              </w:rPr>
            </w:pPr>
          </w:p>
        </w:tc>
        <w:tc>
          <w:tcPr>
            <w:tcW w:w="800" w:type="dxa"/>
            <w:vAlign w:val="bottom"/>
            <w:tcBorders>
              <w:bottom w:val="single" w:sz="8" w:color="6D6D6D"/>
              <w:right w:val="single" w:sz="8" w:color="6D6D6D"/>
            </w:tcBorders>
          </w:tcPr>
          <w:p>
            <w:pPr>
              <w:spacing w:after="0"/>
              <w:rPr>
                <w:sz w:val="24"/>
                <w:szCs w:val="24"/>
                <w:color w:val="auto"/>
              </w:rPr>
            </w:pPr>
          </w:p>
        </w:tc>
        <w:tc>
          <w:tcPr>
            <w:tcW w:w="780" w:type="dxa"/>
            <w:vAlign w:val="bottom"/>
            <w:tcBorders>
              <w:bottom w:val="single" w:sz="8" w:color="6D6D6D"/>
              <w:right w:val="single" w:sz="8" w:color="6D6D6D"/>
            </w:tcBorders>
          </w:tcPr>
          <w:p>
            <w:pPr>
              <w:spacing w:after="0"/>
              <w:rPr>
                <w:sz w:val="24"/>
                <w:szCs w:val="24"/>
                <w:color w:val="auto"/>
              </w:rPr>
            </w:pPr>
          </w:p>
        </w:tc>
        <w:tc>
          <w:tcPr>
            <w:tcW w:w="800" w:type="dxa"/>
            <w:vAlign w:val="bottom"/>
            <w:tcBorders>
              <w:bottom w:val="single" w:sz="8" w:color="6D6D6D"/>
              <w:right w:val="single" w:sz="8" w:color="6D6D6D"/>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4740" w:type="dxa"/>
            <w:vAlign w:val="bottom"/>
            <w:tcBorders>
              <w:right w:val="single" w:sz="8" w:color="6D6D6D"/>
            </w:tcBorders>
          </w:tcPr>
          <w:p>
            <w:pPr>
              <w:spacing w:after="0"/>
              <w:rPr>
                <w:sz w:val="20"/>
                <w:szCs w:val="20"/>
                <w:color w:val="auto"/>
              </w:rPr>
            </w:pPr>
            <w:r>
              <w:rPr>
                <w:rFonts w:ascii="Arial" w:cs="Arial" w:eastAsia="Arial" w:hAnsi="Arial"/>
                <w:sz w:val="15"/>
                <w:szCs w:val="15"/>
                <w:b w:val="1"/>
                <w:bCs w:val="1"/>
                <w:color w:val="170D67"/>
              </w:rPr>
              <w:t>Bryan Segedi</w:t>
            </w:r>
          </w:p>
        </w:tc>
        <w:tc>
          <w:tcPr>
            <w:tcW w:w="800" w:type="dxa"/>
            <w:vAlign w:val="bottom"/>
            <w:tcBorders>
              <w:right w:val="single" w:sz="8" w:color="6D6D6D"/>
            </w:tcBorders>
            <w:vMerge w:val="restart"/>
          </w:tcPr>
          <w:p>
            <w:pPr>
              <w:jc w:val="center"/>
              <w:spacing w:after="0"/>
              <w:rPr>
                <w:sz w:val="20"/>
                <w:szCs w:val="20"/>
                <w:color w:val="auto"/>
              </w:rPr>
            </w:pPr>
            <w:r>
              <w:rPr>
                <w:rFonts w:ascii="Arial" w:cs="Arial" w:eastAsia="Arial" w:hAnsi="Arial"/>
                <w:sz w:val="16"/>
                <w:szCs w:val="16"/>
                <w:b w:val="1"/>
                <w:bCs w:val="1"/>
                <w:color w:val="170D67"/>
                <w:w w:val="98"/>
              </w:rPr>
              <w:t>1.3</w:t>
            </w:r>
          </w:p>
        </w:tc>
        <w:tc>
          <w:tcPr>
            <w:tcW w:w="500" w:type="dxa"/>
            <w:vAlign w:val="bottom"/>
            <w:vMerge w:val="restart"/>
          </w:tcPr>
          <w:p>
            <w:pPr>
              <w:jc w:val="right"/>
              <w:spacing w:after="0"/>
              <w:rPr>
                <w:sz w:val="20"/>
                <w:szCs w:val="20"/>
                <w:color w:val="auto"/>
              </w:rPr>
            </w:pPr>
            <w:r>
              <w:rPr>
                <w:rFonts w:ascii="Arial" w:cs="Arial" w:eastAsia="Arial" w:hAnsi="Arial"/>
                <w:sz w:val="16"/>
                <w:szCs w:val="16"/>
                <w:b w:val="1"/>
                <w:bCs w:val="1"/>
                <w:color w:val="170D67"/>
              </w:rPr>
              <w:t>65</w:t>
            </w:r>
          </w:p>
        </w:tc>
        <w:tc>
          <w:tcPr>
            <w:tcW w:w="300" w:type="dxa"/>
            <w:vAlign w:val="bottom"/>
            <w:tcBorders>
              <w:right w:val="single" w:sz="8" w:color="6D6D6D"/>
            </w:tcBorders>
          </w:tcPr>
          <w:p>
            <w:pPr>
              <w:spacing w:after="0"/>
              <w:rPr>
                <w:sz w:val="24"/>
                <w:szCs w:val="24"/>
                <w:color w:val="auto"/>
              </w:rPr>
            </w:pPr>
          </w:p>
        </w:tc>
        <w:tc>
          <w:tcPr>
            <w:tcW w:w="920" w:type="dxa"/>
            <w:vAlign w:val="bottom"/>
            <w:tcBorders>
              <w:right w:val="single" w:sz="8" w:color="6D6D6D"/>
            </w:tcBorders>
            <w:vMerge w:val="restart"/>
          </w:tcPr>
          <w:p>
            <w:pPr>
              <w:jc w:val="center"/>
              <w:spacing w:after="0"/>
              <w:rPr>
                <w:sz w:val="20"/>
                <w:szCs w:val="20"/>
                <w:color w:val="auto"/>
              </w:rPr>
            </w:pPr>
            <w:r>
              <w:rPr>
                <w:rFonts w:ascii="Arial" w:cs="Arial" w:eastAsia="Arial" w:hAnsi="Arial"/>
                <w:sz w:val="16"/>
                <w:szCs w:val="16"/>
                <w:color w:val="3A5CFF"/>
              </w:rPr>
              <w:t>●</w:t>
            </w:r>
          </w:p>
        </w:tc>
        <w:tc>
          <w:tcPr>
            <w:tcW w:w="800" w:type="dxa"/>
            <w:vAlign w:val="bottom"/>
            <w:tcBorders>
              <w:right w:val="single" w:sz="8" w:color="6D6D6D"/>
            </w:tcBorders>
            <w:vMerge w:val="restart"/>
          </w:tcPr>
          <w:p>
            <w:pPr>
              <w:jc w:val="center"/>
              <w:spacing w:after="0"/>
              <w:rPr>
                <w:sz w:val="20"/>
                <w:szCs w:val="20"/>
                <w:color w:val="auto"/>
              </w:rPr>
            </w:pPr>
            <w:r>
              <w:rPr>
                <w:rFonts w:ascii="Arial" w:cs="Arial" w:eastAsia="Arial" w:hAnsi="Arial"/>
                <w:sz w:val="16"/>
                <w:szCs w:val="16"/>
                <w:b w:val="1"/>
                <w:bCs w:val="1"/>
                <w:color w:val="170D67"/>
              </w:rPr>
              <w:t>Chair</w:t>
            </w:r>
          </w:p>
        </w:tc>
        <w:tc>
          <w:tcPr>
            <w:tcW w:w="800" w:type="dxa"/>
            <w:vAlign w:val="bottom"/>
            <w:tcBorders>
              <w:right w:val="single" w:sz="8" w:color="6D6D6D"/>
            </w:tcBorders>
          </w:tcPr>
          <w:p>
            <w:pPr>
              <w:spacing w:after="0"/>
              <w:rPr>
                <w:sz w:val="24"/>
                <w:szCs w:val="24"/>
                <w:color w:val="auto"/>
              </w:rPr>
            </w:pPr>
          </w:p>
        </w:tc>
        <w:tc>
          <w:tcPr>
            <w:tcW w:w="780" w:type="dxa"/>
            <w:vAlign w:val="bottom"/>
            <w:tcBorders>
              <w:right w:val="single" w:sz="8" w:color="6D6D6D"/>
            </w:tcBorders>
          </w:tcPr>
          <w:p>
            <w:pPr>
              <w:spacing w:after="0"/>
              <w:rPr>
                <w:sz w:val="24"/>
                <w:szCs w:val="24"/>
                <w:color w:val="auto"/>
              </w:rPr>
            </w:pPr>
          </w:p>
        </w:tc>
        <w:tc>
          <w:tcPr>
            <w:tcW w:w="800" w:type="dxa"/>
            <w:vAlign w:val="bottom"/>
            <w:tcBorders>
              <w:right w:val="single" w:sz="8" w:color="6D6D6D"/>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740" w:type="dxa"/>
            <w:vAlign w:val="bottom"/>
            <w:tcBorders>
              <w:right w:val="single" w:sz="8" w:color="6D6D6D"/>
            </w:tcBorders>
          </w:tcPr>
          <w:p>
            <w:pPr>
              <w:spacing w:after="0"/>
              <w:rPr>
                <w:sz w:val="20"/>
                <w:szCs w:val="20"/>
                <w:color w:val="auto"/>
              </w:rPr>
            </w:pPr>
            <w:r>
              <w:rPr>
                <w:rFonts w:ascii="Arial" w:cs="Arial" w:eastAsia="Arial" w:hAnsi="Arial"/>
                <w:sz w:val="14"/>
                <w:szCs w:val="14"/>
                <w:color w:val="auto"/>
              </w:rPr>
              <w:t>Former Deputy Global Vice Chair of Assurance, Ernst &amp; Young</w:t>
            </w:r>
          </w:p>
        </w:tc>
        <w:tc>
          <w:tcPr>
            <w:tcW w:w="800" w:type="dxa"/>
            <w:vAlign w:val="bottom"/>
            <w:tcBorders>
              <w:right w:val="single" w:sz="8" w:color="6D6D6D"/>
            </w:tcBorders>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300" w:type="dxa"/>
            <w:vAlign w:val="bottom"/>
            <w:tcBorders>
              <w:right w:val="single" w:sz="8" w:color="6D6D6D"/>
            </w:tcBorders>
          </w:tcPr>
          <w:p>
            <w:pPr>
              <w:spacing w:after="0"/>
              <w:rPr>
                <w:sz w:val="16"/>
                <w:szCs w:val="16"/>
                <w:color w:val="auto"/>
              </w:rPr>
            </w:pPr>
          </w:p>
        </w:tc>
        <w:tc>
          <w:tcPr>
            <w:tcW w:w="920" w:type="dxa"/>
            <w:vAlign w:val="bottom"/>
            <w:tcBorders>
              <w:right w:val="single" w:sz="8" w:color="6D6D6D"/>
            </w:tcBorders>
            <w:vMerge w:val="continue"/>
          </w:tcPr>
          <w:p>
            <w:pPr>
              <w:spacing w:after="0"/>
              <w:rPr>
                <w:sz w:val="16"/>
                <w:szCs w:val="16"/>
                <w:color w:val="auto"/>
              </w:rPr>
            </w:pPr>
          </w:p>
        </w:tc>
        <w:tc>
          <w:tcPr>
            <w:tcW w:w="800" w:type="dxa"/>
            <w:vAlign w:val="bottom"/>
            <w:tcBorders>
              <w:right w:val="single" w:sz="8" w:color="6D6D6D"/>
            </w:tcBorders>
            <w:vMerge w:val="continue"/>
          </w:tcPr>
          <w:p>
            <w:pPr>
              <w:spacing w:after="0"/>
              <w:rPr>
                <w:sz w:val="16"/>
                <w:szCs w:val="16"/>
                <w:color w:val="auto"/>
              </w:rPr>
            </w:pPr>
          </w:p>
        </w:tc>
        <w:tc>
          <w:tcPr>
            <w:tcW w:w="800" w:type="dxa"/>
            <w:vAlign w:val="bottom"/>
            <w:tcBorders>
              <w:right w:val="single" w:sz="8" w:color="6D6D6D"/>
            </w:tcBorders>
          </w:tcPr>
          <w:p>
            <w:pPr>
              <w:spacing w:after="0"/>
              <w:rPr>
                <w:sz w:val="16"/>
                <w:szCs w:val="16"/>
                <w:color w:val="auto"/>
              </w:rPr>
            </w:pPr>
          </w:p>
        </w:tc>
        <w:tc>
          <w:tcPr>
            <w:tcW w:w="780" w:type="dxa"/>
            <w:vAlign w:val="bottom"/>
            <w:tcBorders>
              <w:right w:val="single" w:sz="8" w:color="6D6D6D"/>
            </w:tcBorders>
          </w:tcPr>
          <w:p>
            <w:pPr>
              <w:spacing w:after="0"/>
              <w:rPr>
                <w:sz w:val="16"/>
                <w:szCs w:val="16"/>
                <w:color w:val="auto"/>
              </w:rPr>
            </w:pPr>
          </w:p>
        </w:tc>
        <w:tc>
          <w:tcPr>
            <w:tcW w:w="800" w:type="dxa"/>
            <w:vAlign w:val="bottom"/>
            <w:tcBorders>
              <w:right w:val="single" w:sz="8" w:color="6D6D6D"/>
            </w:tcBorders>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4740" w:type="dxa"/>
            <w:vAlign w:val="bottom"/>
            <w:tcBorders>
              <w:bottom w:val="single" w:sz="8" w:color="auto"/>
              <w:right w:val="single" w:sz="8" w:color="6D6D6D"/>
            </w:tcBorders>
          </w:tcPr>
          <w:p>
            <w:pPr>
              <w:spacing w:after="0"/>
              <w:rPr>
                <w:sz w:val="24"/>
                <w:szCs w:val="24"/>
                <w:color w:val="auto"/>
              </w:rPr>
            </w:pPr>
          </w:p>
        </w:tc>
        <w:tc>
          <w:tcPr>
            <w:tcW w:w="800" w:type="dxa"/>
            <w:vAlign w:val="bottom"/>
            <w:tcBorders>
              <w:bottom w:val="single" w:sz="8" w:color="auto"/>
              <w:right w:val="single" w:sz="8" w:color="6D6D6D"/>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6D6D6D"/>
            </w:tcBorders>
          </w:tcPr>
          <w:p>
            <w:pPr>
              <w:spacing w:after="0"/>
              <w:rPr>
                <w:sz w:val="24"/>
                <w:szCs w:val="24"/>
                <w:color w:val="auto"/>
              </w:rPr>
            </w:pPr>
          </w:p>
        </w:tc>
        <w:tc>
          <w:tcPr>
            <w:tcW w:w="920" w:type="dxa"/>
            <w:vAlign w:val="bottom"/>
            <w:tcBorders>
              <w:bottom w:val="single" w:sz="8" w:color="auto"/>
              <w:right w:val="single" w:sz="8" w:color="6D6D6D"/>
            </w:tcBorders>
          </w:tcPr>
          <w:p>
            <w:pPr>
              <w:spacing w:after="0"/>
              <w:rPr>
                <w:sz w:val="24"/>
                <w:szCs w:val="24"/>
                <w:color w:val="auto"/>
              </w:rPr>
            </w:pPr>
          </w:p>
        </w:tc>
        <w:tc>
          <w:tcPr>
            <w:tcW w:w="800" w:type="dxa"/>
            <w:vAlign w:val="bottom"/>
            <w:tcBorders>
              <w:bottom w:val="single" w:sz="8" w:color="auto"/>
              <w:right w:val="single" w:sz="8" w:color="6D6D6D"/>
            </w:tcBorders>
          </w:tcPr>
          <w:p>
            <w:pPr>
              <w:spacing w:after="0"/>
              <w:rPr>
                <w:sz w:val="24"/>
                <w:szCs w:val="24"/>
                <w:color w:val="auto"/>
              </w:rPr>
            </w:pPr>
          </w:p>
        </w:tc>
        <w:tc>
          <w:tcPr>
            <w:tcW w:w="800" w:type="dxa"/>
            <w:vAlign w:val="bottom"/>
            <w:tcBorders>
              <w:bottom w:val="single" w:sz="8" w:color="auto"/>
              <w:right w:val="single" w:sz="8" w:color="6D6D6D"/>
            </w:tcBorders>
          </w:tcPr>
          <w:p>
            <w:pPr>
              <w:spacing w:after="0"/>
              <w:rPr>
                <w:sz w:val="24"/>
                <w:szCs w:val="24"/>
                <w:color w:val="auto"/>
              </w:rPr>
            </w:pPr>
          </w:p>
        </w:tc>
        <w:tc>
          <w:tcPr>
            <w:tcW w:w="780" w:type="dxa"/>
            <w:vAlign w:val="bottom"/>
            <w:tcBorders>
              <w:bottom w:val="single" w:sz="8" w:color="auto"/>
              <w:right w:val="single" w:sz="8" w:color="6D6D6D"/>
            </w:tcBorders>
          </w:tcPr>
          <w:p>
            <w:pPr>
              <w:spacing w:after="0"/>
              <w:rPr>
                <w:sz w:val="24"/>
                <w:szCs w:val="24"/>
                <w:color w:val="auto"/>
              </w:rPr>
            </w:pPr>
          </w:p>
        </w:tc>
        <w:tc>
          <w:tcPr>
            <w:tcW w:w="800" w:type="dxa"/>
            <w:vAlign w:val="bottom"/>
            <w:tcBorders>
              <w:bottom w:val="single" w:sz="8" w:color="auto"/>
              <w:right w:val="single" w:sz="8" w:color="6D6D6D"/>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-4645660</wp:posOffset>
            </wp:positionV>
            <wp:extent cx="325755" cy="3257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-4123055</wp:posOffset>
            </wp:positionV>
            <wp:extent cx="325755" cy="3257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-3599815</wp:posOffset>
            </wp:positionV>
            <wp:extent cx="325755" cy="3257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-3077210</wp:posOffset>
            </wp:positionV>
            <wp:extent cx="325755" cy="3257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-2553970</wp:posOffset>
            </wp:positionV>
            <wp:extent cx="325755" cy="3257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-2031365</wp:posOffset>
            </wp:positionV>
            <wp:extent cx="325755" cy="3257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-1508125</wp:posOffset>
            </wp:positionV>
            <wp:extent cx="325755" cy="3257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-985520</wp:posOffset>
            </wp:positionV>
            <wp:extent cx="325755" cy="3257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-462280</wp:posOffset>
            </wp:positionV>
            <wp:extent cx="325755" cy="3257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155"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Our Director nominees represent a broad mix of skills, experiences, and perspectives, which we believe enables them to provide valuable strategic advice to Exelon’s management and to effectively oversee the business and long-term interests of shareholders. In the past three years, the Board has added five new independent Directors, bringing fresh insights and perspectives, additional industry experience and further demographic diversity to the Board. Most recently, with the addition of Mr. DeWalt, the Board has deepened its expertise in cybersecurity, physical security, technology and privacy. Our Director nominees feature particularly deep utility and energy industry expertise, evidenced by Messrs. Butler’s and Bowers’s combined 50+ years of leadership experience in the utilities industry, Mr. Rogers’s 25-year career as a consultant for electric and gas utilities and energy companies, and Ms. Lillie’s 13 years of service on the board of PECO (an Exelon utility). Together with Mses. Richo’s and Jojo’s extensive leadership experience in other regulated industries, Ms. Rodgers Cheshire’s brand management know-how, and Mr. Segedi’s public accounting expertise, the Board believes these Director nominees present a balanced, capable Board with the appropriate skills and experiences to lead Exelon.</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about Exelon’s Director nominees and governance practices, see the disclosures beginning on page 15.</w:t>
      </w:r>
    </w:p>
    <w:p>
      <w:pPr>
        <w:spacing w:after="0" w:line="131"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8"/>
          <w:szCs w:val="8"/>
          <w:color w:val="auto"/>
        </w:rPr>
      </w:pPr>
      <w:r>
        <w:rPr>
          <w:rFonts w:ascii="Arial" w:cs="Arial" w:eastAsia="Arial" w:hAnsi="Arial"/>
          <w:sz w:val="14"/>
          <w:szCs w:val="14"/>
          <w:color w:val="auto"/>
        </w:rPr>
        <w:t>Measured as of the date of the Annual Meeting, April 29, 2025.</w:t>
      </w:r>
    </w:p>
    <w:p>
      <w:pPr>
        <w:spacing w:after="0" w:line="95" w:lineRule="exact"/>
        <w:rPr>
          <w:rFonts w:ascii="Arial" w:cs="Arial" w:eastAsia="Arial" w:hAnsi="Arial"/>
          <w:sz w:val="8"/>
          <w:szCs w:val="8"/>
          <w:color w:val="auto"/>
        </w:rPr>
      </w:pPr>
    </w:p>
    <w:p>
      <w:pPr>
        <w:ind w:left="260" w:right="280" w:hanging="252"/>
        <w:spacing w:after="0" w:line="303" w:lineRule="auto"/>
        <w:tabs>
          <w:tab w:leader="none" w:pos="249" w:val="left"/>
        </w:tabs>
        <w:numPr>
          <w:ilvl w:val="0"/>
          <w:numId w:val="20"/>
        </w:numPr>
        <w:rPr>
          <w:rFonts w:ascii="Arial" w:cs="Arial" w:eastAsia="Arial" w:hAnsi="Arial"/>
          <w:sz w:val="8"/>
          <w:szCs w:val="8"/>
          <w:color w:val="auto"/>
        </w:rPr>
      </w:pPr>
      <w:r>
        <w:rPr>
          <w:rFonts w:ascii="Arial" w:cs="Arial" w:eastAsia="Arial" w:hAnsi="Arial"/>
          <w:sz w:val="14"/>
          <w:szCs w:val="14"/>
          <w:color w:val="auto"/>
        </w:rPr>
        <w:t>Audit and Risk Committee (ARC); Corporate Governance Committee (CGC); Talent Management and Compensation Committee (TMCC); and Operations, Safety, and Customer Experience Committee (OSCC). Each Director’s committee assignments are as of April 29, 2025 and assumes the re-election of such Director. Mr. Young, the current Chair of the CGC, is not standing for re-election. If re-elected, Ms. Jojo will assume the role of Chair of the CGC.</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8780"/>
        <w:spacing w:after="0"/>
        <w:tabs>
          <w:tab w:leader="none" w:pos="11040" w:val="left"/>
        </w:tabs>
        <w:rPr>
          <w:sz w:val="20"/>
          <w:szCs w:val="20"/>
          <w:color w:val="auto"/>
        </w:rPr>
      </w:pPr>
      <w:r>
        <w:rPr>
          <w:rFonts w:ascii="Arial" w:cs="Arial" w:eastAsia="Arial" w:hAnsi="Arial"/>
          <w:sz w:val="14"/>
          <w:szCs w:val="14"/>
          <w:color w:val="auto"/>
        </w:rPr>
        <w:t>2025 ׀ Exelon Proxy Statement</w:t>
      </w:r>
      <w:r>
        <w:rPr>
          <w:sz w:val="20"/>
          <w:szCs w:val="20"/>
          <w:color w:val="auto"/>
        </w:rPr>
        <w:tab/>
      </w:r>
      <w:r>
        <w:rPr>
          <w:rFonts w:ascii="Arial" w:cs="Arial" w:eastAsia="Arial" w:hAnsi="Arial"/>
          <w:sz w:val="14"/>
          <w:szCs w:val="14"/>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3"/>
          <w:szCs w:val="13"/>
          <w:b w:val="1"/>
          <w:bCs w:val="1"/>
          <w:color w:val="auto"/>
        </w:rPr>
        <w:t>Proxy Summary &amp; Roadmap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551180</wp:posOffset>
            </wp:positionV>
            <wp:extent cx="712343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2343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60" w:hanging="379"/>
        <w:spacing w:after="0"/>
        <w:tabs>
          <w:tab w:leader="none" w:pos="560" w:val="left"/>
        </w:tabs>
        <w:numPr>
          <w:ilvl w:val="0"/>
          <w:numId w:val="21"/>
        </w:numPr>
        <w:rPr>
          <w:rFonts w:ascii="Arial" w:cs="Arial" w:eastAsia="Arial" w:hAnsi="Arial"/>
          <w:sz w:val="32"/>
          <w:szCs w:val="32"/>
          <w:b w:val="1"/>
          <w:bCs w:val="1"/>
          <w:color w:val="FFFFFF"/>
        </w:rPr>
      </w:pPr>
      <w:r>
        <w:rPr>
          <w:rFonts w:ascii="Arial" w:cs="Arial" w:eastAsia="Arial" w:hAnsi="Arial"/>
          <w:sz w:val="18"/>
          <w:szCs w:val="18"/>
          <w:color w:val="auto"/>
        </w:rPr>
        <w:t>Ratify the appointment of PricewaterhouseCoopers LLP (PwC) as Exelon’s independent auditor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334010" cy="2825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4010" cy="2825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177165</wp:posOffset>
            </wp:positionV>
            <wp:extent cx="205740" cy="162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5740" cy="162560"/>
                    </a:xfrm>
                    <a:prstGeom prst="rect">
                      <a:avLst/>
                    </a:prstGeom>
                    <a:noFill/>
                  </pic:spPr>
                </pic:pic>
              </a:graphicData>
            </a:graphic>
          </wp:anchor>
        </w:drawing>
      </w:r>
    </w:p>
    <w:p>
      <w:pPr>
        <w:spacing w:after="0" w:line="326"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170D67"/>
        </w:rPr>
        <w:t xml:space="preserve">The Board recommends a vote </w:t>
      </w:r>
      <w:r>
        <w:rPr>
          <w:rFonts w:ascii="Arial" w:cs="Arial" w:eastAsia="Arial" w:hAnsi="Arial"/>
          <w:sz w:val="16"/>
          <w:szCs w:val="16"/>
          <w:b w:val="1"/>
          <w:bCs w:val="1"/>
          <w:color w:val="00E4A5"/>
        </w:rPr>
        <w:t>“FOR”</w:t>
      </w:r>
      <w:r>
        <w:rPr>
          <w:rFonts w:ascii="Arial" w:cs="Arial" w:eastAsia="Arial" w:hAnsi="Arial"/>
          <w:sz w:val="16"/>
          <w:szCs w:val="16"/>
          <w:b w:val="1"/>
          <w:bCs w:val="1"/>
          <w:color w:val="170D67"/>
        </w:rPr>
        <w:t xml:space="preserve"> the ratification of PwC as Exelon’s independent auditor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234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90"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PwC has served as the Company’s independent auditor since the Company’s formation in 2000. PwC has become deeply familiar with the Company’s operations and businesses, accounting policies and practices, and internal controls over financial reporting. The ARC believes this experience and expertise is valuable to the Company and its shareholders. For more information, see the disclosures beginning on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2343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23430" cy="34290"/>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40" w:type="dxa"/>
            <w:vAlign w:val="bottom"/>
            <w:vMerge w:val="restart"/>
            <w:shd w:val="clear" w:color="auto" w:fill="170D67"/>
          </w:tcPr>
          <w:p>
            <w:pPr>
              <w:jc w:val="right"/>
              <w:ind w:right="18"/>
              <w:spacing w:after="0"/>
              <w:rPr>
                <w:sz w:val="20"/>
                <w:szCs w:val="20"/>
                <w:color w:val="auto"/>
              </w:rPr>
            </w:pPr>
            <w:r>
              <w:rPr>
                <w:rFonts w:ascii="Arial" w:cs="Arial" w:eastAsia="Arial" w:hAnsi="Arial"/>
                <w:sz w:val="32"/>
                <w:szCs w:val="32"/>
                <w:b w:val="1"/>
                <w:bCs w:val="1"/>
                <w:color w:val="FFFFFF"/>
              </w:rPr>
              <w:t>3</w:t>
            </w:r>
          </w:p>
        </w:tc>
        <w:tc>
          <w:tcPr>
            <w:tcW w:w="2740" w:type="dxa"/>
            <w:vAlign w:val="bottom"/>
          </w:tcPr>
          <w:p>
            <w:pPr>
              <w:ind w:left="20"/>
              <w:spacing w:after="0"/>
              <w:rPr>
                <w:sz w:val="20"/>
                <w:szCs w:val="20"/>
                <w:color w:val="auto"/>
              </w:rPr>
            </w:pPr>
            <w:r>
              <w:rPr>
                <w:rFonts w:ascii="Arial" w:cs="Arial" w:eastAsia="Arial" w:hAnsi="Arial"/>
                <w:sz w:val="18"/>
                <w:szCs w:val="18"/>
                <w:color w:val="auto"/>
                <w:w w:val="97"/>
              </w:rPr>
              <w:t>Approve, on an advisory basis, the</w:t>
            </w:r>
          </w:p>
        </w:tc>
        <w:tc>
          <w:tcPr>
            <w:tcW w:w="6020" w:type="dxa"/>
            <w:vAlign w:val="bottom"/>
          </w:tcPr>
          <w:p>
            <w:pPr>
              <w:ind w:left="80"/>
              <w:spacing w:after="0"/>
              <w:rPr>
                <w:sz w:val="20"/>
                <w:szCs w:val="20"/>
                <w:color w:val="auto"/>
              </w:rPr>
            </w:pPr>
            <w:r>
              <w:rPr>
                <w:rFonts w:ascii="Arial" w:cs="Arial" w:eastAsia="Arial" w:hAnsi="Arial"/>
                <w:sz w:val="18"/>
                <w:szCs w:val="18"/>
                <w:color w:val="auto"/>
                <w:w w:val="99"/>
              </w:rPr>
              <w:t>compensation paid to the Company’s named executive officers (NEOs), as</w:t>
            </w:r>
          </w:p>
        </w:tc>
        <w:tc>
          <w:tcPr>
            <w:tcW w:w="0" w:type="dxa"/>
            <w:vAlign w:val="bottom"/>
          </w:tcPr>
          <w:p>
            <w:pPr>
              <w:spacing w:after="0"/>
              <w:rPr>
                <w:sz w:val="1"/>
                <w:szCs w:val="1"/>
                <w:color w:val="auto"/>
              </w:rPr>
            </w:pPr>
          </w:p>
        </w:tc>
      </w:tr>
      <w:tr>
        <w:trPr>
          <w:trHeight w:val="287"/>
        </w:trPr>
        <w:tc>
          <w:tcPr>
            <w:tcW w:w="540" w:type="dxa"/>
            <w:vAlign w:val="bottom"/>
            <w:vMerge w:val="continue"/>
            <w:shd w:val="clear" w:color="auto" w:fill="170D67"/>
          </w:tcPr>
          <w:p>
            <w:pPr>
              <w:spacing w:after="0"/>
              <w:rPr>
                <w:sz w:val="24"/>
                <w:szCs w:val="24"/>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disclosed in this proxy statement.</w:t>
            </w:r>
          </w:p>
        </w:tc>
        <w:tc>
          <w:tcPr>
            <w:tcW w:w="6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540" w:type="dxa"/>
            <w:vAlign w:val="bottom"/>
            <w:shd w:val="clear" w:color="auto" w:fill="170D67"/>
          </w:tcPr>
          <w:p>
            <w:pPr>
              <w:spacing w:after="0"/>
              <w:rPr>
                <w:sz w:val="7"/>
                <w:szCs w:val="7"/>
                <w:color w:val="auto"/>
              </w:rPr>
            </w:pPr>
          </w:p>
        </w:tc>
        <w:tc>
          <w:tcPr>
            <w:tcW w:w="2740" w:type="dxa"/>
            <w:vAlign w:val="bottom"/>
          </w:tcPr>
          <w:p>
            <w:pPr>
              <w:spacing w:after="0"/>
              <w:rPr>
                <w:sz w:val="7"/>
                <w:szCs w:val="7"/>
                <w:color w:val="auto"/>
              </w:rPr>
            </w:pPr>
          </w:p>
        </w:tc>
        <w:tc>
          <w:tcPr>
            <w:tcW w:w="60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205740"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5740" cy="163195"/>
                    </a:xfrm>
                    <a:prstGeom prst="rect">
                      <a:avLst/>
                    </a:prstGeom>
                    <a:noFill/>
                  </pic:spPr>
                </pic:pic>
              </a:graphicData>
            </a:graphic>
          </wp:anchor>
        </w:drawing>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170D67"/>
        </w:rPr>
        <w:t xml:space="preserve">The Board recommends a vote </w:t>
      </w:r>
      <w:r>
        <w:rPr>
          <w:rFonts w:ascii="Arial" w:cs="Arial" w:eastAsia="Arial" w:hAnsi="Arial"/>
          <w:sz w:val="16"/>
          <w:szCs w:val="16"/>
          <w:b w:val="1"/>
          <w:bCs w:val="1"/>
          <w:color w:val="00E4A5"/>
        </w:rPr>
        <w:t>“FOR”</w:t>
      </w:r>
      <w:r>
        <w:rPr>
          <w:rFonts w:ascii="Arial" w:cs="Arial" w:eastAsia="Arial" w:hAnsi="Arial"/>
          <w:sz w:val="16"/>
          <w:szCs w:val="16"/>
          <w:b w:val="1"/>
          <w:bCs w:val="1"/>
          <w:color w:val="170D67"/>
        </w:rPr>
        <w:t xml:space="preserve"> the approval of the compensation paid to the Company’s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234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Disclosure and Analysis portion of this proxy statement discusses Exelon’s 2024 compensation for our NEOs: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320" w:type="dxa"/>
            <w:vAlign w:val="bottom"/>
            <w:gridSpan w:val="2"/>
          </w:tcPr>
          <w:p>
            <w:pPr>
              <w:spacing w:after="0"/>
              <w:rPr>
                <w:sz w:val="20"/>
                <w:szCs w:val="20"/>
                <w:color w:val="auto"/>
              </w:rPr>
            </w:pPr>
            <w:r>
              <w:rPr>
                <w:rFonts w:ascii="Arial" w:cs="Arial" w:eastAsia="Arial" w:hAnsi="Arial"/>
                <w:sz w:val="16"/>
                <w:szCs w:val="16"/>
                <w:b w:val="1"/>
                <w:bCs w:val="1"/>
                <w:color w:val="auto"/>
              </w:rPr>
              <w:t>• Calvin G. Butler, Jr.</w:t>
            </w:r>
          </w:p>
        </w:tc>
        <w:tc>
          <w:tcPr>
            <w:tcW w:w="4720" w:type="dxa"/>
            <w:vAlign w:val="bottom"/>
          </w:tcPr>
          <w:p>
            <w:pPr>
              <w:ind w:left="660"/>
              <w:spacing w:after="0"/>
              <w:rPr>
                <w:sz w:val="20"/>
                <w:szCs w:val="20"/>
                <w:color w:val="auto"/>
              </w:rPr>
            </w:pPr>
            <w:r>
              <w:rPr>
                <w:rFonts w:ascii="Arial" w:cs="Arial" w:eastAsia="Arial" w:hAnsi="Arial"/>
                <w:sz w:val="16"/>
                <w:szCs w:val="16"/>
                <w:color w:val="auto"/>
              </w:rPr>
              <w:t>President and Chief Executive Officer</w:t>
            </w:r>
          </w:p>
        </w:tc>
      </w:tr>
      <w:tr>
        <w:trPr>
          <w:trHeight w:val="283"/>
        </w:trPr>
        <w:tc>
          <w:tcPr>
            <w:tcW w:w="120" w:type="dxa"/>
            <w:vAlign w:val="bottom"/>
          </w:tcPr>
          <w:p>
            <w:pPr>
              <w:spacing w:after="0"/>
              <w:rPr>
                <w:sz w:val="20"/>
                <w:szCs w:val="20"/>
                <w:color w:val="auto"/>
              </w:rPr>
            </w:pPr>
            <w:r>
              <w:rPr>
                <w:rFonts w:ascii="Arial" w:cs="Arial" w:eastAsia="Arial" w:hAnsi="Arial"/>
                <w:sz w:val="16"/>
                <w:szCs w:val="16"/>
                <w:b w:val="1"/>
                <w:bCs w:val="1"/>
                <w:color w:val="auto"/>
              </w:rPr>
              <w:t>•</w:t>
            </w:r>
          </w:p>
        </w:tc>
        <w:tc>
          <w:tcPr>
            <w:tcW w:w="2200" w:type="dxa"/>
            <w:vAlign w:val="bottom"/>
          </w:tcPr>
          <w:p>
            <w:pPr>
              <w:ind w:left="60"/>
              <w:spacing w:after="0"/>
              <w:rPr>
                <w:sz w:val="20"/>
                <w:szCs w:val="20"/>
                <w:color w:val="auto"/>
              </w:rPr>
            </w:pPr>
            <w:r>
              <w:rPr>
                <w:rFonts w:ascii="Arial" w:cs="Arial" w:eastAsia="Arial" w:hAnsi="Arial"/>
                <w:sz w:val="16"/>
                <w:szCs w:val="16"/>
                <w:b w:val="1"/>
                <w:bCs w:val="1"/>
                <w:color w:val="auto"/>
              </w:rPr>
              <w:t>Jeanne Jones</w:t>
            </w:r>
          </w:p>
        </w:tc>
        <w:tc>
          <w:tcPr>
            <w:tcW w:w="4720" w:type="dxa"/>
            <w:vAlign w:val="bottom"/>
          </w:tcPr>
          <w:p>
            <w:pPr>
              <w:ind w:left="660"/>
              <w:spacing w:after="0"/>
              <w:rPr>
                <w:sz w:val="20"/>
                <w:szCs w:val="20"/>
                <w:color w:val="auto"/>
              </w:rPr>
            </w:pPr>
            <w:r>
              <w:rPr>
                <w:rFonts w:ascii="Arial" w:cs="Arial" w:eastAsia="Arial" w:hAnsi="Arial"/>
                <w:sz w:val="16"/>
                <w:szCs w:val="16"/>
                <w:color w:val="auto"/>
              </w:rPr>
              <w:t>Executive Vice President and Chief Financial Officer</w:t>
            </w:r>
          </w:p>
        </w:tc>
      </w:tr>
      <w:tr>
        <w:trPr>
          <w:trHeight w:val="284"/>
        </w:trPr>
        <w:tc>
          <w:tcPr>
            <w:tcW w:w="120" w:type="dxa"/>
            <w:vAlign w:val="bottom"/>
          </w:tcPr>
          <w:p>
            <w:pPr>
              <w:spacing w:after="0"/>
              <w:rPr>
                <w:sz w:val="20"/>
                <w:szCs w:val="20"/>
                <w:color w:val="auto"/>
              </w:rPr>
            </w:pPr>
            <w:r>
              <w:rPr>
                <w:rFonts w:ascii="Arial" w:cs="Arial" w:eastAsia="Arial" w:hAnsi="Arial"/>
                <w:sz w:val="16"/>
                <w:szCs w:val="16"/>
                <w:b w:val="1"/>
                <w:bCs w:val="1"/>
                <w:color w:val="auto"/>
              </w:rPr>
              <w:t>•</w:t>
            </w:r>
          </w:p>
        </w:tc>
        <w:tc>
          <w:tcPr>
            <w:tcW w:w="2200" w:type="dxa"/>
            <w:vAlign w:val="bottom"/>
          </w:tcPr>
          <w:p>
            <w:pPr>
              <w:ind w:left="60"/>
              <w:spacing w:after="0"/>
              <w:rPr>
                <w:sz w:val="20"/>
                <w:szCs w:val="20"/>
                <w:color w:val="auto"/>
              </w:rPr>
            </w:pPr>
            <w:r>
              <w:rPr>
                <w:rFonts w:ascii="Arial" w:cs="Arial" w:eastAsia="Arial" w:hAnsi="Arial"/>
                <w:sz w:val="16"/>
                <w:szCs w:val="16"/>
                <w:b w:val="1"/>
                <w:bCs w:val="1"/>
                <w:color w:val="auto"/>
              </w:rPr>
              <w:t>Gayle Littleton</w:t>
            </w:r>
          </w:p>
        </w:tc>
        <w:tc>
          <w:tcPr>
            <w:tcW w:w="4720" w:type="dxa"/>
            <w:vAlign w:val="bottom"/>
          </w:tcPr>
          <w:p>
            <w:pPr>
              <w:ind w:left="660"/>
              <w:spacing w:after="0"/>
              <w:rPr>
                <w:sz w:val="20"/>
                <w:szCs w:val="20"/>
                <w:color w:val="auto"/>
              </w:rPr>
            </w:pPr>
            <w:r>
              <w:rPr>
                <w:rFonts w:ascii="Arial" w:cs="Arial" w:eastAsia="Arial" w:hAnsi="Arial"/>
                <w:sz w:val="16"/>
                <w:szCs w:val="16"/>
                <w:color w:val="auto"/>
              </w:rPr>
              <w:t>Former Executive Vice President and Chief Legal Officer</w:t>
            </w:r>
          </w:p>
        </w:tc>
      </w:tr>
      <w:tr>
        <w:trPr>
          <w:trHeight w:val="283"/>
        </w:trPr>
        <w:tc>
          <w:tcPr>
            <w:tcW w:w="120" w:type="dxa"/>
            <w:vAlign w:val="bottom"/>
          </w:tcPr>
          <w:p>
            <w:pPr>
              <w:spacing w:after="0"/>
              <w:rPr>
                <w:sz w:val="20"/>
                <w:szCs w:val="20"/>
                <w:color w:val="auto"/>
              </w:rPr>
            </w:pPr>
            <w:r>
              <w:rPr>
                <w:rFonts w:ascii="Arial" w:cs="Arial" w:eastAsia="Arial" w:hAnsi="Arial"/>
                <w:sz w:val="16"/>
                <w:szCs w:val="16"/>
                <w:b w:val="1"/>
                <w:bCs w:val="1"/>
                <w:color w:val="auto"/>
              </w:rPr>
              <w:t>•</w:t>
            </w:r>
          </w:p>
        </w:tc>
        <w:tc>
          <w:tcPr>
            <w:tcW w:w="2200" w:type="dxa"/>
            <w:vAlign w:val="bottom"/>
          </w:tcPr>
          <w:p>
            <w:pPr>
              <w:ind w:left="60"/>
              <w:spacing w:after="0"/>
              <w:rPr>
                <w:sz w:val="20"/>
                <w:szCs w:val="20"/>
                <w:color w:val="auto"/>
              </w:rPr>
            </w:pPr>
            <w:r>
              <w:rPr>
                <w:rFonts w:ascii="Arial" w:cs="Arial" w:eastAsia="Arial" w:hAnsi="Arial"/>
                <w:sz w:val="16"/>
                <w:szCs w:val="16"/>
                <w:b w:val="1"/>
                <w:bCs w:val="1"/>
                <w:color w:val="auto"/>
              </w:rPr>
              <w:t>David Glockner</w:t>
            </w:r>
          </w:p>
        </w:tc>
        <w:tc>
          <w:tcPr>
            <w:tcW w:w="4720" w:type="dxa"/>
            <w:vAlign w:val="bottom"/>
          </w:tcPr>
          <w:p>
            <w:pPr>
              <w:ind w:left="660"/>
              <w:spacing w:after="0"/>
              <w:rPr>
                <w:sz w:val="20"/>
                <w:szCs w:val="20"/>
                <w:color w:val="auto"/>
              </w:rPr>
            </w:pPr>
            <w:r>
              <w:rPr>
                <w:rFonts w:ascii="Arial" w:cs="Arial" w:eastAsia="Arial" w:hAnsi="Arial"/>
                <w:sz w:val="16"/>
                <w:szCs w:val="16"/>
                <w:color w:val="auto"/>
              </w:rPr>
              <w:t>Executive Vice President, Compliance, Audit and Risk</w:t>
            </w:r>
          </w:p>
        </w:tc>
      </w:tr>
      <w:tr>
        <w:trPr>
          <w:trHeight w:val="283"/>
        </w:trPr>
        <w:tc>
          <w:tcPr>
            <w:tcW w:w="120" w:type="dxa"/>
            <w:vAlign w:val="bottom"/>
          </w:tcPr>
          <w:p>
            <w:pPr>
              <w:spacing w:after="0"/>
              <w:rPr>
                <w:sz w:val="20"/>
                <w:szCs w:val="20"/>
                <w:color w:val="auto"/>
              </w:rPr>
            </w:pPr>
            <w:r>
              <w:rPr>
                <w:rFonts w:ascii="Arial" w:cs="Arial" w:eastAsia="Arial" w:hAnsi="Arial"/>
                <w:sz w:val="16"/>
                <w:szCs w:val="16"/>
                <w:b w:val="1"/>
                <w:bCs w:val="1"/>
                <w:color w:val="auto"/>
              </w:rPr>
              <w:t>•</w:t>
            </w:r>
          </w:p>
        </w:tc>
        <w:tc>
          <w:tcPr>
            <w:tcW w:w="2200" w:type="dxa"/>
            <w:vAlign w:val="bottom"/>
          </w:tcPr>
          <w:p>
            <w:pPr>
              <w:ind w:left="60"/>
              <w:spacing w:after="0"/>
              <w:rPr>
                <w:sz w:val="20"/>
                <w:szCs w:val="20"/>
                <w:color w:val="auto"/>
              </w:rPr>
            </w:pPr>
            <w:r>
              <w:rPr>
                <w:rFonts w:ascii="Arial" w:cs="Arial" w:eastAsia="Arial" w:hAnsi="Arial"/>
                <w:sz w:val="16"/>
                <w:szCs w:val="16"/>
                <w:b w:val="1"/>
                <w:bCs w:val="1"/>
                <w:color w:val="auto"/>
              </w:rPr>
              <w:t>Michael Innocenzo</w:t>
            </w:r>
          </w:p>
        </w:tc>
        <w:tc>
          <w:tcPr>
            <w:tcW w:w="4720" w:type="dxa"/>
            <w:vAlign w:val="bottom"/>
          </w:tcPr>
          <w:p>
            <w:pPr>
              <w:ind w:left="660"/>
              <w:spacing w:after="0"/>
              <w:rPr>
                <w:sz w:val="20"/>
                <w:szCs w:val="20"/>
                <w:color w:val="auto"/>
              </w:rPr>
            </w:pPr>
            <w:r>
              <w:rPr>
                <w:rFonts w:ascii="Arial" w:cs="Arial" w:eastAsia="Arial" w:hAnsi="Arial"/>
                <w:sz w:val="16"/>
                <w:szCs w:val="16"/>
                <w:color w:val="auto"/>
              </w:rPr>
              <w:t>Executive Vice President and Chief Operating Officer</w:t>
            </w:r>
          </w:p>
        </w:tc>
      </w:tr>
    </w:tbl>
    <w:p>
      <w:pPr>
        <w:spacing w:after="0" w:line="277"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Our compensation program is largely performance-based and is driven by rigorous goals. We believe our compensation program provides the appropriate mix of fixed and at-risk compensation. The short- and long-term performance-based compensation program ties executive pay to Company performance, rewards achievement of financial and operational goals, is aligned with shareholder interests and remains competitive with our industry peers. For more information, see the disclosures beginning on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23430" cy="1803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23430" cy="180340"/>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p>
      <w:pPr>
        <w:spacing w:after="0" w:line="13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AIP</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6E06C1"/>
        </w:rPr>
        <w:t>Form: Cash</w:t>
      </w:r>
    </w:p>
    <w:p>
      <w:pPr>
        <w:spacing w:after="0" w:line="113" w:lineRule="exact"/>
        <w:rPr>
          <w:sz w:val="20"/>
          <w:szCs w:val="20"/>
          <w:color w:val="auto"/>
        </w:rPr>
      </w:pPr>
    </w:p>
    <w:p>
      <w:pPr>
        <w:ind w:left="20"/>
        <w:spacing w:after="0" w:line="262" w:lineRule="auto"/>
        <w:rPr>
          <w:sz w:val="20"/>
          <w:szCs w:val="20"/>
          <w:color w:val="auto"/>
        </w:rPr>
      </w:pPr>
      <w:r>
        <w:rPr>
          <w:rFonts w:ascii="Arial" w:cs="Arial" w:eastAsia="Arial" w:hAnsi="Arial"/>
          <w:sz w:val="16"/>
          <w:szCs w:val="16"/>
          <w:b w:val="1"/>
          <w:bCs w:val="1"/>
          <w:color w:val="auto"/>
        </w:rPr>
        <w:t>Designed to motivate executives to achieve key financial objectives and operational goals that reflect our commitment to remaining a leading energy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4544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30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6E06C1"/>
        </w:rPr>
        <w:t xml:space="preserve">60% </w:t>
      </w:r>
      <w:r>
        <w:rPr>
          <w:rFonts w:ascii="Arial" w:cs="Arial" w:eastAsia="Arial" w:hAnsi="Arial"/>
          <w:sz w:val="16"/>
          <w:szCs w:val="16"/>
          <w:color w:val="000000"/>
        </w:rPr>
        <w:t>- Adjusted Operating EPS*</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6E06C1"/>
        </w:rPr>
        <w:t xml:space="preserve">15% </w:t>
      </w:r>
      <w:r>
        <w:rPr>
          <w:rFonts w:ascii="Arial" w:cs="Arial" w:eastAsia="Arial" w:hAnsi="Arial"/>
          <w:sz w:val="16"/>
          <w:szCs w:val="16"/>
          <w:color w:val="000000"/>
        </w:rPr>
        <w:t>- Outage Duration (SAIDI)</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6E06C1"/>
        </w:rPr>
        <w:t xml:space="preserve">15% </w:t>
      </w:r>
      <w:r>
        <w:rPr>
          <w:rFonts w:ascii="Arial" w:cs="Arial" w:eastAsia="Arial" w:hAnsi="Arial"/>
          <w:sz w:val="16"/>
          <w:szCs w:val="16"/>
          <w:color w:val="000000"/>
        </w:rPr>
        <w:t>- Outage Frequency (SAIFI)</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6E06C1"/>
        </w:rPr>
        <w:t xml:space="preserve">10% </w:t>
      </w:r>
      <w:r>
        <w:rPr>
          <w:rFonts w:ascii="Arial" w:cs="Arial" w:eastAsia="Arial" w:hAnsi="Arial"/>
          <w:sz w:val="16"/>
          <w:szCs w:val="16"/>
          <w:color w:val="000000"/>
        </w:rPr>
        <w:t>- Customer Satisfaction Index</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Responsible Business Modifier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34544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940" w:type="dxa"/>
            <w:vAlign w:val="bottom"/>
          </w:tcPr>
          <w:p>
            <w:pPr>
              <w:spacing w:after="0"/>
              <w:rPr>
                <w:sz w:val="20"/>
                <w:szCs w:val="20"/>
                <w:color w:val="auto"/>
              </w:rPr>
            </w:pPr>
            <w:r>
              <w:rPr>
                <w:rFonts w:ascii="Arial" w:cs="Arial" w:eastAsia="Arial" w:hAnsi="Arial"/>
                <w:sz w:val="16"/>
                <w:szCs w:val="16"/>
                <w:color w:val="auto"/>
              </w:rPr>
              <w:t>Final 2024 Performance:</w:t>
            </w:r>
          </w:p>
        </w:tc>
        <w:tc>
          <w:tcPr>
            <w:tcW w:w="1800" w:type="dxa"/>
            <w:vAlign w:val="bottom"/>
          </w:tcPr>
          <w:p>
            <w:pPr>
              <w:jc w:val="right"/>
              <w:spacing w:after="0"/>
              <w:rPr>
                <w:sz w:val="20"/>
                <w:szCs w:val="20"/>
                <w:color w:val="auto"/>
              </w:rPr>
            </w:pPr>
            <w:r>
              <w:rPr>
                <w:rFonts w:ascii="Arial" w:cs="Arial" w:eastAsia="Arial" w:hAnsi="Arial"/>
                <w:sz w:val="16"/>
                <w:szCs w:val="16"/>
                <w:color w:val="auto"/>
              </w:rPr>
              <w:t>136.64%</w:t>
            </w:r>
          </w:p>
        </w:tc>
      </w:tr>
    </w:tbl>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LTIP</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3A5CFF"/>
        </w:rPr>
        <w:t xml:space="preserve">Form: </w:t>
      </w:r>
      <w:r>
        <w:rPr>
          <w:rFonts w:ascii="Arial" w:cs="Arial" w:eastAsia="Arial" w:hAnsi="Arial"/>
          <w:sz w:val="16"/>
          <w:szCs w:val="16"/>
          <w:b w:val="1"/>
          <w:bCs w:val="1"/>
          <w:color w:val="3A5CFF"/>
        </w:rPr>
        <w:t>67% PSUs / 33% RSUs</w:t>
      </w:r>
    </w:p>
    <w:p>
      <w:pPr>
        <w:spacing w:after="0" w:line="113" w:lineRule="exact"/>
        <w:rPr>
          <w:sz w:val="20"/>
          <w:szCs w:val="20"/>
          <w:color w:val="auto"/>
        </w:rPr>
      </w:pPr>
    </w:p>
    <w:p>
      <w:pPr>
        <w:ind w:right="600"/>
        <w:spacing w:after="0" w:line="257" w:lineRule="auto"/>
        <w:rPr>
          <w:sz w:val="20"/>
          <w:szCs w:val="20"/>
          <w:color w:val="auto"/>
        </w:rPr>
      </w:pPr>
      <w:r>
        <w:rPr>
          <w:rFonts w:ascii="Arial" w:cs="Arial" w:eastAsia="Arial" w:hAnsi="Arial"/>
          <w:sz w:val="16"/>
          <w:szCs w:val="16"/>
          <w:color w:val="auto"/>
        </w:rPr>
        <w:t>Drives executive focus on long-term goals supporting utility growth, financial results, and capital stewardship and rewards the relative achievement of financial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79375</wp:posOffset>
            </wp:positionV>
            <wp:extent cx="34721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3A5CFF"/>
        </w:rPr>
        <w:t xml:space="preserve">33.3% </w:t>
      </w:r>
      <w:r>
        <w:rPr>
          <w:rFonts w:ascii="Arial" w:cs="Arial" w:eastAsia="Arial" w:hAnsi="Arial"/>
          <w:sz w:val="16"/>
          <w:szCs w:val="16"/>
          <w:color w:val="000000"/>
        </w:rPr>
        <w:t>- Utility Earned ROE*</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3A5CFF"/>
        </w:rPr>
        <w:t xml:space="preserve">33.3% </w:t>
      </w:r>
      <w:r>
        <w:rPr>
          <w:rFonts w:ascii="Arial" w:cs="Arial" w:eastAsia="Arial" w:hAnsi="Arial"/>
          <w:sz w:val="16"/>
          <w:szCs w:val="16"/>
          <w:color w:val="000000"/>
        </w:rPr>
        <w:t>- Exelon Net Income*</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3A5CFF"/>
        </w:rPr>
        <w:t xml:space="preserve">33.4% </w:t>
      </w:r>
      <w:r>
        <w:rPr>
          <w:rFonts w:ascii="Arial" w:cs="Arial" w:eastAsia="Arial" w:hAnsi="Arial"/>
          <w:sz w:val="16"/>
          <w:szCs w:val="16"/>
          <w:color w:val="000000"/>
        </w:rPr>
        <w:t>- Exelon CFO/Debt*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(Subject to a 3-year TSR Modifier)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217805</wp:posOffset>
            </wp:positionV>
            <wp:extent cx="34721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60" w:type="dxa"/>
            <w:vAlign w:val="bottom"/>
          </w:tcPr>
          <w:p>
            <w:pPr>
              <w:spacing w:after="0"/>
              <w:rPr>
                <w:sz w:val="20"/>
                <w:szCs w:val="20"/>
                <w:color w:val="auto"/>
              </w:rPr>
            </w:pPr>
            <w:r>
              <w:rPr>
                <w:rFonts w:ascii="Arial" w:cs="Arial" w:eastAsia="Arial" w:hAnsi="Arial"/>
                <w:sz w:val="16"/>
                <w:szCs w:val="16"/>
                <w:color w:val="auto"/>
              </w:rPr>
              <w:t>Final 2022-2024 Performance:</w:t>
            </w:r>
          </w:p>
        </w:tc>
        <w:tc>
          <w:tcPr>
            <w:tcW w:w="1520" w:type="dxa"/>
            <w:vAlign w:val="bottom"/>
          </w:tcPr>
          <w:p>
            <w:pPr>
              <w:jc w:val="right"/>
              <w:spacing w:after="0"/>
              <w:rPr>
                <w:sz w:val="20"/>
                <w:szCs w:val="20"/>
                <w:color w:val="auto"/>
              </w:rPr>
            </w:pPr>
            <w:r>
              <w:rPr>
                <w:rFonts w:ascii="Arial" w:cs="Arial" w:eastAsia="Arial" w:hAnsi="Arial"/>
                <w:sz w:val="16"/>
                <w:szCs w:val="16"/>
                <w:color w:val="auto"/>
              </w:rPr>
              <w:t>83.76%</w:t>
            </w:r>
          </w:p>
        </w:tc>
      </w:tr>
    </w:tbl>
    <w:p>
      <w:pPr>
        <w:spacing w:after="0" w:line="200" w:lineRule="exact"/>
        <w:rPr>
          <w:sz w:val="20"/>
          <w:szCs w:val="20"/>
          <w:color w:val="auto"/>
        </w:rPr>
      </w:pPr>
    </w:p>
    <w:p>
      <w:pPr>
        <w:sectPr>
          <w:pgSz w:w="11900" w:h="16838" w:orient="portrait"/>
          <w:cols w:equalWidth="0" w:num="2">
            <w:col w:w="5240" w:space="540"/>
            <w:col w:w="5400"/>
          </w:cols>
          <w:pgMar w:left="320" w:top="122" w:right="399" w:bottom="1440" w:gutter="0" w:footer="0" w:header="0"/>
          <w:type w:val="continuous"/>
        </w:sectPr>
      </w:pPr>
    </w:p>
    <w:p>
      <w:pPr>
        <w:spacing w:after="0" w:line="200" w:lineRule="exact"/>
        <w:rPr>
          <w:sz w:val="20"/>
          <w:szCs w:val="20"/>
          <w:color w:val="auto"/>
        </w:rPr>
      </w:pPr>
    </w:p>
    <w:p>
      <w:pPr>
        <w:spacing w:after="0" w:line="349" w:lineRule="exact"/>
        <w:rPr>
          <w:sz w:val="20"/>
          <w:szCs w:val="20"/>
          <w:color w:val="auto"/>
        </w:rPr>
      </w:pPr>
    </w:p>
    <w:p>
      <w:pPr>
        <w:ind w:left="480" w:hanging="454"/>
        <w:spacing w:after="0"/>
        <w:tabs>
          <w:tab w:leader="none" w:pos="480" w:val="left"/>
        </w:tabs>
        <w:numPr>
          <w:ilvl w:val="0"/>
          <w:numId w:val="2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41"/>
          <w:szCs w:val="41"/>
          <w:b w:val="1"/>
          <w:bCs w:val="1"/>
          <w:color w:val="170D67"/>
        </w:rPr>
        <w:t xml:space="preserve">Board </w:t>
      </w:r>
      <w:r>
        <w:rPr>
          <w:rFonts w:ascii="Arial" w:cs="Arial" w:eastAsia="Arial" w:hAnsi="Arial"/>
          <w:sz w:val="41"/>
          <w:szCs w:val="41"/>
          <w:color w:val="170D67"/>
        </w:rPr>
        <w:t>and</w:t>
      </w:r>
      <w:r>
        <w:rPr>
          <w:rFonts w:ascii="Arial" w:cs="Arial" w:eastAsia="Arial" w:hAnsi="Arial"/>
          <w:sz w:val="41"/>
          <w:szCs w:val="41"/>
          <w:b w:val="1"/>
          <w:bCs w:val="1"/>
          <w:color w:val="170D67"/>
        </w:rPr>
        <w:t xml:space="preserve">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23430" cy="677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2343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0120"/>
        <w:spacing w:after="0"/>
        <w:rPr>
          <w:sz w:val="20"/>
          <w:szCs w:val="20"/>
          <w:color w:val="auto"/>
        </w:rPr>
      </w:pPr>
      <w:r>
        <w:rPr>
          <w:rFonts w:ascii="Arial" w:cs="Arial" w:eastAsia="Arial" w:hAnsi="Arial"/>
          <w:sz w:val="13"/>
          <w:szCs w:val="13"/>
          <w:b w:val="1"/>
          <w:bCs w:val="1"/>
          <w:color w:val="FFFFFF"/>
        </w:rPr>
        <w:t>PROPOSAL</w:t>
      </w:r>
    </w:p>
    <w:p>
      <w:pPr>
        <w:ind w:left="440"/>
        <w:spacing w:after="0" w:line="219" w:lineRule="auto"/>
        <w:rPr>
          <w:sz w:val="20"/>
          <w:szCs w:val="20"/>
          <w:color w:val="auto"/>
        </w:rPr>
      </w:pPr>
      <w:r>
        <w:rPr>
          <w:rFonts w:ascii="Arial" w:cs="Arial" w:eastAsia="Arial" w:hAnsi="Arial"/>
          <w:sz w:val="43"/>
          <w:szCs w:val="43"/>
          <w:b w:val="1"/>
          <w:bCs w:val="1"/>
          <w:color w:val="FFFFFF"/>
        </w:rPr>
        <w:t>1</w:t>
      </w:r>
    </w:p>
    <w:p>
      <w:pPr>
        <w:spacing w:after="0" w:line="1" w:lineRule="exact"/>
        <w:rPr>
          <w:sz w:val="20"/>
          <w:szCs w:val="20"/>
          <w:color w:val="auto"/>
        </w:rPr>
      </w:pPr>
    </w:p>
    <w:p>
      <w:pPr>
        <w:ind w:left="1320"/>
        <w:spacing w:after="0"/>
        <w:rPr>
          <w:sz w:val="20"/>
          <w:szCs w:val="20"/>
          <w:color w:val="auto"/>
        </w:rPr>
      </w:pPr>
      <w:r>
        <w:rPr>
          <w:rFonts w:ascii="Arial" w:cs="Arial" w:eastAsia="Arial" w:hAnsi="Arial"/>
          <w:sz w:val="22"/>
          <w:szCs w:val="22"/>
          <w:b w:val="1"/>
          <w:bCs w:val="1"/>
          <w:color w:val="170D67"/>
        </w:rPr>
        <w:t>Election of Directors</w:t>
      </w:r>
    </w:p>
    <w:p>
      <w:pPr>
        <w:spacing w:after="0" w:line="104" w:lineRule="exact"/>
        <w:rPr>
          <w:sz w:val="20"/>
          <w:szCs w:val="20"/>
          <w:color w:val="auto"/>
        </w:rPr>
      </w:pPr>
    </w:p>
    <w:p>
      <w:pPr>
        <w:ind w:left="1320" w:right="80"/>
        <w:spacing w:after="0" w:line="292" w:lineRule="auto"/>
        <w:rPr>
          <w:sz w:val="20"/>
          <w:szCs w:val="20"/>
          <w:color w:val="auto"/>
        </w:rPr>
      </w:pPr>
      <w:r>
        <w:rPr>
          <w:rFonts w:ascii="Arial" w:cs="Arial" w:eastAsia="Arial" w:hAnsi="Arial"/>
          <w:sz w:val="16"/>
          <w:szCs w:val="16"/>
          <w:color w:val="auto"/>
        </w:rPr>
        <w:t>There are nine nominees for election at the 2025 annual meeting. The Board has determined that the nine nominees reflect an appropriate composition and size of the Board for Exelon, considering the Company’s size, geographic scope, and need to access a wide range of views and backgrounds to reflect the diversity and complexity of our business and the markets and communities we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234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242570</wp:posOffset>
            </wp:positionV>
            <wp:extent cx="257175" cy="2057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7175" cy="205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170D67"/>
        </w:rPr>
        <w:t xml:space="preserve">The Board recommends a vote </w:t>
      </w:r>
      <w:r>
        <w:rPr>
          <w:rFonts w:ascii="Arial" w:cs="Arial" w:eastAsia="Arial" w:hAnsi="Arial"/>
          <w:sz w:val="14"/>
          <w:szCs w:val="14"/>
          <w:b w:val="1"/>
          <w:bCs w:val="1"/>
          <w:color w:val="00E4A5"/>
        </w:rPr>
        <w:t>“FOR”</w:t>
      </w:r>
      <w:r>
        <w:rPr>
          <w:rFonts w:ascii="Arial" w:cs="Arial" w:eastAsia="Arial" w:hAnsi="Arial"/>
          <w:sz w:val="14"/>
          <w:szCs w:val="14"/>
          <w:b w:val="1"/>
          <w:bCs w:val="1"/>
          <w:color w:val="170D67"/>
        </w:rPr>
        <w:t xml:space="preserve"> each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234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Director Qualifications and Nomination</w:t>
      </w:r>
    </w:p>
    <w:p>
      <w:pPr>
        <w:spacing w:after="0" w:line="123"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Effective oversight of Exelon’s strategic direction requires our Board to be composed of diverse individuals who possess the appropriate skills and characteristics important to our Company. The Board believes that its members should possess a variety of expertise, professional experience, and backgrounds in order to effectively oversee our business. The CGC identifies and recommends Director nominees for election to the Board and periodically retains a board search firm to assist with the identification of potential candidates.</w:t>
      </w:r>
    </w:p>
    <w:p>
      <w:pPr>
        <w:spacing w:after="0" w:line="59"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The Board values the diversity of thought that arises from Directors possessing a variety of backgrounds and experiences. The Board also deeply values the enhanced and thoughtful deliberations resulting from a balance of shorter-, medium-, and longer-tenured Directors, who provide a mix of fresh perspectives and new ideas with deep experience in the utility sector and regulated industries more broadly.</w:t>
      </w:r>
    </w:p>
    <w:p>
      <w:pPr>
        <w:spacing w:after="0" w:line="50"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The CGC and the Board determine the appropriate mix of skills and characteristics required to meet the needs of the Board as a whole, taking into account the short-and long-term strategies of the Company to determine the current and future skills and experiences required of the Board. All candidates should demonstrate the following attributes to qualify for Board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15175" cy="18345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15175" cy="1834515"/>
                    </a:xfrm>
                    <a:prstGeom prst="rect">
                      <a:avLst/>
                    </a:prstGeom>
                    <a:noFill/>
                  </pic:spPr>
                </pic:pic>
              </a:graphicData>
            </a:graphic>
          </wp:anchor>
        </w:drawing>
      </w:r>
    </w:p>
    <w:p>
      <w:pPr>
        <w:sectPr>
          <w:pgSz w:w="11900" w:h="16838" w:orient="portrait"/>
          <w:cols w:equalWidth="0" w:num="1">
            <w:col w:w="11240"/>
          </w:cols>
          <w:pgMar w:left="320" w:top="1302"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160"/>
        <w:spacing w:after="0"/>
        <w:rPr>
          <w:sz w:val="20"/>
          <w:szCs w:val="20"/>
          <w:color w:val="auto"/>
        </w:rPr>
      </w:pPr>
      <w:r>
        <w:rPr>
          <w:sz w:val="1"/>
          <w:szCs w:val="1"/>
          <w:color w:val="auto"/>
        </w:rPr>
        <w:drawing>
          <wp:inline distT="0" distB="0" distL="0" distR="0">
            <wp:extent cx="94615" cy="7747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4615" cy="77470"/>
                    </a:xfrm>
                    <a:prstGeom prst="rect">
                      <a:avLst/>
                    </a:prstGeom>
                    <a:noFill/>
                    <a:ln>
                      <a:noFill/>
                    </a:ln>
                  </pic:spPr>
                </pic:pic>
              </a:graphicData>
            </a:graphic>
          </wp:inline>
        </w:drawing>
      </w:r>
      <w:r>
        <w:rPr>
          <w:rFonts w:ascii="Arial" w:cs="Arial" w:eastAsia="Arial" w:hAnsi="Arial"/>
          <w:sz w:val="16"/>
          <w:szCs w:val="16"/>
          <w:color w:val="auto"/>
        </w:rPr>
        <w:t>   Highest personal and professional ethics, integrity, and values</w:t>
      </w:r>
    </w:p>
    <w:p>
      <w:pPr>
        <w:spacing w:after="0" w:line="112" w:lineRule="exact"/>
        <w:rPr>
          <w:sz w:val="20"/>
          <w:szCs w:val="20"/>
          <w:color w:val="auto"/>
        </w:rPr>
      </w:pPr>
    </w:p>
    <w:p>
      <w:pPr>
        <w:ind w:left="480" w:right="80" w:hanging="322"/>
        <w:spacing w:after="0"/>
        <w:rPr>
          <w:sz w:val="20"/>
          <w:szCs w:val="20"/>
          <w:color w:val="auto"/>
        </w:rPr>
      </w:pPr>
      <w:r>
        <w:rPr>
          <w:sz w:val="1"/>
          <w:szCs w:val="1"/>
          <w:color w:val="auto"/>
        </w:rPr>
        <w:drawing>
          <wp:inline distT="0" distB="0" distL="0" distR="0">
            <wp:extent cx="94615" cy="7683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4615" cy="76835"/>
                    </a:xfrm>
                    <a:prstGeom prst="rect">
                      <a:avLst/>
                    </a:prstGeom>
                    <a:noFill/>
                    <a:ln>
                      <a:noFill/>
                    </a:ln>
                  </pic:spPr>
                </pic:pic>
              </a:graphicData>
            </a:graphic>
          </wp:inline>
        </w:drawing>
      </w:r>
      <w:r>
        <w:rPr>
          <w:rFonts w:ascii="Arial" w:cs="Arial" w:eastAsia="Arial" w:hAnsi="Arial"/>
          <w:sz w:val="16"/>
          <w:szCs w:val="16"/>
          <w:color w:val="auto"/>
        </w:rPr>
        <w:t>  Broad training and experience at the policy-making level in business, government, education, or technology</w:t>
      </w:r>
    </w:p>
    <w:p>
      <w:pPr>
        <w:spacing w:after="0" w:line="83" w:lineRule="exact"/>
        <w:rPr>
          <w:sz w:val="20"/>
          <w:szCs w:val="20"/>
          <w:color w:val="auto"/>
        </w:rPr>
      </w:pPr>
    </w:p>
    <w:p>
      <w:pPr>
        <w:ind w:left="480" w:right="200" w:hanging="322"/>
        <w:spacing w:after="0"/>
        <w:rPr>
          <w:sz w:val="20"/>
          <w:szCs w:val="20"/>
          <w:color w:val="auto"/>
        </w:rPr>
      </w:pPr>
      <w:r>
        <w:rPr>
          <w:sz w:val="1"/>
          <w:szCs w:val="1"/>
          <w:color w:val="auto"/>
        </w:rPr>
        <w:drawing>
          <wp:inline distT="0" distB="0" distL="0" distR="0">
            <wp:extent cx="94615" cy="7747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4615" cy="77470"/>
                    </a:xfrm>
                    <a:prstGeom prst="rect">
                      <a:avLst/>
                    </a:prstGeom>
                    <a:noFill/>
                    <a:ln>
                      <a:noFill/>
                    </a:ln>
                  </pic:spPr>
                </pic:pic>
              </a:graphicData>
            </a:graphic>
          </wp:inline>
        </w:drawing>
      </w:r>
      <w:r>
        <w:rPr>
          <w:rFonts w:ascii="Arial" w:cs="Arial" w:eastAsia="Arial" w:hAnsi="Arial"/>
          <w:sz w:val="16"/>
          <w:szCs w:val="16"/>
          <w:color w:val="auto"/>
        </w:rPr>
        <w:t>  Willingness to remain current with industry and other developments relevant to Exelon’s strategic direction</w:t>
      </w:r>
    </w:p>
    <w:p>
      <w:pPr>
        <w:spacing w:after="0" w:line="83" w:lineRule="exact"/>
        <w:rPr>
          <w:sz w:val="20"/>
          <w:szCs w:val="20"/>
          <w:color w:val="auto"/>
        </w:rPr>
      </w:pPr>
    </w:p>
    <w:p>
      <w:pPr>
        <w:jc w:val="both"/>
        <w:ind w:left="480" w:hanging="322"/>
        <w:spacing w:after="0"/>
        <w:rPr>
          <w:sz w:val="20"/>
          <w:szCs w:val="20"/>
          <w:color w:val="auto"/>
        </w:rPr>
      </w:pPr>
      <w:r>
        <w:rPr>
          <w:sz w:val="1"/>
          <w:szCs w:val="1"/>
          <w:color w:val="auto"/>
        </w:rPr>
        <w:drawing>
          <wp:inline distT="0" distB="0" distL="0" distR="0">
            <wp:extent cx="94615" cy="7747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4615" cy="77470"/>
                    </a:xfrm>
                    <a:prstGeom prst="rect">
                      <a:avLst/>
                    </a:prstGeom>
                    <a:noFill/>
                    <a:ln>
                      <a:noFill/>
                    </a:ln>
                  </pic:spPr>
                </pic:pic>
              </a:graphicData>
            </a:graphic>
          </wp:inline>
        </w:drawing>
      </w:r>
      <w:r>
        <w:rPr>
          <w:rFonts w:ascii="Arial" w:cs="Arial" w:eastAsia="Arial" w:hAnsi="Arial"/>
          <w:sz w:val="16"/>
          <w:szCs w:val="16"/>
          <w:color w:val="auto"/>
        </w:rPr>
        <w:t>  A commitment to representing the long-term interests of shareholders, customers, employees, and communities served by the Company and its subsidiaries</w:t>
      </w:r>
    </w:p>
    <w:p>
      <w:pPr>
        <w:spacing w:after="0" w:line="83" w:lineRule="exact"/>
        <w:rPr>
          <w:sz w:val="20"/>
          <w:szCs w:val="20"/>
          <w:color w:val="auto"/>
        </w:rPr>
      </w:pPr>
    </w:p>
    <w:p>
      <w:pPr>
        <w:ind w:left="480" w:right="320" w:hanging="322"/>
        <w:spacing w:after="0"/>
        <w:rPr>
          <w:sz w:val="20"/>
          <w:szCs w:val="20"/>
          <w:color w:val="auto"/>
        </w:rPr>
      </w:pPr>
      <w:r>
        <w:rPr>
          <w:sz w:val="1"/>
          <w:szCs w:val="1"/>
          <w:color w:val="auto"/>
        </w:rPr>
        <w:drawing>
          <wp:inline distT="0" distB="0" distL="0" distR="0">
            <wp:extent cx="94615" cy="7683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4615" cy="76835"/>
                    </a:xfrm>
                    <a:prstGeom prst="rect">
                      <a:avLst/>
                    </a:prstGeom>
                    <a:noFill/>
                    <a:ln>
                      <a:noFill/>
                    </a:ln>
                  </pic:spPr>
                </pic:pic>
              </a:graphicData>
            </a:graphic>
          </wp:inline>
        </w:drawing>
      </w:r>
      <w:r>
        <w:rPr>
          <w:rFonts w:ascii="Arial" w:cs="Arial" w:eastAsia="Arial" w:hAnsi="Arial"/>
          <w:sz w:val="16"/>
          <w:szCs w:val="16"/>
          <w:color w:val="auto"/>
        </w:rPr>
        <w:t>  An inquiring and independent mind, practical wisdom, and mature judgment</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right="400" w:hanging="322"/>
        <w:spacing w:after="0"/>
        <w:rPr>
          <w:sz w:val="20"/>
          <w:szCs w:val="20"/>
          <w:color w:val="auto"/>
        </w:rPr>
      </w:pPr>
      <w:r>
        <w:rPr>
          <w:sz w:val="1"/>
          <w:szCs w:val="1"/>
          <w:color w:val="auto"/>
        </w:rPr>
        <w:drawing>
          <wp:inline distT="0" distB="0" distL="0" distR="0">
            <wp:extent cx="93980" cy="7747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3980" cy="77470"/>
                    </a:xfrm>
                    <a:prstGeom prst="rect">
                      <a:avLst/>
                    </a:prstGeom>
                    <a:noFill/>
                    <a:ln>
                      <a:noFill/>
                    </a:ln>
                  </pic:spPr>
                </pic:pic>
              </a:graphicData>
            </a:graphic>
          </wp:inline>
        </w:drawing>
      </w:r>
      <w:r>
        <w:rPr>
          <w:rFonts w:ascii="Arial" w:cs="Arial" w:eastAsia="Arial" w:hAnsi="Arial"/>
          <w:sz w:val="16"/>
          <w:szCs w:val="16"/>
          <w:color w:val="auto"/>
        </w:rPr>
        <w:t>  Expertise that is useful to the enterprise and complementary to the background and experience of other Directors</w:t>
      </w:r>
    </w:p>
    <w:p>
      <w:pPr>
        <w:spacing w:after="0" w:line="70" w:lineRule="exact"/>
        <w:rPr>
          <w:sz w:val="20"/>
          <w:szCs w:val="20"/>
          <w:color w:val="auto"/>
        </w:rPr>
      </w:pPr>
    </w:p>
    <w:p>
      <w:pPr>
        <w:ind w:right="140" w:hanging="322"/>
        <w:spacing w:after="0"/>
        <w:rPr>
          <w:sz w:val="20"/>
          <w:szCs w:val="20"/>
          <w:color w:val="auto"/>
        </w:rPr>
      </w:pPr>
      <w:r>
        <w:rPr>
          <w:sz w:val="1"/>
          <w:szCs w:val="1"/>
          <w:color w:val="auto"/>
        </w:rPr>
        <w:drawing>
          <wp:inline distT="0" distB="0" distL="0" distR="0">
            <wp:extent cx="93980" cy="7747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3980" cy="77470"/>
                    </a:xfrm>
                    <a:prstGeom prst="rect">
                      <a:avLst/>
                    </a:prstGeom>
                    <a:noFill/>
                    <a:ln>
                      <a:noFill/>
                    </a:ln>
                  </pic:spPr>
                </pic:pic>
              </a:graphicData>
            </a:graphic>
          </wp:inline>
        </w:drawing>
      </w:r>
      <w:r>
        <w:rPr>
          <w:rFonts w:ascii="Arial" w:cs="Arial" w:eastAsia="Arial" w:hAnsi="Arial"/>
          <w:sz w:val="16"/>
          <w:szCs w:val="16"/>
          <w:color w:val="auto"/>
        </w:rPr>
        <w:t>  Willingness to devote the required amount of time to carrying out the duties and responsibilities of Board membership and a commitment to serve over a period of years to develop knowledge about Exelon’s principal operations</w:t>
      </w:r>
    </w:p>
    <w:p>
      <w:pPr>
        <w:spacing w:after="0" w:line="69" w:lineRule="exact"/>
        <w:rPr>
          <w:sz w:val="20"/>
          <w:szCs w:val="20"/>
          <w:color w:val="auto"/>
        </w:rPr>
      </w:pPr>
    </w:p>
    <w:p>
      <w:pPr>
        <w:ind w:right="560" w:hanging="322"/>
        <w:spacing w:after="0"/>
        <w:rPr>
          <w:sz w:val="20"/>
          <w:szCs w:val="20"/>
          <w:color w:val="auto"/>
        </w:rPr>
      </w:pPr>
      <w:r>
        <w:rPr>
          <w:sz w:val="1"/>
          <w:szCs w:val="1"/>
          <w:color w:val="auto"/>
        </w:rPr>
        <w:drawing>
          <wp:inline distT="0" distB="0" distL="0" distR="0">
            <wp:extent cx="93980" cy="7747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3980" cy="77470"/>
                    </a:xfrm>
                    <a:prstGeom prst="rect">
                      <a:avLst/>
                    </a:prstGeom>
                    <a:noFill/>
                    <a:ln>
                      <a:noFill/>
                    </a:ln>
                  </pic:spPr>
                </pic:pic>
              </a:graphicData>
            </a:graphic>
          </wp:inline>
        </w:drawing>
      </w:r>
      <w:r>
        <w:rPr>
          <w:rFonts w:ascii="Arial" w:cs="Arial" w:eastAsia="Arial" w:hAnsi="Arial"/>
          <w:sz w:val="16"/>
          <w:szCs w:val="16"/>
          <w:color w:val="auto"/>
        </w:rPr>
        <w:t>  Involvement only in activities or interests that do not conflict with responsibilities to Exelon and its shareholders</w:t>
      </w:r>
    </w:p>
    <w:p>
      <w:pPr>
        <w:spacing w:after="0" w:line="901" w:lineRule="exact"/>
        <w:rPr>
          <w:sz w:val="20"/>
          <w:szCs w:val="20"/>
          <w:color w:val="auto"/>
        </w:rPr>
      </w:pPr>
    </w:p>
    <w:p>
      <w:pPr>
        <w:sectPr>
          <w:pgSz w:w="11900" w:h="16838" w:orient="portrait"/>
          <w:cols w:equalWidth="0" w:num="2">
            <w:col w:w="5480" w:space="620"/>
            <w:col w:w="5140"/>
          </w:cols>
          <w:pgMar w:left="320" w:top="130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780"/>
              <w:spacing w:after="0"/>
              <w:rPr>
                <w:sz w:val="20"/>
                <w:szCs w:val="20"/>
                <w:color w:val="auto"/>
              </w:rPr>
            </w:pPr>
            <w:r>
              <w:rPr>
                <w:rFonts w:ascii="Arial" w:cs="Arial" w:eastAsia="Arial" w:hAnsi="Arial"/>
                <w:sz w:val="14"/>
                <w:szCs w:val="14"/>
                <w:color w:val="auto"/>
              </w:rPr>
              <w:t>2025 ׀ Exelon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15</w:t>
            </w:r>
          </w:p>
        </w:tc>
      </w:tr>
      <w:tr>
        <w:trPr>
          <w:trHeight w:val="211"/>
        </w:trPr>
        <w:tc>
          <w:tcPr>
            <w:tcW w:w="109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2"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3"/>
          <w:szCs w:val="13"/>
          <w:b w:val="1"/>
          <w:bCs w:val="1"/>
          <w:color w:val="auto"/>
        </w:rPr>
        <w:t>Board and Corporate Governance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Director Skills, Attributes, and Independence</w:t>
      </w:r>
    </w:p>
    <w:p>
      <w:pPr>
        <w:spacing w:after="0" w:line="11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This list of skills and the following matrix are a valuable tool for the Board as they plan for upcoming retirements and consider which skills and experiences need to be replaced or added to the Board. When a specific expertise is needed that is not present among the Directors, the Board will often bring in outside advisors to assist with filling in any gaps.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6E06C1"/>
        </w:rPr>
        <w:t>Core Competencies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2343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23430" cy="342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257810</wp:posOffset>
            </wp:positionV>
            <wp:extent cx="222885" cy="2228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22885" cy="22288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80" w:type="dxa"/>
            <w:vAlign w:val="bottom"/>
            <w:vMerge w:val="restart"/>
          </w:tcPr>
          <w:p>
            <w:pPr>
              <w:ind w:left="760"/>
              <w:spacing w:after="0"/>
              <w:rPr>
                <w:sz w:val="20"/>
                <w:szCs w:val="20"/>
                <w:color w:val="auto"/>
              </w:rPr>
            </w:pPr>
            <w:r>
              <w:rPr>
                <w:rFonts w:ascii="Arial" w:cs="Arial" w:eastAsia="Arial" w:hAnsi="Arial"/>
                <w:sz w:val="16"/>
                <w:szCs w:val="16"/>
                <w:b w:val="1"/>
                <w:bCs w:val="1"/>
                <w:color w:val="170D67"/>
              </w:rPr>
              <w:t>Executive Leadership</w:t>
            </w:r>
          </w:p>
        </w:tc>
        <w:tc>
          <w:tcPr>
            <w:tcW w:w="7440" w:type="dxa"/>
            <w:vAlign w:val="bottom"/>
          </w:tcPr>
          <w:p>
            <w:pPr>
              <w:ind w:left="240"/>
              <w:spacing w:after="0"/>
              <w:rPr>
                <w:sz w:val="20"/>
                <w:szCs w:val="20"/>
                <w:color w:val="auto"/>
              </w:rPr>
            </w:pPr>
            <w:r>
              <w:rPr>
                <w:rFonts w:ascii="Arial" w:cs="Arial" w:eastAsia="Arial" w:hAnsi="Arial"/>
                <w:sz w:val="16"/>
                <w:szCs w:val="16"/>
                <w:color w:val="auto"/>
              </w:rPr>
              <w:t>CEO or other executive management leadership experience with demonstrated strong business</w:t>
            </w:r>
          </w:p>
        </w:tc>
        <w:tc>
          <w:tcPr>
            <w:tcW w:w="0" w:type="dxa"/>
            <w:vAlign w:val="bottom"/>
          </w:tcPr>
          <w:p>
            <w:pPr>
              <w:spacing w:after="0"/>
              <w:rPr>
                <w:sz w:val="1"/>
                <w:szCs w:val="1"/>
                <w:color w:val="auto"/>
              </w:rPr>
            </w:pPr>
          </w:p>
        </w:tc>
      </w:tr>
      <w:tr>
        <w:trPr>
          <w:trHeight w:val="128"/>
        </w:trPr>
        <w:tc>
          <w:tcPr>
            <w:tcW w:w="3780" w:type="dxa"/>
            <w:vAlign w:val="bottom"/>
            <w:vMerge w:val="continue"/>
          </w:tcPr>
          <w:p>
            <w:pPr>
              <w:spacing w:after="0"/>
              <w:rPr>
                <w:sz w:val="11"/>
                <w:szCs w:val="11"/>
                <w:color w:val="auto"/>
              </w:rPr>
            </w:pPr>
          </w:p>
        </w:tc>
        <w:tc>
          <w:tcPr>
            <w:tcW w:w="7440" w:type="dxa"/>
            <w:vAlign w:val="bottom"/>
            <w:vMerge w:val="restart"/>
          </w:tcPr>
          <w:p>
            <w:pPr>
              <w:ind w:left="240"/>
              <w:spacing w:after="0"/>
              <w:rPr>
                <w:sz w:val="20"/>
                <w:szCs w:val="20"/>
                <w:color w:val="auto"/>
              </w:rPr>
            </w:pPr>
            <w:r>
              <w:rPr>
                <w:rFonts w:ascii="Arial" w:cs="Arial" w:eastAsia="Arial" w:hAnsi="Arial"/>
                <w:sz w:val="16"/>
                <w:szCs w:val="16"/>
                <w:color w:val="auto"/>
              </w:rPr>
              <w:t>acumen and experience leading and problem-solving in complex organizations.</w:t>
            </w:r>
          </w:p>
        </w:tc>
        <w:tc>
          <w:tcPr>
            <w:tcW w:w="0" w:type="dxa"/>
            <w:vAlign w:val="bottom"/>
          </w:tcPr>
          <w:p>
            <w:pPr>
              <w:spacing w:after="0"/>
              <w:rPr>
                <w:sz w:val="1"/>
                <w:szCs w:val="1"/>
                <w:color w:val="auto"/>
              </w:rPr>
            </w:pPr>
          </w:p>
        </w:tc>
      </w:tr>
      <w:tr>
        <w:trPr>
          <w:trHeight w:val="86"/>
        </w:trPr>
        <w:tc>
          <w:tcPr>
            <w:tcW w:w="3780" w:type="dxa"/>
            <w:vAlign w:val="bottom"/>
          </w:tcPr>
          <w:p>
            <w:pPr>
              <w:spacing w:after="0"/>
              <w:rPr>
                <w:sz w:val="7"/>
                <w:szCs w:val="7"/>
                <w:color w:val="auto"/>
              </w:rPr>
            </w:pPr>
          </w:p>
        </w:tc>
        <w:tc>
          <w:tcPr>
            <w:tcW w:w="7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3780" w:type="dxa"/>
            <w:vAlign w:val="bottom"/>
            <w:tcBorders>
              <w:bottom w:val="single" w:sz="8" w:color="auto"/>
            </w:tcBorders>
          </w:tcPr>
          <w:p>
            <w:pPr>
              <w:spacing w:after="0"/>
              <w:rPr>
                <w:sz w:val="20"/>
                <w:szCs w:val="20"/>
                <w:color w:val="auto"/>
              </w:rPr>
            </w:pPr>
          </w:p>
        </w:tc>
        <w:tc>
          <w:tcPr>
            <w:tcW w:w="7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4"/>
        </w:trPr>
        <w:tc>
          <w:tcPr>
            <w:tcW w:w="3780" w:type="dxa"/>
            <w:vAlign w:val="bottom"/>
          </w:tcPr>
          <w:p>
            <w:pPr>
              <w:spacing w:after="0"/>
              <w:rPr>
                <w:sz w:val="24"/>
                <w:szCs w:val="24"/>
                <w:color w:val="auto"/>
              </w:rPr>
            </w:pPr>
          </w:p>
        </w:tc>
        <w:tc>
          <w:tcPr>
            <w:tcW w:w="7440" w:type="dxa"/>
            <w:vAlign w:val="bottom"/>
          </w:tcPr>
          <w:p>
            <w:pPr>
              <w:ind w:left="240"/>
              <w:spacing w:after="0"/>
              <w:rPr>
                <w:sz w:val="20"/>
                <w:szCs w:val="20"/>
                <w:color w:val="auto"/>
              </w:rPr>
            </w:pPr>
            <w:r>
              <w:rPr>
                <w:rFonts w:ascii="Arial" w:cs="Arial" w:eastAsia="Arial" w:hAnsi="Arial"/>
                <w:sz w:val="16"/>
                <w:szCs w:val="16"/>
                <w:color w:val="auto"/>
              </w:rPr>
              <w:t>Experience maintaining or supporting board and management accountability; a deep</w:t>
            </w:r>
          </w:p>
        </w:tc>
        <w:tc>
          <w:tcPr>
            <w:tcW w:w="0" w:type="dxa"/>
            <w:vAlign w:val="bottom"/>
          </w:tcPr>
          <w:p>
            <w:pPr>
              <w:spacing w:after="0"/>
              <w:rPr>
                <w:sz w:val="1"/>
                <w:szCs w:val="1"/>
                <w:color w:val="auto"/>
              </w:rPr>
            </w:pPr>
          </w:p>
        </w:tc>
      </w:tr>
      <w:tr>
        <w:trPr>
          <w:trHeight w:val="189"/>
        </w:trPr>
        <w:tc>
          <w:tcPr>
            <w:tcW w:w="3780" w:type="dxa"/>
            <w:vAlign w:val="bottom"/>
          </w:tcPr>
          <w:p>
            <w:pPr>
              <w:ind w:left="760"/>
              <w:spacing w:after="0"/>
              <w:rPr>
                <w:sz w:val="20"/>
                <w:szCs w:val="20"/>
                <w:color w:val="auto"/>
              </w:rPr>
            </w:pPr>
            <w:r>
              <w:rPr>
                <w:rFonts w:ascii="Arial" w:cs="Arial" w:eastAsia="Arial" w:hAnsi="Arial"/>
                <w:sz w:val="16"/>
                <w:szCs w:val="16"/>
                <w:b w:val="1"/>
                <w:bCs w:val="1"/>
                <w:color w:val="170D67"/>
              </w:rPr>
              <w:t>Corporate Governance</w:t>
            </w:r>
          </w:p>
        </w:tc>
        <w:tc>
          <w:tcPr>
            <w:tcW w:w="7440" w:type="dxa"/>
            <w:vAlign w:val="bottom"/>
          </w:tcPr>
          <w:p>
            <w:pPr>
              <w:ind w:left="240"/>
              <w:spacing w:after="0"/>
              <w:rPr>
                <w:sz w:val="20"/>
                <w:szCs w:val="20"/>
                <w:color w:val="auto"/>
              </w:rPr>
            </w:pPr>
            <w:r>
              <w:rPr>
                <w:rFonts w:ascii="Arial" w:cs="Arial" w:eastAsia="Arial" w:hAnsi="Arial"/>
                <w:sz w:val="16"/>
                <w:szCs w:val="16"/>
                <w:color w:val="auto"/>
              </w:rPr>
              <w:t>understanding of strong governance and compliance practices that protect and align with the</w:t>
            </w:r>
          </w:p>
        </w:tc>
        <w:tc>
          <w:tcPr>
            <w:tcW w:w="0" w:type="dxa"/>
            <w:vAlign w:val="bottom"/>
          </w:tcPr>
          <w:p>
            <w:pPr>
              <w:spacing w:after="0"/>
              <w:rPr>
                <w:sz w:val="1"/>
                <w:szCs w:val="1"/>
                <w:color w:val="auto"/>
              </w:rPr>
            </w:pPr>
          </w:p>
        </w:tc>
      </w:tr>
      <w:tr>
        <w:trPr>
          <w:trHeight w:val="215"/>
        </w:trPr>
        <w:tc>
          <w:tcPr>
            <w:tcW w:w="3780" w:type="dxa"/>
            <w:vAlign w:val="bottom"/>
          </w:tcPr>
          <w:p>
            <w:pPr>
              <w:spacing w:after="0"/>
              <w:rPr>
                <w:sz w:val="18"/>
                <w:szCs w:val="18"/>
                <w:color w:val="auto"/>
              </w:rPr>
            </w:pPr>
          </w:p>
        </w:tc>
        <w:tc>
          <w:tcPr>
            <w:tcW w:w="7440" w:type="dxa"/>
            <w:vAlign w:val="bottom"/>
          </w:tcPr>
          <w:p>
            <w:pPr>
              <w:ind w:left="240"/>
              <w:spacing w:after="0"/>
              <w:rPr>
                <w:sz w:val="20"/>
                <w:szCs w:val="20"/>
                <w:color w:val="auto"/>
              </w:rPr>
            </w:pPr>
            <w:r>
              <w:rPr>
                <w:rFonts w:ascii="Arial" w:cs="Arial" w:eastAsia="Arial" w:hAnsi="Arial"/>
                <w:sz w:val="16"/>
                <w:szCs w:val="16"/>
                <w:color w:val="auto"/>
              </w:rPr>
              <w:t>interests of investors and other stakeholders; experience in investor relations.</w:t>
            </w:r>
          </w:p>
        </w:tc>
        <w:tc>
          <w:tcPr>
            <w:tcW w:w="0" w:type="dxa"/>
            <w:vAlign w:val="bottom"/>
          </w:tcPr>
          <w:p>
            <w:pPr>
              <w:spacing w:after="0"/>
              <w:rPr>
                <w:sz w:val="1"/>
                <w:szCs w:val="1"/>
                <w:color w:val="auto"/>
              </w:rPr>
            </w:pPr>
          </w:p>
        </w:tc>
      </w:tr>
      <w:tr>
        <w:trPr>
          <w:trHeight w:val="232"/>
        </w:trPr>
        <w:tc>
          <w:tcPr>
            <w:tcW w:w="3780" w:type="dxa"/>
            <w:vAlign w:val="bottom"/>
            <w:tcBorders>
              <w:bottom w:val="single" w:sz="8" w:color="auto"/>
            </w:tcBorders>
          </w:tcPr>
          <w:p>
            <w:pPr>
              <w:spacing w:after="0"/>
              <w:rPr>
                <w:sz w:val="20"/>
                <w:szCs w:val="20"/>
                <w:color w:val="auto"/>
              </w:rPr>
            </w:pPr>
          </w:p>
        </w:tc>
        <w:tc>
          <w:tcPr>
            <w:tcW w:w="7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4"/>
        </w:trPr>
        <w:tc>
          <w:tcPr>
            <w:tcW w:w="3780" w:type="dxa"/>
            <w:vAlign w:val="bottom"/>
            <w:vMerge w:val="restart"/>
          </w:tcPr>
          <w:p>
            <w:pPr>
              <w:ind w:left="760"/>
              <w:spacing w:after="0"/>
              <w:rPr>
                <w:sz w:val="20"/>
                <w:szCs w:val="20"/>
                <w:color w:val="auto"/>
              </w:rPr>
            </w:pPr>
            <w:r>
              <w:rPr>
                <w:rFonts w:ascii="Arial" w:cs="Arial" w:eastAsia="Arial" w:hAnsi="Arial"/>
                <w:sz w:val="16"/>
                <w:szCs w:val="16"/>
                <w:b w:val="1"/>
                <w:bCs w:val="1"/>
                <w:color w:val="170D67"/>
              </w:rPr>
              <w:t>Strategic Planning</w:t>
            </w:r>
          </w:p>
        </w:tc>
        <w:tc>
          <w:tcPr>
            <w:tcW w:w="7440" w:type="dxa"/>
            <w:vAlign w:val="bottom"/>
          </w:tcPr>
          <w:p>
            <w:pPr>
              <w:ind w:left="240"/>
              <w:spacing w:after="0"/>
              <w:rPr>
                <w:sz w:val="20"/>
                <w:szCs w:val="20"/>
                <w:color w:val="auto"/>
              </w:rPr>
            </w:pPr>
            <w:r>
              <w:rPr>
                <w:rFonts w:ascii="Arial" w:cs="Arial" w:eastAsia="Arial" w:hAnsi="Arial"/>
                <w:sz w:val="16"/>
                <w:szCs w:val="16"/>
                <w:color w:val="auto"/>
              </w:rPr>
              <w:t>Experience in developing business plans and strategic initiatives for long-term value; experience</w:t>
            </w:r>
          </w:p>
        </w:tc>
        <w:tc>
          <w:tcPr>
            <w:tcW w:w="0" w:type="dxa"/>
            <w:vAlign w:val="bottom"/>
          </w:tcPr>
          <w:p>
            <w:pPr>
              <w:spacing w:after="0"/>
              <w:rPr>
                <w:sz w:val="1"/>
                <w:szCs w:val="1"/>
                <w:color w:val="auto"/>
              </w:rPr>
            </w:pPr>
          </w:p>
        </w:tc>
      </w:tr>
      <w:tr>
        <w:trPr>
          <w:trHeight w:val="128"/>
        </w:trPr>
        <w:tc>
          <w:tcPr>
            <w:tcW w:w="3780" w:type="dxa"/>
            <w:vAlign w:val="bottom"/>
            <w:vMerge w:val="continue"/>
          </w:tcPr>
          <w:p>
            <w:pPr>
              <w:spacing w:after="0"/>
              <w:rPr>
                <w:sz w:val="11"/>
                <w:szCs w:val="11"/>
                <w:color w:val="auto"/>
              </w:rPr>
            </w:pPr>
          </w:p>
        </w:tc>
        <w:tc>
          <w:tcPr>
            <w:tcW w:w="7440" w:type="dxa"/>
            <w:vAlign w:val="bottom"/>
            <w:vMerge w:val="restart"/>
          </w:tcPr>
          <w:p>
            <w:pPr>
              <w:ind w:left="240"/>
              <w:spacing w:after="0"/>
              <w:rPr>
                <w:sz w:val="20"/>
                <w:szCs w:val="20"/>
                <w:color w:val="auto"/>
              </w:rPr>
            </w:pPr>
            <w:r>
              <w:rPr>
                <w:rFonts w:ascii="Arial" w:cs="Arial" w:eastAsia="Arial" w:hAnsi="Arial"/>
                <w:sz w:val="16"/>
                <w:szCs w:val="16"/>
                <w:color w:val="auto"/>
              </w:rPr>
              <w:t>managing businesses and operations that have been impacted by transformational change.</w:t>
            </w:r>
          </w:p>
        </w:tc>
        <w:tc>
          <w:tcPr>
            <w:tcW w:w="0" w:type="dxa"/>
            <w:vAlign w:val="bottom"/>
          </w:tcPr>
          <w:p>
            <w:pPr>
              <w:spacing w:after="0"/>
              <w:rPr>
                <w:sz w:val="1"/>
                <w:szCs w:val="1"/>
                <w:color w:val="auto"/>
              </w:rPr>
            </w:pPr>
          </w:p>
        </w:tc>
      </w:tr>
      <w:tr>
        <w:trPr>
          <w:trHeight w:val="87"/>
        </w:trPr>
        <w:tc>
          <w:tcPr>
            <w:tcW w:w="3780" w:type="dxa"/>
            <w:vAlign w:val="bottom"/>
          </w:tcPr>
          <w:p>
            <w:pPr>
              <w:spacing w:after="0"/>
              <w:rPr>
                <w:sz w:val="7"/>
                <w:szCs w:val="7"/>
                <w:color w:val="auto"/>
              </w:rPr>
            </w:pPr>
          </w:p>
        </w:tc>
        <w:tc>
          <w:tcPr>
            <w:tcW w:w="7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5"/>
        </w:trPr>
        <w:tc>
          <w:tcPr>
            <w:tcW w:w="3780" w:type="dxa"/>
            <w:vAlign w:val="bottom"/>
          </w:tcPr>
          <w:p>
            <w:pPr>
              <w:spacing w:after="0"/>
              <w:rPr>
                <w:sz w:val="20"/>
                <w:szCs w:val="20"/>
                <w:color w:val="auto"/>
              </w:rPr>
            </w:pPr>
            <w:r>
              <w:rPr>
                <w:rFonts w:ascii="Arial" w:cs="Arial" w:eastAsia="Arial" w:hAnsi="Arial"/>
                <w:sz w:val="18"/>
                <w:szCs w:val="18"/>
                <w:b w:val="1"/>
                <w:bCs w:val="1"/>
                <w:color w:val="6E06C1"/>
              </w:rPr>
              <w:t>Strategic Skills</w:t>
            </w:r>
          </w:p>
        </w:tc>
        <w:tc>
          <w:tcPr>
            <w:tcW w:w="7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780" w:type="dxa"/>
            <w:vAlign w:val="bottom"/>
            <w:tcBorders>
              <w:bottom w:val="single" w:sz="8" w:color="170D67"/>
            </w:tcBorders>
          </w:tcPr>
          <w:p>
            <w:pPr>
              <w:spacing w:after="0"/>
              <w:rPr>
                <w:sz w:val="14"/>
                <w:szCs w:val="14"/>
                <w:color w:val="auto"/>
              </w:rPr>
            </w:pPr>
          </w:p>
        </w:tc>
        <w:tc>
          <w:tcPr>
            <w:tcW w:w="7440" w:type="dxa"/>
            <w:vAlign w:val="bottom"/>
            <w:tcBorders>
              <w:bottom w:val="single" w:sz="8" w:color="170D67"/>
            </w:tcBorders>
          </w:tcPr>
          <w:p>
            <w:pPr>
              <w:spacing w:after="0"/>
              <w:rPr>
                <w:sz w:val="14"/>
                <w:szCs w:val="14"/>
                <w:color w:val="auto"/>
              </w:rPr>
            </w:pPr>
          </w:p>
        </w:tc>
        <w:tc>
          <w:tcPr>
            <w:tcW w:w="0" w:type="dxa"/>
            <w:vAlign w:val="bottom"/>
          </w:tcPr>
          <w:p>
            <w:pPr>
              <w:spacing w:after="0"/>
              <w:rPr>
                <w:sz w:val="1"/>
                <w:szCs w:val="1"/>
                <w:color w:val="auto"/>
              </w:rPr>
            </w:pPr>
          </w:p>
        </w:tc>
      </w:tr>
      <w:tr>
        <w:trPr>
          <w:trHeight w:val="377"/>
        </w:trPr>
        <w:tc>
          <w:tcPr>
            <w:tcW w:w="3780" w:type="dxa"/>
            <w:vAlign w:val="bottom"/>
            <w:vMerge w:val="restart"/>
          </w:tcPr>
          <w:p>
            <w:pPr>
              <w:ind w:left="760"/>
              <w:spacing w:after="0"/>
              <w:rPr>
                <w:sz w:val="20"/>
                <w:szCs w:val="20"/>
                <w:color w:val="auto"/>
              </w:rPr>
            </w:pPr>
            <w:r>
              <w:rPr>
                <w:rFonts w:ascii="Arial" w:cs="Arial" w:eastAsia="Arial" w:hAnsi="Arial"/>
                <w:sz w:val="16"/>
                <w:szCs w:val="16"/>
                <w:b w:val="1"/>
                <w:bCs w:val="1"/>
                <w:color w:val="170D67"/>
              </w:rPr>
              <w:t>Accounting, Finance, and</w:t>
            </w:r>
          </w:p>
        </w:tc>
        <w:tc>
          <w:tcPr>
            <w:tcW w:w="7440" w:type="dxa"/>
            <w:vAlign w:val="bottom"/>
          </w:tcPr>
          <w:p>
            <w:pPr>
              <w:ind w:left="240"/>
              <w:spacing w:after="0"/>
              <w:rPr>
                <w:sz w:val="20"/>
                <w:szCs w:val="20"/>
                <w:color w:val="auto"/>
              </w:rPr>
            </w:pPr>
            <w:r>
              <w:rPr>
                <w:rFonts w:ascii="Arial" w:cs="Arial" w:eastAsia="Arial" w:hAnsi="Arial"/>
                <w:sz w:val="16"/>
                <w:szCs w:val="16"/>
                <w:color w:val="auto"/>
              </w:rPr>
              <w:t>Experience in accounting, finance, and capital management, including oversight of financial</w:t>
            </w:r>
          </w:p>
        </w:tc>
        <w:tc>
          <w:tcPr>
            <w:tcW w:w="0" w:type="dxa"/>
            <w:vAlign w:val="bottom"/>
          </w:tcPr>
          <w:p>
            <w:pPr>
              <w:spacing w:after="0"/>
              <w:rPr>
                <w:sz w:val="1"/>
                <w:szCs w:val="1"/>
                <w:color w:val="auto"/>
              </w:rPr>
            </w:pPr>
          </w:p>
        </w:tc>
      </w:tr>
      <w:tr>
        <w:trPr>
          <w:trHeight w:val="95"/>
        </w:trPr>
        <w:tc>
          <w:tcPr>
            <w:tcW w:w="3780" w:type="dxa"/>
            <w:vAlign w:val="bottom"/>
            <w:vMerge w:val="continue"/>
          </w:tcPr>
          <w:p>
            <w:pPr>
              <w:spacing w:after="0"/>
              <w:rPr>
                <w:sz w:val="8"/>
                <w:szCs w:val="8"/>
                <w:color w:val="auto"/>
              </w:rPr>
            </w:pPr>
          </w:p>
        </w:tc>
        <w:tc>
          <w:tcPr>
            <w:tcW w:w="7440" w:type="dxa"/>
            <w:vAlign w:val="bottom"/>
            <w:vMerge w:val="restart"/>
          </w:tcPr>
          <w:p>
            <w:pPr>
              <w:ind w:left="240"/>
              <w:spacing w:after="0"/>
              <w:rPr>
                <w:sz w:val="20"/>
                <w:szCs w:val="20"/>
                <w:color w:val="auto"/>
              </w:rPr>
            </w:pPr>
            <w:r>
              <w:rPr>
                <w:rFonts w:ascii="Arial" w:cs="Arial" w:eastAsia="Arial" w:hAnsi="Arial"/>
                <w:sz w:val="16"/>
                <w:szCs w:val="16"/>
                <w:color w:val="auto"/>
              </w:rPr>
              <w:t>statements, internal controls, and operating results; experience assessing the financial merits of</w:t>
            </w:r>
          </w:p>
        </w:tc>
        <w:tc>
          <w:tcPr>
            <w:tcW w:w="0" w:type="dxa"/>
            <w:vAlign w:val="bottom"/>
          </w:tcPr>
          <w:p>
            <w:pPr>
              <w:spacing w:after="0"/>
              <w:rPr>
                <w:sz w:val="1"/>
                <w:szCs w:val="1"/>
                <w:color w:val="auto"/>
              </w:rPr>
            </w:pPr>
          </w:p>
        </w:tc>
      </w:tr>
      <w:tr>
        <w:trPr>
          <w:trHeight w:val="95"/>
        </w:trPr>
        <w:tc>
          <w:tcPr>
            <w:tcW w:w="3780" w:type="dxa"/>
            <w:vAlign w:val="bottom"/>
            <w:vMerge w:val="restart"/>
          </w:tcPr>
          <w:p>
            <w:pPr>
              <w:ind w:left="760"/>
              <w:spacing w:after="0"/>
              <w:rPr>
                <w:sz w:val="20"/>
                <w:szCs w:val="20"/>
                <w:color w:val="auto"/>
              </w:rPr>
            </w:pPr>
            <w:r>
              <w:rPr>
                <w:rFonts w:ascii="Arial" w:cs="Arial" w:eastAsia="Arial" w:hAnsi="Arial"/>
                <w:sz w:val="16"/>
                <w:szCs w:val="16"/>
                <w:b w:val="1"/>
                <w:bCs w:val="1"/>
                <w:color w:val="170D67"/>
              </w:rPr>
              <w:t>Capital Markets</w:t>
            </w:r>
          </w:p>
        </w:tc>
        <w:tc>
          <w:tcPr>
            <w:tcW w:w="7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3780" w:type="dxa"/>
            <w:vAlign w:val="bottom"/>
            <w:vMerge w:val="continue"/>
          </w:tcPr>
          <w:p>
            <w:pPr>
              <w:spacing w:after="0"/>
              <w:rPr>
                <w:sz w:val="11"/>
                <w:szCs w:val="11"/>
                <w:color w:val="auto"/>
              </w:rPr>
            </w:pPr>
          </w:p>
        </w:tc>
        <w:tc>
          <w:tcPr>
            <w:tcW w:w="7440" w:type="dxa"/>
            <w:vAlign w:val="bottom"/>
            <w:vMerge w:val="restart"/>
          </w:tcPr>
          <w:p>
            <w:pPr>
              <w:ind w:left="240"/>
              <w:spacing w:after="0"/>
              <w:rPr>
                <w:sz w:val="20"/>
                <w:szCs w:val="20"/>
                <w:color w:val="auto"/>
              </w:rPr>
            </w:pPr>
            <w:r>
              <w:rPr>
                <w:rFonts w:ascii="Arial" w:cs="Arial" w:eastAsia="Arial" w:hAnsi="Arial"/>
                <w:sz w:val="16"/>
                <w:szCs w:val="16"/>
                <w:color w:val="auto"/>
              </w:rPr>
              <w:t>strategic opportunities; experience in investor relations.</w:t>
            </w:r>
          </w:p>
        </w:tc>
        <w:tc>
          <w:tcPr>
            <w:tcW w:w="0" w:type="dxa"/>
            <w:vAlign w:val="bottom"/>
          </w:tcPr>
          <w:p>
            <w:pPr>
              <w:spacing w:after="0"/>
              <w:rPr>
                <w:sz w:val="1"/>
                <w:szCs w:val="1"/>
                <w:color w:val="auto"/>
              </w:rPr>
            </w:pPr>
          </w:p>
        </w:tc>
      </w:tr>
      <w:tr>
        <w:trPr>
          <w:trHeight w:val="87"/>
        </w:trPr>
        <w:tc>
          <w:tcPr>
            <w:tcW w:w="3780" w:type="dxa"/>
            <w:vAlign w:val="bottom"/>
          </w:tcPr>
          <w:p>
            <w:pPr>
              <w:spacing w:after="0"/>
              <w:rPr>
                <w:sz w:val="7"/>
                <w:szCs w:val="7"/>
                <w:color w:val="auto"/>
              </w:rPr>
            </w:pPr>
          </w:p>
        </w:tc>
        <w:tc>
          <w:tcPr>
            <w:tcW w:w="7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3780" w:type="dxa"/>
            <w:vAlign w:val="bottom"/>
            <w:tcBorders>
              <w:bottom w:val="single" w:sz="8" w:color="auto"/>
            </w:tcBorders>
          </w:tcPr>
          <w:p>
            <w:pPr>
              <w:spacing w:after="0"/>
              <w:rPr>
                <w:sz w:val="20"/>
                <w:szCs w:val="20"/>
                <w:color w:val="auto"/>
              </w:rPr>
            </w:pPr>
          </w:p>
        </w:tc>
        <w:tc>
          <w:tcPr>
            <w:tcW w:w="7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4"/>
        </w:trPr>
        <w:tc>
          <w:tcPr>
            <w:tcW w:w="3780" w:type="dxa"/>
            <w:vAlign w:val="bottom"/>
            <w:vMerge w:val="restart"/>
          </w:tcPr>
          <w:p>
            <w:pPr>
              <w:ind w:left="760"/>
              <w:spacing w:after="0"/>
              <w:rPr>
                <w:sz w:val="20"/>
                <w:szCs w:val="20"/>
                <w:color w:val="auto"/>
              </w:rPr>
            </w:pPr>
            <w:r>
              <w:rPr>
                <w:rFonts w:ascii="Arial" w:cs="Arial" w:eastAsia="Arial" w:hAnsi="Arial"/>
                <w:sz w:val="16"/>
                <w:szCs w:val="16"/>
                <w:b w:val="1"/>
                <w:bCs w:val="1"/>
                <w:color w:val="170D67"/>
              </w:rPr>
              <w:t>Customer and Community</w:t>
            </w:r>
          </w:p>
        </w:tc>
        <w:tc>
          <w:tcPr>
            <w:tcW w:w="7440" w:type="dxa"/>
            <w:vAlign w:val="bottom"/>
          </w:tcPr>
          <w:p>
            <w:pPr>
              <w:ind w:left="240"/>
              <w:spacing w:after="0"/>
              <w:rPr>
                <w:sz w:val="20"/>
                <w:szCs w:val="20"/>
                <w:color w:val="auto"/>
              </w:rPr>
            </w:pPr>
            <w:r>
              <w:rPr>
                <w:rFonts w:ascii="Arial" w:cs="Arial" w:eastAsia="Arial" w:hAnsi="Arial"/>
                <w:sz w:val="16"/>
                <w:szCs w:val="16"/>
                <w:color w:val="auto"/>
              </w:rPr>
              <w:t>Experience in a customer-facing industry with an understanding of customer and community</w:t>
            </w:r>
          </w:p>
        </w:tc>
        <w:tc>
          <w:tcPr>
            <w:tcW w:w="0" w:type="dxa"/>
            <w:vAlign w:val="bottom"/>
          </w:tcPr>
          <w:p>
            <w:pPr>
              <w:spacing w:after="0"/>
              <w:rPr>
                <w:sz w:val="1"/>
                <w:szCs w:val="1"/>
                <w:color w:val="auto"/>
              </w:rPr>
            </w:pPr>
          </w:p>
        </w:tc>
      </w:tr>
      <w:tr>
        <w:trPr>
          <w:trHeight w:val="128"/>
        </w:trPr>
        <w:tc>
          <w:tcPr>
            <w:tcW w:w="3780" w:type="dxa"/>
            <w:vAlign w:val="bottom"/>
            <w:vMerge w:val="continue"/>
          </w:tcPr>
          <w:p>
            <w:pPr>
              <w:spacing w:after="0"/>
              <w:rPr>
                <w:sz w:val="11"/>
                <w:szCs w:val="11"/>
                <w:color w:val="auto"/>
              </w:rPr>
            </w:pPr>
          </w:p>
        </w:tc>
        <w:tc>
          <w:tcPr>
            <w:tcW w:w="7440" w:type="dxa"/>
            <w:vAlign w:val="bottom"/>
            <w:vMerge w:val="restart"/>
          </w:tcPr>
          <w:p>
            <w:pPr>
              <w:ind w:left="240"/>
              <w:spacing w:after="0"/>
              <w:rPr>
                <w:sz w:val="20"/>
                <w:szCs w:val="20"/>
                <w:color w:val="auto"/>
              </w:rPr>
            </w:pPr>
            <w:r>
              <w:rPr>
                <w:rFonts w:ascii="Arial" w:cs="Arial" w:eastAsia="Arial" w:hAnsi="Arial"/>
                <w:sz w:val="16"/>
                <w:szCs w:val="16"/>
                <w:color w:val="auto"/>
              </w:rPr>
              <w:t>expectations, including transforming the customer experience.</w:t>
            </w:r>
          </w:p>
        </w:tc>
        <w:tc>
          <w:tcPr>
            <w:tcW w:w="0" w:type="dxa"/>
            <w:vAlign w:val="bottom"/>
          </w:tcPr>
          <w:p>
            <w:pPr>
              <w:spacing w:after="0"/>
              <w:rPr>
                <w:sz w:val="1"/>
                <w:szCs w:val="1"/>
                <w:color w:val="auto"/>
              </w:rPr>
            </w:pPr>
          </w:p>
        </w:tc>
      </w:tr>
      <w:tr>
        <w:trPr>
          <w:trHeight w:val="87"/>
        </w:trPr>
        <w:tc>
          <w:tcPr>
            <w:tcW w:w="3780" w:type="dxa"/>
            <w:vAlign w:val="bottom"/>
          </w:tcPr>
          <w:p>
            <w:pPr>
              <w:spacing w:after="0"/>
              <w:rPr>
                <w:sz w:val="7"/>
                <w:szCs w:val="7"/>
                <w:color w:val="auto"/>
              </w:rPr>
            </w:pPr>
          </w:p>
        </w:tc>
        <w:tc>
          <w:tcPr>
            <w:tcW w:w="7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3780" w:type="dxa"/>
            <w:vAlign w:val="bottom"/>
            <w:tcBorders>
              <w:bottom w:val="single" w:sz="8" w:color="auto"/>
            </w:tcBorders>
          </w:tcPr>
          <w:p>
            <w:pPr>
              <w:spacing w:after="0"/>
              <w:rPr>
                <w:sz w:val="20"/>
                <w:szCs w:val="20"/>
                <w:color w:val="auto"/>
              </w:rPr>
            </w:pPr>
          </w:p>
        </w:tc>
        <w:tc>
          <w:tcPr>
            <w:tcW w:w="7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4"/>
        </w:trPr>
        <w:tc>
          <w:tcPr>
            <w:tcW w:w="3780" w:type="dxa"/>
            <w:vAlign w:val="bottom"/>
          </w:tcPr>
          <w:p>
            <w:pPr>
              <w:spacing w:after="0"/>
              <w:rPr>
                <w:sz w:val="24"/>
                <w:szCs w:val="24"/>
                <w:color w:val="auto"/>
              </w:rPr>
            </w:pPr>
          </w:p>
        </w:tc>
        <w:tc>
          <w:tcPr>
            <w:tcW w:w="7440" w:type="dxa"/>
            <w:vAlign w:val="bottom"/>
          </w:tcPr>
          <w:p>
            <w:pPr>
              <w:ind w:left="240"/>
              <w:spacing w:after="0"/>
              <w:rPr>
                <w:sz w:val="20"/>
                <w:szCs w:val="20"/>
                <w:color w:val="auto"/>
              </w:rPr>
            </w:pPr>
            <w:r>
              <w:rPr>
                <w:rFonts w:ascii="Arial" w:cs="Arial" w:eastAsia="Arial" w:hAnsi="Arial"/>
                <w:sz w:val="16"/>
                <w:szCs w:val="16"/>
                <w:color w:val="auto"/>
              </w:rPr>
              <w:t>Understanding of data security systems and/or cyber threats as well as the associated risk</w:t>
            </w:r>
          </w:p>
        </w:tc>
        <w:tc>
          <w:tcPr>
            <w:tcW w:w="0" w:type="dxa"/>
            <w:vAlign w:val="bottom"/>
          </w:tcPr>
          <w:p>
            <w:pPr>
              <w:spacing w:after="0"/>
              <w:rPr>
                <w:sz w:val="1"/>
                <w:szCs w:val="1"/>
                <w:color w:val="auto"/>
              </w:rPr>
            </w:pPr>
          </w:p>
        </w:tc>
      </w:tr>
      <w:tr>
        <w:trPr>
          <w:trHeight w:val="189"/>
        </w:trPr>
        <w:tc>
          <w:tcPr>
            <w:tcW w:w="3780" w:type="dxa"/>
            <w:vAlign w:val="bottom"/>
          </w:tcPr>
          <w:p>
            <w:pPr>
              <w:ind w:left="760"/>
              <w:spacing w:after="0"/>
              <w:rPr>
                <w:sz w:val="20"/>
                <w:szCs w:val="20"/>
                <w:color w:val="auto"/>
              </w:rPr>
            </w:pPr>
            <w:r>
              <w:rPr>
                <w:rFonts w:ascii="Arial" w:cs="Arial" w:eastAsia="Arial" w:hAnsi="Arial"/>
                <w:sz w:val="16"/>
                <w:szCs w:val="16"/>
                <w:b w:val="1"/>
                <w:bCs w:val="1"/>
                <w:color w:val="170D67"/>
              </w:rPr>
              <w:t>Cybersecurity and Physical Security</w:t>
            </w:r>
          </w:p>
        </w:tc>
        <w:tc>
          <w:tcPr>
            <w:tcW w:w="7440" w:type="dxa"/>
            <w:vAlign w:val="bottom"/>
          </w:tcPr>
          <w:p>
            <w:pPr>
              <w:ind w:left="240"/>
              <w:spacing w:after="0"/>
              <w:rPr>
                <w:sz w:val="20"/>
                <w:szCs w:val="20"/>
                <w:color w:val="auto"/>
              </w:rPr>
            </w:pPr>
            <w:r>
              <w:rPr>
                <w:rFonts w:ascii="Arial" w:cs="Arial" w:eastAsia="Arial" w:hAnsi="Arial"/>
                <w:sz w:val="16"/>
                <w:szCs w:val="16"/>
                <w:color w:val="auto"/>
              </w:rPr>
              <w:t>mitigation strategies; experience monitoring and overseeing physical security measures necessary</w:t>
            </w:r>
          </w:p>
        </w:tc>
        <w:tc>
          <w:tcPr>
            <w:tcW w:w="0" w:type="dxa"/>
            <w:vAlign w:val="bottom"/>
          </w:tcPr>
          <w:p>
            <w:pPr>
              <w:spacing w:after="0"/>
              <w:rPr>
                <w:sz w:val="1"/>
                <w:szCs w:val="1"/>
                <w:color w:val="auto"/>
              </w:rPr>
            </w:pPr>
          </w:p>
        </w:tc>
      </w:tr>
      <w:tr>
        <w:trPr>
          <w:trHeight w:val="215"/>
        </w:trPr>
        <w:tc>
          <w:tcPr>
            <w:tcW w:w="3780" w:type="dxa"/>
            <w:vAlign w:val="bottom"/>
          </w:tcPr>
          <w:p>
            <w:pPr>
              <w:spacing w:after="0"/>
              <w:rPr>
                <w:sz w:val="18"/>
                <w:szCs w:val="18"/>
                <w:color w:val="auto"/>
              </w:rPr>
            </w:pPr>
          </w:p>
        </w:tc>
        <w:tc>
          <w:tcPr>
            <w:tcW w:w="7440" w:type="dxa"/>
            <w:vAlign w:val="bottom"/>
          </w:tcPr>
          <w:p>
            <w:pPr>
              <w:ind w:left="240"/>
              <w:spacing w:after="0"/>
              <w:rPr>
                <w:sz w:val="20"/>
                <w:szCs w:val="20"/>
                <w:color w:val="auto"/>
              </w:rPr>
            </w:pPr>
            <w:r>
              <w:rPr>
                <w:rFonts w:ascii="Arial" w:cs="Arial" w:eastAsia="Arial" w:hAnsi="Arial"/>
                <w:sz w:val="16"/>
                <w:szCs w:val="16"/>
                <w:color w:val="auto"/>
              </w:rPr>
              <w:t>for safe transmission and distribution (T&amp;D) operations.</w:t>
            </w:r>
          </w:p>
        </w:tc>
        <w:tc>
          <w:tcPr>
            <w:tcW w:w="0" w:type="dxa"/>
            <w:vAlign w:val="bottom"/>
          </w:tcPr>
          <w:p>
            <w:pPr>
              <w:spacing w:after="0"/>
              <w:rPr>
                <w:sz w:val="1"/>
                <w:szCs w:val="1"/>
                <w:color w:val="auto"/>
              </w:rPr>
            </w:pPr>
          </w:p>
        </w:tc>
      </w:tr>
      <w:tr>
        <w:trPr>
          <w:trHeight w:val="231"/>
        </w:trPr>
        <w:tc>
          <w:tcPr>
            <w:tcW w:w="3780" w:type="dxa"/>
            <w:vAlign w:val="bottom"/>
            <w:tcBorders>
              <w:bottom w:val="single" w:sz="8" w:color="auto"/>
            </w:tcBorders>
          </w:tcPr>
          <w:p>
            <w:pPr>
              <w:spacing w:after="0"/>
              <w:rPr>
                <w:sz w:val="20"/>
                <w:szCs w:val="20"/>
                <w:color w:val="auto"/>
              </w:rPr>
            </w:pPr>
          </w:p>
        </w:tc>
        <w:tc>
          <w:tcPr>
            <w:tcW w:w="7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4"/>
        </w:trPr>
        <w:tc>
          <w:tcPr>
            <w:tcW w:w="3780" w:type="dxa"/>
            <w:vAlign w:val="bottom"/>
          </w:tcPr>
          <w:p>
            <w:pPr>
              <w:spacing w:after="0"/>
              <w:rPr>
                <w:sz w:val="24"/>
                <w:szCs w:val="24"/>
                <w:color w:val="auto"/>
              </w:rPr>
            </w:pPr>
          </w:p>
        </w:tc>
        <w:tc>
          <w:tcPr>
            <w:tcW w:w="7440" w:type="dxa"/>
            <w:vAlign w:val="bottom"/>
          </w:tcPr>
          <w:p>
            <w:pPr>
              <w:ind w:left="240"/>
              <w:spacing w:after="0"/>
              <w:rPr>
                <w:sz w:val="20"/>
                <w:szCs w:val="20"/>
                <w:color w:val="auto"/>
              </w:rPr>
            </w:pPr>
            <w:r>
              <w:rPr>
                <w:rFonts w:ascii="Arial" w:cs="Arial" w:eastAsia="Arial" w:hAnsi="Arial"/>
                <w:sz w:val="16"/>
                <w:szCs w:val="16"/>
                <w:color w:val="auto"/>
              </w:rPr>
              <w:t>Experience in the energy or utility industries or other expertise in energy markets, technology,</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7440" w:type="dxa"/>
            <w:vAlign w:val="bottom"/>
          </w:tcPr>
          <w:p>
            <w:pPr>
              <w:ind w:left="240"/>
              <w:spacing w:after="0"/>
              <w:rPr>
                <w:sz w:val="20"/>
                <w:szCs w:val="20"/>
                <w:color w:val="auto"/>
              </w:rPr>
            </w:pPr>
            <w:r>
              <w:rPr>
                <w:rFonts w:ascii="Arial" w:cs="Arial" w:eastAsia="Arial" w:hAnsi="Arial"/>
                <w:sz w:val="16"/>
                <w:szCs w:val="16"/>
                <w:color w:val="auto"/>
              </w:rPr>
              <w:t>renewable and clean energy, electric and gas transmission and distribution; understanding of the</w:t>
            </w:r>
          </w:p>
        </w:tc>
        <w:tc>
          <w:tcPr>
            <w:tcW w:w="0" w:type="dxa"/>
            <w:vAlign w:val="bottom"/>
          </w:tcPr>
          <w:p>
            <w:pPr>
              <w:spacing w:after="0"/>
              <w:rPr>
                <w:sz w:val="1"/>
                <w:szCs w:val="1"/>
                <w:color w:val="auto"/>
              </w:rPr>
            </w:pPr>
          </w:p>
        </w:tc>
      </w:tr>
      <w:tr>
        <w:trPr>
          <w:trHeight w:val="189"/>
        </w:trPr>
        <w:tc>
          <w:tcPr>
            <w:tcW w:w="3780" w:type="dxa"/>
            <w:vAlign w:val="bottom"/>
          </w:tcPr>
          <w:p>
            <w:pPr>
              <w:ind w:left="760"/>
              <w:spacing w:after="0"/>
              <w:rPr>
                <w:sz w:val="20"/>
                <w:szCs w:val="20"/>
                <w:color w:val="auto"/>
              </w:rPr>
            </w:pPr>
            <w:r>
              <w:rPr>
                <w:rFonts w:ascii="Arial" w:cs="Arial" w:eastAsia="Arial" w:hAnsi="Arial"/>
                <w:sz w:val="16"/>
                <w:szCs w:val="16"/>
                <w:b w:val="1"/>
                <w:bCs w:val="1"/>
                <w:color w:val="170D67"/>
              </w:rPr>
              <w:t>Energy Industry, Engineering and</w:t>
            </w:r>
          </w:p>
        </w:tc>
        <w:tc>
          <w:tcPr>
            <w:tcW w:w="7440" w:type="dxa"/>
            <w:vAlign w:val="bottom"/>
          </w:tcPr>
          <w:p>
            <w:pPr>
              <w:ind w:left="240"/>
              <w:spacing w:after="0"/>
              <w:rPr>
                <w:sz w:val="20"/>
                <w:szCs w:val="20"/>
                <w:color w:val="auto"/>
              </w:rPr>
            </w:pPr>
            <w:r>
              <w:rPr>
                <w:rFonts w:ascii="Arial" w:cs="Arial" w:eastAsia="Arial" w:hAnsi="Arial"/>
                <w:sz w:val="16"/>
                <w:szCs w:val="16"/>
                <w:color w:val="auto"/>
              </w:rPr>
              <w:t>public policy issues and risks associated with the reliability, resiliency, and safety of the electric</w:t>
            </w:r>
          </w:p>
        </w:tc>
        <w:tc>
          <w:tcPr>
            <w:tcW w:w="0" w:type="dxa"/>
            <w:vAlign w:val="bottom"/>
          </w:tcPr>
          <w:p>
            <w:pPr>
              <w:spacing w:after="0"/>
              <w:rPr>
                <w:sz w:val="1"/>
                <w:szCs w:val="1"/>
                <w:color w:val="auto"/>
              </w:rPr>
            </w:pPr>
          </w:p>
        </w:tc>
      </w:tr>
      <w:tr>
        <w:trPr>
          <w:trHeight w:val="203"/>
        </w:trPr>
        <w:tc>
          <w:tcPr>
            <w:tcW w:w="3780" w:type="dxa"/>
            <w:vAlign w:val="bottom"/>
          </w:tcPr>
          <w:p>
            <w:pPr>
              <w:ind w:left="760"/>
              <w:spacing w:after="0"/>
              <w:rPr>
                <w:sz w:val="20"/>
                <w:szCs w:val="20"/>
                <w:color w:val="auto"/>
              </w:rPr>
            </w:pPr>
            <w:r>
              <w:rPr>
                <w:rFonts w:ascii="Arial" w:cs="Arial" w:eastAsia="Arial" w:hAnsi="Arial"/>
                <w:sz w:val="16"/>
                <w:szCs w:val="16"/>
                <w:b w:val="1"/>
                <w:bCs w:val="1"/>
                <w:color w:val="170D67"/>
              </w:rPr>
              <w:t>Infrastructure Development</w:t>
            </w:r>
          </w:p>
        </w:tc>
        <w:tc>
          <w:tcPr>
            <w:tcW w:w="7440" w:type="dxa"/>
            <w:vAlign w:val="bottom"/>
          </w:tcPr>
          <w:p>
            <w:pPr>
              <w:ind w:left="240"/>
              <w:spacing w:after="0"/>
              <w:rPr>
                <w:sz w:val="20"/>
                <w:szCs w:val="20"/>
                <w:color w:val="auto"/>
              </w:rPr>
            </w:pPr>
            <w:r>
              <w:rPr>
                <w:rFonts w:ascii="Arial" w:cs="Arial" w:eastAsia="Arial" w:hAnsi="Arial"/>
                <w:sz w:val="16"/>
                <w:szCs w:val="16"/>
                <w:color w:val="auto"/>
              </w:rPr>
              <w:t>and gas transmission and distribution systems; engineering experience and/or experience in the</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7440" w:type="dxa"/>
            <w:vAlign w:val="bottom"/>
          </w:tcPr>
          <w:p>
            <w:pPr>
              <w:ind w:left="240"/>
              <w:spacing w:after="0"/>
              <w:rPr>
                <w:sz w:val="20"/>
                <w:szCs w:val="20"/>
                <w:color w:val="auto"/>
              </w:rPr>
            </w:pPr>
            <w:r>
              <w:rPr>
                <w:rFonts w:ascii="Arial" w:cs="Arial" w:eastAsia="Arial" w:hAnsi="Arial"/>
                <w:sz w:val="16"/>
                <w:szCs w:val="16"/>
                <w:color w:val="auto"/>
              </w:rPr>
              <w:t>development and management or oversight of capital projects involving physical systems, real</w:t>
            </w:r>
          </w:p>
        </w:tc>
        <w:tc>
          <w:tcPr>
            <w:tcW w:w="0" w:type="dxa"/>
            <w:vAlign w:val="bottom"/>
          </w:tcPr>
          <w:p>
            <w:pPr>
              <w:spacing w:after="0"/>
              <w:rPr>
                <w:sz w:val="1"/>
                <w:szCs w:val="1"/>
                <w:color w:val="auto"/>
              </w:rPr>
            </w:pPr>
          </w:p>
        </w:tc>
      </w:tr>
      <w:tr>
        <w:trPr>
          <w:trHeight w:val="215"/>
        </w:trPr>
        <w:tc>
          <w:tcPr>
            <w:tcW w:w="3780" w:type="dxa"/>
            <w:vAlign w:val="bottom"/>
          </w:tcPr>
          <w:p>
            <w:pPr>
              <w:spacing w:after="0"/>
              <w:rPr>
                <w:sz w:val="18"/>
                <w:szCs w:val="18"/>
                <w:color w:val="auto"/>
              </w:rPr>
            </w:pPr>
          </w:p>
        </w:tc>
        <w:tc>
          <w:tcPr>
            <w:tcW w:w="7440" w:type="dxa"/>
            <w:vAlign w:val="bottom"/>
          </w:tcPr>
          <w:p>
            <w:pPr>
              <w:ind w:left="240"/>
              <w:spacing w:after="0"/>
              <w:rPr>
                <w:sz w:val="20"/>
                <w:szCs w:val="20"/>
                <w:color w:val="auto"/>
              </w:rPr>
            </w:pPr>
            <w:r>
              <w:rPr>
                <w:rFonts w:ascii="Arial" w:cs="Arial" w:eastAsia="Arial" w:hAnsi="Arial"/>
                <w:sz w:val="16"/>
                <w:szCs w:val="16"/>
                <w:color w:val="auto"/>
              </w:rPr>
              <w:t>estate acquisitions and construction activities.</w:t>
            </w:r>
          </w:p>
        </w:tc>
        <w:tc>
          <w:tcPr>
            <w:tcW w:w="0" w:type="dxa"/>
            <w:vAlign w:val="bottom"/>
          </w:tcPr>
          <w:p>
            <w:pPr>
              <w:spacing w:after="0"/>
              <w:rPr>
                <w:sz w:val="1"/>
                <w:szCs w:val="1"/>
                <w:color w:val="auto"/>
              </w:rPr>
            </w:pPr>
          </w:p>
        </w:tc>
      </w:tr>
      <w:tr>
        <w:trPr>
          <w:trHeight w:val="218"/>
        </w:trPr>
        <w:tc>
          <w:tcPr>
            <w:tcW w:w="3780" w:type="dxa"/>
            <w:vAlign w:val="bottom"/>
            <w:tcBorders>
              <w:bottom w:val="single" w:sz="8" w:color="auto"/>
            </w:tcBorders>
          </w:tcPr>
          <w:p>
            <w:pPr>
              <w:spacing w:after="0"/>
              <w:rPr>
                <w:sz w:val="18"/>
                <w:szCs w:val="18"/>
                <w:color w:val="auto"/>
              </w:rPr>
            </w:pPr>
          </w:p>
        </w:tc>
        <w:tc>
          <w:tcPr>
            <w:tcW w:w="7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3780" w:type="dxa"/>
            <w:vAlign w:val="bottom"/>
          </w:tcPr>
          <w:p>
            <w:pPr>
              <w:spacing w:after="0"/>
              <w:rPr>
                <w:sz w:val="24"/>
                <w:szCs w:val="24"/>
                <w:color w:val="auto"/>
              </w:rPr>
            </w:pPr>
          </w:p>
        </w:tc>
        <w:tc>
          <w:tcPr>
            <w:tcW w:w="7440" w:type="dxa"/>
            <w:vAlign w:val="bottom"/>
          </w:tcPr>
          <w:p>
            <w:pPr>
              <w:ind w:left="240"/>
              <w:spacing w:after="0"/>
              <w:rPr>
                <w:sz w:val="20"/>
                <w:szCs w:val="20"/>
                <w:color w:val="auto"/>
              </w:rPr>
            </w:pPr>
            <w:r>
              <w:rPr>
                <w:rFonts w:ascii="Arial" w:cs="Arial" w:eastAsia="Arial" w:hAnsi="Arial"/>
                <w:sz w:val="16"/>
                <w:szCs w:val="16"/>
                <w:color w:val="auto"/>
              </w:rPr>
              <w:t>Experience in overseeing or advising on environmental, climate or sustainability practices;</w:t>
            </w:r>
          </w:p>
        </w:tc>
        <w:tc>
          <w:tcPr>
            <w:tcW w:w="0" w:type="dxa"/>
            <w:vAlign w:val="bottom"/>
          </w:tcPr>
          <w:p>
            <w:pPr>
              <w:spacing w:after="0"/>
              <w:rPr>
                <w:sz w:val="1"/>
                <w:szCs w:val="1"/>
                <w:color w:val="auto"/>
              </w:rPr>
            </w:pPr>
          </w:p>
        </w:tc>
      </w:tr>
      <w:tr>
        <w:trPr>
          <w:trHeight w:val="189"/>
        </w:trPr>
        <w:tc>
          <w:tcPr>
            <w:tcW w:w="3780" w:type="dxa"/>
            <w:vAlign w:val="bottom"/>
            <w:vMerge w:val="restart"/>
          </w:tcPr>
          <w:p>
            <w:pPr>
              <w:ind w:left="760"/>
              <w:spacing w:after="0"/>
              <w:rPr>
                <w:sz w:val="20"/>
                <w:szCs w:val="20"/>
                <w:color w:val="auto"/>
              </w:rPr>
            </w:pPr>
            <w:r>
              <w:rPr>
                <w:rFonts w:ascii="Arial" w:cs="Arial" w:eastAsia="Arial" w:hAnsi="Arial"/>
                <w:sz w:val="16"/>
                <w:szCs w:val="16"/>
                <w:b w:val="1"/>
                <w:bCs w:val="1"/>
                <w:color w:val="170D67"/>
              </w:rPr>
              <w:t>Environment &amp; Sustainability</w:t>
            </w:r>
          </w:p>
        </w:tc>
        <w:tc>
          <w:tcPr>
            <w:tcW w:w="7440" w:type="dxa"/>
            <w:vAlign w:val="bottom"/>
          </w:tcPr>
          <w:p>
            <w:pPr>
              <w:ind w:left="240"/>
              <w:spacing w:after="0"/>
              <w:rPr>
                <w:sz w:val="20"/>
                <w:szCs w:val="20"/>
                <w:color w:val="auto"/>
              </w:rPr>
            </w:pPr>
            <w:r>
              <w:rPr>
                <w:rFonts w:ascii="Arial" w:cs="Arial" w:eastAsia="Arial" w:hAnsi="Arial"/>
                <w:sz w:val="16"/>
                <w:szCs w:val="16"/>
                <w:color w:val="auto"/>
              </w:rPr>
              <w:t>understanding of environmental policy, regulation, risk, and business operations in regulated</w:t>
            </w:r>
          </w:p>
        </w:tc>
        <w:tc>
          <w:tcPr>
            <w:tcW w:w="0" w:type="dxa"/>
            <w:vAlign w:val="bottom"/>
          </w:tcPr>
          <w:p>
            <w:pPr>
              <w:spacing w:after="0"/>
              <w:rPr>
                <w:sz w:val="1"/>
                <w:szCs w:val="1"/>
                <w:color w:val="auto"/>
              </w:rPr>
            </w:pPr>
          </w:p>
        </w:tc>
      </w:tr>
      <w:tr>
        <w:trPr>
          <w:trHeight w:val="142"/>
        </w:trPr>
        <w:tc>
          <w:tcPr>
            <w:tcW w:w="3780" w:type="dxa"/>
            <w:vAlign w:val="bottom"/>
            <w:vMerge w:val="continue"/>
          </w:tcPr>
          <w:p>
            <w:pPr>
              <w:spacing w:after="0"/>
              <w:rPr>
                <w:sz w:val="12"/>
                <w:szCs w:val="12"/>
                <w:color w:val="auto"/>
              </w:rPr>
            </w:pPr>
          </w:p>
        </w:tc>
        <w:tc>
          <w:tcPr>
            <w:tcW w:w="7440" w:type="dxa"/>
            <w:vAlign w:val="bottom"/>
            <w:vMerge w:val="restart"/>
          </w:tcPr>
          <w:p>
            <w:pPr>
              <w:ind w:left="240"/>
              <w:spacing w:after="0"/>
              <w:rPr>
                <w:sz w:val="20"/>
                <w:szCs w:val="20"/>
                <w:color w:val="auto"/>
              </w:rPr>
            </w:pPr>
            <w:r>
              <w:rPr>
                <w:rFonts w:ascii="Arial" w:cs="Arial" w:eastAsia="Arial" w:hAnsi="Arial"/>
                <w:sz w:val="16"/>
                <w:szCs w:val="16"/>
                <w:color w:val="auto"/>
              </w:rPr>
              <w:t>industries; experience in managing environmental impacts; in-depth knowledge of operational</w:t>
            </w:r>
          </w:p>
        </w:tc>
        <w:tc>
          <w:tcPr>
            <w:tcW w:w="0" w:type="dxa"/>
            <w:vAlign w:val="bottom"/>
          </w:tcPr>
          <w:p>
            <w:pPr>
              <w:spacing w:after="0"/>
              <w:rPr>
                <w:sz w:val="1"/>
                <w:szCs w:val="1"/>
                <w:color w:val="auto"/>
              </w:rPr>
            </w:pPr>
          </w:p>
        </w:tc>
      </w:tr>
      <w:tr>
        <w:trPr>
          <w:trHeight w:val="61"/>
        </w:trPr>
        <w:tc>
          <w:tcPr>
            <w:tcW w:w="3780" w:type="dxa"/>
            <w:vAlign w:val="bottom"/>
          </w:tcPr>
          <w:p>
            <w:pPr>
              <w:spacing w:after="0"/>
              <w:rPr>
                <w:sz w:val="5"/>
                <w:szCs w:val="5"/>
                <w:color w:val="auto"/>
              </w:rPr>
            </w:pPr>
          </w:p>
        </w:tc>
        <w:tc>
          <w:tcPr>
            <w:tcW w:w="7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3780" w:type="dxa"/>
            <w:vAlign w:val="bottom"/>
          </w:tcPr>
          <w:p>
            <w:pPr>
              <w:spacing w:after="0"/>
              <w:rPr>
                <w:sz w:val="18"/>
                <w:szCs w:val="18"/>
                <w:color w:val="auto"/>
              </w:rPr>
            </w:pPr>
          </w:p>
        </w:tc>
        <w:tc>
          <w:tcPr>
            <w:tcW w:w="7440" w:type="dxa"/>
            <w:vAlign w:val="bottom"/>
          </w:tcPr>
          <w:p>
            <w:pPr>
              <w:ind w:left="240"/>
              <w:spacing w:after="0"/>
              <w:rPr>
                <w:sz w:val="20"/>
                <w:szCs w:val="20"/>
                <w:color w:val="auto"/>
              </w:rPr>
            </w:pPr>
            <w:r>
              <w:rPr>
                <w:rFonts w:ascii="Arial" w:cs="Arial" w:eastAsia="Arial" w:hAnsi="Arial"/>
                <w:sz w:val="16"/>
                <w:szCs w:val="16"/>
                <w:color w:val="auto"/>
              </w:rPr>
              <w:t>risks.</w:t>
            </w:r>
          </w:p>
        </w:tc>
        <w:tc>
          <w:tcPr>
            <w:tcW w:w="0" w:type="dxa"/>
            <w:vAlign w:val="bottom"/>
          </w:tcPr>
          <w:p>
            <w:pPr>
              <w:spacing w:after="0"/>
              <w:rPr>
                <w:sz w:val="1"/>
                <w:szCs w:val="1"/>
                <w:color w:val="auto"/>
              </w:rPr>
            </w:pPr>
          </w:p>
        </w:tc>
      </w:tr>
      <w:tr>
        <w:trPr>
          <w:trHeight w:val="231"/>
        </w:trPr>
        <w:tc>
          <w:tcPr>
            <w:tcW w:w="3780" w:type="dxa"/>
            <w:vAlign w:val="bottom"/>
            <w:tcBorders>
              <w:bottom w:val="single" w:sz="8" w:color="auto"/>
            </w:tcBorders>
          </w:tcPr>
          <w:p>
            <w:pPr>
              <w:spacing w:after="0"/>
              <w:rPr>
                <w:sz w:val="20"/>
                <w:szCs w:val="20"/>
                <w:color w:val="auto"/>
              </w:rPr>
            </w:pPr>
          </w:p>
        </w:tc>
        <w:tc>
          <w:tcPr>
            <w:tcW w:w="7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4"/>
        </w:trPr>
        <w:tc>
          <w:tcPr>
            <w:tcW w:w="3780" w:type="dxa"/>
            <w:vAlign w:val="bottom"/>
          </w:tcPr>
          <w:p>
            <w:pPr>
              <w:spacing w:after="0"/>
              <w:rPr>
                <w:sz w:val="24"/>
                <w:szCs w:val="24"/>
                <w:color w:val="auto"/>
              </w:rPr>
            </w:pPr>
          </w:p>
        </w:tc>
        <w:tc>
          <w:tcPr>
            <w:tcW w:w="7440" w:type="dxa"/>
            <w:vAlign w:val="bottom"/>
          </w:tcPr>
          <w:p>
            <w:pPr>
              <w:ind w:left="240"/>
              <w:spacing w:after="0"/>
              <w:rPr>
                <w:sz w:val="20"/>
                <w:szCs w:val="20"/>
                <w:color w:val="auto"/>
              </w:rPr>
            </w:pPr>
            <w:r>
              <w:rPr>
                <w:rFonts w:ascii="Arial" w:cs="Arial" w:eastAsia="Arial" w:hAnsi="Arial"/>
                <w:sz w:val="16"/>
                <w:szCs w:val="16"/>
                <w:color w:val="auto"/>
              </w:rPr>
              <w:t>Experience in regulatory affairs, public policy, or government; exposure to heavily regulated</w:t>
            </w:r>
          </w:p>
        </w:tc>
        <w:tc>
          <w:tcPr>
            <w:tcW w:w="0" w:type="dxa"/>
            <w:vAlign w:val="bottom"/>
          </w:tcPr>
          <w:p>
            <w:pPr>
              <w:spacing w:after="0"/>
              <w:rPr>
                <w:sz w:val="1"/>
                <w:szCs w:val="1"/>
                <w:color w:val="auto"/>
              </w:rPr>
            </w:pPr>
          </w:p>
        </w:tc>
      </w:tr>
      <w:tr>
        <w:trPr>
          <w:trHeight w:val="189"/>
        </w:trPr>
        <w:tc>
          <w:tcPr>
            <w:tcW w:w="3780" w:type="dxa"/>
            <w:vAlign w:val="bottom"/>
          </w:tcPr>
          <w:p>
            <w:pPr>
              <w:ind w:left="760"/>
              <w:spacing w:after="0"/>
              <w:rPr>
                <w:sz w:val="20"/>
                <w:szCs w:val="20"/>
                <w:color w:val="auto"/>
              </w:rPr>
            </w:pPr>
            <w:r>
              <w:rPr>
                <w:rFonts w:ascii="Arial" w:cs="Arial" w:eastAsia="Arial" w:hAnsi="Arial"/>
                <w:sz w:val="16"/>
                <w:szCs w:val="16"/>
                <w:b w:val="1"/>
                <w:bCs w:val="1"/>
                <w:color w:val="170D67"/>
              </w:rPr>
              <w:t>Regulatory and Policy</w:t>
            </w:r>
          </w:p>
        </w:tc>
        <w:tc>
          <w:tcPr>
            <w:tcW w:w="7440" w:type="dxa"/>
            <w:vAlign w:val="bottom"/>
          </w:tcPr>
          <w:p>
            <w:pPr>
              <w:ind w:left="240"/>
              <w:spacing w:after="0"/>
              <w:rPr>
                <w:sz w:val="20"/>
                <w:szCs w:val="20"/>
                <w:color w:val="auto"/>
              </w:rPr>
            </w:pPr>
            <w:r>
              <w:rPr>
                <w:rFonts w:ascii="Arial" w:cs="Arial" w:eastAsia="Arial" w:hAnsi="Arial"/>
                <w:sz w:val="16"/>
                <w:szCs w:val="16"/>
                <w:color w:val="auto"/>
              </w:rPr>
              <w:t>industries and their governing bodies; experience directly managing one or more members of</w:t>
            </w:r>
          </w:p>
        </w:tc>
        <w:tc>
          <w:tcPr>
            <w:tcW w:w="0" w:type="dxa"/>
            <w:vAlign w:val="bottom"/>
          </w:tcPr>
          <w:p>
            <w:pPr>
              <w:spacing w:after="0"/>
              <w:rPr>
                <w:sz w:val="1"/>
                <w:szCs w:val="1"/>
                <w:color w:val="auto"/>
              </w:rPr>
            </w:pPr>
          </w:p>
        </w:tc>
      </w:tr>
      <w:tr>
        <w:trPr>
          <w:trHeight w:val="215"/>
        </w:trPr>
        <w:tc>
          <w:tcPr>
            <w:tcW w:w="3780" w:type="dxa"/>
            <w:vAlign w:val="bottom"/>
          </w:tcPr>
          <w:p>
            <w:pPr>
              <w:spacing w:after="0"/>
              <w:rPr>
                <w:sz w:val="18"/>
                <w:szCs w:val="18"/>
                <w:color w:val="auto"/>
              </w:rPr>
            </w:pPr>
          </w:p>
        </w:tc>
        <w:tc>
          <w:tcPr>
            <w:tcW w:w="7440" w:type="dxa"/>
            <w:vAlign w:val="bottom"/>
          </w:tcPr>
          <w:p>
            <w:pPr>
              <w:ind w:left="240"/>
              <w:spacing w:after="0"/>
              <w:rPr>
                <w:sz w:val="20"/>
                <w:szCs w:val="20"/>
                <w:color w:val="auto"/>
              </w:rPr>
            </w:pPr>
            <w:r>
              <w:rPr>
                <w:rFonts w:ascii="Arial" w:cs="Arial" w:eastAsia="Arial" w:hAnsi="Arial"/>
                <w:sz w:val="16"/>
                <w:szCs w:val="16"/>
                <w:color w:val="auto"/>
              </w:rPr>
              <w:t>management engaged in policy or regulatory affairs.</w:t>
            </w:r>
          </w:p>
        </w:tc>
        <w:tc>
          <w:tcPr>
            <w:tcW w:w="0" w:type="dxa"/>
            <w:vAlign w:val="bottom"/>
          </w:tcPr>
          <w:p>
            <w:pPr>
              <w:spacing w:after="0"/>
              <w:rPr>
                <w:sz w:val="1"/>
                <w:szCs w:val="1"/>
                <w:color w:val="auto"/>
              </w:rPr>
            </w:pPr>
          </w:p>
        </w:tc>
      </w:tr>
      <w:tr>
        <w:trPr>
          <w:trHeight w:val="231"/>
        </w:trPr>
        <w:tc>
          <w:tcPr>
            <w:tcW w:w="3780" w:type="dxa"/>
            <w:vAlign w:val="bottom"/>
            <w:tcBorders>
              <w:bottom w:val="single" w:sz="8" w:color="auto"/>
            </w:tcBorders>
          </w:tcPr>
          <w:p>
            <w:pPr>
              <w:spacing w:after="0"/>
              <w:rPr>
                <w:sz w:val="20"/>
                <w:szCs w:val="20"/>
                <w:color w:val="auto"/>
              </w:rPr>
            </w:pPr>
          </w:p>
        </w:tc>
        <w:tc>
          <w:tcPr>
            <w:tcW w:w="7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4"/>
        </w:trPr>
        <w:tc>
          <w:tcPr>
            <w:tcW w:w="3780" w:type="dxa"/>
            <w:vAlign w:val="bottom"/>
          </w:tcPr>
          <w:p>
            <w:pPr>
              <w:spacing w:after="0"/>
              <w:rPr>
                <w:sz w:val="24"/>
                <w:szCs w:val="24"/>
                <w:color w:val="auto"/>
              </w:rPr>
            </w:pPr>
          </w:p>
        </w:tc>
        <w:tc>
          <w:tcPr>
            <w:tcW w:w="7440" w:type="dxa"/>
            <w:vAlign w:val="bottom"/>
          </w:tcPr>
          <w:p>
            <w:pPr>
              <w:ind w:left="240"/>
              <w:spacing w:after="0"/>
              <w:rPr>
                <w:sz w:val="20"/>
                <w:szCs w:val="20"/>
                <w:color w:val="auto"/>
              </w:rPr>
            </w:pPr>
            <w:r>
              <w:rPr>
                <w:rFonts w:ascii="Arial" w:cs="Arial" w:eastAsia="Arial" w:hAnsi="Arial"/>
                <w:sz w:val="16"/>
                <w:szCs w:val="16"/>
                <w:color w:val="auto"/>
              </w:rPr>
              <w:t>Experience identifying, assessing, addressing, and controlling financial or business risks including</w:t>
            </w:r>
          </w:p>
        </w:tc>
        <w:tc>
          <w:tcPr>
            <w:tcW w:w="0" w:type="dxa"/>
            <w:vAlign w:val="bottom"/>
          </w:tcPr>
          <w:p>
            <w:pPr>
              <w:spacing w:after="0"/>
              <w:rPr>
                <w:sz w:val="1"/>
                <w:szCs w:val="1"/>
                <w:color w:val="auto"/>
              </w:rPr>
            </w:pPr>
          </w:p>
        </w:tc>
      </w:tr>
      <w:tr>
        <w:trPr>
          <w:trHeight w:val="189"/>
        </w:trPr>
        <w:tc>
          <w:tcPr>
            <w:tcW w:w="3780" w:type="dxa"/>
            <w:vAlign w:val="bottom"/>
          </w:tcPr>
          <w:p>
            <w:pPr>
              <w:ind w:left="760"/>
              <w:spacing w:after="0"/>
              <w:rPr>
                <w:sz w:val="20"/>
                <w:szCs w:val="20"/>
                <w:color w:val="auto"/>
              </w:rPr>
            </w:pPr>
            <w:r>
              <w:rPr>
                <w:rFonts w:ascii="Arial" w:cs="Arial" w:eastAsia="Arial" w:hAnsi="Arial"/>
                <w:sz w:val="16"/>
                <w:szCs w:val="16"/>
                <w:b w:val="1"/>
                <w:bCs w:val="1"/>
                <w:color w:val="170D67"/>
              </w:rPr>
              <w:t>Risk Management</w:t>
            </w:r>
          </w:p>
        </w:tc>
        <w:tc>
          <w:tcPr>
            <w:tcW w:w="7440" w:type="dxa"/>
            <w:vAlign w:val="bottom"/>
          </w:tcPr>
          <w:p>
            <w:pPr>
              <w:ind w:left="240"/>
              <w:spacing w:after="0"/>
              <w:rPr>
                <w:sz w:val="20"/>
                <w:szCs w:val="20"/>
                <w:color w:val="auto"/>
              </w:rPr>
            </w:pPr>
            <w:r>
              <w:rPr>
                <w:rFonts w:ascii="Arial" w:cs="Arial" w:eastAsia="Arial" w:hAnsi="Arial"/>
                <w:sz w:val="16"/>
                <w:szCs w:val="16"/>
                <w:color w:val="auto"/>
              </w:rPr>
              <w:t>those risks with potential to impact public safety, operations, and shareholder value, including</w:t>
            </w:r>
          </w:p>
        </w:tc>
        <w:tc>
          <w:tcPr>
            <w:tcW w:w="0" w:type="dxa"/>
            <w:vAlign w:val="bottom"/>
          </w:tcPr>
          <w:p>
            <w:pPr>
              <w:spacing w:after="0"/>
              <w:rPr>
                <w:sz w:val="1"/>
                <w:szCs w:val="1"/>
                <w:color w:val="auto"/>
              </w:rPr>
            </w:pPr>
          </w:p>
        </w:tc>
      </w:tr>
      <w:tr>
        <w:trPr>
          <w:trHeight w:val="215"/>
        </w:trPr>
        <w:tc>
          <w:tcPr>
            <w:tcW w:w="3780" w:type="dxa"/>
            <w:vAlign w:val="bottom"/>
          </w:tcPr>
          <w:p>
            <w:pPr>
              <w:spacing w:after="0"/>
              <w:rPr>
                <w:sz w:val="18"/>
                <w:szCs w:val="18"/>
                <w:color w:val="auto"/>
              </w:rPr>
            </w:pPr>
          </w:p>
        </w:tc>
        <w:tc>
          <w:tcPr>
            <w:tcW w:w="7440" w:type="dxa"/>
            <w:vAlign w:val="bottom"/>
          </w:tcPr>
          <w:p>
            <w:pPr>
              <w:ind w:left="240"/>
              <w:spacing w:after="0"/>
              <w:rPr>
                <w:sz w:val="20"/>
                <w:szCs w:val="20"/>
                <w:color w:val="auto"/>
              </w:rPr>
            </w:pPr>
            <w:r>
              <w:rPr>
                <w:rFonts w:ascii="Arial" w:cs="Arial" w:eastAsia="Arial" w:hAnsi="Arial"/>
                <w:sz w:val="16"/>
                <w:szCs w:val="16"/>
                <w:color w:val="auto"/>
              </w:rPr>
              <w:t>environmental impacts.</w:t>
            </w:r>
          </w:p>
        </w:tc>
        <w:tc>
          <w:tcPr>
            <w:tcW w:w="0" w:type="dxa"/>
            <w:vAlign w:val="bottom"/>
          </w:tcPr>
          <w:p>
            <w:pPr>
              <w:spacing w:after="0"/>
              <w:rPr>
                <w:sz w:val="1"/>
                <w:szCs w:val="1"/>
                <w:color w:val="auto"/>
              </w:rPr>
            </w:pPr>
          </w:p>
        </w:tc>
      </w:tr>
      <w:tr>
        <w:trPr>
          <w:trHeight w:val="231"/>
        </w:trPr>
        <w:tc>
          <w:tcPr>
            <w:tcW w:w="3780" w:type="dxa"/>
            <w:vAlign w:val="bottom"/>
            <w:tcBorders>
              <w:bottom w:val="single" w:sz="8" w:color="auto"/>
            </w:tcBorders>
          </w:tcPr>
          <w:p>
            <w:pPr>
              <w:spacing w:after="0"/>
              <w:rPr>
                <w:sz w:val="20"/>
                <w:szCs w:val="20"/>
                <w:color w:val="auto"/>
              </w:rPr>
            </w:pPr>
          </w:p>
        </w:tc>
        <w:tc>
          <w:tcPr>
            <w:tcW w:w="7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-6402705</wp:posOffset>
            </wp:positionV>
            <wp:extent cx="222885" cy="2228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-5802630</wp:posOffset>
            </wp:positionV>
            <wp:extent cx="222885" cy="2228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-4817110</wp:posOffset>
            </wp:positionV>
            <wp:extent cx="231140" cy="2228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31140" cy="22288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-4217035</wp:posOffset>
            </wp:positionV>
            <wp:extent cx="222885" cy="2228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-3608070</wp:posOffset>
            </wp:positionV>
            <wp:extent cx="205740" cy="2057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-2776855</wp:posOffset>
            </wp:positionV>
            <wp:extent cx="213995" cy="2228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3995" cy="22288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-1868170</wp:posOffset>
            </wp:positionV>
            <wp:extent cx="222885" cy="2228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-1139190</wp:posOffset>
            </wp:positionV>
            <wp:extent cx="222885" cy="2228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-479425</wp:posOffset>
            </wp:positionV>
            <wp:extent cx="231140" cy="2228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31140" cy="22288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80" w:hanging="454"/>
        <w:spacing w:after="0"/>
        <w:tabs>
          <w:tab w:leader="none" w:pos="480" w:val="left"/>
        </w:tabs>
        <w:numPr>
          <w:ilvl w:val="0"/>
          <w:numId w:val="2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9" w:name="page20"/>
    <w:bookmarkEnd w:id="19"/>
    <w:p>
      <w:pPr>
        <w:jc w:val="right"/>
        <w:spacing w:after="0"/>
        <w:rPr>
          <w:sz w:val="20"/>
          <w:szCs w:val="20"/>
          <w:color w:val="auto"/>
        </w:rPr>
      </w:pPr>
      <w:r>
        <w:rPr>
          <w:rFonts w:ascii="Arial" w:cs="Arial" w:eastAsia="Arial" w:hAnsi="Arial"/>
          <w:sz w:val="13"/>
          <w:szCs w:val="13"/>
          <w:b w:val="1"/>
          <w:bCs w:val="1"/>
          <w:color w:val="auto"/>
        </w:rPr>
        <w:t>Board and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679450</wp:posOffset>
            </wp:positionV>
            <wp:extent cx="71234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vMerge w:val="restart"/>
          </w:tcPr>
          <w:p>
            <w:pPr>
              <w:ind w:left="760"/>
              <w:spacing w:after="0"/>
              <w:rPr>
                <w:sz w:val="20"/>
                <w:szCs w:val="20"/>
                <w:color w:val="auto"/>
              </w:rPr>
            </w:pPr>
            <w:r>
              <w:rPr>
                <w:rFonts w:ascii="Arial" w:cs="Arial" w:eastAsia="Arial" w:hAnsi="Arial"/>
                <w:sz w:val="16"/>
                <w:szCs w:val="16"/>
                <w:b w:val="1"/>
                <w:bCs w:val="1"/>
                <w:color w:val="170D67"/>
              </w:rPr>
              <w:t>Talent Management</w:t>
            </w:r>
          </w:p>
        </w:tc>
        <w:tc>
          <w:tcPr>
            <w:tcW w:w="7860" w:type="dxa"/>
            <w:vAlign w:val="bottom"/>
          </w:tcPr>
          <w:p>
            <w:pPr>
              <w:ind w:left="660"/>
              <w:spacing w:after="0"/>
              <w:rPr>
                <w:sz w:val="20"/>
                <w:szCs w:val="20"/>
                <w:color w:val="auto"/>
              </w:rPr>
            </w:pPr>
            <w:r>
              <w:rPr>
                <w:rFonts w:ascii="Arial" w:cs="Arial" w:eastAsia="Arial" w:hAnsi="Arial"/>
                <w:sz w:val="15"/>
                <w:szCs w:val="15"/>
                <w:color w:val="auto"/>
              </w:rPr>
              <w:t>Experience in planning and building a talented workforce that meets the needs essential to the Company’s</w:t>
            </w:r>
          </w:p>
        </w:tc>
        <w:tc>
          <w:tcPr>
            <w:tcW w:w="0" w:type="dxa"/>
            <w:vAlign w:val="bottom"/>
          </w:tcPr>
          <w:p>
            <w:pPr>
              <w:spacing w:after="0"/>
              <w:rPr>
                <w:sz w:val="1"/>
                <w:szCs w:val="1"/>
                <w:color w:val="auto"/>
              </w:rPr>
            </w:pPr>
          </w:p>
        </w:tc>
      </w:tr>
      <w:tr>
        <w:trPr>
          <w:trHeight w:val="175"/>
        </w:trPr>
        <w:tc>
          <w:tcPr>
            <w:tcW w:w="3360" w:type="dxa"/>
            <w:vAlign w:val="bottom"/>
            <w:vMerge w:val="continue"/>
          </w:tcPr>
          <w:p>
            <w:pPr>
              <w:spacing w:after="0"/>
              <w:rPr>
                <w:sz w:val="15"/>
                <w:szCs w:val="15"/>
                <w:color w:val="auto"/>
              </w:rPr>
            </w:pPr>
          </w:p>
        </w:tc>
        <w:tc>
          <w:tcPr>
            <w:tcW w:w="7860" w:type="dxa"/>
            <w:vAlign w:val="bottom"/>
          </w:tcPr>
          <w:p>
            <w:pPr>
              <w:ind w:left="660"/>
              <w:spacing w:after="0"/>
              <w:rPr>
                <w:sz w:val="20"/>
                <w:szCs w:val="20"/>
                <w:color w:val="auto"/>
              </w:rPr>
            </w:pPr>
            <w:r>
              <w:rPr>
                <w:rFonts w:ascii="Arial" w:cs="Arial" w:eastAsia="Arial" w:hAnsi="Arial"/>
                <w:sz w:val="15"/>
                <w:szCs w:val="15"/>
                <w:color w:val="auto"/>
              </w:rPr>
              <w:t>operations; understanding the drivers of individual growth and development; familiarity with developing</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7860" w:type="dxa"/>
            <w:vAlign w:val="bottom"/>
          </w:tcPr>
          <w:p>
            <w:pPr>
              <w:ind w:left="660"/>
              <w:spacing w:after="0"/>
              <w:rPr>
                <w:sz w:val="20"/>
                <w:szCs w:val="20"/>
                <w:color w:val="auto"/>
              </w:rPr>
            </w:pPr>
            <w:r>
              <w:rPr>
                <w:rFonts w:ascii="Arial" w:cs="Arial" w:eastAsia="Arial" w:hAnsi="Arial"/>
                <w:sz w:val="15"/>
                <w:szCs w:val="15"/>
                <w:color w:val="auto"/>
              </w:rPr>
              <w:t>effective compensation and benefits programs.</w:t>
            </w:r>
          </w:p>
        </w:tc>
        <w:tc>
          <w:tcPr>
            <w:tcW w:w="0" w:type="dxa"/>
            <w:vAlign w:val="bottom"/>
          </w:tcPr>
          <w:p>
            <w:pPr>
              <w:spacing w:after="0"/>
              <w:rPr>
                <w:sz w:val="1"/>
                <w:szCs w:val="1"/>
                <w:color w:val="auto"/>
              </w:rPr>
            </w:pPr>
          </w:p>
        </w:tc>
      </w:tr>
      <w:tr>
        <w:trPr>
          <w:trHeight w:val="128"/>
        </w:trPr>
        <w:tc>
          <w:tcPr>
            <w:tcW w:w="3360" w:type="dxa"/>
            <w:vAlign w:val="bottom"/>
            <w:tcBorders>
              <w:bottom w:val="single" w:sz="8" w:color="auto"/>
            </w:tcBorders>
          </w:tcPr>
          <w:p>
            <w:pPr>
              <w:spacing w:after="0"/>
              <w:rPr>
                <w:sz w:val="11"/>
                <w:szCs w:val="11"/>
                <w:color w:val="auto"/>
              </w:rPr>
            </w:pPr>
          </w:p>
        </w:tc>
        <w:tc>
          <w:tcPr>
            <w:tcW w:w="7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1"/>
        </w:trPr>
        <w:tc>
          <w:tcPr>
            <w:tcW w:w="3360" w:type="dxa"/>
            <w:vAlign w:val="bottom"/>
          </w:tcPr>
          <w:p>
            <w:pPr>
              <w:spacing w:after="0"/>
              <w:rPr>
                <w:sz w:val="24"/>
                <w:szCs w:val="24"/>
                <w:color w:val="auto"/>
              </w:rPr>
            </w:pPr>
          </w:p>
        </w:tc>
        <w:tc>
          <w:tcPr>
            <w:tcW w:w="7860" w:type="dxa"/>
            <w:vAlign w:val="bottom"/>
          </w:tcPr>
          <w:p>
            <w:pPr>
              <w:ind w:left="660"/>
              <w:spacing w:after="0"/>
              <w:rPr>
                <w:sz w:val="20"/>
                <w:szCs w:val="20"/>
                <w:color w:val="auto"/>
              </w:rPr>
            </w:pPr>
            <w:r>
              <w:rPr>
                <w:rFonts w:ascii="Arial" w:cs="Arial" w:eastAsia="Arial" w:hAnsi="Arial"/>
                <w:sz w:val="15"/>
                <w:szCs w:val="15"/>
                <w:color w:val="auto"/>
              </w:rPr>
              <w:t>Management or oversight experience with technologies key to the energy markets including digital</w:t>
            </w:r>
          </w:p>
        </w:tc>
        <w:tc>
          <w:tcPr>
            <w:tcW w:w="0" w:type="dxa"/>
            <w:vAlign w:val="bottom"/>
          </w:tcPr>
          <w:p>
            <w:pPr>
              <w:spacing w:after="0"/>
              <w:rPr>
                <w:sz w:val="1"/>
                <w:szCs w:val="1"/>
                <w:color w:val="auto"/>
              </w:rPr>
            </w:pPr>
          </w:p>
        </w:tc>
      </w:tr>
      <w:tr>
        <w:trPr>
          <w:trHeight w:val="176"/>
        </w:trPr>
        <w:tc>
          <w:tcPr>
            <w:tcW w:w="3360" w:type="dxa"/>
            <w:vAlign w:val="bottom"/>
            <w:vMerge w:val="restart"/>
          </w:tcPr>
          <w:p>
            <w:pPr>
              <w:ind w:left="760"/>
              <w:spacing w:after="0"/>
              <w:rPr>
                <w:sz w:val="20"/>
                <w:szCs w:val="20"/>
                <w:color w:val="auto"/>
              </w:rPr>
            </w:pPr>
            <w:r>
              <w:rPr>
                <w:rFonts w:ascii="Arial" w:cs="Arial" w:eastAsia="Arial" w:hAnsi="Arial"/>
                <w:sz w:val="16"/>
                <w:szCs w:val="16"/>
                <w:b w:val="1"/>
                <w:bCs w:val="1"/>
                <w:color w:val="170D67"/>
              </w:rPr>
              <w:t>Technology &amp; Innovation</w:t>
            </w:r>
          </w:p>
        </w:tc>
        <w:tc>
          <w:tcPr>
            <w:tcW w:w="7860" w:type="dxa"/>
            <w:vAlign w:val="bottom"/>
          </w:tcPr>
          <w:p>
            <w:pPr>
              <w:ind w:left="660"/>
              <w:spacing w:after="0"/>
              <w:rPr>
                <w:sz w:val="20"/>
                <w:szCs w:val="20"/>
                <w:color w:val="auto"/>
              </w:rPr>
            </w:pPr>
            <w:r>
              <w:rPr>
                <w:rFonts w:ascii="Arial" w:cs="Arial" w:eastAsia="Arial" w:hAnsi="Arial"/>
                <w:sz w:val="15"/>
                <w:szCs w:val="15"/>
                <w:color w:val="auto"/>
              </w:rPr>
              <w:t>business systems, customer platforms, or grid operations; experience implementing efficiency</w:t>
            </w:r>
          </w:p>
        </w:tc>
        <w:tc>
          <w:tcPr>
            <w:tcW w:w="0" w:type="dxa"/>
            <w:vAlign w:val="bottom"/>
          </w:tcPr>
          <w:p>
            <w:pPr>
              <w:spacing w:after="0"/>
              <w:rPr>
                <w:sz w:val="1"/>
                <w:szCs w:val="1"/>
                <w:color w:val="auto"/>
              </w:rPr>
            </w:pPr>
          </w:p>
        </w:tc>
      </w:tr>
      <w:tr>
        <w:trPr>
          <w:trHeight w:val="131"/>
        </w:trPr>
        <w:tc>
          <w:tcPr>
            <w:tcW w:w="3360" w:type="dxa"/>
            <w:vAlign w:val="bottom"/>
            <w:vMerge w:val="continue"/>
          </w:tcPr>
          <w:p>
            <w:pPr>
              <w:spacing w:after="0"/>
              <w:rPr>
                <w:sz w:val="11"/>
                <w:szCs w:val="11"/>
                <w:color w:val="auto"/>
              </w:rPr>
            </w:pPr>
          </w:p>
        </w:tc>
        <w:tc>
          <w:tcPr>
            <w:tcW w:w="7860" w:type="dxa"/>
            <w:vAlign w:val="bottom"/>
            <w:vMerge w:val="restart"/>
          </w:tcPr>
          <w:p>
            <w:pPr>
              <w:ind w:left="660"/>
              <w:spacing w:after="0"/>
              <w:rPr>
                <w:sz w:val="20"/>
                <w:szCs w:val="20"/>
                <w:color w:val="auto"/>
              </w:rPr>
            </w:pPr>
            <w:r>
              <w:rPr>
                <w:rFonts w:ascii="Arial" w:cs="Arial" w:eastAsia="Arial" w:hAnsi="Arial"/>
                <w:sz w:val="15"/>
                <w:szCs w:val="15"/>
                <w:color w:val="auto"/>
              </w:rPr>
              <w:t>improvements or other business transformations through technology or driving the adoption of new</w:t>
            </w:r>
          </w:p>
        </w:tc>
        <w:tc>
          <w:tcPr>
            <w:tcW w:w="0" w:type="dxa"/>
            <w:vAlign w:val="bottom"/>
          </w:tcPr>
          <w:p>
            <w:pPr>
              <w:spacing w:after="0"/>
              <w:rPr>
                <w:sz w:val="1"/>
                <w:szCs w:val="1"/>
                <w:color w:val="auto"/>
              </w:rPr>
            </w:pPr>
          </w:p>
        </w:tc>
      </w:tr>
      <w:tr>
        <w:trPr>
          <w:trHeight w:val="58"/>
        </w:trPr>
        <w:tc>
          <w:tcPr>
            <w:tcW w:w="3360" w:type="dxa"/>
            <w:vAlign w:val="bottom"/>
          </w:tcPr>
          <w:p>
            <w:pPr>
              <w:spacing w:after="0"/>
              <w:rPr>
                <w:sz w:val="5"/>
                <w:szCs w:val="5"/>
                <w:color w:val="auto"/>
              </w:rPr>
            </w:pPr>
          </w:p>
        </w:tc>
        <w:tc>
          <w:tcPr>
            <w:tcW w:w="7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7860" w:type="dxa"/>
            <w:vAlign w:val="bottom"/>
          </w:tcPr>
          <w:p>
            <w:pPr>
              <w:ind w:left="660"/>
              <w:spacing w:after="0"/>
              <w:rPr>
                <w:sz w:val="20"/>
                <w:szCs w:val="20"/>
                <w:color w:val="auto"/>
              </w:rPr>
            </w:pPr>
            <w:r>
              <w:rPr>
                <w:rFonts w:ascii="Arial" w:cs="Arial" w:eastAsia="Arial" w:hAnsi="Arial"/>
                <w:sz w:val="15"/>
                <w:szCs w:val="15"/>
                <w:color w:val="auto"/>
              </w:rPr>
              <w:t>technologies.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-1007110</wp:posOffset>
            </wp:positionV>
            <wp:extent cx="231140" cy="2228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31140" cy="22288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-381635</wp:posOffset>
            </wp:positionV>
            <wp:extent cx="222885" cy="2228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22885" cy="222885"/>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Other Attributes</w:t>
      </w:r>
    </w:p>
    <w:p>
      <w:pPr>
        <w:spacing w:after="0" w:line="122" w:lineRule="exact"/>
        <w:rPr>
          <w:sz w:val="20"/>
          <w:szCs w:val="20"/>
          <w:color w:val="auto"/>
        </w:rPr>
      </w:pPr>
    </w:p>
    <w:p>
      <w:pPr>
        <w:ind w:left="200" w:right="300" w:hanging="192"/>
        <w:spacing w:after="0" w:line="321" w:lineRule="auto"/>
        <w:tabs>
          <w:tab w:leader="none" w:pos="17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Exelon Community </w:t>
      </w:r>
      <w:r>
        <w:rPr>
          <w:rFonts w:ascii="Arial" w:cs="Arial" w:eastAsia="Arial" w:hAnsi="Arial"/>
          <w:sz w:val="16"/>
          <w:szCs w:val="16"/>
          <w:color w:val="auto"/>
        </w:rPr>
        <w:t>- Experience living or working in one of the jurisdictions served by an Exelon utility and knowledge of the local community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regional business and political environment.</w:t>
      </w:r>
    </w:p>
    <w:p>
      <w:pPr>
        <w:spacing w:after="0" w:line="7" w:lineRule="exact"/>
        <w:rPr>
          <w:rFonts w:ascii="Arial" w:cs="Arial" w:eastAsia="Arial" w:hAnsi="Arial"/>
          <w:sz w:val="16"/>
          <w:szCs w:val="16"/>
          <w:b w:val="1"/>
          <w:bCs w:val="1"/>
          <w:color w:val="auto"/>
        </w:rPr>
      </w:pPr>
    </w:p>
    <w:p>
      <w:pPr>
        <w:ind w:left="200" w:right="660" w:hanging="192"/>
        <w:spacing w:after="0" w:line="304" w:lineRule="auto"/>
        <w:tabs>
          <w:tab w:leader="none" w:pos="17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Prior Military Experience </w:t>
      </w:r>
      <w:r>
        <w:rPr>
          <w:rFonts w:ascii="Arial" w:cs="Arial" w:eastAsia="Arial" w:hAnsi="Arial"/>
          <w:sz w:val="16"/>
          <w:szCs w:val="16"/>
          <w:color w:val="auto"/>
        </w:rPr>
        <w:t>- Prior military service (including reserve duty) brings unique skills and insight to the Board and reflects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commitment to helping veterans translate their skills into the energy industry.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Director Independence</w:t>
      </w:r>
    </w:p>
    <w:p>
      <w:pPr>
        <w:spacing w:after="0" w:line="122"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The Board has determined that all non-employee Directors who have served on the Board since the 2024 annual meeting and all nominees for election, except for Mr. Butler as Exelon’s CEO, are independent according to applicable law and the listing standards of The Nasdaq Stock Market LLC (Nasdaq), as incorporated into the Independence Standards for Directors in Exelon’s Corporate Governance Principles.</w:t>
      </w:r>
    </w:p>
    <w:p>
      <w:pPr>
        <w:spacing w:after="0" w:line="71" w:lineRule="exact"/>
        <w:rPr>
          <w:sz w:val="20"/>
          <w:szCs w:val="20"/>
          <w:color w:val="auto"/>
        </w:rPr>
      </w:pPr>
    </w:p>
    <w:p>
      <w:pPr>
        <w:ind w:right="840"/>
        <w:spacing w:after="0" w:line="304" w:lineRule="auto"/>
        <w:rPr>
          <w:sz w:val="20"/>
          <w:szCs w:val="20"/>
          <w:color w:val="auto"/>
        </w:rPr>
      </w:pPr>
      <w:r>
        <w:rPr>
          <w:rFonts w:ascii="Arial" w:cs="Arial" w:eastAsia="Arial" w:hAnsi="Arial"/>
          <w:sz w:val="16"/>
          <w:szCs w:val="16"/>
          <w:color w:val="auto"/>
        </w:rPr>
        <w:t>The Board also determined that the members of the ARC and TMCC are independent within the meaning of applicable laws, Nasdaq governance requirements, and the Independence Standards for Directors.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780"/>
              <w:spacing w:after="0"/>
              <w:rPr>
                <w:sz w:val="20"/>
                <w:szCs w:val="20"/>
                <w:color w:val="auto"/>
              </w:rPr>
            </w:pPr>
            <w:r>
              <w:rPr>
                <w:rFonts w:ascii="Arial" w:cs="Arial" w:eastAsia="Arial" w:hAnsi="Arial"/>
                <w:sz w:val="14"/>
                <w:szCs w:val="14"/>
                <w:color w:val="auto"/>
              </w:rPr>
              <w:t>2025 ׀ Exelon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17</w:t>
            </w:r>
          </w:p>
        </w:tc>
      </w:tr>
      <w:tr>
        <w:trPr>
          <w:trHeight w:val="212"/>
        </w:trPr>
        <w:tc>
          <w:tcPr>
            <w:tcW w:w="109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3"/>
          <w:szCs w:val="13"/>
          <w:b w:val="1"/>
          <w:bCs w:val="1"/>
          <w:color w:val="auto"/>
        </w:rPr>
        <w:t>Board and Corporate Governance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Skills Matrix</w:t>
      </w:r>
    </w:p>
    <w:p>
      <w:pPr>
        <w:spacing w:after="0" w:line="12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CGC has approved the following presentation which includes three core skills plus three additional strategic skills for each independent Director. While each independent Director possesses numerous other skills and competencies not identified below, we believe that this presentation better represents of the key contributions and value that each Director brings to their service on the Board and to Exelon shareholders. As CEO, Mr. Butler possesses all listed skills.</w:t>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4300" w:type="dxa"/>
            <w:vAlign w:val="bottom"/>
            <w:tcBorders>
              <w:top w:val="single" w:sz="8" w:color="auto"/>
              <w:left w:val="single" w:sz="8" w:color="auto"/>
              <w:right w:val="single" w:sz="8" w:color="auto"/>
            </w:tcBorders>
          </w:tcPr>
          <w:p>
            <w:pPr>
              <w:spacing w:after="0"/>
              <w:rPr>
                <w:sz w:val="18"/>
                <w:szCs w:val="18"/>
                <w:color w:val="auto"/>
              </w:rPr>
            </w:pP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170D67"/>
              </w:rPr>
              <w:t>Bowers</w:t>
            </w:r>
          </w:p>
        </w:tc>
        <w:tc>
          <w:tcPr>
            <w:tcW w:w="76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3"/>
                <w:szCs w:val="13"/>
                <w:b w:val="1"/>
                <w:bCs w:val="1"/>
                <w:color w:val="170D67"/>
              </w:rPr>
              <w:t>Butler</w:t>
            </w: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170D67"/>
              </w:rPr>
              <w:t>Cheshire</w:t>
            </w:r>
          </w:p>
        </w:tc>
        <w:tc>
          <w:tcPr>
            <w:tcW w:w="7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170D67"/>
              </w:rPr>
              <w:t>DeWalt</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170D67"/>
              </w:rPr>
              <w:t>Jojo</w:t>
            </w:r>
          </w:p>
        </w:tc>
        <w:tc>
          <w:tcPr>
            <w:tcW w:w="76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3"/>
                <w:szCs w:val="13"/>
                <w:b w:val="1"/>
                <w:bCs w:val="1"/>
                <w:color w:val="170D67"/>
              </w:rPr>
              <w:t>Lillie</w:t>
            </w:r>
          </w:p>
        </w:tc>
        <w:tc>
          <w:tcPr>
            <w:tcW w:w="76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3"/>
                <w:szCs w:val="13"/>
                <w:b w:val="1"/>
                <w:bCs w:val="1"/>
                <w:color w:val="170D67"/>
              </w:rPr>
              <w:t>Richo</w:t>
            </w:r>
          </w:p>
        </w:tc>
        <w:tc>
          <w:tcPr>
            <w:tcW w:w="7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170D67"/>
              </w:rPr>
              <w:t>Rogers</w:t>
            </w:r>
          </w:p>
        </w:tc>
        <w:tc>
          <w:tcPr>
            <w:tcW w:w="74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3"/>
                <w:szCs w:val="13"/>
                <w:b w:val="1"/>
                <w:bCs w:val="1"/>
                <w:color w:val="170D67"/>
              </w:rPr>
              <w:t>Segedi</w:t>
            </w:r>
          </w:p>
        </w:tc>
      </w:tr>
      <w:tr>
        <w:trPr>
          <w:trHeight w:val="31"/>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55"/>
        </w:trPr>
        <w:tc>
          <w:tcPr>
            <w:tcW w:w="4300" w:type="dxa"/>
            <w:vAlign w:val="bottom"/>
            <w:tcBorders>
              <w:left w:val="single" w:sz="8" w:color="auto"/>
              <w:bottom w:val="single" w:sz="8" w:color="170D67"/>
              <w:right w:val="single" w:sz="8" w:color="auto"/>
            </w:tcBorders>
            <w:shd w:val="clear" w:color="auto" w:fill="170D67"/>
          </w:tcPr>
          <w:p>
            <w:pPr>
              <w:ind w:left="40"/>
              <w:spacing w:after="0"/>
              <w:rPr>
                <w:sz w:val="20"/>
                <w:szCs w:val="20"/>
                <w:color w:val="auto"/>
              </w:rPr>
            </w:pPr>
            <w:r>
              <w:rPr>
                <w:rFonts w:ascii="Arial" w:cs="Arial" w:eastAsia="Arial" w:hAnsi="Arial"/>
                <w:sz w:val="15"/>
                <w:szCs w:val="15"/>
                <w:b w:val="1"/>
                <w:bCs w:val="1"/>
                <w:color w:val="FFFFFF"/>
              </w:rPr>
              <w:t>Governance Attributes</w:t>
            </w:r>
          </w:p>
        </w:tc>
        <w:tc>
          <w:tcPr>
            <w:tcW w:w="760" w:type="dxa"/>
            <w:vAlign w:val="bottom"/>
            <w:tcBorders>
              <w:bottom w:val="single" w:sz="8" w:color="170D67"/>
              <w:right w:val="single" w:sz="8" w:color="auto"/>
            </w:tcBorders>
            <w:shd w:val="clear" w:color="auto" w:fill="170D67"/>
          </w:tcPr>
          <w:p>
            <w:pPr>
              <w:spacing w:after="0"/>
              <w:rPr>
                <w:sz w:val="21"/>
                <w:szCs w:val="21"/>
                <w:color w:val="auto"/>
              </w:rPr>
            </w:pPr>
          </w:p>
        </w:tc>
        <w:tc>
          <w:tcPr>
            <w:tcW w:w="760" w:type="dxa"/>
            <w:vAlign w:val="bottom"/>
            <w:tcBorders>
              <w:bottom w:val="single" w:sz="8" w:color="170D67"/>
              <w:right w:val="single" w:sz="8" w:color="auto"/>
            </w:tcBorders>
            <w:shd w:val="clear" w:color="auto" w:fill="170D67"/>
          </w:tcPr>
          <w:p>
            <w:pPr>
              <w:spacing w:after="0"/>
              <w:rPr>
                <w:sz w:val="21"/>
                <w:szCs w:val="21"/>
                <w:color w:val="auto"/>
              </w:rPr>
            </w:pPr>
          </w:p>
        </w:tc>
        <w:tc>
          <w:tcPr>
            <w:tcW w:w="900" w:type="dxa"/>
            <w:vAlign w:val="bottom"/>
            <w:tcBorders>
              <w:bottom w:val="single" w:sz="8" w:color="170D67"/>
              <w:right w:val="single" w:sz="8" w:color="auto"/>
            </w:tcBorders>
            <w:shd w:val="clear" w:color="auto" w:fill="170D67"/>
          </w:tcPr>
          <w:p>
            <w:pPr>
              <w:spacing w:after="0"/>
              <w:rPr>
                <w:sz w:val="21"/>
                <w:szCs w:val="21"/>
                <w:color w:val="auto"/>
              </w:rPr>
            </w:pPr>
          </w:p>
        </w:tc>
        <w:tc>
          <w:tcPr>
            <w:tcW w:w="740" w:type="dxa"/>
            <w:vAlign w:val="bottom"/>
            <w:tcBorders>
              <w:bottom w:val="single" w:sz="8" w:color="170D67"/>
              <w:right w:val="single" w:sz="8" w:color="auto"/>
            </w:tcBorders>
            <w:shd w:val="clear" w:color="auto" w:fill="170D67"/>
          </w:tcPr>
          <w:p>
            <w:pPr>
              <w:spacing w:after="0"/>
              <w:rPr>
                <w:sz w:val="21"/>
                <w:szCs w:val="21"/>
                <w:color w:val="auto"/>
              </w:rPr>
            </w:pPr>
          </w:p>
        </w:tc>
        <w:tc>
          <w:tcPr>
            <w:tcW w:w="760" w:type="dxa"/>
            <w:vAlign w:val="bottom"/>
            <w:tcBorders>
              <w:bottom w:val="single" w:sz="8" w:color="170D67"/>
              <w:right w:val="single" w:sz="8" w:color="auto"/>
            </w:tcBorders>
            <w:shd w:val="clear" w:color="auto" w:fill="170D67"/>
          </w:tcPr>
          <w:p>
            <w:pPr>
              <w:spacing w:after="0"/>
              <w:rPr>
                <w:sz w:val="21"/>
                <w:szCs w:val="21"/>
                <w:color w:val="auto"/>
              </w:rPr>
            </w:pPr>
          </w:p>
        </w:tc>
        <w:tc>
          <w:tcPr>
            <w:tcW w:w="760" w:type="dxa"/>
            <w:vAlign w:val="bottom"/>
            <w:tcBorders>
              <w:bottom w:val="single" w:sz="8" w:color="170D67"/>
              <w:right w:val="single" w:sz="8" w:color="auto"/>
            </w:tcBorders>
            <w:shd w:val="clear" w:color="auto" w:fill="170D67"/>
          </w:tcPr>
          <w:p>
            <w:pPr>
              <w:spacing w:after="0"/>
              <w:rPr>
                <w:sz w:val="21"/>
                <w:szCs w:val="21"/>
                <w:color w:val="auto"/>
              </w:rPr>
            </w:pPr>
          </w:p>
        </w:tc>
        <w:tc>
          <w:tcPr>
            <w:tcW w:w="760" w:type="dxa"/>
            <w:vAlign w:val="bottom"/>
            <w:tcBorders>
              <w:bottom w:val="single" w:sz="8" w:color="170D67"/>
              <w:right w:val="single" w:sz="8" w:color="auto"/>
            </w:tcBorders>
            <w:shd w:val="clear" w:color="auto" w:fill="170D67"/>
          </w:tcPr>
          <w:p>
            <w:pPr>
              <w:spacing w:after="0"/>
              <w:rPr>
                <w:sz w:val="21"/>
                <w:szCs w:val="21"/>
                <w:color w:val="auto"/>
              </w:rPr>
            </w:pPr>
          </w:p>
        </w:tc>
        <w:tc>
          <w:tcPr>
            <w:tcW w:w="760" w:type="dxa"/>
            <w:vAlign w:val="bottom"/>
            <w:tcBorders>
              <w:bottom w:val="single" w:sz="8" w:color="170D67"/>
              <w:right w:val="single" w:sz="8" w:color="auto"/>
            </w:tcBorders>
            <w:shd w:val="clear" w:color="auto" w:fill="170D67"/>
          </w:tcPr>
          <w:p>
            <w:pPr>
              <w:spacing w:after="0"/>
              <w:rPr>
                <w:sz w:val="21"/>
                <w:szCs w:val="21"/>
                <w:color w:val="auto"/>
              </w:rPr>
            </w:pPr>
          </w:p>
        </w:tc>
        <w:tc>
          <w:tcPr>
            <w:tcW w:w="740" w:type="dxa"/>
            <w:vAlign w:val="bottom"/>
            <w:tcBorders>
              <w:bottom w:val="single" w:sz="8" w:color="170D67"/>
              <w:right w:val="single" w:sz="8" w:color="auto"/>
            </w:tcBorders>
            <w:shd w:val="clear" w:color="auto" w:fill="170D67"/>
          </w:tcPr>
          <w:p>
            <w:pPr>
              <w:spacing w:after="0"/>
              <w:rPr>
                <w:sz w:val="21"/>
                <w:szCs w:val="21"/>
                <w:color w:val="auto"/>
              </w:rPr>
            </w:pPr>
          </w:p>
        </w:tc>
      </w:tr>
      <w:tr>
        <w:trPr>
          <w:trHeight w:val="312"/>
        </w:trPr>
        <w:tc>
          <w:tcPr>
            <w:tcW w:w="4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Independent</w:t>
            </w:r>
          </w:p>
        </w:tc>
        <w:tc>
          <w:tcPr>
            <w:tcW w:w="760" w:type="dxa"/>
            <w:vAlign w:val="bottom"/>
            <w:tcBorders>
              <w:top w:val="single" w:sz="8" w:color="auto"/>
              <w:right w:val="single" w:sz="8" w:color="auto"/>
            </w:tcBorders>
            <w:shd w:val="clear" w:color="auto" w:fill="E8E7EA"/>
          </w:tcPr>
          <w:p>
            <w:pPr>
              <w:spacing w:after="0"/>
              <w:rPr>
                <w:sz w:val="24"/>
                <w:szCs w:val="24"/>
                <w:color w:val="auto"/>
              </w:rPr>
            </w:pPr>
          </w:p>
        </w:tc>
        <w:tc>
          <w:tcPr>
            <w:tcW w:w="760" w:type="dxa"/>
            <w:vAlign w:val="bottom"/>
            <w:tcBorders>
              <w:top w:val="single" w:sz="8" w:color="auto"/>
              <w:right w:val="single" w:sz="8" w:color="auto"/>
            </w:tcBorders>
          </w:tcPr>
          <w:p>
            <w:pPr>
              <w:spacing w:after="0"/>
              <w:rPr>
                <w:sz w:val="24"/>
                <w:szCs w:val="24"/>
                <w:color w:val="auto"/>
              </w:rPr>
            </w:pPr>
          </w:p>
        </w:tc>
        <w:tc>
          <w:tcPr>
            <w:tcW w:w="900" w:type="dxa"/>
            <w:vAlign w:val="bottom"/>
            <w:tcBorders>
              <w:top w:val="single" w:sz="8" w:color="auto"/>
              <w:right w:val="single" w:sz="8" w:color="auto"/>
            </w:tcBorders>
            <w:shd w:val="clear" w:color="auto" w:fill="E8E7EA"/>
          </w:tcPr>
          <w:p>
            <w:pPr>
              <w:spacing w:after="0"/>
              <w:rPr>
                <w:sz w:val="24"/>
                <w:szCs w:val="24"/>
                <w:color w:val="auto"/>
              </w:rPr>
            </w:pPr>
          </w:p>
        </w:tc>
        <w:tc>
          <w:tcPr>
            <w:tcW w:w="740" w:type="dxa"/>
            <w:vAlign w:val="bottom"/>
            <w:tcBorders>
              <w:top w:val="single" w:sz="8" w:color="auto"/>
              <w:right w:val="single" w:sz="8" w:color="auto"/>
            </w:tcBorders>
            <w:shd w:val="clear" w:color="auto" w:fill="E8E7EA"/>
          </w:tcPr>
          <w:p>
            <w:pPr>
              <w:spacing w:after="0"/>
              <w:rPr>
                <w:sz w:val="24"/>
                <w:szCs w:val="24"/>
                <w:color w:val="auto"/>
              </w:rPr>
            </w:pPr>
          </w:p>
        </w:tc>
        <w:tc>
          <w:tcPr>
            <w:tcW w:w="760" w:type="dxa"/>
            <w:vAlign w:val="bottom"/>
            <w:tcBorders>
              <w:top w:val="single" w:sz="8" w:color="auto"/>
              <w:right w:val="single" w:sz="8" w:color="auto"/>
            </w:tcBorders>
            <w:shd w:val="clear" w:color="auto" w:fill="E8E7EA"/>
          </w:tcPr>
          <w:p>
            <w:pPr>
              <w:spacing w:after="0"/>
              <w:rPr>
                <w:sz w:val="24"/>
                <w:szCs w:val="24"/>
                <w:color w:val="auto"/>
              </w:rPr>
            </w:pPr>
          </w:p>
        </w:tc>
        <w:tc>
          <w:tcPr>
            <w:tcW w:w="760" w:type="dxa"/>
            <w:vAlign w:val="bottom"/>
            <w:tcBorders>
              <w:top w:val="single" w:sz="8" w:color="auto"/>
              <w:right w:val="single" w:sz="8" w:color="auto"/>
            </w:tcBorders>
            <w:shd w:val="clear" w:color="auto" w:fill="E8E7EA"/>
          </w:tcPr>
          <w:p>
            <w:pPr>
              <w:spacing w:after="0"/>
              <w:rPr>
                <w:sz w:val="24"/>
                <w:szCs w:val="24"/>
                <w:color w:val="auto"/>
              </w:rPr>
            </w:pPr>
          </w:p>
        </w:tc>
        <w:tc>
          <w:tcPr>
            <w:tcW w:w="760" w:type="dxa"/>
            <w:vAlign w:val="bottom"/>
            <w:tcBorders>
              <w:top w:val="single" w:sz="8" w:color="auto"/>
              <w:right w:val="single" w:sz="8" w:color="auto"/>
            </w:tcBorders>
            <w:shd w:val="clear" w:color="auto" w:fill="E8E7EA"/>
          </w:tcPr>
          <w:p>
            <w:pPr>
              <w:spacing w:after="0"/>
              <w:rPr>
                <w:sz w:val="24"/>
                <w:szCs w:val="24"/>
                <w:color w:val="auto"/>
              </w:rPr>
            </w:pPr>
          </w:p>
        </w:tc>
        <w:tc>
          <w:tcPr>
            <w:tcW w:w="760" w:type="dxa"/>
            <w:vAlign w:val="bottom"/>
            <w:tcBorders>
              <w:top w:val="single" w:sz="8" w:color="auto"/>
              <w:right w:val="single" w:sz="8" w:color="auto"/>
            </w:tcBorders>
            <w:shd w:val="clear" w:color="auto" w:fill="E8E7EA"/>
          </w:tcPr>
          <w:p>
            <w:pPr>
              <w:spacing w:after="0"/>
              <w:rPr>
                <w:sz w:val="24"/>
                <w:szCs w:val="24"/>
                <w:color w:val="auto"/>
              </w:rPr>
            </w:pPr>
          </w:p>
        </w:tc>
        <w:tc>
          <w:tcPr>
            <w:tcW w:w="740" w:type="dxa"/>
            <w:vAlign w:val="bottom"/>
            <w:tcBorders>
              <w:top w:val="single" w:sz="8" w:color="auto"/>
              <w:right w:val="single" w:sz="8" w:color="auto"/>
            </w:tcBorders>
            <w:shd w:val="clear" w:color="auto" w:fill="E8E7EA"/>
          </w:tcPr>
          <w:p>
            <w:pPr>
              <w:spacing w:after="0"/>
              <w:rPr>
                <w:sz w:val="24"/>
                <w:szCs w:val="24"/>
                <w:color w:val="auto"/>
              </w:rPr>
            </w:pPr>
          </w:p>
        </w:tc>
      </w:tr>
      <w:tr>
        <w:trPr>
          <w:trHeight w:val="154"/>
        </w:trPr>
        <w:tc>
          <w:tcPr>
            <w:tcW w:w="4300" w:type="dxa"/>
            <w:vAlign w:val="bottom"/>
            <w:tcBorders>
              <w:left w:val="single" w:sz="8" w:color="auto"/>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shd w:val="clear" w:color="auto" w:fill="E8E7EA"/>
          </w:tcPr>
          <w:p>
            <w:pPr>
              <w:spacing w:after="0"/>
              <w:rPr>
                <w:sz w:val="13"/>
                <w:szCs w:val="13"/>
                <w:color w:val="auto"/>
              </w:rPr>
            </w:pPr>
          </w:p>
        </w:tc>
        <w:tc>
          <w:tcPr>
            <w:tcW w:w="74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40" w:type="dxa"/>
            <w:vAlign w:val="bottom"/>
            <w:tcBorders>
              <w:bottom w:val="single" w:sz="8" w:color="auto"/>
              <w:right w:val="single" w:sz="8" w:color="auto"/>
            </w:tcBorders>
            <w:shd w:val="clear" w:color="auto" w:fill="E8E7EA"/>
          </w:tcPr>
          <w:p>
            <w:pPr>
              <w:spacing w:after="0"/>
              <w:rPr>
                <w:sz w:val="13"/>
                <w:szCs w:val="13"/>
                <w:color w:val="auto"/>
              </w:rPr>
            </w:pPr>
          </w:p>
        </w:tc>
      </w:tr>
      <w:tr>
        <w:trPr>
          <w:trHeight w:val="312"/>
        </w:trPr>
        <w:tc>
          <w:tcPr>
            <w:tcW w:w="4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Audit Committee Financial Expert</w:t>
            </w:r>
          </w:p>
        </w:tc>
        <w:tc>
          <w:tcPr>
            <w:tcW w:w="760" w:type="dxa"/>
            <w:vAlign w:val="bottom"/>
            <w:tcBorders>
              <w:right w:val="single" w:sz="8" w:color="auto"/>
            </w:tcBorders>
            <w:shd w:val="clear" w:color="auto" w:fill="E8E7EA"/>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shd w:val="clear" w:color="auto" w:fill="E8E7EA"/>
          </w:tcPr>
          <w:p>
            <w:pPr>
              <w:spacing w:after="0"/>
              <w:rPr>
                <w:sz w:val="24"/>
                <w:szCs w:val="24"/>
                <w:color w:val="auto"/>
              </w:rPr>
            </w:pPr>
          </w:p>
        </w:tc>
        <w:tc>
          <w:tcPr>
            <w:tcW w:w="740" w:type="dxa"/>
            <w:vAlign w:val="bottom"/>
            <w:tcBorders>
              <w:right w:val="single" w:sz="8" w:color="auto"/>
            </w:tcBorders>
            <w:shd w:val="clear" w:color="auto" w:fill="E8E7EA"/>
          </w:tcPr>
          <w:p>
            <w:pPr>
              <w:spacing w:after="0"/>
              <w:rPr>
                <w:sz w:val="24"/>
                <w:szCs w:val="24"/>
                <w:color w:val="auto"/>
              </w:rPr>
            </w:pPr>
          </w:p>
        </w:tc>
      </w:tr>
      <w:tr>
        <w:trPr>
          <w:trHeight w:val="154"/>
        </w:trPr>
        <w:tc>
          <w:tcPr>
            <w:tcW w:w="4300" w:type="dxa"/>
            <w:vAlign w:val="bottom"/>
            <w:tcBorders>
              <w:left w:val="single" w:sz="8" w:color="auto"/>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40" w:type="dxa"/>
            <w:vAlign w:val="bottom"/>
            <w:tcBorders>
              <w:bottom w:val="single" w:sz="8" w:color="auto"/>
              <w:right w:val="single" w:sz="8" w:color="auto"/>
            </w:tcBorders>
            <w:shd w:val="clear" w:color="auto" w:fill="E8E7EA"/>
          </w:tcPr>
          <w:p>
            <w:pPr>
              <w:spacing w:after="0"/>
              <w:rPr>
                <w:sz w:val="13"/>
                <w:szCs w:val="13"/>
                <w:color w:val="auto"/>
              </w:rPr>
            </w:pPr>
          </w:p>
        </w:tc>
      </w:tr>
      <w:tr>
        <w:trPr>
          <w:trHeight w:val="390"/>
        </w:trPr>
        <w:tc>
          <w:tcPr>
            <w:tcW w:w="4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Committee Chair</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ARC</w:t>
            </w:r>
          </w:p>
        </w:tc>
        <w:tc>
          <w:tcPr>
            <w:tcW w:w="76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TMCC</w:t>
            </w:r>
          </w:p>
        </w:tc>
        <w:tc>
          <w:tcPr>
            <w:tcW w:w="7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3"/>
              </w:rPr>
              <w:t>CGC</w:t>
            </w:r>
            <w:r>
              <w:rPr>
                <w:rFonts w:ascii="Arial" w:cs="Arial" w:eastAsia="Arial" w:hAnsi="Arial"/>
                <w:sz w:val="19"/>
                <w:szCs w:val="19"/>
                <w:color w:val="auto"/>
                <w:w w:val="93"/>
                <w:vertAlign w:val="superscript"/>
              </w:rPr>
              <w:t>1</w:t>
            </w:r>
          </w:p>
        </w:tc>
        <w:tc>
          <w:tcPr>
            <w:tcW w:w="7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OSCC</w:t>
            </w:r>
          </w:p>
        </w:tc>
        <w:tc>
          <w:tcPr>
            <w:tcW w:w="740" w:type="dxa"/>
            <w:vAlign w:val="bottom"/>
            <w:tcBorders>
              <w:right w:val="single" w:sz="8" w:color="auto"/>
            </w:tcBorders>
          </w:tcPr>
          <w:p>
            <w:pPr>
              <w:spacing w:after="0"/>
              <w:rPr>
                <w:sz w:val="24"/>
                <w:szCs w:val="24"/>
                <w:color w:val="auto"/>
              </w:rPr>
            </w:pPr>
          </w:p>
        </w:tc>
      </w:tr>
      <w:tr>
        <w:trPr>
          <w:trHeight w:val="76"/>
        </w:trPr>
        <w:tc>
          <w:tcPr>
            <w:tcW w:w="4300" w:type="dxa"/>
            <w:vAlign w:val="bottom"/>
            <w:tcBorders>
              <w:left w:val="single" w:sz="8" w:color="auto"/>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r>
      <w:tr>
        <w:trPr>
          <w:trHeight w:val="241"/>
        </w:trPr>
        <w:tc>
          <w:tcPr>
            <w:tcW w:w="4300" w:type="dxa"/>
            <w:vAlign w:val="bottom"/>
            <w:tcBorders>
              <w:left w:val="single" w:sz="8" w:color="auto"/>
              <w:bottom w:val="single" w:sz="8" w:color="170D67"/>
              <w:right w:val="single" w:sz="8" w:color="auto"/>
            </w:tcBorders>
            <w:shd w:val="clear" w:color="auto" w:fill="170D67"/>
          </w:tcPr>
          <w:p>
            <w:pPr>
              <w:ind w:left="40"/>
              <w:spacing w:after="0"/>
              <w:rPr>
                <w:sz w:val="20"/>
                <w:szCs w:val="20"/>
                <w:color w:val="auto"/>
              </w:rPr>
            </w:pPr>
            <w:r>
              <w:rPr>
                <w:rFonts w:ascii="Arial" w:cs="Arial" w:eastAsia="Arial" w:hAnsi="Arial"/>
                <w:sz w:val="15"/>
                <w:szCs w:val="15"/>
                <w:b w:val="1"/>
                <w:bCs w:val="1"/>
                <w:color w:val="FFFFFF"/>
              </w:rPr>
              <w:t>Core Skills</w:t>
            </w: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900" w:type="dxa"/>
            <w:vAlign w:val="bottom"/>
            <w:tcBorders>
              <w:bottom w:val="single" w:sz="8" w:color="170D67"/>
              <w:right w:val="single" w:sz="8" w:color="auto"/>
            </w:tcBorders>
            <w:shd w:val="clear" w:color="auto" w:fill="170D67"/>
          </w:tcPr>
          <w:p>
            <w:pPr>
              <w:spacing w:after="0"/>
              <w:rPr>
                <w:sz w:val="20"/>
                <w:szCs w:val="20"/>
                <w:color w:val="auto"/>
              </w:rPr>
            </w:pPr>
          </w:p>
        </w:tc>
        <w:tc>
          <w:tcPr>
            <w:tcW w:w="740" w:type="dxa"/>
            <w:vAlign w:val="bottom"/>
            <w:tcBorders>
              <w:bottom w:val="single" w:sz="8" w:color="170D67"/>
              <w:right w:val="single" w:sz="8" w:color="auto"/>
            </w:tcBorders>
            <w:shd w:val="clear" w:color="auto" w:fill="170D67"/>
          </w:tcPr>
          <w:p>
            <w:pPr>
              <w:spacing w:after="0"/>
              <w:rPr>
                <w:sz w:val="20"/>
                <w:szCs w:val="20"/>
                <w:color w:val="auto"/>
              </w:rPr>
            </w:pP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740" w:type="dxa"/>
            <w:vAlign w:val="bottom"/>
            <w:tcBorders>
              <w:bottom w:val="single" w:sz="8" w:color="170D67"/>
              <w:right w:val="single" w:sz="8" w:color="auto"/>
            </w:tcBorders>
            <w:shd w:val="clear" w:color="auto" w:fill="170D67"/>
          </w:tcPr>
          <w:p>
            <w:pPr>
              <w:spacing w:after="0"/>
              <w:rPr>
                <w:sz w:val="20"/>
                <w:szCs w:val="20"/>
                <w:color w:val="auto"/>
              </w:rPr>
            </w:pPr>
          </w:p>
        </w:tc>
      </w:tr>
      <w:tr>
        <w:trPr>
          <w:trHeight w:val="312"/>
        </w:trPr>
        <w:tc>
          <w:tcPr>
            <w:tcW w:w="4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Corporate Governance</w:t>
            </w:r>
          </w:p>
        </w:tc>
        <w:tc>
          <w:tcPr>
            <w:tcW w:w="760" w:type="dxa"/>
            <w:vAlign w:val="bottom"/>
            <w:tcBorders>
              <w:top w:val="single" w:sz="8" w:color="auto"/>
              <w:right w:val="single" w:sz="8" w:color="auto"/>
            </w:tcBorders>
            <w:shd w:val="clear" w:color="auto" w:fill="E8E7EA"/>
          </w:tcPr>
          <w:p>
            <w:pPr>
              <w:spacing w:after="0"/>
              <w:rPr>
                <w:sz w:val="24"/>
                <w:szCs w:val="24"/>
                <w:color w:val="auto"/>
              </w:rPr>
            </w:pPr>
          </w:p>
        </w:tc>
        <w:tc>
          <w:tcPr>
            <w:tcW w:w="760" w:type="dxa"/>
            <w:vAlign w:val="bottom"/>
            <w:tcBorders>
              <w:top w:val="single" w:sz="8" w:color="auto"/>
              <w:right w:val="single" w:sz="8" w:color="auto"/>
            </w:tcBorders>
            <w:shd w:val="clear" w:color="auto" w:fill="E8E7EA"/>
          </w:tcPr>
          <w:p>
            <w:pPr>
              <w:spacing w:after="0"/>
              <w:rPr>
                <w:sz w:val="24"/>
                <w:szCs w:val="24"/>
                <w:color w:val="auto"/>
              </w:rPr>
            </w:pPr>
          </w:p>
        </w:tc>
        <w:tc>
          <w:tcPr>
            <w:tcW w:w="900" w:type="dxa"/>
            <w:vAlign w:val="bottom"/>
            <w:tcBorders>
              <w:top w:val="single" w:sz="8" w:color="auto"/>
              <w:right w:val="single" w:sz="8" w:color="auto"/>
            </w:tcBorders>
            <w:shd w:val="clear" w:color="auto" w:fill="E8E7EA"/>
          </w:tcPr>
          <w:p>
            <w:pPr>
              <w:spacing w:after="0"/>
              <w:rPr>
                <w:sz w:val="24"/>
                <w:szCs w:val="24"/>
                <w:color w:val="auto"/>
              </w:rPr>
            </w:pPr>
          </w:p>
        </w:tc>
        <w:tc>
          <w:tcPr>
            <w:tcW w:w="740" w:type="dxa"/>
            <w:vAlign w:val="bottom"/>
            <w:tcBorders>
              <w:top w:val="single" w:sz="8" w:color="auto"/>
              <w:right w:val="single" w:sz="8" w:color="auto"/>
            </w:tcBorders>
            <w:shd w:val="clear" w:color="auto" w:fill="E8E7EA"/>
          </w:tcPr>
          <w:p>
            <w:pPr>
              <w:spacing w:after="0"/>
              <w:rPr>
                <w:sz w:val="24"/>
                <w:szCs w:val="24"/>
                <w:color w:val="auto"/>
              </w:rPr>
            </w:pPr>
          </w:p>
        </w:tc>
        <w:tc>
          <w:tcPr>
            <w:tcW w:w="760" w:type="dxa"/>
            <w:vAlign w:val="bottom"/>
            <w:tcBorders>
              <w:top w:val="single" w:sz="8" w:color="auto"/>
              <w:right w:val="single" w:sz="8" w:color="auto"/>
            </w:tcBorders>
            <w:shd w:val="clear" w:color="auto" w:fill="E8E7EA"/>
          </w:tcPr>
          <w:p>
            <w:pPr>
              <w:spacing w:after="0"/>
              <w:rPr>
                <w:sz w:val="24"/>
                <w:szCs w:val="24"/>
                <w:color w:val="auto"/>
              </w:rPr>
            </w:pPr>
          </w:p>
        </w:tc>
        <w:tc>
          <w:tcPr>
            <w:tcW w:w="760" w:type="dxa"/>
            <w:vAlign w:val="bottom"/>
            <w:tcBorders>
              <w:top w:val="single" w:sz="8" w:color="auto"/>
              <w:right w:val="single" w:sz="8" w:color="auto"/>
            </w:tcBorders>
            <w:shd w:val="clear" w:color="auto" w:fill="E8E7EA"/>
          </w:tcPr>
          <w:p>
            <w:pPr>
              <w:spacing w:after="0"/>
              <w:rPr>
                <w:sz w:val="24"/>
                <w:szCs w:val="24"/>
                <w:color w:val="auto"/>
              </w:rPr>
            </w:pPr>
          </w:p>
        </w:tc>
        <w:tc>
          <w:tcPr>
            <w:tcW w:w="760" w:type="dxa"/>
            <w:vAlign w:val="bottom"/>
            <w:tcBorders>
              <w:top w:val="single" w:sz="8" w:color="auto"/>
              <w:right w:val="single" w:sz="8" w:color="auto"/>
            </w:tcBorders>
            <w:shd w:val="clear" w:color="auto" w:fill="E8E7EA"/>
          </w:tcPr>
          <w:p>
            <w:pPr>
              <w:spacing w:after="0"/>
              <w:rPr>
                <w:sz w:val="24"/>
                <w:szCs w:val="24"/>
                <w:color w:val="auto"/>
              </w:rPr>
            </w:pPr>
          </w:p>
        </w:tc>
        <w:tc>
          <w:tcPr>
            <w:tcW w:w="760" w:type="dxa"/>
            <w:vAlign w:val="bottom"/>
            <w:tcBorders>
              <w:top w:val="single" w:sz="8" w:color="auto"/>
              <w:right w:val="single" w:sz="8" w:color="auto"/>
            </w:tcBorders>
            <w:shd w:val="clear" w:color="auto" w:fill="E8E7EA"/>
          </w:tcPr>
          <w:p>
            <w:pPr>
              <w:spacing w:after="0"/>
              <w:rPr>
                <w:sz w:val="24"/>
                <w:szCs w:val="24"/>
                <w:color w:val="auto"/>
              </w:rPr>
            </w:pPr>
          </w:p>
        </w:tc>
        <w:tc>
          <w:tcPr>
            <w:tcW w:w="740" w:type="dxa"/>
            <w:vAlign w:val="bottom"/>
            <w:tcBorders>
              <w:top w:val="single" w:sz="8" w:color="auto"/>
              <w:right w:val="single" w:sz="8" w:color="auto"/>
            </w:tcBorders>
            <w:shd w:val="clear" w:color="auto" w:fill="E8E7EA"/>
          </w:tcPr>
          <w:p>
            <w:pPr>
              <w:spacing w:after="0"/>
              <w:rPr>
                <w:sz w:val="24"/>
                <w:szCs w:val="24"/>
                <w:color w:val="auto"/>
              </w:rPr>
            </w:pPr>
          </w:p>
        </w:tc>
      </w:tr>
      <w:tr>
        <w:trPr>
          <w:trHeight w:val="154"/>
        </w:trPr>
        <w:tc>
          <w:tcPr>
            <w:tcW w:w="4300" w:type="dxa"/>
            <w:vAlign w:val="bottom"/>
            <w:tcBorders>
              <w:left w:val="single" w:sz="8" w:color="auto"/>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900" w:type="dxa"/>
            <w:vAlign w:val="bottom"/>
            <w:tcBorders>
              <w:bottom w:val="single" w:sz="8" w:color="auto"/>
              <w:right w:val="single" w:sz="8" w:color="auto"/>
            </w:tcBorders>
            <w:shd w:val="clear" w:color="auto" w:fill="E8E7EA"/>
          </w:tcPr>
          <w:p>
            <w:pPr>
              <w:spacing w:after="0"/>
              <w:rPr>
                <w:sz w:val="13"/>
                <w:szCs w:val="13"/>
                <w:color w:val="auto"/>
              </w:rPr>
            </w:pPr>
          </w:p>
        </w:tc>
        <w:tc>
          <w:tcPr>
            <w:tcW w:w="74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40" w:type="dxa"/>
            <w:vAlign w:val="bottom"/>
            <w:tcBorders>
              <w:bottom w:val="single" w:sz="8" w:color="auto"/>
              <w:right w:val="single" w:sz="8" w:color="auto"/>
            </w:tcBorders>
            <w:shd w:val="clear" w:color="auto" w:fill="E8E7EA"/>
          </w:tcPr>
          <w:p>
            <w:pPr>
              <w:spacing w:after="0"/>
              <w:rPr>
                <w:sz w:val="13"/>
                <w:szCs w:val="13"/>
                <w:color w:val="auto"/>
              </w:rPr>
            </w:pPr>
          </w:p>
        </w:tc>
      </w:tr>
      <w:tr>
        <w:trPr>
          <w:trHeight w:val="312"/>
        </w:trPr>
        <w:tc>
          <w:tcPr>
            <w:tcW w:w="4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Executive Leadership</w:t>
            </w:r>
          </w:p>
        </w:tc>
        <w:tc>
          <w:tcPr>
            <w:tcW w:w="760" w:type="dxa"/>
            <w:vAlign w:val="bottom"/>
            <w:tcBorders>
              <w:right w:val="single" w:sz="8" w:color="auto"/>
            </w:tcBorders>
            <w:shd w:val="clear" w:color="auto" w:fill="E8E7EA"/>
          </w:tcPr>
          <w:p>
            <w:pPr>
              <w:spacing w:after="0"/>
              <w:rPr>
                <w:sz w:val="24"/>
                <w:szCs w:val="24"/>
                <w:color w:val="auto"/>
              </w:rPr>
            </w:pPr>
          </w:p>
        </w:tc>
        <w:tc>
          <w:tcPr>
            <w:tcW w:w="760" w:type="dxa"/>
            <w:vAlign w:val="bottom"/>
            <w:tcBorders>
              <w:right w:val="single" w:sz="8" w:color="auto"/>
            </w:tcBorders>
            <w:shd w:val="clear" w:color="auto" w:fill="E8E7EA"/>
          </w:tcPr>
          <w:p>
            <w:pPr>
              <w:spacing w:after="0"/>
              <w:rPr>
                <w:sz w:val="24"/>
                <w:szCs w:val="24"/>
                <w:color w:val="auto"/>
              </w:rPr>
            </w:pPr>
          </w:p>
        </w:tc>
        <w:tc>
          <w:tcPr>
            <w:tcW w:w="900" w:type="dxa"/>
            <w:vAlign w:val="bottom"/>
            <w:tcBorders>
              <w:right w:val="single" w:sz="8" w:color="auto"/>
            </w:tcBorders>
            <w:shd w:val="clear" w:color="auto" w:fill="E8E7EA"/>
          </w:tcPr>
          <w:p>
            <w:pPr>
              <w:spacing w:after="0"/>
              <w:rPr>
                <w:sz w:val="24"/>
                <w:szCs w:val="24"/>
                <w:color w:val="auto"/>
              </w:rPr>
            </w:pPr>
          </w:p>
        </w:tc>
        <w:tc>
          <w:tcPr>
            <w:tcW w:w="740" w:type="dxa"/>
            <w:vAlign w:val="bottom"/>
            <w:tcBorders>
              <w:right w:val="single" w:sz="8" w:color="auto"/>
            </w:tcBorders>
            <w:shd w:val="clear" w:color="auto" w:fill="E8E7EA"/>
          </w:tcPr>
          <w:p>
            <w:pPr>
              <w:spacing w:after="0"/>
              <w:rPr>
                <w:sz w:val="24"/>
                <w:szCs w:val="24"/>
                <w:color w:val="auto"/>
              </w:rPr>
            </w:pPr>
          </w:p>
        </w:tc>
        <w:tc>
          <w:tcPr>
            <w:tcW w:w="760" w:type="dxa"/>
            <w:vAlign w:val="bottom"/>
            <w:tcBorders>
              <w:right w:val="single" w:sz="8" w:color="auto"/>
            </w:tcBorders>
            <w:shd w:val="clear" w:color="auto" w:fill="E8E7EA"/>
          </w:tcPr>
          <w:p>
            <w:pPr>
              <w:spacing w:after="0"/>
              <w:rPr>
                <w:sz w:val="24"/>
                <w:szCs w:val="24"/>
                <w:color w:val="auto"/>
              </w:rPr>
            </w:pPr>
          </w:p>
        </w:tc>
        <w:tc>
          <w:tcPr>
            <w:tcW w:w="760" w:type="dxa"/>
            <w:vAlign w:val="bottom"/>
            <w:tcBorders>
              <w:right w:val="single" w:sz="8" w:color="auto"/>
            </w:tcBorders>
            <w:shd w:val="clear" w:color="auto" w:fill="E8E7EA"/>
          </w:tcPr>
          <w:p>
            <w:pPr>
              <w:spacing w:after="0"/>
              <w:rPr>
                <w:sz w:val="24"/>
                <w:szCs w:val="24"/>
                <w:color w:val="auto"/>
              </w:rPr>
            </w:pPr>
          </w:p>
        </w:tc>
        <w:tc>
          <w:tcPr>
            <w:tcW w:w="760" w:type="dxa"/>
            <w:vAlign w:val="bottom"/>
            <w:tcBorders>
              <w:right w:val="single" w:sz="8" w:color="auto"/>
            </w:tcBorders>
            <w:shd w:val="clear" w:color="auto" w:fill="E8E7EA"/>
          </w:tcPr>
          <w:p>
            <w:pPr>
              <w:spacing w:after="0"/>
              <w:rPr>
                <w:sz w:val="24"/>
                <w:szCs w:val="24"/>
                <w:color w:val="auto"/>
              </w:rPr>
            </w:pPr>
          </w:p>
        </w:tc>
        <w:tc>
          <w:tcPr>
            <w:tcW w:w="760" w:type="dxa"/>
            <w:vAlign w:val="bottom"/>
            <w:tcBorders>
              <w:right w:val="single" w:sz="8" w:color="auto"/>
            </w:tcBorders>
            <w:shd w:val="clear" w:color="auto" w:fill="E8E7EA"/>
          </w:tcPr>
          <w:p>
            <w:pPr>
              <w:spacing w:after="0"/>
              <w:rPr>
                <w:sz w:val="24"/>
                <w:szCs w:val="24"/>
                <w:color w:val="auto"/>
              </w:rPr>
            </w:pPr>
          </w:p>
        </w:tc>
        <w:tc>
          <w:tcPr>
            <w:tcW w:w="740" w:type="dxa"/>
            <w:vAlign w:val="bottom"/>
            <w:tcBorders>
              <w:right w:val="single" w:sz="8" w:color="auto"/>
            </w:tcBorders>
            <w:shd w:val="clear" w:color="auto" w:fill="E8E7EA"/>
          </w:tcPr>
          <w:p>
            <w:pPr>
              <w:spacing w:after="0"/>
              <w:rPr>
                <w:sz w:val="24"/>
                <w:szCs w:val="24"/>
                <w:color w:val="auto"/>
              </w:rPr>
            </w:pPr>
          </w:p>
        </w:tc>
      </w:tr>
      <w:tr>
        <w:trPr>
          <w:trHeight w:val="154"/>
        </w:trPr>
        <w:tc>
          <w:tcPr>
            <w:tcW w:w="4300" w:type="dxa"/>
            <w:vAlign w:val="bottom"/>
            <w:tcBorders>
              <w:left w:val="single" w:sz="8" w:color="auto"/>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900" w:type="dxa"/>
            <w:vAlign w:val="bottom"/>
            <w:tcBorders>
              <w:bottom w:val="single" w:sz="8" w:color="auto"/>
              <w:right w:val="single" w:sz="8" w:color="auto"/>
            </w:tcBorders>
            <w:shd w:val="clear" w:color="auto" w:fill="E8E7EA"/>
          </w:tcPr>
          <w:p>
            <w:pPr>
              <w:spacing w:after="0"/>
              <w:rPr>
                <w:sz w:val="13"/>
                <w:szCs w:val="13"/>
                <w:color w:val="auto"/>
              </w:rPr>
            </w:pPr>
          </w:p>
        </w:tc>
        <w:tc>
          <w:tcPr>
            <w:tcW w:w="74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40" w:type="dxa"/>
            <w:vAlign w:val="bottom"/>
            <w:tcBorders>
              <w:bottom w:val="single" w:sz="8" w:color="auto"/>
              <w:right w:val="single" w:sz="8" w:color="auto"/>
            </w:tcBorders>
            <w:shd w:val="clear" w:color="auto" w:fill="E8E7EA"/>
          </w:tcPr>
          <w:p>
            <w:pPr>
              <w:spacing w:after="0"/>
              <w:rPr>
                <w:sz w:val="13"/>
                <w:szCs w:val="13"/>
                <w:color w:val="auto"/>
              </w:rPr>
            </w:pPr>
          </w:p>
        </w:tc>
      </w:tr>
      <w:tr>
        <w:trPr>
          <w:trHeight w:val="312"/>
        </w:trPr>
        <w:tc>
          <w:tcPr>
            <w:tcW w:w="4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Strategic Planning</w:t>
            </w:r>
          </w:p>
        </w:tc>
        <w:tc>
          <w:tcPr>
            <w:tcW w:w="760" w:type="dxa"/>
            <w:vAlign w:val="bottom"/>
            <w:tcBorders>
              <w:right w:val="single" w:sz="8" w:color="auto"/>
            </w:tcBorders>
            <w:shd w:val="clear" w:color="auto" w:fill="E8E7EA"/>
          </w:tcPr>
          <w:p>
            <w:pPr>
              <w:spacing w:after="0"/>
              <w:rPr>
                <w:sz w:val="24"/>
                <w:szCs w:val="24"/>
                <w:color w:val="auto"/>
              </w:rPr>
            </w:pPr>
          </w:p>
        </w:tc>
        <w:tc>
          <w:tcPr>
            <w:tcW w:w="760" w:type="dxa"/>
            <w:vAlign w:val="bottom"/>
            <w:tcBorders>
              <w:right w:val="single" w:sz="8" w:color="auto"/>
            </w:tcBorders>
            <w:shd w:val="clear" w:color="auto" w:fill="E8E7EA"/>
          </w:tcPr>
          <w:p>
            <w:pPr>
              <w:spacing w:after="0"/>
              <w:rPr>
                <w:sz w:val="24"/>
                <w:szCs w:val="24"/>
                <w:color w:val="auto"/>
              </w:rPr>
            </w:pPr>
          </w:p>
        </w:tc>
        <w:tc>
          <w:tcPr>
            <w:tcW w:w="900" w:type="dxa"/>
            <w:vAlign w:val="bottom"/>
            <w:tcBorders>
              <w:right w:val="single" w:sz="8" w:color="auto"/>
            </w:tcBorders>
            <w:shd w:val="clear" w:color="auto" w:fill="E8E7EA"/>
          </w:tcPr>
          <w:p>
            <w:pPr>
              <w:spacing w:after="0"/>
              <w:rPr>
                <w:sz w:val="24"/>
                <w:szCs w:val="24"/>
                <w:color w:val="auto"/>
              </w:rPr>
            </w:pPr>
          </w:p>
        </w:tc>
        <w:tc>
          <w:tcPr>
            <w:tcW w:w="740" w:type="dxa"/>
            <w:vAlign w:val="bottom"/>
            <w:tcBorders>
              <w:right w:val="single" w:sz="8" w:color="auto"/>
            </w:tcBorders>
            <w:shd w:val="clear" w:color="auto" w:fill="E8E7EA"/>
          </w:tcPr>
          <w:p>
            <w:pPr>
              <w:spacing w:after="0"/>
              <w:rPr>
                <w:sz w:val="24"/>
                <w:szCs w:val="24"/>
                <w:color w:val="auto"/>
              </w:rPr>
            </w:pPr>
          </w:p>
        </w:tc>
        <w:tc>
          <w:tcPr>
            <w:tcW w:w="760" w:type="dxa"/>
            <w:vAlign w:val="bottom"/>
            <w:tcBorders>
              <w:right w:val="single" w:sz="8" w:color="auto"/>
            </w:tcBorders>
            <w:shd w:val="clear" w:color="auto" w:fill="E8E7EA"/>
          </w:tcPr>
          <w:p>
            <w:pPr>
              <w:spacing w:after="0"/>
              <w:rPr>
                <w:sz w:val="24"/>
                <w:szCs w:val="24"/>
                <w:color w:val="auto"/>
              </w:rPr>
            </w:pPr>
          </w:p>
        </w:tc>
        <w:tc>
          <w:tcPr>
            <w:tcW w:w="760" w:type="dxa"/>
            <w:vAlign w:val="bottom"/>
            <w:tcBorders>
              <w:right w:val="single" w:sz="8" w:color="auto"/>
            </w:tcBorders>
            <w:shd w:val="clear" w:color="auto" w:fill="E8E7EA"/>
          </w:tcPr>
          <w:p>
            <w:pPr>
              <w:spacing w:after="0"/>
              <w:rPr>
                <w:sz w:val="24"/>
                <w:szCs w:val="24"/>
                <w:color w:val="auto"/>
              </w:rPr>
            </w:pPr>
          </w:p>
        </w:tc>
        <w:tc>
          <w:tcPr>
            <w:tcW w:w="760" w:type="dxa"/>
            <w:vAlign w:val="bottom"/>
            <w:tcBorders>
              <w:right w:val="single" w:sz="8" w:color="auto"/>
            </w:tcBorders>
            <w:shd w:val="clear" w:color="auto" w:fill="E8E7EA"/>
          </w:tcPr>
          <w:p>
            <w:pPr>
              <w:spacing w:after="0"/>
              <w:rPr>
                <w:sz w:val="24"/>
                <w:szCs w:val="24"/>
                <w:color w:val="auto"/>
              </w:rPr>
            </w:pPr>
          </w:p>
        </w:tc>
        <w:tc>
          <w:tcPr>
            <w:tcW w:w="760" w:type="dxa"/>
            <w:vAlign w:val="bottom"/>
            <w:tcBorders>
              <w:right w:val="single" w:sz="8" w:color="auto"/>
            </w:tcBorders>
            <w:shd w:val="clear" w:color="auto" w:fill="E8E7EA"/>
          </w:tcPr>
          <w:p>
            <w:pPr>
              <w:spacing w:after="0"/>
              <w:rPr>
                <w:sz w:val="24"/>
                <w:szCs w:val="24"/>
                <w:color w:val="auto"/>
              </w:rPr>
            </w:pPr>
          </w:p>
        </w:tc>
        <w:tc>
          <w:tcPr>
            <w:tcW w:w="740" w:type="dxa"/>
            <w:vAlign w:val="bottom"/>
            <w:tcBorders>
              <w:right w:val="single" w:sz="8" w:color="auto"/>
            </w:tcBorders>
            <w:shd w:val="clear" w:color="auto" w:fill="E8E7EA"/>
          </w:tcPr>
          <w:p>
            <w:pPr>
              <w:spacing w:after="0"/>
              <w:rPr>
                <w:sz w:val="24"/>
                <w:szCs w:val="24"/>
                <w:color w:val="auto"/>
              </w:rPr>
            </w:pPr>
          </w:p>
        </w:tc>
      </w:tr>
      <w:tr>
        <w:trPr>
          <w:trHeight w:val="154"/>
        </w:trPr>
        <w:tc>
          <w:tcPr>
            <w:tcW w:w="4300" w:type="dxa"/>
            <w:vAlign w:val="bottom"/>
            <w:tcBorders>
              <w:left w:val="single" w:sz="8" w:color="auto"/>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900" w:type="dxa"/>
            <w:vAlign w:val="bottom"/>
            <w:tcBorders>
              <w:bottom w:val="single" w:sz="8" w:color="auto"/>
              <w:right w:val="single" w:sz="8" w:color="auto"/>
            </w:tcBorders>
            <w:shd w:val="clear" w:color="auto" w:fill="E8E7EA"/>
          </w:tcPr>
          <w:p>
            <w:pPr>
              <w:spacing w:after="0"/>
              <w:rPr>
                <w:sz w:val="13"/>
                <w:szCs w:val="13"/>
                <w:color w:val="auto"/>
              </w:rPr>
            </w:pPr>
          </w:p>
        </w:tc>
        <w:tc>
          <w:tcPr>
            <w:tcW w:w="74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40" w:type="dxa"/>
            <w:vAlign w:val="bottom"/>
            <w:tcBorders>
              <w:bottom w:val="single" w:sz="8" w:color="auto"/>
              <w:right w:val="single" w:sz="8" w:color="auto"/>
            </w:tcBorders>
            <w:shd w:val="clear" w:color="auto" w:fill="E8E7EA"/>
          </w:tcPr>
          <w:p>
            <w:pPr>
              <w:spacing w:after="0"/>
              <w:rPr>
                <w:sz w:val="13"/>
                <w:szCs w:val="13"/>
                <w:color w:val="auto"/>
              </w:rPr>
            </w:pPr>
          </w:p>
        </w:tc>
      </w:tr>
      <w:tr>
        <w:trPr>
          <w:trHeight w:val="242"/>
        </w:trPr>
        <w:tc>
          <w:tcPr>
            <w:tcW w:w="4300" w:type="dxa"/>
            <w:vAlign w:val="bottom"/>
            <w:tcBorders>
              <w:left w:val="single" w:sz="8" w:color="auto"/>
              <w:bottom w:val="single" w:sz="8" w:color="170D67"/>
              <w:right w:val="single" w:sz="8" w:color="auto"/>
            </w:tcBorders>
            <w:shd w:val="clear" w:color="auto" w:fill="170D67"/>
          </w:tcPr>
          <w:p>
            <w:pPr>
              <w:ind w:left="40"/>
              <w:spacing w:after="0"/>
              <w:rPr>
                <w:sz w:val="20"/>
                <w:szCs w:val="20"/>
                <w:color w:val="auto"/>
              </w:rPr>
            </w:pPr>
            <w:r>
              <w:rPr>
                <w:rFonts w:ascii="Arial" w:cs="Arial" w:eastAsia="Arial" w:hAnsi="Arial"/>
                <w:sz w:val="15"/>
                <w:szCs w:val="15"/>
                <w:b w:val="1"/>
                <w:bCs w:val="1"/>
                <w:color w:val="FFFFFF"/>
              </w:rPr>
              <w:t>Other Strategic Skills</w:t>
            </w: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900" w:type="dxa"/>
            <w:vAlign w:val="bottom"/>
            <w:tcBorders>
              <w:bottom w:val="single" w:sz="8" w:color="170D67"/>
              <w:right w:val="single" w:sz="8" w:color="auto"/>
            </w:tcBorders>
            <w:shd w:val="clear" w:color="auto" w:fill="170D67"/>
          </w:tcPr>
          <w:p>
            <w:pPr>
              <w:spacing w:after="0"/>
              <w:rPr>
                <w:sz w:val="20"/>
                <w:szCs w:val="20"/>
                <w:color w:val="auto"/>
              </w:rPr>
            </w:pPr>
          </w:p>
        </w:tc>
        <w:tc>
          <w:tcPr>
            <w:tcW w:w="740" w:type="dxa"/>
            <w:vAlign w:val="bottom"/>
            <w:tcBorders>
              <w:bottom w:val="single" w:sz="8" w:color="170D67"/>
              <w:right w:val="single" w:sz="8" w:color="auto"/>
            </w:tcBorders>
            <w:shd w:val="clear" w:color="auto" w:fill="170D67"/>
          </w:tcPr>
          <w:p>
            <w:pPr>
              <w:spacing w:after="0"/>
              <w:rPr>
                <w:sz w:val="20"/>
                <w:szCs w:val="20"/>
                <w:color w:val="auto"/>
              </w:rPr>
            </w:pP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740" w:type="dxa"/>
            <w:vAlign w:val="bottom"/>
            <w:tcBorders>
              <w:bottom w:val="single" w:sz="8" w:color="170D67"/>
              <w:right w:val="single" w:sz="8" w:color="auto"/>
            </w:tcBorders>
            <w:shd w:val="clear" w:color="auto" w:fill="170D67"/>
          </w:tcPr>
          <w:p>
            <w:pPr>
              <w:spacing w:after="0"/>
              <w:rPr>
                <w:sz w:val="20"/>
                <w:szCs w:val="20"/>
                <w:color w:val="auto"/>
              </w:rPr>
            </w:pPr>
          </w:p>
        </w:tc>
      </w:tr>
      <w:tr>
        <w:trPr>
          <w:trHeight w:val="311"/>
        </w:trPr>
        <w:tc>
          <w:tcPr>
            <w:tcW w:w="4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Accounting, Finance, and Capital Markets</w:t>
            </w:r>
          </w:p>
        </w:tc>
        <w:tc>
          <w:tcPr>
            <w:tcW w:w="760" w:type="dxa"/>
            <w:vAlign w:val="bottom"/>
            <w:tcBorders>
              <w:top w:val="single" w:sz="8" w:color="auto"/>
              <w:right w:val="single" w:sz="8" w:color="auto"/>
            </w:tcBorders>
            <w:shd w:val="clear" w:color="auto" w:fill="E8E7EA"/>
          </w:tcPr>
          <w:p>
            <w:pPr>
              <w:spacing w:after="0"/>
              <w:rPr>
                <w:sz w:val="24"/>
                <w:szCs w:val="24"/>
                <w:color w:val="auto"/>
              </w:rPr>
            </w:pPr>
          </w:p>
        </w:tc>
        <w:tc>
          <w:tcPr>
            <w:tcW w:w="760" w:type="dxa"/>
            <w:vAlign w:val="bottom"/>
            <w:tcBorders>
              <w:top w:val="single" w:sz="8" w:color="auto"/>
              <w:right w:val="single" w:sz="8" w:color="auto"/>
            </w:tcBorders>
            <w:shd w:val="clear" w:color="auto" w:fill="E8E7EA"/>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740" w:type="dxa"/>
            <w:vAlign w:val="bottom"/>
            <w:tcBorders>
              <w:top w:val="single" w:sz="8" w:color="auto"/>
              <w:right w:val="single" w:sz="8" w:color="auto"/>
            </w:tcBorders>
            <w:shd w:val="clear" w:color="auto" w:fill="E8E7EA"/>
          </w:tcPr>
          <w:p>
            <w:pPr>
              <w:spacing w:after="0"/>
              <w:rPr>
                <w:sz w:val="24"/>
                <w:szCs w:val="24"/>
                <w:color w:val="auto"/>
              </w:rPr>
            </w:pPr>
          </w:p>
        </w:tc>
        <w:tc>
          <w:tcPr>
            <w:tcW w:w="760" w:type="dxa"/>
            <w:vAlign w:val="bottom"/>
            <w:tcBorders>
              <w:top w:val="single" w:sz="8" w:color="auto"/>
              <w:right w:val="single" w:sz="8" w:color="auto"/>
            </w:tcBorders>
          </w:tcPr>
          <w:p>
            <w:pPr>
              <w:spacing w:after="0"/>
              <w:rPr>
                <w:sz w:val="24"/>
                <w:szCs w:val="24"/>
                <w:color w:val="auto"/>
              </w:rPr>
            </w:pPr>
          </w:p>
        </w:tc>
        <w:tc>
          <w:tcPr>
            <w:tcW w:w="760" w:type="dxa"/>
            <w:vAlign w:val="bottom"/>
            <w:tcBorders>
              <w:top w:val="single" w:sz="8" w:color="auto"/>
              <w:right w:val="single" w:sz="8" w:color="auto"/>
            </w:tcBorders>
          </w:tcPr>
          <w:p>
            <w:pPr>
              <w:spacing w:after="0"/>
              <w:rPr>
                <w:sz w:val="24"/>
                <w:szCs w:val="24"/>
                <w:color w:val="auto"/>
              </w:rPr>
            </w:pPr>
          </w:p>
        </w:tc>
        <w:tc>
          <w:tcPr>
            <w:tcW w:w="760" w:type="dxa"/>
            <w:vAlign w:val="bottom"/>
            <w:tcBorders>
              <w:top w:val="single" w:sz="8" w:color="auto"/>
              <w:right w:val="single" w:sz="8" w:color="auto"/>
            </w:tcBorders>
          </w:tcPr>
          <w:p>
            <w:pPr>
              <w:spacing w:after="0"/>
              <w:rPr>
                <w:sz w:val="24"/>
                <w:szCs w:val="24"/>
                <w:color w:val="auto"/>
              </w:rPr>
            </w:pPr>
          </w:p>
        </w:tc>
        <w:tc>
          <w:tcPr>
            <w:tcW w:w="760" w:type="dxa"/>
            <w:vAlign w:val="bottom"/>
            <w:tcBorders>
              <w:top w:val="single" w:sz="8" w:color="auto"/>
              <w:right w:val="single" w:sz="8" w:color="auto"/>
            </w:tcBorders>
          </w:tcPr>
          <w:p>
            <w:pPr>
              <w:spacing w:after="0"/>
              <w:rPr>
                <w:sz w:val="24"/>
                <w:szCs w:val="24"/>
                <w:color w:val="auto"/>
              </w:rPr>
            </w:pPr>
          </w:p>
        </w:tc>
        <w:tc>
          <w:tcPr>
            <w:tcW w:w="740" w:type="dxa"/>
            <w:vAlign w:val="bottom"/>
            <w:tcBorders>
              <w:top w:val="single" w:sz="8" w:color="auto"/>
              <w:right w:val="single" w:sz="8" w:color="auto"/>
            </w:tcBorders>
            <w:shd w:val="clear" w:color="auto" w:fill="E8E7EA"/>
          </w:tcPr>
          <w:p>
            <w:pPr>
              <w:spacing w:after="0"/>
              <w:rPr>
                <w:sz w:val="24"/>
                <w:szCs w:val="24"/>
                <w:color w:val="auto"/>
              </w:rPr>
            </w:pPr>
          </w:p>
        </w:tc>
      </w:tr>
      <w:tr>
        <w:trPr>
          <w:trHeight w:val="155"/>
        </w:trPr>
        <w:tc>
          <w:tcPr>
            <w:tcW w:w="4300" w:type="dxa"/>
            <w:vAlign w:val="bottom"/>
            <w:tcBorders>
              <w:left w:val="single" w:sz="8" w:color="auto"/>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shd w:val="clear" w:color="auto" w:fill="E8E7EA"/>
          </w:tcPr>
          <w:p>
            <w:pPr>
              <w:spacing w:after="0"/>
              <w:rPr>
                <w:sz w:val="13"/>
                <w:szCs w:val="13"/>
                <w:color w:val="auto"/>
              </w:rPr>
            </w:pPr>
          </w:p>
        </w:tc>
      </w:tr>
      <w:tr>
        <w:trPr>
          <w:trHeight w:val="311"/>
        </w:trPr>
        <w:tc>
          <w:tcPr>
            <w:tcW w:w="4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Customer and Community</w:t>
            </w:r>
          </w:p>
        </w:tc>
        <w:tc>
          <w:tcPr>
            <w:tcW w:w="7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shd w:val="clear" w:color="auto" w:fill="E8E7EA"/>
          </w:tcPr>
          <w:p>
            <w:pPr>
              <w:spacing w:after="0"/>
              <w:rPr>
                <w:sz w:val="24"/>
                <w:szCs w:val="24"/>
                <w:color w:val="auto"/>
              </w:rPr>
            </w:pPr>
          </w:p>
        </w:tc>
        <w:tc>
          <w:tcPr>
            <w:tcW w:w="900" w:type="dxa"/>
            <w:vAlign w:val="bottom"/>
            <w:tcBorders>
              <w:right w:val="single" w:sz="8" w:color="auto"/>
            </w:tcBorders>
            <w:shd w:val="clear" w:color="auto" w:fill="E8E7EA"/>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shd w:val="clear" w:color="auto" w:fill="E8E7EA"/>
          </w:tcPr>
          <w:p>
            <w:pPr>
              <w:spacing w:after="0"/>
              <w:rPr>
                <w:sz w:val="24"/>
                <w:szCs w:val="24"/>
                <w:color w:val="auto"/>
              </w:rPr>
            </w:pPr>
          </w:p>
        </w:tc>
        <w:tc>
          <w:tcPr>
            <w:tcW w:w="760" w:type="dxa"/>
            <w:vAlign w:val="bottom"/>
            <w:tcBorders>
              <w:right w:val="single" w:sz="8" w:color="auto"/>
            </w:tcBorders>
            <w:shd w:val="clear" w:color="auto" w:fill="E8E7EA"/>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r>
      <w:tr>
        <w:trPr>
          <w:trHeight w:val="155"/>
        </w:trPr>
        <w:tc>
          <w:tcPr>
            <w:tcW w:w="4300" w:type="dxa"/>
            <w:vAlign w:val="bottom"/>
            <w:tcBorders>
              <w:left w:val="single" w:sz="8" w:color="auto"/>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900" w:type="dxa"/>
            <w:vAlign w:val="bottom"/>
            <w:tcBorders>
              <w:bottom w:val="single" w:sz="8" w:color="auto"/>
              <w:right w:val="single" w:sz="8" w:color="auto"/>
            </w:tcBorders>
            <w:shd w:val="clear" w:color="auto" w:fill="E8E7EA"/>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r>
      <w:tr>
        <w:trPr>
          <w:trHeight w:val="311"/>
        </w:trPr>
        <w:tc>
          <w:tcPr>
            <w:tcW w:w="4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Cybersecurity and Physical Security</w:t>
            </w:r>
          </w:p>
        </w:tc>
        <w:tc>
          <w:tcPr>
            <w:tcW w:w="7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shd w:val="clear" w:color="auto" w:fill="E8E7EA"/>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shd w:val="clear" w:color="auto" w:fill="E8E7EA"/>
          </w:tcPr>
          <w:p>
            <w:pPr>
              <w:spacing w:after="0"/>
              <w:rPr>
                <w:sz w:val="24"/>
                <w:szCs w:val="24"/>
                <w:color w:val="auto"/>
              </w:rPr>
            </w:pPr>
          </w:p>
        </w:tc>
        <w:tc>
          <w:tcPr>
            <w:tcW w:w="760" w:type="dxa"/>
            <w:vAlign w:val="bottom"/>
            <w:tcBorders>
              <w:right w:val="single" w:sz="8" w:color="auto"/>
            </w:tcBorders>
            <w:shd w:val="clear" w:color="auto" w:fill="E8E7EA"/>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r>
      <w:tr>
        <w:trPr>
          <w:trHeight w:val="155"/>
        </w:trPr>
        <w:tc>
          <w:tcPr>
            <w:tcW w:w="4300" w:type="dxa"/>
            <w:vAlign w:val="bottom"/>
            <w:tcBorders>
              <w:left w:val="single" w:sz="8" w:color="auto"/>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r>
      <w:tr>
        <w:trPr>
          <w:trHeight w:val="312"/>
        </w:trPr>
        <w:tc>
          <w:tcPr>
            <w:tcW w:w="4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Energy; Engineering &amp; Infrastructure</w:t>
            </w:r>
          </w:p>
        </w:tc>
        <w:tc>
          <w:tcPr>
            <w:tcW w:w="760" w:type="dxa"/>
            <w:vAlign w:val="bottom"/>
            <w:tcBorders>
              <w:right w:val="single" w:sz="8" w:color="auto"/>
            </w:tcBorders>
            <w:shd w:val="clear" w:color="auto" w:fill="E8E7EA"/>
          </w:tcPr>
          <w:p>
            <w:pPr>
              <w:spacing w:after="0"/>
              <w:rPr>
                <w:sz w:val="24"/>
                <w:szCs w:val="24"/>
                <w:color w:val="auto"/>
              </w:rPr>
            </w:pPr>
          </w:p>
        </w:tc>
        <w:tc>
          <w:tcPr>
            <w:tcW w:w="760" w:type="dxa"/>
            <w:vAlign w:val="bottom"/>
            <w:tcBorders>
              <w:right w:val="single" w:sz="8" w:color="auto"/>
            </w:tcBorders>
            <w:shd w:val="clear" w:color="auto" w:fill="E8E7EA"/>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shd w:val="clear" w:color="auto" w:fill="E8E7EA"/>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r>
      <w:tr>
        <w:trPr>
          <w:trHeight w:val="155"/>
        </w:trPr>
        <w:tc>
          <w:tcPr>
            <w:tcW w:w="4300" w:type="dxa"/>
            <w:vAlign w:val="bottom"/>
            <w:tcBorders>
              <w:left w:val="single" w:sz="8" w:color="auto"/>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r>
      <w:tr>
        <w:trPr>
          <w:trHeight w:val="311"/>
        </w:trPr>
        <w:tc>
          <w:tcPr>
            <w:tcW w:w="4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Environment &amp; Sustainability</w:t>
            </w:r>
          </w:p>
        </w:tc>
        <w:tc>
          <w:tcPr>
            <w:tcW w:w="7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shd w:val="clear" w:color="auto" w:fill="E8E7EA"/>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shd w:val="clear" w:color="auto" w:fill="E8E7EA"/>
          </w:tcPr>
          <w:p>
            <w:pPr>
              <w:spacing w:after="0"/>
              <w:rPr>
                <w:sz w:val="24"/>
                <w:szCs w:val="24"/>
                <w:color w:val="auto"/>
              </w:rPr>
            </w:pPr>
          </w:p>
        </w:tc>
        <w:tc>
          <w:tcPr>
            <w:tcW w:w="760" w:type="dxa"/>
            <w:vAlign w:val="bottom"/>
            <w:tcBorders>
              <w:right w:val="single" w:sz="8" w:color="auto"/>
            </w:tcBorders>
            <w:shd w:val="clear" w:color="auto" w:fill="E8E7EA"/>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r>
      <w:tr>
        <w:trPr>
          <w:trHeight w:val="155"/>
        </w:trPr>
        <w:tc>
          <w:tcPr>
            <w:tcW w:w="4300" w:type="dxa"/>
            <w:vAlign w:val="bottom"/>
            <w:tcBorders>
              <w:left w:val="single" w:sz="8" w:color="auto"/>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r>
      <w:tr>
        <w:trPr>
          <w:trHeight w:val="311"/>
        </w:trPr>
        <w:tc>
          <w:tcPr>
            <w:tcW w:w="4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Regulatory and Policy</w:t>
            </w:r>
          </w:p>
        </w:tc>
        <w:tc>
          <w:tcPr>
            <w:tcW w:w="760" w:type="dxa"/>
            <w:vAlign w:val="bottom"/>
            <w:tcBorders>
              <w:right w:val="single" w:sz="8" w:color="auto"/>
            </w:tcBorders>
            <w:shd w:val="clear" w:color="auto" w:fill="E8E7EA"/>
          </w:tcPr>
          <w:p>
            <w:pPr>
              <w:spacing w:after="0"/>
              <w:rPr>
                <w:sz w:val="24"/>
                <w:szCs w:val="24"/>
                <w:color w:val="auto"/>
              </w:rPr>
            </w:pPr>
          </w:p>
        </w:tc>
        <w:tc>
          <w:tcPr>
            <w:tcW w:w="760" w:type="dxa"/>
            <w:vAlign w:val="bottom"/>
            <w:tcBorders>
              <w:right w:val="single" w:sz="8" w:color="auto"/>
            </w:tcBorders>
            <w:shd w:val="clear" w:color="auto" w:fill="E8E7EA"/>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shd w:val="clear" w:color="auto" w:fill="E8E7EA"/>
          </w:tcPr>
          <w:p>
            <w:pPr>
              <w:spacing w:after="0"/>
              <w:rPr>
                <w:sz w:val="24"/>
                <w:szCs w:val="24"/>
                <w:color w:val="auto"/>
              </w:rPr>
            </w:pPr>
          </w:p>
        </w:tc>
        <w:tc>
          <w:tcPr>
            <w:tcW w:w="760" w:type="dxa"/>
            <w:vAlign w:val="bottom"/>
            <w:tcBorders>
              <w:right w:val="single" w:sz="8" w:color="auto"/>
            </w:tcBorders>
            <w:shd w:val="clear" w:color="auto" w:fill="E8E7EA"/>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r>
      <w:tr>
        <w:trPr>
          <w:trHeight w:val="155"/>
        </w:trPr>
        <w:tc>
          <w:tcPr>
            <w:tcW w:w="4300" w:type="dxa"/>
            <w:vAlign w:val="bottom"/>
            <w:tcBorders>
              <w:left w:val="single" w:sz="8" w:color="auto"/>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r>
      <w:tr>
        <w:trPr>
          <w:trHeight w:val="312"/>
        </w:trPr>
        <w:tc>
          <w:tcPr>
            <w:tcW w:w="4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Risk Management</w:t>
            </w:r>
          </w:p>
        </w:tc>
        <w:tc>
          <w:tcPr>
            <w:tcW w:w="7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shd w:val="clear" w:color="auto" w:fill="E8E7EA"/>
          </w:tcPr>
          <w:p>
            <w:pPr>
              <w:spacing w:after="0"/>
              <w:rPr>
                <w:sz w:val="24"/>
                <w:szCs w:val="24"/>
                <w:color w:val="auto"/>
              </w:rPr>
            </w:pPr>
          </w:p>
        </w:tc>
        <w:tc>
          <w:tcPr>
            <w:tcW w:w="900" w:type="dxa"/>
            <w:vAlign w:val="bottom"/>
            <w:tcBorders>
              <w:right w:val="single" w:sz="8" w:color="auto"/>
            </w:tcBorders>
            <w:shd w:val="clear" w:color="auto" w:fill="E8E7EA"/>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shd w:val="clear" w:color="auto" w:fill="E8E7EA"/>
          </w:tcPr>
          <w:p>
            <w:pPr>
              <w:spacing w:after="0"/>
              <w:rPr>
                <w:sz w:val="24"/>
                <w:szCs w:val="24"/>
                <w:color w:val="auto"/>
              </w:rPr>
            </w:pPr>
          </w:p>
        </w:tc>
        <w:tc>
          <w:tcPr>
            <w:tcW w:w="760" w:type="dxa"/>
            <w:vAlign w:val="bottom"/>
            <w:tcBorders>
              <w:right w:val="single" w:sz="8" w:color="auto"/>
            </w:tcBorders>
            <w:shd w:val="clear" w:color="auto" w:fill="E8E7EA"/>
          </w:tcPr>
          <w:p>
            <w:pPr>
              <w:spacing w:after="0"/>
              <w:rPr>
                <w:sz w:val="24"/>
                <w:szCs w:val="24"/>
                <w:color w:val="auto"/>
              </w:rPr>
            </w:pPr>
          </w:p>
        </w:tc>
        <w:tc>
          <w:tcPr>
            <w:tcW w:w="740" w:type="dxa"/>
            <w:vAlign w:val="bottom"/>
            <w:tcBorders>
              <w:right w:val="single" w:sz="8" w:color="auto"/>
            </w:tcBorders>
            <w:shd w:val="clear" w:color="auto" w:fill="E8E7EA"/>
          </w:tcPr>
          <w:p>
            <w:pPr>
              <w:spacing w:after="0"/>
              <w:rPr>
                <w:sz w:val="24"/>
                <w:szCs w:val="24"/>
                <w:color w:val="auto"/>
              </w:rPr>
            </w:pPr>
          </w:p>
        </w:tc>
      </w:tr>
      <w:tr>
        <w:trPr>
          <w:trHeight w:val="155"/>
        </w:trPr>
        <w:tc>
          <w:tcPr>
            <w:tcW w:w="4300" w:type="dxa"/>
            <w:vAlign w:val="bottom"/>
            <w:tcBorders>
              <w:left w:val="single" w:sz="8" w:color="auto"/>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900" w:type="dxa"/>
            <w:vAlign w:val="bottom"/>
            <w:tcBorders>
              <w:bottom w:val="single" w:sz="8" w:color="auto"/>
              <w:right w:val="single" w:sz="8" w:color="auto"/>
            </w:tcBorders>
            <w:shd w:val="clear" w:color="auto" w:fill="E8E7EA"/>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40" w:type="dxa"/>
            <w:vAlign w:val="bottom"/>
            <w:tcBorders>
              <w:bottom w:val="single" w:sz="8" w:color="auto"/>
              <w:right w:val="single" w:sz="8" w:color="auto"/>
            </w:tcBorders>
            <w:shd w:val="clear" w:color="auto" w:fill="E8E7EA"/>
          </w:tcPr>
          <w:p>
            <w:pPr>
              <w:spacing w:after="0"/>
              <w:rPr>
                <w:sz w:val="13"/>
                <w:szCs w:val="13"/>
                <w:color w:val="auto"/>
              </w:rPr>
            </w:pPr>
          </w:p>
        </w:tc>
      </w:tr>
      <w:tr>
        <w:trPr>
          <w:trHeight w:val="311"/>
        </w:trPr>
        <w:tc>
          <w:tcPr>
            <w:tcW w:w="4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Talent Management</w:t>
            </w:r>
          </w:p>
        </w:tc>
        <w:tc>
          <w:tcPr>
            <w:tcW w:w="7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shd w:val="clear" w:color="auto" w:fill="E8E7EA"/>
          </w:tcPr>
          <w:p>
            <w:pPr>
              <w:spacing w:after="0"/>
              <w:rPr>
                <w:sz w:val="24"/>
                <w:szCs w:val="24"/>
                <w:color w:val="auto"/>
              </w:rPr>
            </w:pPr>
          </w:p>
        </w:tc>
        <w:tc>
          <w:tcPr>
            <w:tcW w:w="900" w:type="dxa"/>
            <w:vAlign w:val="bottom"/>
            <w:tcBorders>
              <w:right w:val="single" w:sz="8" w:color="auto"/>
            </w:tcBorders>
            <w:shd w:val="clear" w:color="auto" w:fill="E8E7EA"/>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shd w:val="clear" w:color="auto" w:fill="E8E7EA"/>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shd w:val="clear" w:color="auto" w:fill="E8E7EA"/>
          </w:tcPr>
          <w:p>
            <w:pPr>
              <w:spacing w:after="0"/>
              <w:rPr>
                <w:sz w:val="24"/>
                <w:szCs w:val="24"/>
                <w:color w:val="auto"/>
              </w:rPr>
            </w:pPr>
          </w:p>
        </w:tc>
      </w:tr>
      <w:tr>
        <w:trPr>
          <w:trHeight w:val="155"/>
        </w:trPr>
        <w:tc>
          <w:tcPr>
            <w:tcW w:w="4300" w:type="dxa"/>
            <w:vAlign w:val="bottom"/>
            <w:tcBorders>
              <w:left w:val="single" w:sz="8" w:color="auto"/>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900" w:type="dxa"/>
            <w:vAlign w:val="bottom"/>
            <w:tcBorders>
              <w:bottom w:val="single" w:sz="8" w:color="auto"/>
              <w:right w:val="single" w:sz="8" w:color="auto"/>
            </w:tcBorders>
            <w:shd w:val="clear" w:color="auto" w:fill="E8E7EA"/>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shd w:val="clear" w:color="auto" w:fill="E8E7EA"/>
          </w:tcPr>
          <w:p>
            <w:pPr>
              <w:spacing w:after="0"/>
              <w:rPr>
                <w:sz w:val="13"/>
                <w:szCs w:val="13"/>
                <w:color w:val="auto"/>
              </w:rPr>
            </w:pPr>
          </w:p>
        </w:tc>
      </w:tr>
      <w:tr>
        <w:trPr>
          <w:trHeight w:val="311"/>
        </w:trPr>
        <w:tc>
          <w:tcPr>
            <w:tcW w:w="4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Technology and Innovation</w:t>
            </w:r>
          </w:p>
        </w:tc>
        <w:tc>
          <w:tcPr>
            <w:tcW w:w="7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shd w:val="clear" w:color="auto" w:fill="E8E7EA"/>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shd w:val="clear" w:color="auto" w:fill="E8E7EA"/>
          </w:tcPr>
          <w:p>
            <w:pPr>
              <w:spacing w:after="0"/>
              <w:rPr>
                <w:sz w:val="24"/>
                <w:szCs w:val="24"/>
                <w:color w:val="auto"/>
              </w:rPr>
            </w:pPr>
          </w:p>
        </w:tc>
        <w:tc>
          <w:tcPr>
            <w:tcW w:w="760" w:type="dxa"/>
            <w:vAlign w:val="bottom"/>
            <w:tcBorders>
              <w:right w:val="single" w:sz="8" w:color="auto"/>
            </w:tcBorders>
            <w:shd w:val="clear" w:color="auto" w:fill="E8E7EA"/>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r>
      <w:tr>
        <w:trPr>
          <w:trHeight w:val="155"/>
        </w:trPr>
        <w:tc>
          <w:tcPr>
            <w:tcW w:w="4300" w:type="dxa"/>
            <w:vAlign w:val="bottom"/>
            <w:tcBorders>
              <w:left w:val="single" w:sz="8" w:color="auto"/>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r>
      <w:tr>
        <w:trPr>
          <w:trHeight w:val="242"/>
        </w:trPr>
        <w:tc>
          <w:tcPr>
            <w:tcW w:w="4300" w:type="dxa"/>
            <w:vAlign w:val="bottom"/>
            <w:tcBorders>
              <w:left w:val="single" w:sz="8" w:color="auto"/>
              <w:bottom w:val="single" w:sz="8" w:color="170D67"/>
              <w:right w:val="single" w:sz="8" w:color="auto"/>
            </w:tcBorders>
            <w:shd w:val="clear" w:color="auto" w:fill="170D67"/>
          </w:tcPr>
          <w:p>
            <w:pPr>
              <w:ind w:left="40"/>
              <w:spacing w:after="0"/>
              <w:rPr>
                <w:sz w:val="20"/>
                <w:szCs w:val="20"/>
                <w:color w:val="auto"/>
              </w:rPr>
            </w:pPr>
            <w:r>
              <w:rPr>
                <w:rFonts w:ascii="Arial" w:cs="Arial" w:eastAsia="Arial" w:hAnsi="Arial"/>
                <w:sz w:val="15"/>
                <w:szCs w:val="15"/>
                <w:b w:val="1"/>
                <w:bCs w:val="1"/>
                <w:color w:val="FFFFFF"/>
              </w:rPr>
              <w:t>Attributes</w:t>
            </w: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900" w:type="dxa"/>
            <w:vAlign w:val="bottom"/>
            <w:tcBorders>
              <w:bottom w:val="single" w:sz="8" w:color="170D67"/>
              <w:right w:val="single" w:sz="8" w:color="auto"/>
            </w:tcBorders>
            <w:shd w:val="clear" w:color="auto" w:fill="170D67"/>
          </w:tcPr>
          <w:p>
            <w:pPr>
              <w:spacing w:after="0"/>
              <w:rPr>
                <w:sz w:val="20"/>
                <w:szCs w:val="20"/>
                <w:color w:val="auto"/>
              </w:rPr>
            </w:pPr>
          </w:p>
        </w:tc>
        <w:tc>
          <w:tcPr>
            <w:tcW w:w="740" w:type="dxa"/>
            <w:vAlign w:val="bottom"/>
            <w:tcBorders>
              <w:bottom w:val="single" w:sz="8" w:color="170D67"/>
              <w:right w:val="single" w:sz="8" w:color="auto"/>
            </w:tcBorders>
            <w:shd w:val="clear" w:color="auto" w:fill="170D67"/>
          </w:tcPr>
          <w:p>
            <w:pPr>
              <w:spacing w:after="0"/>
              <w:rPr>
                <w:sz w:val="20"/>
                <w:szCs w:val="20"/>
                <w:color w:val="auto"/>
              </w:rPr>
            </w:pP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740" w:type="dxa"/>
            <w:vAlign w:val="bottom"/>
            <w:tcBorders>
              <w:bottom w:val="single" w:sz="8" w:color="170D67"/>
              <w:right w:val="single" w:sz="8" w:color="auto"/>
            </w:tcBorders>
            <w:shd w:val="clear" w:color="auto" w:fill="170D67"/>
          </w:tcPr>
          <w:p>
            <w:pPr>
              <w:spacing w:after="0"/>
              <w:rPr>
                <w:sz w:val="20"/>
                <w:szCs w:val="20"/>
                <w:color w:val="auto"/>
              </w:rPr>
            </w:pPr>
          </w:p>
        </w:tc>
      </w:tr>
      <w:tr>
        <w:trPr>
          <w:trHeight w:val="311"/>
        </w:trPr>
        <w:tc>
          <w:tcPr>
            <w:tcW w:w="4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Exelon Community</w:t>
            </w:r>
          </w:p>
        </w:tc>
        <w:tc>
          <w:tcPr>
            <w:tcW w:w="760" w:type="dxa"/>
            <w:vAlign w:val="bottom"/>
            <w:tcBorders>
              <w:top w:val="single" w:sz="8" w:color="auto"/>
              <w:right w:val="single" w:sz="8" w:color="auto"/>
            </w:tcBorders>
          </w:tcPr>
          <w:p>
            <w:pPr>
              <w:spacing w:after="0"/>
              <w:rPr>
                <w:sz w:val="24"/>
                <w:szCs w:val="24"/>
                <w:color w:val="auto"/>
              </w:rPr>
            </w:pPr>
          </w:p>
        </w:tc>
        <w:tc>
          <w:tcPr>
            <w:tcW w:w="760" w:type="dxa"/>
            <w:vAlign w:val="bottom"/>
            <w:tcBorders>
              <w:top w:val="single" w:sz="8" w:color="auto"/>
              <w:right w:val="single" w:sz="8" w:color="auto"/>
            </w:tcBorders>
            <w:shd w:val="clear" w:color="auto" w:fill="E8E7EA"/>
          </w:tcPr>
          <w:p>
            <w:pPr>
              <w:spacing w:after="0"/>
              <w:rPr>
                <w:sz w:val="24"/>
                <w:szCs w:val="24"/>
                <w:color w:val="auto"/>
              </w:rPr>
            </w:pPr>
          </w:p>
        </w:tc>
        <w:tc>
          <w:tcPr>
            <w:tcW w:w="900" w:type="dxa"/>
            <w:vAlign w:val="bottom"/>
            <w:tcBorders>
              <w:top w:val="single" w:sz="8" w:color="auto"/>
              <w:right w:val="single" w:sz="8" w:color="auto"/>
            </w:tcBorders>
            <w:shd w:val="clear" w:color="auto" w:fill="E8E7EA"/>
          </w:tcPr>
          <w:p>
            <w:pPr>
              <w:spacing w:after="0"/>
              <w:rPr>
                <w:sz w:val="24"/>
                <w:szCs w:val="24"/>
                <w:color w:val="auto"/>
              </w:rPr>
            </w:pPr>
          </w:p>
        </w:tc>
        <w:tc>
          <w:tcPr>
            <w:tcW w:w="740" w:type="dxa"/>
            <w:vAlign w:val="bottom"/>
            <w:tcBorders>
              <w:top w:val="single" w:sz="8" w:color="auto"/>
              <w:right w:val="single" w:sz="8" w:color="auto"/>
            </w:tcBorders>
          </w:tcPr>
          <w:p>
            <w:pPr>
              <w:spacing w:after="0"/>
              <w:rPr>
                <w:sz w:val="24"/>
                <w:szCs w:val="24"/>
                <w:color w:val="auto"/>
              </w:rPr>
            </w:pPr>
          </w:p>
        </w:tc>
        <w:tc>
          <w:tcPr>
            <w:tcW w:w="760" w:type="dxa"/>
            <w:vAlign w:val="bottom"/>
            <w:tcBorders>
              <w:top w:val="single" w:sz="8" w:color="auto"/>
              <w:right w:val="single" w:sz="8" w:color="auto"/>
            </w:tcBorders>
            <w:shd w:val="clear" w:color="auto" w:fill="E8E7EA"/>
          </w:tcPr>
          <w:p>
            <w:pPr>
              <w:spacing w:after="0"/>
              <w:rPr>
                <w:sz w:val="24"/>
                <w:szCs w:val="24"/>
                <w:color w:val="auto"/>
              </w:rPr>
            </w:pPr>
          </w:p>
        </w:tc>
        <w:tc>
          <w:tcPr>
            <w:tcW w:w="760" w:type="dxa"/>
            <w:vAlign w:val="bottom"/>
            <w:tcBorders>
              <w:top w:val="single" w:sz="8" w:color="auto"/>
              <w:right w:val="single" w:sz="8" w:color="auto"/>
            </w:tcBorders>
            <w:shd w:val="clear" w:color="auto" w:fill="E8E7EA"/>
          </w:tcPr>
          <w:p>
            <w:pPr>
              <w:spacing w:after="0"/>
              <w:rPr>
                <w:sz w:val="24"/>
                <w:szCs w:val="24"/>
                <w:color w:val="auto"/>
              </w:rPr>
            </w:pPr>
          </w:p>
        </w:tc>
        <w:tc>
          <w:tcPr>
            <w:tcW w:w="760" w:type="dxa"/>
            <w:vAlign w:val="bottom"/>
            <w:tcBorders>
              <w:top w:val="single" w:sz="8" w:color="auto"/>
              <w:right w:val="single" w:sz="8" w:color="auto"/>
            </w:tcBorders>
          </w:tcPr>
          <w:p>
            <w:pPr>
              <w:spacing w:after="0"/>
              <w:rPr>
                <w:sz w:val="24"/>
                <w:szCs w:val="24"/>
                <w:color w:val="auto"/>
              </w:rPr>
            </w:pPr>
          </w:p>
        </w:tc>
        <w:tc>
          <w:tcPr>
            <w:tcW w:w="760" w:type="dxa"/>
            <w:vAlign w:val="bottom"/>
            <w:tcBorders>
              <w:top w:val="single" w:sz="8" w:color="auto"/>
              <w:right w:val="single" w:sz="8" w:color="auto"/>
            </w:tcBorders>
          </w:tcPr>
          <w:p>
            <w:pPr>
              <w:spacing w:after="0"/>
              <w:rPr>
                <w:sz w:val="24"/>
                <w:szCs w:val="24"/>
                <w:color w:val="auto"/>
              </w:rPr>
            </w:pPr>
          </w:p>
        </w:tc>
        <w:tc>
          <w:tcPr>
            <w:tcW w:w="740" w:type="dxa"/>
            <w:vAlign w:val="bottom"/>
            <w:tcBorders>
              <w:top w:val="single" w:sz="8" w:color="auto"/>
              <w:right w:val="single" w:sz="8" w:color="auto"/>
            </w:tcBorders>
          </w:tcPr>
          <w:p>
            <w:pPr>
              <w:spacing w:after="0"/>
              <w:rPr>
                <w:sz w:val="24"/>
                <w:szCs w:val="24"/>
                <w:color w:val="auto"/>
              </w:rPr>
            </w:pPr>
          </w:p>
        </w:tc>
      </w:tr>
      <w:tr>
        <w:trPr>
          <w:trHeight w:val="155"/>
        </w:trPr>
        <w:tc>
          <w:tcPr>
            <w:tcW w:w="4300" w:type="dxa"/>
            <w:vAlign w:val="bottom"/>
            <w:tcBorders>
              <w:left w:val="single" w:sz="8" w:color="auto"/>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900" w:type="dxa"/>
            <w:vAlign w:val="bottom"/>
            <w:tcBorders>
              <w:bottom w:val="single" w:sz="8" w:color="auto"/>
              <w:right w:val="single" w:sz="8" w:color="auto"/>
            </w:tcBorders>
            <w:shd w:val="clear" w:color="auto" w:fill="E8E7EA"/>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r>
      <w:tr>
        <w:trPr>
          <w:trHeight w:val="242"/>
        </w:trPr>
        <w:tc>
          <w:tcPr>
            <w:tcW w:w="4300" w:type="dxa"/>
            <w:vAlign w:val="bottom"/>
            <w:tcBorders>
              <w:left w:val="single" w:sz="8" w:color="auto"/>
              <w:bottom w:val="single" w:sz="8" w:color="170D67"/>
              <w:right w:val="single" w:sz="8" w:color="auto"/>
            </w:tcBorders>
            <w:shd w:val="clear" w:color="auto" w:fill="170D67"/>
          </w:tcPr>
          <w:p>
            <w:pPr>
              <w:ind w:left="40"/>
              <w:spacing w:after="0"/>
              <w:rPr>
                <w:sz w:val="20"/>
                <w:szCs w:val="20"/>
                <w:color w:val="auto"/>
              </w:rPr>
            </w:pPr>
            <w:r>
              <w:rPr>
                <w:rFonts w:ascii="Arial" w:cs="Arial" w:eastAsia="Arial" w:hAnsi="Arial"/>
                <w:sz w:val="15"/>
                <w:szCs w:val="15"/>
                <w:b w:val="1"/>
                <w:bCs w:val="1"/>
                <w:color w:val="FFFFFF"/>
              </w:rPr>
              <w:t>Gender</w:t>
            </w: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900" w:type="dxa"/>
            <w:vAlign w:val="bottom"/>
            <w:tcBorders>
              <w:bottom w:val="single" w:sz="8" w:color="170D67"/>
              <w:right w:val="single" w:sz="8" w:color="auto"/>
            </w:tcBorders>
            <w:shd w:val="clear" w:color="auto" w:fill="170D67"/>
          </w:tcPr>
          <w:p>
            <w:pPr>
              <w:spacing w:after="0"/>
              <w:rPr>
                <w:sz w:val="20"/>
                <w:szCs w:val="20"/>
                <w:color w:val="auto"/>
              </w:rPr>
            </w:pPr>
          </w:p>
        </w:tc>
        <w:tc>
          <w:tcPr>
            <w:tcW w:w="740" w:type="dxa"/>
            <w:vAlign w:val="bottom"/>
            <w:tcBorders>
              <w:bottom w:val="single" w:sz="8" w:color="170D67"/>
              <w:right w:val="single" w:sz="8" w:color="auto"/>
            </w:tcBorders>
            <w:shd w:val="clear" w:color="auto" w:fill="170D67"/>
          </w:tcPr>
          <w:p>
            <w:pPr>
              <w:spacing w:after="0"/>
              <w:rPr>
                <w:sz w:val="20"/>
                <w:szCs w:val="20"/>
                <w:color w:val="auto"/>
              </w:rPr>
            </w:pP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740" w:type="dxa"/>
            <w:vAlign w:val="bottom"/>
            <w:tcBorders>
              <w:bottom w:val="single" w:sz="8" w:color="170D67"/>
              <w:right w:val="single" w:sz="8" w:color="auto"/>
            </w:tcBorders>
            <w:shd w:val="clear" w:color="auto" w:fill="170D67"/>
          </w:tcPr>
          <w:p>
            <w:pPr>
              <w:spacing w:after="0"/>
              <w:rPr>
                <w:sz w:val="20"/>
                <w:szCs w:val="20"/>
                <w:color w:val="auto"/>
              </w:rPr>
            </w:pPr>
          </w:p>
        </w:tc>
      </w:tr>
      <w:tr>
        <w:trPr>
          <w:trHeight w:val="311"/>
        </w:trPr>
        <w:tc>
          <w:tcPr>
            <w:tcW w:w="4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Female</w:t>
            </w:r>
          </w:p>
        </w:tc>
        <w:tc>
          <w:tcPr>
            <w:tcW w:w="760" w:type="dxa"/>
            <w:vAlign w:val="bottom"/>
            <w:tcBorders>
              <w:top w:val="single" w:sz="8" w:color="auto"/>
              <w:right w:val="single" w:sz="8" w:color="auto"/>
            </w:tcBorders>
          </w:tcPr>
          <w:p>
            <w:pPr>
              <w:spacing w:after="0"/>
              <w:rPr>
                <w:sz w:val="24"/>
                <w:szCs w:val="24"/>
                <w:color w:val="auto"/>
              </w:rPr>
            </w:pPr>
          </w:p>
        </w:tc>
        <w:tc>
          <w:tcPr>
            <w:tcW w:w="760" w:type="dxa"/>
            <w:vAlign w:val="bottom"/>
            <w:tcBorders>
              <w:top w:val="single" w:sz="8" w:color="auto"/>
              <w:right w:val="single" w:sz="8" w:color="auto"/>
            </w:tcBorders>
          </w:tcPr>
          <w:p>
            <w:pPr>
              <w:spacing w:after="0"/>
              <w:rPr>
                <w:sz w:val="24"/>
                <w:szCs w:val="24"/>
                <w:color w:val="auto"/>
              </w:rPr>
            </w:pPr>
          </w:p>
        </w:tc>
        <w:tc>
          <w:tcPr>
            <w:tcW w:w="900" w:type="dxa"/>
            <w:vAlign w:val="bottom"/>
            <w:tcBorders>
              <w:top w:val="single" w:sz="8" w:color="auto"/>
              <w:right w:val="single" w:sz="8" w:color="auto"/>
            </w:tcBorders>
            <w:shd w:val="clear" w:color="auto" w:fill="E8E7EA"/>
          </w:tcPr>
          <w:p>
            <w:pPr>
              <w:spacing w:after="0"/>
              <w:rPr>
                <w:sz w:val="24"/>
                <w:szCs w:val="24"/>
                <w:color w:val="auto"/>
              </w:rPr>
            </w:pPr>
          </w:p>
        </w:tc>
        <w:tc>
          <w:tcPr>
            <w:tcW w:w="740" w:type="dxa"/>
            <w:vAlign w:val="bottom"/>
            <w:tcBorders>
              <w:top w:val="single" w:sz="8" w:color="auto"/>
              <w:right w:val="single" w:sz="8" w:color="auto"/>
            </w:tcBorders>
          </w:tcPr>
          <w:p>
            <w:pPr>
              <w:spacing w:after="0"/>
              <w:rPr>
                <w:sz w:val="24"/>
                <w:szCs w:val="24"/>
                <w:color w:val="auto"/>
              </w:rPr>
            </w:pPr>
          </w:p>
        </w:tc>
        <w:tc>
          <w:tcPr>
            <w:tcW w:w="760" w:type="dxa"/>
            <w:vAlign w:val="bottom"/>
            <w:tcBorders>
              <w:top w:val="single" w:sz="8" w:color="auto"/>
              <w:right w:val="single" w:sz="8" w:color="auto"/>
            </w:tcBorders>
            <w:shd w:val="clear" w:color="auto" w:fill="E8E7EA"/>
          </w:tcPr>
          <w:p>
            <w:pPr>
              <w:spacing w:after="0"/>
              <w:rPr>
                <w:sz w:val="24"/>
                <w:szCs w:val="24"/>
                <w:color w:val="auto"/>
              </w:rPr>
            </w:pPr>
          </w:p>
        </w:tc>
        <w:tc>
          <w:tcPr>
            <w:tcW w:w="760" w:type="dxa"/>
            <w:vAlign w:val="bottom"/>
            <w:tcBorders>
              <w:top w:val="single" w:sz="8" w:color="auto"/>
              <w:right w:val="single" w:sz="8" w:color="auto"/>
            </w:tcBorders>
            <w:shd w:val="clear" w:color="auto" w:fill="E8E7EA"/>
          </w:tcPr>
          <w:p>
            <w:pPr>
              <w:spacing w:after="0"/>
              <w:rPr>
                <w:sz w:val="24"/>
                <w:szCs w:val="24"/>
                <w:color w:val="auto"/>
              </w:rPr>
            </w:pPr>
          </w:p>
        </w:tc>
        <w:tc>
          <w:tcPr>
            <w:tcW w:w="760" w:type="dxa"/>
            <w:vAlign w:val="bottom"/>
            <w:tcBorders>
              <w:top w:val="single" w:sz="8" w:color="auto"/>
              <w:right w:val="single" w:sz="8" w:color="auto"/>
            </w:tcBorders>
            <w:shd w:val="clear" w:color="auto" w:fill="E8E7EA"/>
          </w:tcPr>
          <w:p>
            <w:pPr>
              <w:spacing w:after="0"/>
              <w:rPr>
                <w:sz w:val="24"/>
                <w:szCs w:val="24"/>
                <w:color w:val="auto"/>
              </w:rPr>
            </w:pPr>
          </w:p>
        </w:tc>
        <w:tc>
          <w:tcPr>
            <w:tcW w:w="760" w:type="dxa"/>
            <w:vAlign w:val="bottom"/>
            <w:tcBorders>
              <w:top w:val="single" w:sz="8" w:color="auto"/>
              <w:right w:val="single" w:sz="8" w:color="auto"/>
            </w:tcBorders>
          </w:tcPr>
          <w:p>
            <w:pPr>
              <w:spacing w:after="0"/>
              <w:rPr>
                <w:sz w:val="24"/>
                <w:szCs w:val="24"/>
                <w:color w:val="auto"/>
              </w:rPr>
            </w:pPr>
          </w:p>
        </w:tc>
        <w:tc>
          <w:tcPr>
            <w:tcW w:w="740" w:type="dxa"/>
            <w:vAlign w:val="bottom"/>
            <w:tcBorders>
              <w:top w:val="single" w:sz="8" w:color="auto"/>
              <w:right w:val="single" w:sz="8" w:color="auto"/>
            </w:tcBorders>
          </w:tcPr>
          <w:p>
            <w:pPr>
              <w:spacing w:after="0"/>
              <w:rPr>
                <w:sz w:val="24"/>
                <w:szCs w:val="24"/>
                <w:color w:val="auto"/>
              </w:rPr>
            </w:pPr>
          </w:p>
        </w:tc>
      </w:tr>
      <w:tr>
        <w:trPr>
          <w:trHeight w:val="155"/>
        </w:trPr>
        <w:tc>
          <w:tcPr>
            <w:tcW w:w="4300" w:type="dxa"/>
            <w:vAlign w:val="bottom"/>
            <w:tcBorders>
              <w:left w:val="single" w:sz="8" w:color="auto"/>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shd w:val="clear" w:color="auto" w:fill="E8E7EA"/>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r>
      <w:tr>
        <w:trPr>
          <w:trHeight w:val="311"/>
        </w:trPr>
        <w:tc>
          <w:tcPr>
            <w:tcW w:w="4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Male</w:t>
            </w:r>
          </w:p>
        </w:tc>
        <w:tc>
          <w:tcPr>
            <w:tcW w:w="760" w:type="dxa"/>
            <w:vAlign w:val="bottom"/>
            <w:tcBorders>
              <w:right w:val="single" w:sz="8" w:color="auto"/>
            </w:tcBorders>
            <w:shd w:val="clear" w:color="auto" w:fill="E8E7EA"/>
          </w:tcPr>
          <w:p>
            <w:pPr>
              <w:spacing w:after="0"/>
              <w:rPr>
                <w:sz w:val="24"/>
                <w:szCs w:val="24"/>
                <w:color w:val="auto"/>
              </w:rPr>
            </w:pPr>
          </w:p>
        </w:tc>
        <w:tc>
          <w:tcPr>
            <w:tcW w:w="760" w:type="dxa"/>
            <w:vAlign w:val="bottom"/>
            <w:tcBorders>
              <w:right w:val="single" w:sz="8" w:color="auto"/>
            </w:tcBorders>
            <w:shd w:val="clear" w:color="auto" w:fill="E8E7EA"/>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shd w:val="clear" w:color="auto" w:fill="E8E7EA"/>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shd w:val="clear" w:color="auto" w:fill="E8E7EA"/>
          </w:tcPr>
          <w:p>
            <w:pPr>
              <w:spacing w:after="0"/>
              <w:rPr>
                <w:sz w:val="24"/>
                <w:szCs w:val="24"/>
                <w:color w:val="auto"/>
              </w:rPr>
            </w:pPr>
          </w:p>
        </w:tc>
        <w:tc>
          <w:tcPr>
            <w:tcW w:w="740" w:type="dxa"/>
            <w:vAlign w:val="bottom"/>
            <w:tcBorders>
              <w:right w:val="single" w:sz="8" w:color="auto"/>
            </w:tcBorders>
            <w:shd w:val="clear" w:color="auto" w:fill="E8E7EA"/>
          </w:tcPr>
          <w:p>
            <w:pPr>
              <w:spacing w:after="0"/>
              <w:rPr>
                <w:sz w:val="24"/>
                <w:szCs w:val="24"/>
                <w:color w:val="auto"/>
              </w:rPr>
            </w:pPr>
          </w:p>
        </w:tc>
      </w:tr>
      <w:tr>
        <w:trPr>
          <w:trHeight w:val="155"/>
        </w:trPr>
        <w:tc>
          <w:tcPr>
            <w:tcW w:w="4300" w:type="dxa"/>
            <w:vAlign w:val="bottom"/>
            <w:tcBorders>
              <w:left w:val="single" w:sz="8" w:color="auto"/>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40" w:type="dxa"/>
            <w:vAlign w:val="bottom"/>
            <w:tcBorders>
              <w:bottom w:val="single" w:sz="8" w:color="auto"/>
              <w:right w:val="single" w:sz="8" w:color="auto"/>
            </w:tcBorders>
            <w:shd w:val="clear" w:color="auto" w:fill="E8E7EA"/>
          </w:tcPr>
          <w:p>
            <w:pPr>
              <w:spacing w:after="0"/>
              <w:rPr>
                <w:sz w:val="13"/>
                <w:szCs w:val="13"/>
                <w:color w:val="auto"/>
              </w:rPr>
            </w:pPr>
          </w:p>
        </w:tc>
      </w:tr>
      <w:tr>
        <w:trPr>
          <w:trHeight w:val="203"/>
        </w:trPr>
        <w:tc>
          <w:tcPr>
            <w:tcW w:w="4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Non-Binary/Other</w:t>
            </w:r>
          </w:p>
        </w:tc>
        <w:tc>
          <w:tcPr>
            <w:tcW w:w="7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r>
      <w:tr>
        <w:trPr>
          <w:trHeight w:val="46"/>
        </w:trPr>
        <w:tc>
          <w:tcPr>
            <w:tcW w:w="4300" w:type="dxa"/>
            <w:vAlign w:val="bottom"/>
            <w:tcBorders>
              <w:left w:val="single" w:sz="8" w:color="auto"/>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r>
      <w:tr>
        <w:trPr>
          <w:trHeight w:val="242"/>
        </w:trPr>
        <w:tc>
          <w:tcPr>
            <w:tcW w:w="4300" w:type="dxa"/>
            <w:vAlign w:val="bottom"/>
            <w:tcBorders>
              <w:left w:val="single" w:sz="8" w:color="auto"/>
              <w:bottom w:val="single" w:sz="8" w:color="170D67"/>
              <w:right w:val="single" w:sz="8" w:color="auto"/>
            </w:tcBorders>
            <w:shd w:val="clear" w:color="auto" w:fill="170D67"/>
          </w:tcPr>
          <w:p>
            <w:pPr>
              <w:ind w:left="40"/>
              <w:spacing w:after="0"/>
              <w:rPr>
                <w:sz w:val="20"/>
                <w:szCs w:val="20"/>
                <w:color w:val="auto"/>
              </w:rPr>
            </w:pPr>
            <w:r>
              <w:rPr>
                <w:rFonts w:ascii="Arial" w:cs="Arial" w:eastAsia="Arial" w:hAnsi="Arial"/>
                <w:sz w:val="15"/>
                <w:szCs w:val="15"/>
                <w:b w:val="1"/>
                <w:bCs w:val="1"/>
                <w:color w:val="FFFFFF"/>
              </w:rPr>
              <w:t>Race/Ethnicity</w:t>
            </w: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900" w:type="dxa"/>
            <w:vAlign w:val="bottom"/>
            <w:tcBorders>
              <w:bottom w:val="single" w:sz="8" w:color="170D67"/>
              <w:right w:val="single" w:sz="8" w:color="auto"/>
            </w:tcBorders>
            <w:shd w:val="clear" w:color="auto" w:fill="170D67"/>
          </w:tcPr>
          <w:p>
            <w:pPr>
              <w:spacing w:after="0"/>
              <w:rPr>
                <w:sz w:val="20"/>
                <w:szCs w:val="20"/>
                <w:color w:val="auto"/>
              </w:rPr>
            </w:pPr>
          </w:p>
        </w:tc>
        <w:tc>
          <w:tcPr>
            <w:tcW w:w="740" w:type="dxa"/>
            <w:vAlign w:val="bottom"/>
            <w:tcBorders>
              <w:bottom w:val="single" w:sz="8" w:color="170D67"/>
              <w:right w:val="single" w:sz="8" w:color="auto"/>
            </w:tcBorders>
            <w:shd w:val="clear" w:color="auto" w:fill="170D67"/>
          </w:tcPr>
          <w:p>
            <w:pPr>
              <w:spacing w:after="0"/>
              <w:rPr>
                <w:sz w:val="20"/>
                <w:szCs w:val="20"/>
                <w:color w:val="auto"/>
              </w:rPr>
            </w:pP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740" w:type="dxa"/>
            <w:vAlign w:val="bottom"/>
            <w:tcBorders>
              <w:bottom w:val="single" w:sz="8" w:color="170D67"/>
              <w:right w:val="single" w:sz="8" w:color="auto"/>
            </w:tcBorders>
            <w:shd w:val="clear" w:color="auto" w:fill="170D67"/>
          </w:tcPr>
          <w:p>
            <w:pPr>
              <w:spacing w:after="0"/>
              <w:rPr>
                <w:sz w:val="20"/>
                <w:szCs w:val="20"/>
                <w:color w:val="auto"/>
              </w:rPr>
            </w:pPr>
          </w:p>
        </w:tc>
      </w:tr>
      <w:tr>
        <w:trPr>
          <w:trHeight w:val="311"/>
        </w:trPr>
        <w:tc>
          <w:tcPr>
            <w:tcW w:w="4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Black / African American</w:t>
            </w:r>
          </w:p>
        </w:tc>
        <w:tc>
          <w:tcPr>
            <w:tcW w:w="760" w:type="dxa"/>
            <w:vAlign w:val="bottom"/>
            <w:tcBorders>
              <w:top w:val="single" w:sz="8" w:color="auto"/>
              <w:right w:val="single" w:sz="8" w:color="auto"/>
            </w:tcBorders>
          </w:tcPr>
          <w:p>
            <w:pPr>
              <w:spacing w:after="0"/>
              <w:rPr>
                <w:sz w:val="24"/>
                <w:szCs w:val="24"/>
                <w:color w:val="auto"/>
              </w:rPr>
            </w:pPr>
          </w:p>
        </w:tc>
        <w:tc>
          <w:tcPr>
            <w:tcW w:w="760" w:type="dxa"/>
            <w:vAlign w:val="bottom"/>
            <w:tcBorders>
              <w:top w:val="single" w:sz="8" w:color="auto"/>
              <w:right w:val="single" w:sz="8" w:color="auto"/>
            </w:tcBorders>
            <w:shd w:val="clear" w:color="auto" w:fill="E8E7EA"/>
          </w:tcPr>
          <w:p>
            <w:pPr>
              <w:spacing w:after="0"/>
              <w:rPr>
                <w:sz w:val="24"/>
                <w:szCs w:val="24"/>
                <w:color w:val="auto"/>
              </w:rPr>
            </w:pPr>
          </w:p>
        </w:tc>
        <w:tc>
          <w:tcPr>
            <w:tcW w:w="900" w:type="dxa"/>
            <w:vAlign w:val="bottom"/>
            <w:tcBorders>
              <w:top w:val="single" w:sz="8" w:color="auto"/>
              <w:right w:val="single" w:sz="8" w:color="auto"/>
            </w:tcBorders>
            <w:shd w:val="clear" w:color="auto" w:fill="E8E7EA"/>
          </w:tcPr>
          <w:p>
            <w:pPr>
              <w:spacing w:after="0"/>
              <w:rPr>
                <w:sz w:val="24"/>
                <w:szCs w:val="24"/>
                <w:color w:val="auto"/>
              </w:rPr>
            </w:pPr>
          </w:p>
        </w:tc>
        <w:tc>
          <w:tcPr>
            <w:tcW w:w="740" w:type="dxa"/>
            <w:vAlign w:val="bottom"/>
            <w:tcBorders>
              <w:top w:val="single" w:sz="8" w:color="auto"/>
              <w:right w:val="single" w:sz="8" w:color="auto"/>
            </w:tcBorders>
          </w:tcPr>
          <w:p>
            <w:pPr>
              <w:spacing w:after="0"/>
              <w:rPr>
                <w:sz w:val="24"/>
                <w:szCs w:val="24"/>
                <w:color w:val="auto"/>
              </w:rPr>
            </w:pPr>
          </w:p>
        </w:tc>
        <w:tc>
          <w:tcPr>
            <w:tcW w:w="760" w:type="dxa"/>
            <w:vAlign w:val="bottom"/>
            <w:tcBorders>
              <w:top w:val="single" w:sz="8" w:color="auto"/>
              <w:right w:val="single" w:sz="8" w:color="auto"/>
            </w:tcBorders>
          </w:tcPr>
          <w:p>
            <w:pPr>
              <w:spacing w:after="0"/>
              <w:rPr>
                <w:sz w:val="24"/>
                <w:szCs w:val="24"/>
                <w:color w:val="auto"/>
              </w:rPr>
            </w:pPr>
          </w:p>
        </w:tc>
        <w:tc>
          <w:tcPr>
            <w:tcW w:w="760" w:type="dxa"/>
            <w:vAlign w:val="bottom"/>
            <w:tcBorders>
              <w:top w:val="single" w:sz="8" w:color="auto"/>
              <w:right w:val="single" w:sz="8" w:color="auto"/>
            </w:tcBorders>
            <w:shd w:val="clear" w:color="auto" w:fill="E8E7EA"/>
          </w:tcPr>
          <w:p>
            <w:pPr>
              <w:spacing w:after="0"/>
              <w:rPr>
                <w:sz w:val="24"/>
                <w:szCs w:val="24"/>
                <w:color w:val="auto"/>
              </w:rPr>
            </w:pPr>
          </w:p>
        </w:tc>
        <w:tc>
          <w:tcPr>
            <w:tcW w:w="760" w:type="dxa"/>
            <w:vAlign w:val="bottom"/>
            <w:tcBorders>
              <w:top w:val="single" w:sz="8" w:color="auto"/>
              <w:right w:val="single" w:sz="8" w:color="auto"/>
            </w:tcBorders>
            <w:shd w:val="clear" w:color="auto" w:fill="E8E7EA"/>
          </w:tcPr>
          <w:p>
            <w:pPr>
              <w:spacing w:after="0"/>
              <w:rPr>
                <w:sz w:val="24"/>
                <w:szCs w:val="24"/>
                <w:color w:val="auto"/>
              </w:rPr>
            </w:pPr>
          </w:p>
        </w:tc>
        <w:tc>
          <w:tcPr>
            <w:tcW w:w="760" w:type="dxa"/>
            <w:vAlign w:val="bottom"/>
            <w:tcBorders>
              <w:top w:val="single" w:sz="8" w:color="auto"/>
              <w:right w:val="single" w:sz="8" w:color="auto"/>
            </w:tcBorders>
          </w:tcPr>
          <w:p>
            <w:pPr>
              <w:spacing w:after="0"/>
              <w:rPr>
                <w:sz w:val="24"/>
                <w:szCs w:val="24"/>
                <w:color w:val="auto"/>
              </w:rPr>
            </w:pPr>
          </w:p>
        </w:tc>
        <w:tc>
          <w:tcPr>
            <w:tcW w:w="740" w:type="dxa"/>
            <w:vAlign w:val="bottom"/>
            <w:tcBorders>
              <w:top w:val="single" w:sz="8" w:color="auto"/>
              <w:right w:val="single" w:sz="8" w:color="auto"/>
            </w:tcBorders>
          </w:tcPr>
          <w:p>
            <w:pPr>
              <w:spacing w:after="0"/>
              <w:rPr>
                <w:sz w:val="24"/>
                <w:szCs w:val="24"/>
                <w:color w:val="auto"/>
              </w:rPr>
            </w:pPr>
          </w:p>
        </w:tc>
      </w:tr>
      <w:tr>
        <w:trPr>
          <w:trHeight w:val="155"/>
        </w:trPr>
        <w:tc>
          <w:tcPr>
            <w:tcW w:w="4300" w:type="dxa"/>
            <w:vAlign w:val="bottom"/>
            <w:tcBorders>
              <w:left w:val="single" w:sz="8" w:color="auto"/>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900" w:type="dxa"/>
            <w:vAlign w:val="bottom"/>
            <w:tcBorders>
              <w:bottom w:val="single" w:sz="8" w:color="auto"/>
              <w:right w:val="single" w:sz="8" w:color="auto"/>
            </w:tcBorders>
            <w:shd w:val="clear" w:color="auto" w:fill="E8E7EA"/>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r>
      <w:tr>
        <w:trPr>
          <w:trHeight w:val="311"/>
        </w:trPr>
        <w:tc>
          <w:tcPr>
            <w:tcW w:w="4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White</w:t>
            </w:r>
          </w:p>
        </w:tc>
        <w:tc>
          <w:tcPr>
            <w:tcW w:w="760" w:type="dxa"/>
            <w:vAlign w:val="bottom"/>
            <w:tcBorders>
              <w:right w:val="single" w:sz="8" w:color="auto"/>
            </w:tcBorders>
            <w:shd w:val="clear" w:color="auto" w:fill="E8E7EA"/>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shd w:val="clear" w:color="auto" w:fill="E8E7EA"/>
          </w:tcPr>
          <w:p>
            <w:pPr>
              <w:spacing w:after="0"/>
              <w:rPr>
                <w:sz w:val="24"/>
                <w:szCs w:val="24"/>
                <w:color w:val="auto"/>
              </w:rPr>
            </w:pPr>
          </w:p>
        </w:tc>
        <w:tc>
          <w:tcPr>
            <w:tcW w:w="760" w:type="dxa"/>
            <w:vAlign w:val="bottom"/>
            <w:tcBorders>
              <w:right w:val="single" w:sz="8" w:color="auto"/>
            </w:tcBorders>
            <w:shd w:val="clear" w:color="auto" w:fill="E8E7EA"/>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shd w:val="clear" w:color="auto" w:fill="E8E7EA"/>
          </w:tcPr>
          <w:p>
            <w:pPr>
              <w:spacing w:after="0"/>
              <w:rPr>
                <w:sz w:val="24"/>
                <w:szCs w:val="24"/>
                <w:color w:val="auto"/>
              </w:rPr>
            </w:pPr>
          </w:p>
        </w:tc>
        <w:tc>
          <w:tcPr>
            <w:tcW w:w="740" w:type="dxa"/>
            <w:vAlign w:val="bottom"/>
            <w:tcBorders>
              <w:right w:val="single" w:sz="8" w:color="auto"/>
            </w:tcBorders>
            <w:shd w:val="clear" w:color="auto" w:fill="E8E7EA"/>
          </w:tcPr>
          <w:p>
            <w:pPr>
              <w:spacing w:after="0"/>
              <w:rPr>
                <w:sz w:val="24"/>
                <w:szCs w:val="24"/>
                <w:color w:val="auto"/>
              </w:rPr>
            </w:pPr>
          </w:p>
        </w:tc>
      </w:tr>
      <w:tr>
        <w:trPr>
          <w:trHeight w:val="155"/>
        </w:trPr>
        <w:tc>
          <w:tcPr>
            <w:tcW w:w="4300" w:type="dxa"/>
            <w:vAlign w:val="bottom"/>
            <w:tcBorders>
              <w:left w:val="single" w:sz="8" w:color="auto"/>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shd w:val="clear" w:color="auto" w:fill="E8E7EA"/>
          </w:tcPr>
          <w:p>
            <w:pPr>
              <w:spacing w:after="0"/>
              <w:rPr>
                <w:sz w:val="13"/>
                <w:szCs w:val="13"/>
                <w:color w:val="auto"/>
              </w:rPr>
            </w:pPr>
          </w:p>
        </w:tc>
        <w:tc>
          <w:tcPr>
            <w:tcW w:w="740" w:type="dxa"/>
            <w:vAlign w:val="bottom"/>
            <w:tcBorders>
              <w:bottom w:val="single" w:sz="8" w:color="auto"/>
              <w:right w:val="single" w:sz="8" w:color="auto"/>
            </w:tcBorders>
            <w:shd w:val="clear" w:color="auto" w:fill="E8E7EA"/>
          </w:tcPr>
          <w:p>
            <w:pPr>
              <w:spacing w:after="0"/>
              <w:rPr>
                <w:sz w:val="13"/>
                <w:szCs w:val="13"/>
                <w:color w:val="auto"/>
              </w:rPr>
            </w:pPr>
          </w:p>
        </w:tc>
      </w:tr>
      <w:tr>
        <w:trPr>
          <w:trHeight w:val="241"/>
        </w:trPr>
        <w:tc>
          <w:tcPr>
            <w:tcW w:w="4300" w:type="dxa"/>
            <w:vAlign w:val="bottom"/>
            <w:tcBorders>
              <w:left w:val="single" w:sz="8" w:color="auto"/>
              <w:bottom w:val="single" w:sz="8" w:color="170D67"/>
              <w:right w:val="single" w:sz="8" w:color="auto"/>
            </w:tcBorders>
            <w:shd w:val="clear" w:color="auto" w:fill="170D67"/>
          </w:tcPr>
          <w:p>
            <w:pPr>
              <w:ind w:left="40"/>
              <w:spacing w:after="0"/>
              <w:rPr>
                <w:sz w:val="20"/>
                <w:szCs w:val="20"/>
                <w:color w:val="auto"/>
              </w:rPr>
            </w:pPr>
            <w:r>
              <w:rPr>
                <w:rFonts w:ascii="Arial" w:cs="Arial" w:eastAsia="Arial" w:hAnsi="Arial"/>
                <w:sz w:val="15"/>
                <w:szCs w:val="15"/>
                <w:b w:val="1"/>
                <w:bCs w:val="1"/>
                <w:color w:val="FFFFFF"/>
              </w:rPr>
              <w:t>Other Demographic Information</w:t>
            </w: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900" w:type="dxa"/>
            <w:vAlign w:val="bottom"/>
            <w:tcBorders>
              <w:bottom w:val="single" w:sz="8" w:color="170D67"/>
              <w:right w:val="single" w:sz="8" w:color="auto"/>
            </w:tcBorders>
            <w:shd w:val="clear" w:color="auto" w:fill="170D67"/>
          </w:tcPr>
          <w:p>
            <w:pPr>
              <w:spacing w:after="0"/>
              <w:rPr>
                <w:sz w:val="20"/>
                <w:szCs w:val="20"/>
                <w:color w:val="auto"/>
              </w:rPr>
            </w:pPr>
          </w:p>
        </w:tc>
        <w:tc>
          <w:tcPr>
            <w:tcW w:w="740" w:type="dxa"/>
            <w:vAlign w:val="bottom"/>
            <w:tcBorders>
              <w:bottom w:val="single" w:sz="8" w:color="170D67"/>
              <w:right w:val="single" w:sz="8" w:color="auto"/>
            </w:tcBorders>
            <w:shd w:val="clear" w:color="auto" w:fill="170D67"/>
          </w:tcPr>
          <w:p>
            <w:pPr>
              <w:spacing w:after="0"/>
              <w:rPr>
                <w:sz w:val="20"/>
                <w:szCs w:val="20"/>
                <w:color w:val="auto"/>
              </w:rPr>
            </w:pP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760" w:type="dxa"/>
            <w:vAlign w:val="bottom"/>
            <w:tcBorders>
              <w:bottom w:val="single" w:sz="8" w:color="170D67"/>
              <w:right w:val="single" w:sz="8" w:color="auto"/>
            </w:tcBorders>
            <w:shd w:val="clear" w:color="auto" w:fill="170D67"/>
          </w:tcPr>
          <w:p>
            <w:pPr>
              <w:spacing w:after="0"/>
              <w:rPr>
                <w:sz w:val="20"/>
                <w:szCs w:val="20"/>
                <w:color w:val="auto"/>
              </w:rPr>
            </w:pPr>
          </w:p>
        </w:tc>
        <w:tc>
          <w:tcPr>
            <w:tcW w:w="740" w:type="dxa"/>
            <w:vAlign w:val="bottom"/>
            <w:tcBorders>
              <w:bottom w:val="single" w:sz="8" w:color="170D67"/>
              <w:right w:val="single" w:sz="8" w:color="auto"/>
            </w:tcBorders>
            <w:shd w:val="clear" w:color="auto" w:fill="170D67"/>
          </w:tcPr>
          <w:p>
            <w:pPr>
              <w:spacing w:after="0"/>
              <w:rPr>
                <w:sz w:val="20"/>
                <w:szCs w:val="20"/>
                <w:color w:val="auto"/>
              </w:rPr>
            </w:pPr>
          </w:p>
        </w:tc>
      </w:tr>
      <w:tr>
        <w:trPr>
          <w:trHeight w:val="217"/>
        </w:trPr>
        <w:tc>
          <w:tcPr>
            <w:tcW w:w="4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Age</w:t>
            </w:r>
          </w:p>
        </w:tc>
        <w:tc>
          <w:tcPr>
            <w:tcW w:w="760" w:type="dxa"/>
            <w:vAlign w:val="bottom"/>
            <w:tcBorders>
              <w:top w:val="single" w:sz="8" w:color="auto"/>
              <w:right w:val="single" w:sz="8" w:color="auto"/>
            </w:tcBorders>
          </w:tcPr>
          <w:p>
            <w:pPr>
              <w:jc w:val="right"/>
              <w:ind w:right="226"/>
              <w:spacing w:after="0"/>
              <w:rPr>
                <w:sz w:val="20"/>
                <w:szCs w:val="20"/>
                <w:color w:val="auto"/>
              </w:rPr>
            </w:pPr>
            <w:r>
              <w:rPr>
                <w:rFonts w:ascii="Arial" w:cs="Arial" w:eastAsia="Arial" w:hAnsi="Arial"/>
                <w:sz w:val="15"/>
                <w:szCs w:val="15"/>
                <w:color w:val="auto"/>
              </w:rPr>
              <w:t>68</w:t>
            </w:r>
          </w:p>
        </w:tc>
        <w:tc>
          <w:tcPr>
            <w:tcW w:w="760" w:type="dxa"/>
            <w:vAlign w:val="bottom"/>
            <w:tcBorders>
              <w:top w:val="single" w:sz="8" w:color="auto"/>
              <w:right w:val="single" w:sz="8" w:color="auto"/>
            </w:tcBorders>
          </w:tcPr>
          <w:p>
            <w:pPr>
              <w:jc w:val="right"/>
              <w:ind w:right="227"/>
              <w:spacing w:after="0"/>
              <w:rPr>
                <w:sz w:val="20"/>
                <w:szCs w:val="20"/>
                <w:color w:val="auto"/>
              </w:rPr>
            </w:pPr>
            <w:r>
              <w:rPr>
                <w:rFonts w:ascii="Arial" w:cs="Arial" w:eastAsia="Arial" w:hAnsi="Arial"/>
                <w:sz w:val="15"/>
                <w:szCs w:val="15"/>
                <w:color w:val="auto"/>
              </w:rPr>
              <w:t>55</w:t>
            </w:r>
          </w:p>
        </w:tc>
        <w:tc>
          <w:tcPr>
            <w:tcW w:w="900" w:type="dxa"/>
            <w:vAlign w:val="bottom"/>
            <w:tcBorders>
              <w:top w:val="single" w:sz="8" w:color="auto"/>
              <w:right w:val="single" w:sz="8" w:color="auto"/>
            </w:tcBorders>
          </w:tcPr>
          <w:p>
            <w:pPr>
              <w:jc w:val="right"/>
              <w:ind w:right="306"/>
              <w:spacing w:after="0"/>
              <w:rPr>
                <w:sz w:val="20"/>
                <w:szCs w:val="20"/>
                <w:color w:val="auto"/>
              </w:rPr>
            </w:pPr>
            <w:r>
              <w:rPr>
                <w:rFonts w:ascii="Arial" w:cs="Arial" w:eastAsia="Arial" w:hAnsi="Arial"/>
                <w:sz w:val="15"/>
                <w:szCs w:val="15"/>
                <w:color w:val="auto"/>
              </w:rPr>
              <w:t>56</w:t>
            </w:r>
          </w:p>
        </w:tc>
        <w:tc>
          <w:tcPr>
            <w:tcW w:w="740" w:type="dxa"/>
            <w:vAlign w:val="bottom"/>
            <w:tcBorders>
              <w:top w:val="single" w:sz="8" w:color="auto"/>
              <w:right w:val="single" w:sz="8" w:color="auto"/>
            </w:tcBorders>
          </w:tcPr>
          <w:p>
            <w:pPr>
              <w:jc w:val="right"/>
              <w:ind w:right="227"/>
              <w:spacing w:after="0"/>
              <w:rPr>
                <w:sz w:val="20"/>
                <w:szCs w:val="20"/>
                <w:color w:val="auto"/>
              </w:rPr>
            </w:pPr>
            <w:r>
              <w:rPr>
                <w:rFonts w:ascii="Arial" w:cs="Arial" w:eastAsia="Arial" w:hAnsi="Arial"/>
                <w:sz w:val="15"/>
                <w:szCs w:val="15"/>
                <w:color w:val="auto"/>
              </w:rPr>
              <w:t>60</w:t>
            </w:r>
          </w:p>
        </w:tc>
        <w:tc>
          <w:tcPr>
            <w:tcW w:w="760" w:type="dxa"/>
            <w:vAlign w:val="bottom"/>
            <w:tcBorders>
              <w:top w:val="single" w:sz="8" w:color="auto"/>
              <w:right w:val="single" w:sz="8" w:color="auto"/>
            </w:tcBorders>
          </w:tcPr>
          <w:p>
            <w:pPr>
              <w:jc w:val="right"/>
              <w:ind w:right="226"/>
              <w:spacing w:after="0"/>
              <w:rPr>
                <w:sz w:val="20"/>
                <w:szCs w:val="20"/>
                <w:color w:val="auto"/>
              </w:rPr>
            </w:pPr>
            <w:r>
              <w:rPr>
                <w:rFonts w:ascii="Arial" w:cs="Arial" w:eastAsia="Arial" w:hAnsi="Arial"/>
                <w:sz w:val="15"/>
                <w:szCs w:val="15"/>
                <w:color w:val="auto"/>
              </w:rPr>
              <w:t>59</w:t>
            </w:r>
          </w:p>
        </w:tc>
        <w:tc>
          <w:tcPr>
            <w:tcW w:w="760" w:type="dxa"/>
            <w:vAlign w:val="bottom"/>
            <w:tcBorders>
              <w:top w:val="single" w:sz="8" w:color="auto"/>
              <w:right w:val="single" w:sz="8" w:color="auto"/>
            </w:tcBorders>
          </w:tcPr>
          <w:p>
            <w:pPr>
              <w:jc w:val="right"/>
              <w:ind w:right="227"/>
              <w:spacing w:after="0"/>
              <w:rPr>
                <w:sz w:val="20"/>
                <w:szCs w:val="20"/>
                <w:color w:val="auto"/>
              </w:rPr>
            </w:pPr>
            <w:r>
              <w:rPr>
                <w:rFonts w:ascii="Arial" w:cs="Arial" w:eastAsia="Arial" w:hAnsi="Arial"/>
                <w:sz w:val="15"/>
                <w:szCs w:val="15"/>
                <w:color w:val="auto"/>
              </w:rPr>
              <w:t>72</w:t>
            </w:r>
          </w:p>
        </w:tc>
        <w:tc>
          <w:tcPr>
            <w:tcW w:w="760" w:type="dxa"/>
            <w:vAlign w:val="bottom"/>
            <w:tcBorders>
              <w:top w:val="single" w:sz="8" w:color="auto"/>
              <w:right w:val="single" w:sz="8" w:color="auto"/>
            </w:tcBorders>
          </w:tcPr>
          <w:p>
            <w:pPr>
              <w:jc w:val="right"/>
              <w:ind w:right="247"/>
              <w:spacing w:after="0"/>
              <w:rPr>
                <w:sz w:val="20"/>
                <w:szCs w:val="20"/>
                <w:color w:val="auto"/>
              </w:rPr>
            </w:pPr>
            <w:r>
              <w:rPr>
                <w:rFonts w:ascii="Arial" w:cs="Arial" w:eastAsia="Arial" w:hAnsi="Arial"/>
                <w:sz w:val="15"/>
                <w:szCs w:val="15"/>
                <w:color w:val="auto"/>
              </w:rPr>
              <w:t>64</w:t>
            </w:r>
          </w:p>
        </w:tc>
        <w:tc>
          <w:tcPr>
            <w:tcW w:w="760" w:type="dxa"/>
            <w:vAlign w:val="bottom"/>
            <w:tcBorders>
              <w:top w:val="single" w:sz="8" w:color="auto"/>
              <w:right w:val="single" w:sz="8" w:color="auto"/>
            </w:tcBorders>
          </w:tcPr>
          <w:p>
            <w:pPr>
              <w:jc w:val="right"/>
              <w:ind w:right="246"/>
              <w:spacing w:after="0"/>
              <w:rPr>
                <w:sz w:val="20"/>
                <w:szCs w:val="20"/>
                <w:color w:val="auto"/>
              </w:rPr>
            </w:pPr>
            <w:r>
              <w:rPr>
                <w:rFonts w:ascii="Arial" w:cs="Arial" w:eastAsia="Arial" w:hAnsi="Arial"/>
                <w:sz w:val="15"/>
                <w:szCs w:val="15"/>
                <w:color w:val="auto"/>
              </w:rPr>
              <w:t>62</w:t>
            </w:r>
          </w:p>
        </w:tc>
        <w:tc>
          <w:tcPr>
            <w:tcW w:w="740" w:type="dxa"/>
            <w:vAlign w:val="bottom"/>
            <w:tcBorders>
              <w:top w:val="single" w:sz="8" w:color="auto"/>
              <w:right w:val="single" w:sz="8" w:color="auto"/>
            </w:tcBorders>
          </w:tcPr>
          <w:p>
            <w:pPr>
              <w:jc w:val="right"/>
              <w:ind w:right="227"/>
              <w:spacing w:after="0"/>
              <w:rPr>
                <w:sz w:val="20"/>
                <w:szCs w:val="20"/>
                <w:color w:val="auto"/>
              </w:rPr>
            </w:pPr>
            <w:r>
              <w:rPr>
                <w:rFonts w:ascii="Arial" w:cs="Arial" w:eastAsia="Arial" w:hAnsi="Arial"/>
                <w:sz w:val="15"/>
                <w:szCs w:val="15"/>
                <w:color w:val="auto"/>
              </w:rPr>
              <w:t>65</w:t>
            </w:r>
          </w:p>
        </w:tc>
      </w:tr>
      <w:tr>
        <w:trPr>
          <w:trHeight w:val="33"/>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17"/>
        </w:trPr>
        <w:tc>
          <w:tcPr>
            <w:tcW w:w="4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Tenure (years)</w:t>
            </w:r>
          </w:p>
        </w:tc>
        <w:tc>
          <w:tcPr>
            <w:tcW w:w="760" w:type="dxa"/>
            <w:vAlign w:val="bottom"/>
            <w:tcBorders>
              <w:right w:val="single" w:sz="8" w:color="auto"/>
            </w:tcBorders>
          </w:tcPr>
          <w:p>
            <w:pPr>
              <w:jc w:val="right"/>
              <w:ind w:right="206"/>
              <w:spacing w:after="0"/>
              <w:rPr>
                <w:sz w:val="20"/>
                <w:szCs w:val="20"/>
                <w:color w:val="auto"/>
              </w:rPr>
            </w:pPr>
            <w:r>
              <w:rPr>
                <w:rFonts w:ascii="Arial" w:cs="Arial" w:eastAsia="Arial" w:hAnsi="Arial"/>
                <w:sz w:val="15"/>
                <w:szCs w:val="15"/>
                <w:color w:val="auto"/>
              </w:rPr>
              <w:t>3.6</w:t>
            </w:r>
          </w:p>
        </w:tc>
        <w:tc>
          <w:tcPr>
            <w:tcW w:w="760" w:type="dxa"/>
            <w:vAlign w:val="bottom"/>
            <w:tcBorders>
              <w:right w:val="single" w:sz="8" w:color="auto"/>
            </w:tcBorders>
          </w:tcPr>
          <w:p>
            <w:pPr>
              <w:jc w:val="right"/>
              <w:ind w:right="207"/>
              <w:spacing w:after="0"/>
              <w:rPr>
                <w:sz w:val="20"/>
                <w:szCs w:val="20"/>
                <w:color w:val="auto"/>
              </w:rPr>
            </w:pPr>
            <w:r>
              <w:rPr>
                <w:rFonts w:ascii="Arial" w:cs="Arial" w:eastAsia="Arial" w:hAnsi="Arial"/>
                <w:sz w:val="15"/>
                <w:szCs w:val="15"/>
                <w:color w:val="auto"/>
              </w:rPr>
              <w:t>2.2</w:t>
            </w:r>
          </w:p>
        </w:tc>
        <w:tc>
          <w:tcPr>
            <w:tcW w:w="900" w:type="dxa"/>
            <w:vAlign w:val="bottom"/>
            <w:tcBorders>
              <w:right w:val="single" w:sz="8" w:color="auto"/>
            </w:tcBorders>
          </w:tcPr>
          <w:p>
            <w:pPr>
              <w:jc w:val="right"/>
              <w:ind w:right="286"/>
              <w:spacing w:after="0"/>
              <w:rPr>
                <w:sz w:val="20"/>
                <w:szCs w:val="20"/>
                <w:color w:val="auto"/>
              </w:rPr>
            </w:pPr>
            <w:r>
              <w:rPr>
                <w:rFonts w:ascii="Arial" w:cs="Arial" w:eastAsia="Arial" w:hAnsi="Arial"/>
                <w:sz w:val="15"/>
                <w:szCs w:val="15"/>
                <w:color w:val="auto"/>
              </w:rPr>
              <w:t>4.6</w:t>
            </w:r>
          </w:p>
        </w:tc>
        <w:tc>
          <w:tcPr>
            <w:tcW w:w="740" w:type="dxa"/>
            <w:vAlign w:val="bottom"/>
            <w:tcBorders>
              <w:right w:val="single" w:sz="8" w:color="auto"/>
            </w:tcBorders>
          </w:tcPr>
          <w:p>
            <w:pPr>
              <w:jc w:val="right"/>
              <w:ind w:right="207"/>
              <w:spacing w:after="0"/>
              <w:rPr>
                <w:sz w:val="20"/>
                <w:szCs w:val="20"/>
                <w:color w:val="auto"/>
              </w:rPr>
            </w:pPr>
            <w:r>
              <w:rPr>
                <w:rFonts w:ascii="Arial" w:cs="Arial" w:eastAsia="Arial" w:hAnsi="Arial"/>
                <w:sz w:val="15"/>
                <w:szCs w:val="15"/>
                <w:color w:val="auto"/>
              </w:rPr>
              <w:t>0.1</w:t>
            </w:r>
          </w:p>
        </w:tc>
        <w:tc>
          <w:tcPr>
            <w:tcW w:w="760" w:type="dxa"/>
            <w:vAlign w:val="bottom"/>
            <w:tcBorders>
              <w:right w:val="single" w:sz="8" w:color="auto"/>
            </w:tcBorders>
          </w:tcPr>
          <w:p>
            <w:pPr>
              <w:jc w:val="right"/>
              <w:ind w:right="206"/>
              <w:spacing w:after="0"/>
              <w:rPr>
                <w:sz w:val="20"/>
                <w:szCs w:val="20"/>
                <w:color w:val="auto"/>
              </w:rPr>
            </w:pPr>
            <w:r>
              <w:rPr>
                <w:rFonts w:ascii="Arial" w:cs="Arial" w:eastAsia="Arial" w:hAnsi="Arial"/>
                <w:sz w:val="15"/>
                <w:szCs w:val="15"/>
                <w:color w:val="auto"/>
              </w:rPr>
              <w:t>9.5</w:t>
            </w:r>
          </w:p>
        </w:tc>
        <w:tc>
          <w:tcPr>
            <w:tcW w:w="760" w:type="dxa"/>
            <w:vAlign w:val="bottom"/>
            <w:tcBorders>
              <w:right w:val="single" w:sz="8" w:color="auto"/>
            </w:tcBorders>
          </w:tcPr>
          <w:p>
            <w:pPr>
              <w:jc w:val="right"/>
              <w:ind w:right="207"/>
              <w:spacing w:after="0"/>
              <w:rPr>
                <w:sz w:val="20"/>
                <w:szCs w:val="20"/>
                <w:color w:val="auto"/>
              </w:rPr>
            </w:pPr>
            <w:r>
              <w:rPr>
                <w:rFonts w:ascii="Arial" w:cs="Arial" w:eastAsia="Arial" w:hAnsi="Arial"/>
                <w:sz w:val="15"/>
                <w:szCs w:val="15"/>
                <w:color w:val="auto"/>
              </w:rPr>
              <w:t>1.8</w:t>
            </w:r>
          </w:p>
        </w:tc>
        <w:tc>
          <w:tcPr>
            <w:tcW w:w="760" w:type="dxa"/>
            <w:vAlign w:val="bottom"/>
            <w:tcBorders>
              <w:right w:val="single" w:sz="8" w:color="auto"/>
            </w:tcBorders>
          </w:tcPr>
          <w:p>
            <w:pPr>
              <w:jc w:val="right"/>
              <w:ind w:right="227"/>
              <w:spacing w:after="0"/>
              <w:rPr>
                <w:sz w:val="20"/>
                <w:szCs w:val="20"/>
                <w:color w:val="auto"/>
              </w:rPr>
            </w:pPr>
            <w:r>
              <w:rPr>
                <w:rFonts w:ascii="Arial" w:cs="Arial" w:eastAsia="Arial" w:hAnsi="Arial"/>
                <w:sz w:val="15"/>
                <w:szCs w:val="15"/>
                <w:color w:val="auto"/>
              </w:rPr>
              <w:t>1.6</w:t>
            </w:r>
          </w:p>
        </w:tc>
        <w:tc>
          <w:tcPr>
            <w:tcW w:w="760" w:type="dxa"/>
            <w:vAlign w:val="bottom"/>
            <w:tcBorders>
              <w:right w:val="single" w:sz="8" w:color="auto"/>
            </w:tcBorders>
          </w:tcPr>
          <w:p>
            <w:pPr>
              <w:jc w:val="right"/>
              <w:ind w:right="226"/>
              <w:spacing w:after="0"/>
              <w:rPr>
                <w:sz w:val="20"/>
                <w:szCs w:val="20"/>
                <w:color w:val="auto"/>
              </w:rPr>
            </w:pPr>
            <w:r>
              <w:rPr>
                <w:rFonts w:ascii="Arial" w:cs="Arial" w:eastAsia="Arial" w:hAnsi="Arial"/>
                <w:sz w:val="15"/>
                <w:szCs w:val="15"/>
                <w:color w:val="auto"/>
              </w:rPr>
              <w:t>1.8</w:t>
            </w:r>
          </w:p>
        </w:tc>
        <w:tc>
          <w:tcPr>
            <w:tcW w:w="740" w:type="dxa"/>
            <w:vAlign w:val="bottom"/>
            <w:tcBorders>
              <w:right w:val="single" w:sz="8" w:color="auto"/>
            </w:tcBorders>
          </w:tcPr>
          <w:p>
            <w:pPr>
              <w:jc w:val="right"/>
              <w:ind w:right="207"/>
              <w:spacing w:after="0"/>
              <w:rPr>
                <w:sz w:val="20"/>
                <w:szCs w:val="20"/>
                <w:color w:val="auto"/>
              </w:rPr>
            </w:pPr>
            <w:r>
              <w:rPr>
                <w:rFonts w:ascii="Arial" w:cs="Arial" w:eastAsia="Arial" w:hAnsi="Arial"/>
                <w:sz w:val="15"/>
                <w:szCs w:val="15"/>
                <w:color w:val="auto"/>
              </w:rPr>
              <w:t>1.2</w:t>
            </w:r>
          </w:p>
        </w:tc>
      </w:tr>
      <w:tr>
        <w:trPr>
          <w:trHeight w:val="33"/>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04"/>
        </w:trPr>
        <w:tc>
          <w:tcPr>
            <w:tcW w:w="4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LGBTQ+</w:t>
            </w:r>
          </w:p>
        </w:tc>
        <w:tc>
          <w:tcPr>
            <w:tcW w:w="7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r>
      <w:tr>
        <w:trPr>
          <w:trHeight w:val="46"/>
        </w:trPr>
        <w:tc>
          <w:tcPr>
            <w:tcW w:w="4300" w:type="dxa"/>
            <w:vAlign w:val="bottom"/>
            <w:tcBorders>
              <w:left w:val="single" w:sz="8" w:color="auto"/>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r>
      <w:tr>
        <w:trPr>
          <w:trHeight w:val="204"/>
        </w:trPr>
        <w:tc>
          <w:tcPr>
            <w:tcW w:w="4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Disabled</w:t>
            </w:r>
          </w:p>
        </w:tc>
        <w:tc>
          <w:tcPr>
            <w:tcW w:w="7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r>
      <w:tr>
        <w:trPr>
          <w:trHeight w:val="46"/>
        </w:trPr>
        <w:tc>
          <w:tcPr>
            <w:tcW w:w="4300" w:type="dxa"/>
            <w:vAlign w:val="bottom"/>
            <w:tcBorders>
              <w:left w:val="single" w:sz="8" w:color="auto"/>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-7903210</wp:posOffset>
            </wp:positionV>
            <wp:extent cx="43180" cy="431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-7903210</wp:posOffset>
            </wp:positionV>
            <wp:extent cx="43180" cy="431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-7903210</wp:posOffset>
            </wp:positionV>
            <wp:extent cx="43180" cy="431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-7903210</wp:posOffset>
            </wp:positionV>
            <wp:extent cx="43180" cy="431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-7903210</wp:posOffset>
            </wp:positionV>
            <wp:extent cx="43180" cy="431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-7903210</wp:posOffset>
            </wp:positionV>
            <wp:extent cx="43180" cy="431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-7903210</wp:posOffset>
            </wp:positionV>
            <wp:extent cx="43180" cy="431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-7903210</wp:posOffset>
            </wp:positionV>
            <wp:extent cx="43180" cy="431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-7594600</wp:posOffset>
            </wp:positionV>
            <wp:extent cx="43180" cy="431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-7594600</wp:posOffset>
            </wp:positionV>
            <wp:extent cx="43180" cy="431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-7594600</wp:posOffset>
            </wp:positionV>
            <wp:extent cx="43180" cy="431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-6814820</wp:posOffset>
            </wp:positionV>
            <wp:extent cx="43180" cy="431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-6814820</wp:posOffset>
            </wp:positionV>
            <wp:extent cx="43180" cy="431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-6814820</wp:posOffset>
            </wp:positionV>
            <wp:extent cx="43180" cy="431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-6814820</wp:posOffset>
            </wp:positionV>
            <wp:extent cx="43180" cy="431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-6814820</wp:posOffset>
            </wp:positionV>
            <wp:extent cx="43180" cy="431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-6814820</wp:posOffset>
            </wp:positionV>
            <wp:extent cx="43180" cy="431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-6814820</wp:posOffset>
            </wp:positionV>
            <wp:extent cx="43180" cy="431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-6814820</wp:posOffset>
            </wp:positionV>
            <wp:extent cx="43180" cy="431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-6814820</wp:posOffset>
            </wp:positionV>
            <wp:extent cx="43180" cy="431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-6506210</wp:posOffset>
            </wp:positionV>
            <wp:extent cx="43180" cy="431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-6506210</wp:posOffset>
            </wp:positionV>
            <wp:extent cx="43180" cy="431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-6506210</wp:posOffset>
            </wp:positionV>
            <wp:extent cx="43180" cy="431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-6506210</wp:posOffset>
            </wp:positionV>
            <wp:extent cx="43180" cy="431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-6506210</wp:posOffset>
            </wp:positionV>
            <wp:extent cx="43180" cy="431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-6506210</wp:posOffset>
            </wp:positionV>
            <wp:extent cx="43180" cy="431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-6506210</wp:posOffset>
            </wp:positionV>
            <wp:extent cx="43180" cy="431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-6506210</wp:posOffset>
            </wp:positionV>
            <wp:extent cx="43180" cy="431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-6506210</wp:posOffset>
            </wp:positionV>
            <wp:extent cx="43180" cy="431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-6197600</wp:posOffset>
            </wp:positionV>
            <wp:extent cx="43180" cy="431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-6197600</wp:posOffset>
            </wp:positionV>
            <wp:extent cx="43180" cy="431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-6197600</wp:posOffset>
            </wp:positionV>
            <wp:extent cx="43180" cy="431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-6197600</wp:posOffset>
            </wp:positionV>
            <wp:extent cx="43180" cy="431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-6197600</wp:posOffset>
            </wp:positionV>
            <wp:extent cx="43180" cy="431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-6197600</wp:posOffset>
            </wp:positionV>
            <wp:extent cx="43180" cy="431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-6197600</wp:posOffset>
            </wp:positionV>
            <wp:extent cx="43180" cy="431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-6197600</wp:posOffset>
            </wp:positionV>
            <wp:extent cx="43180" cy="431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-6197600</wp:posOffset>
            </wp:positionV>
            <wp:extent cx="43180" cy="431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-5725795</wp:posOffset>
            </wp:positionV>
            <wp:extent cx="43180" cy="431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-5725795</wp:posOffset>
            </wp:positionV>
            <wp:extent cx="43180" cy="431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-5725795</wp:posOffset>
            </wp:positionV>
            <wp:extent cx="43180" cy="431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-5725795</wp:posOffset>
            </wp:positionV>
            <wp:extent cx="43180" cy="431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-5417185</wp:posOffset>
            </wp:positionV>
            <wp:extent cx="43180" cy="431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-5417185</wp:posOffset>
            </wp:positionV>
            <wp:extent cx="43180" cy="431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-5417185</wp:posOffset>
            </wp:positionV>
            <wp:extent cx="43180" cy="431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-5417185</wp:posOffset>
            </wp:positionV>
            <wp:extent cx="43180" cy="431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-5108575</wp:posOffset>
            </wp:positionV>
            <wp:extent cx="43180" cy="431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-5108575</wp:posOffset>
            </wp:positionV>
            <wp:extent cx="43180" cy="431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-5108575</wp:posOffset>
            </wp:positionV>
            <wp:extent cx="43180" cy="431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-4799965</wp:posOffset>
            </wp:positionV>
            <wp:extent cx="43180" cy="431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-4799965</wp:posOffset>
            </wp:positionV>
            <wp:extent cx="43180" cy="431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-4799965</wp:posOffset>
            </wp:positionV>
            <wp:extent cx="43180" cy="431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-4491355</wp:posOffset>
            </wp:positionV>
            <wp:extent cx="43180" cy="431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-4491355</wp:posOffset>
            </wp:positionV>
            <wp:extent cx="43180" cy="431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-4491355</wp:posOffset>
            </wp:positionV>
            <wp:extent cx="43180" cy="431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-4182745</wp:posOffset>
            </wp:positionV>
            <wp:extent cx="43180" cy="431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-4182745</wp:posOffset>
            </wp:positionV>
            <wp:extent cx="43180" cy="431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-4182745</wp:posOffset>
            </wp:positionV>
            <wp:extent cx="43180" cy="431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-4182745</wp:posOffset>
            </wp:positionV>
            <wp:extent cx="43180" cy="431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-3874135</wp:posOffset>
            </wp:positionV>
            <wp:extent cx="43180" cy="431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-3874135</wp:posOffset>
            </wp:positionV>
            <wp:extent cx="43180" cy="431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-3874135</wp:posOffset>
            </wp:positionV>
            <wp:extent cx="43180" cy="431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-3874135</wp:posOffset>
            </wp:positionV>
            <wp:extent cx="43180" cy="431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-3874135</wp:posOffset>
            </wp:positionV>
            <wp:extent cx="43180" cy="431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-3565525</wp:posOffset>
            </wp:positionV>
            <wp:extent cx="43180" cy="431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-3565525</wp:posOffset>
            </wp:positionV>
            <wp:extent cx="43180" cy="431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-3565525</wp:posOffset>
            </wp:positionV>
            <wp:extent cx="43180" cy="431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-3565525</wp:posOffset>
            </wp:positionV>
            <wp:extent cx="43180" cy="431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-3256915</wp:posOffset>
            </wp:positionV>
            <wp:extent cx="43180" cy="431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-3256915</wp:posOffset>
            </wp:positionV>
            <wp:extent cx="43180" cy="431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-3256915</wp:posOffset>
            </wp:positionV>
            <wp:extent cx="43180" cy="431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-2785745</wp:posOffset>
            </wp:positionV>
            <wp:extent cx="43180" cy="431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-2785745</wp:posOffset>
            </wp:positionV>
            <wp:extent cx="43180" cy="431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-2785745</wp:posOffset>
            </wp:positionV>
            <wp:extent cx="43180" cy="431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-2785745</wp:posOffset>
            </wp:positionV>
            <wp:extent cx="43180" cy="431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-2313940</wp:posOffset>
            </wp:positionV>
            <wp:extent cx="43180" cy="431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-2313940</wp:posOffset>
            </wp:positionV>
            <wp:extent cx="43180" cy="431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-2313940</wp:posOffset>
            </wp:positionV>
            <wp:extent cx="43180" cy="431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-2313940</wp:posOffset>
            </wp:positionV>
            <wp:extent cx="43180" cy="431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-2005330</wp:posOffset>
            </wp:positionV>
            <wp:extent cx="43180" cy="431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-2005330</wp:posOffset>
            </wp:positionV>
            <wp:extent cx="43180" cy="431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-2005330</wp:posOffset>
            </wp:positionV>
            <wp:extent cx="43180" cy="431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-2005330</wp:posOffset>
            </wp:positionV>
            <wp:extent cx="43180" cy="431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-2005330</wp:posOffset>
            </wp:positionV>
            <wp:extent cx="43180" cy="431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-1362710</wp:posOffset>
            </wp:positionV>
            <wp:extent cx="43180" cy="431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-1362710</wp:posOffset>
            </wp:positionV>
            <wp:extent cx="43180" cy="431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-1362710</wp:posOffset>
            </wp:positionV>
            <wp:extent cx="43180" cy="431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-1362710</wp:posOffset>
            </wp:positionV>
            <wp:extent cx="43180" cy="431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-1054100</wp:posOffset>
            </wp:positionV>
            <wp:extent cx="43180" cy="431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-1054100</wp:posOffset>
            </wp:positionV>
            <wp:extent cx="43180" cy="431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-1054100</wp:posOffset>
            </wp:positionV>
            <wp:extent cx="43180" cy="431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-1054100</wp:posOffset>
            </wp:positionV>
            <wp:extent cx="43180" cy="431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-1054100</wp:posOffset>
            </wp:positionV>
            <wp:extent cx="43180" cy="431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spacing w:after="0" w:line="173"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8"/>
          <w:szCs w:val="8"/>
          <w:color w:val="auto"/>
        </w:rPr>
      </w:pPr>
      <w:r>
        <w:rPr>
          <w:rFonts w:ascii="Arial" w:cs="Arial" w:eastAsia="Arial" w:hAnsi="Arial"/>
          <w:sz w:val="14"/>
          <w:szCs w:val="14"/>
          <w:color w:val="auto"/>
        </w:rPr>
        <w:t>John Young, the current Chair of the CGC, is not standing for re-election. If re-elected, Ms. Jojo will assume the role of Chair of the CGC, effective April 29, 2025.</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Committees: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ARC </w:t>
      </w:r>
      <w:r>
        <w:rPr>
          <w:rFonts w:ascii="Arial" w:cs="Arial" w:eastAsia="Arial" w:hAnsi="Arial"/>
          <w:sz w:val="16"/>
          <w:szCs w:val="16"/>
          <w:color w:val="auto"/>
        </w:rPr>
        <w:t>- Audit and Risk Committee</w:t>
      </w:r>
    </w:p>
    <w:p>
      <w:pPr>
        <w:sectPr>
          <w:pgSz w:w="11900" w:h="16838" w:orient="portrait"/>
          <w:cols w:equalWidth="0" w:num="1">
            <w:col w:w="11240"/>
          </w:cols>
          <w:pgMar w:left="320" w:top="121" w:right="339" w:bottom="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 xml:space="preserve">CGC </w:t>
      </w:r>
      <w:r>
        <w:rPr>
          <w:rFonts w:ascii="Arial" w:cs="Arial" w:eastAsia="Arial" w:hAnsi="Arial"/>
          <w:sz w:val="16"/>
          <w:szCs w:val="16"/>
          <w:color w:val="auto"/>
        </w:rPr>
        <w:t>- Corporate Governance Committee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TMCC </w:t>
      </w:r>
      <w:r>
        <w:rPr>
          <w:rFonts w:ascii="Arial" w:cs="Arial" w:eastAsia="Arial" w:hAnsi="Arial"/>
          <w:sz w:val="16"/>
          <w:szCs w:val="16"/>
          <w:color w:val="auto"/>
        </w:rPr>
        <w:t>- Talent Management and Compensation Committee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OSCC </w:t>
      </w:r>
      <w:r>
        <w:rPr>
          <w:rFonts w:ascii="Arial" w:cs="Arial" w:eastAsia="Arial" w:hAnsi="Arial"/>
          <w:sz w:val="16"/>
          <w:szCs w:val="16"/>
          <w:color w:val="auto"/>
        </w:rPr>
        <w:t>- Operations, Safety, and Customer Experience Committee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80" w:hanging="454"/>
        <w:spacing w:after="0"/>
        <w:tabs>
          <w:tab w:leader="none" w:pos="480" w:val="left"/>
        </w:tabs>
        <w:numPr>
          <w:ilvl w:val="0"/>
          <w:numId w:val="2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2" w:name="page23"/>
    <w:bookmarkEnd w:id="22"/>
    <w:p>
      <w:pPr>
        <w:jc w:val="right"/>
        <w:spacing w:after="0"/>
        <w:rPr>
          <w:sz w:val="20"/>
          <w:szCs w:val="20"/>
          <w:color w:val="auto"/>
        </w:rPr>
      </w:pPr>
      <w:r>
        <w:rPr>
          <w:rFonts w:ascii="Arial" w:cs="Arial" w:eastAsia="Arial" w:hAnsi="Arial"/>
          <w:sz w:val="13"/>
          <w:szCs w:val="13"/>
          <w:b w:val="1"/>
          <w:bCs w:val="1"/>
          <w:color w:val="auto"/>
        </w:rPr>
        <w:t>Board and Corporate Governance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Director Nominees</w:t>
      </w:r>
    </w:p>
    <w:p>
      <w:pPr>
        <w:spacing w:after="0" w:line="123"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The Board nominates the nine candidates named below for election as Directors. If elected by shareholders, each Director will serve a term ending with the 2026 annual meeting. Each nominee has agreed to be named in this proxy statement and to serve as a Director if elected. If any Director is unable to stand for election at the annual meeting, the Board may reduce the number of Directors or designate a substitute. In that case, shares represented by proxies may be voted for a substitute Director. Exelon does not expect that any Director nominee will be unable to serve. David DeWalt joined the Board on March 10, 2025 and is being put forth for the first time as a Director nominee at the Annual Meeting. Mr. DeWalt was recommended by a non-management Director.</w:t>
      </w:r>
    </w:p>
    <w:p>
      <w:pPr>
        <w:spacing w:after="0" w:line="80"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The CGC and the Board believe the skills and experiences detailed above are well represented among the Director nominees and reflect an effective mix of backgrounds, experience, and diversity. In addition to the skills, characteristics, core competencies and other attributes previously described, the CGC also considers whether each nominee has the time available, in light of other business and personal commitments, to effectively serve on Exelon’s Board. Among the criteria the Committee considers is the degree to which any incumbent Director nominee demonstrates effective and productive preparedness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and engagement.</w:t>
      </w:r>
    </w:p>
    <w:p>
      <w:pPr>
        <w:spacing w:after="0" w:line="128" w:lineRule="exact"/>
        <w:rPr>
          <w:sz w:val="20"/>
          <w:szCs w:val="20"/>
          <w:color w:val="auto"/>
        </w:rPr>
      </w:pPr>
    </w:p>
    <w:p>
      <w:pPr>
        <w:ind w:right="640"/>
        <w:spacing w:after="0" w:line="321" w:lineRule="auto"/>
        <w:rPr>
          <w:sz w:val="20"/>
          <w:szCs w:val="20"/>
          <w:color w:val="auto"/>
        </w:rPr>
      </w:pPr>
      <w:r>
        <w:rPr>
          <w:rFonts w:ascii="Arial" w:cs="Arial" w:eastAsia="Arial" w:hAnsi="Arial"/>
          <w:sz w:val="16"/>
          <w:szCs w:val="16"/>
          <w:color w:val="auto"/>
        </w:rPr>
        <w:t>(In the following bios, each Director’s Committee assignments are reflected as of the date of filing. Please see page 31 for a discussion of upcoming changes to Committee assignments.)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33343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15175" cy="333438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-1185545</wp:posOffset>
            </wp:positionV>
            <wp:extent cx="1543050" cy="8743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clrChange>
                        <a:clrFrom>
                          <a:srgbClr val="000000"/>
                        </a:clrFrom>
                        <a:clrTo>
                          <a:srgbClr val="000000">
                            <a:alpha val="0"/>
                          </a:srgbClr>
                        </a:clrTo>
                      </a:clrChange>
                      <a:extLst>
                        <a:ext uri="{28A0092B-C50C-407E-A947-70E740481C1C}"/>
                      </a:extLst>
                    </a:blip>
                    <a:srcRect/>
                    <a:stretch>
                      <a:fillRect/>
                    </a:stretch>
                  </pic:blipFill>
                  <pic:spPr bwMode="auto">
                    <a:xfrm>
                      <a:off x="0" y="0"/>
                      <a:ext cx="1543050" cy="87439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-1185545</wp:posOffset>
            </wp:positionV>
            <wp:extent cx="1543050" cy="8743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1543050" cy="874395"/>
                    </a:xfrm>
                    <a:prstGeom prst="rect">
                      <a:avLst/>
                    </a:prstGeom>
                    <a:noFill/>
                  </pic:spPr>
                </pic:pic>
              </a:graphicData>
            </a:graphic>
          </wp:anchor>
        </w:drawing>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auto"/>
        </w:rPr>
        <w:t>December 2022</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Committees: </w:t>
      </w:r>
      <w:r>
        <w:rPr>
          <w:rFonts w:ascii="Arial" w:cs="Arial" w:eastAsia="Arial" w:hAnsi="Arial"/>
          <w:sz w:val="15"/>
          <w:szCs w:val="15"/>
          <w:b w:val="1"/>
          <w:bCs w:val="1"/>
          <w:color w:val="auto"/>
        </w:rPr>
        <w:t>None</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333333"/>
        </w:rPr>
        <w:t>Other Current Public Boards: 1</w:t>
      </w:r>
    </w:p>
    <w:p>
      <w:pPr>
        <w:spacing w:after="0" w:line="62" w:lineRule="exact"/>
        <w:rPr>
          <w:sz w:val="20"/>
          <w:szCs w:val="20"/>
          <w:color w:val="auto"/>
        </w:rPr>
      </w:pPr>
    </w:p>
    <w:p>
      <w:pPr>
        <w:ind w:left="200" w:hanging="174"/>
        <w:spacing w:after="0"/>
        <w:tabs>
          <w:tab w:leader="none" w:pos="200" w:val="left"/>
        </w:tabs>
        <w:numPr>
          <w:ilvl w:val="0"/>
          <w:numId w:val="27"/>
        </w:numPr>
        <w:rPr>
          <w:rFonts w:ascii="Arial" w:cs="Arial" w:eastAsia="Arial" w:hAnsi="Arial"/>
          <w:sz w:val="16"/>
          <w:szCs w:val="16"/>
          <w:b w:val="1"/>
          <w:bCs w:val="1"/>
          <w:color w:val="170D67"/>
        </w:rPr>
      </w:pPr>
      <w:r>
        <w:rPr>
          <w:rFonts w:ascii="Arial" w:cs="Arial" w:eastAsia="Arial" w:hAnsi="Arial"/>
          <w:sz w:val="16"/>
          <w:szCs w:val="16"/>
          <w:color w:val="auto"/>
        </w:rPr>
        <w:t>Emerson (EMR)</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Prior Public Directorships (Last 5 yrs)</w:t>
      </w:r>
    </w:p>
    <w:p>
      <w:pPr>
        <w:spacing w:after="0" w:line="86" w:lineRule="exact"/>
        <w:rPr>
          <w:sz w:val="20"/>
          <w:szCs w:val="20"/>
          <w:color w:val="auto"/>
        </w:rPr>
      </w:pPr>
    </w:p>
    <w:p>
      <w:pPr>
        <w:ind w:left="200" w:hanging="174"/>
        <w:spacing w:after="0"/>
        <w:tabs>
          <w:tab w:leader="none" w:pos="200" w:val="left"/>
        </w:tabs>
        <w:numPr>
          <w:ilvl w:val="0"/>
          <w:numId w:val="28"/>
        </w:numPr>
        <w:rPr>
          <w:rFonts w:ascii="Arial" w:cs="Arial" w:eastAsia="Arial" w:hAnsi="Arial"/>
          <w:sz w:val="16"/>
          <w:szCs w:val="16"/>
          <w:b w:val="1"/>
          <w:bCs w:val="1"/>
          <w:color w:val="232B79"/>
        </w:rPr>
      </w:pPr>
      <w:r>
        <w:rPr>
          <w:rFonts w:ascii="Arial" w:cs="Arial" w:eastAsia="Arial" w:hAnsi="Arial"/>
          <w:sz w:val="16"/>
          <w:szCs w:val="16"/>
          <w:color w:val="auto"/>
        </w:rPr>
        <w:t>RLI Insurance Co (2016 – 2023)</w:t>
      </w:r>
    </w:p>
    <w:p>
      <w:pPr>
        <w:spacing w:after="0" w:line="34" w:lineRule="exact"/>
        <w:rPr>
          <w:rFonts w:ascii="Arial" w:cs="Arial" w:eastAsia="Arial" w:hAnsi="Arial"/>
          <w:sz w:val="16"/>
          <w:szCs w:val="16"/>
          <w:b w:val="1"/>
          <w:bCs w:val="1"/>
          <w:color w:val="232B79"/>
        </w:rPr>
      </w:pPr>
    </w:p>
    <w:p>
      <w:pPr>
        <w:ind w:left="200" w:hanging="174"/>
        <w:spacing w:after="0"/>
        <w:tabs>
          <w:tab w:leader="none" w:pos="200" w:val="left"/>
        </w:tabs>
        <w:numPr>
          <w:ilvl w:val="0"/>
          <w:numId w:val="28"/>
        </w:numPr>
        <w:rPr>
          <w:rFonts w:ascii="Arial" w:cs="Arial" w:eastAsia="Arial" w:hAnsi="Arial"/>
          <w:sz w:val="16"/>
          <w:szCs w:val="16"/>
          <w:b w:val="1"/>
          <w:bCs w:val="1"/>
          <w:color w:val="232B79"/>
        </w:rPr>
      </w:pPr>
      <w:r>
        <w:rPr>
          <w:rFonts w:ascii="Arial" w:cs="Arial" w:eastAsia="Arial" w:hAnsi="Arial"/>
          <w:sz w:val="16"/>
          <w:szCs w:val="16"/>
          <w:color w:val="auto"/>
        </w:rPr>
        <w:t>M&amp;T Bank Corp (2020 – 2022)</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170D67"/>
        </w:rPr>
        <w:t>Calvin G. Butler, Jr.</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b w:val="1"/>
          <w:bCs w:val="1"/>
          <w:color w:val="00E4A5"/>
        </w:rPr>
        <w:t>PRESIDENT AND CEO</w:t>
      </w:r>
    </w:p>
    <w:p>
      <w:pPr>
        <w:spacing w:after="0" w:line="117" w:lineRule="exact"/>
        <w:rPr>
          <w:sz w:val="20"/>
          <w:szCs w:val="20"/>
          <w:color w:val="auto"/>
        </w:rPr>
      </w:pPr>
    </w:p>
    <w:p>
      <w:pPr>
        <w:ind w:right="300"/>
        <w:spacing w:after="0" w:line="282" w:lineRule="auto"/>
        <w:rPr>
          <w:sz w:val="20"/>
          <w:szCs w:val="20"/>
          <w:color w:val="auto"/>
        </w:rPr>
      </w:pPr>
      <w:r>
        <w:rPr>
          <w:rFonts w:ascii="Arial" w:cs="Arial" w:eastAsia="Arial" w:hAnsi="Arial"/>
          <w:sz w:val="16"/>
          <w:szCs w:val="16"/>
          <w:color w:val="auto"/>
        </w:rPr>
        <w:t>Mr. Butler joined Exelon in 2008 and has more than 29 years of leadership experience in the utilities industry and in regulatory, legislative, and public affairs. Mr. Butler’s extensive executive management experience, together with his regulatory, external affairs, operations, customer service, and innovation and technology expertise, allow him to provide valuable perspectives and insights on a variety of topics to the Board. He has been recognized by several organizations for his leadership and community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499745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997450"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80" w:type="dxa"/>
            <w:vAlign w:val="bottom"/>
          </w:tcPr>
          <w:p>
            <w:pPr>
              <w:spacing w:after="0"/>
              <w:rPr>
                <w:sz w:val="20"/>
                <w:szCs w:val="20"/>
                <w:color w:val="auto"/>
              </w:rPr>
            </w:pPr>
            <w:r>
              <w:rPr>
                <w:rFonts w:ascii="Arial" w:cs="Arial" w:eastAsia="Arial" w:hAnsi="Arial"/>
                <w:sz w:val="16"/>
                <w:szCs w:val="16"/>
                <w:b w:val="1"/>
                <w:bCs w:val="1"/>
                <w:color w:val="333333"/>
              </w:rPr>
              <w:t>Career Highlights</w:t>
            </w:r>
          </w:p>
        </w:tc>
        <w:tc>
          <w:tcPr>
            <w:tcW w:w="3960" w:type="dxa"/>
            <w:vAlign w:val="bottom"/>
          </w:tcPr>
          <w:p>
            <w:pPr>
              <w:ind w:left="140"/>
              <w:spacing w:after="0"/>
              <w:rPr>
                <w:sz w:val="20"/>
                <w:szCs w:val="20"/>
                <w:color w:val="auto"/>
              </w:rPr>
            </w:pPr>
            <w:r>
              <w:rPr>
                <w:rFonts w:ascii="Arial" w:cs="Arial" w:eastAsia="Arial" w:hAnsi="Arial"/>
                <w:sz w:val="16"/>
                <w:szCs w:val="16"/>
                <w:b w:val="1"/>
                <w:bCs w:val="1"/>
                <w:color w:val="333333"/>
              </w:rPr>
              <w:t>Other Professional Experience</w:t>
            </w:r>
          </w:p>
        </w:tc>
        <w:tc>
          <w:tcPr>
            <w:tcW w:w="0" w:type="dxa"/>
            <w:vAlign w:val="bottom"/>
          </w:tcPr>
          <w:p>
            <w:pPr>
              <w:spacing w:after="0"/>
              <w:rPr>
                <w:sz w:val="1"/>
                <w:szCs w:val="1"/>
                <w:color w:val="auto"/>
              </w:rPr>
            </w:pPr>
          </w:p>
        </w:tc>
      </w:tr>
      <w:tr>
        <w:trPr>
          <w:trHeight w:val="324"/>
        </w:trPr>
        <w:tc>
          <w:tcPr>
            <w:tcW w:w="3780" w:type="dxa"/>
            <w:vAlign w:val="bottom"/>
          </w:tcPr>
          <w:p>
            <w:pPr>
              <w:spacing w:after="0"/>
              <w:rPr>
                <w:sz w:val="20"/>
                <w:szCs w:val="20"/>
                <w:color w:val="auto"/>
              </w:rPr>
            </w:pPr>
            <w:r>
              <w:rPr>
                <w:rFonts w:ascii="Arial" w:cs="Arial" w:eastAsia="Arial" w:hAnsi="Arial"/>
                <w:sz w:val="16"/>
                <w:szCs w:val="16"/>
                <w:b w:val="1"/>
                <w:bCs w:val="1"/>
                <w:color w:val="170D67"/>
              </w:rPr>
              <w:t xml:space="preserve">• </w:t>
            </w:r>
            <w:r>
              <w:rPr>
                <w:rFonts w:ascii="Arial" w:cs="Arial" w:eastAsia="Arial" w:hAnsi="Arial"/>
                <w:sz w:val="16"/>
                <w:szCs w:val="16"/>
                <w:color w:val="000000"/>
              </w:rPr>
              <w:t>President and CEO, Exelon</w:t>
            </w:r>
            <w:r>
              <w:rPr>
                <w:rFonts w:ascii="Arial" w:cs="Arial" w:eastAsia="Arial" w:hAnsi="Arial"/>
                <w:sz w:val="16"/>
                <w:szCs w:val="16"/>
                <w:b w:val="1"/>
                <w:bCs w:val="1"/>
                <w:color w:val="170D67"/>
              </w:rPr>
              <w:t xml:space="preserve"> </w:t>
            </w:r>
            <w:r>
              <w:rPr>
                <w:rFonts w:ascii="Arial" w:cs="Arial" w:eastAsia="Arial" w:hAnsi="Arial"/>
                <w:sz w:val="16"/>
                <w:szCs w:val="16"/>
                <w:color w:val="3A5CFF"/>
              </w:rPr>
              <w:t>(Since 2022)</w:t>
            </w:r>
          </w:p>
        </w:tc>
        <w:tc>
          <w:tcPr>
            <w:tcW w:w="3960" w:type="dxa"/>
            <w:vAlign w:val="bottom"/>
          </w:tcPr>
          <w:p>
            <w:pPr>
              <w:ind w:left="200"/>
              <w:spacing w:after="0"/>
              <w:rPr>
                <w:sz w:val="20"/>
                <w:szCs w:val="20"/>
                <w:color w:val="auto"/>
              </w:rPr>
            </w:pPr>
            <w:r>
              <w:rPr>
                <w:rFonts w:ascii="Arial" w:cs="Arial" w:eastAsia="Arial" w:hAnsi="Arial"/>
                <w:sz w:val="16"/>
                <w:szCs w:val="16"/>
                <w:b w:val="1"/>
                <w:bCs w:val="1"/>
                <w:color w:val="170D67"/>
              </w:rPr>
              <w:t xml:space="preserve">• </w:t>
            </w:r>
            <w:r>
              <w:rPr>
                <w:rFonts w:ascii="Arial" w:cs="Arial" w:eastAsia="Arial" w:hAnsi="Arial"/>
                <w:sz w:val="16"/>
                <w:szCs w:val="16"/>
                <w:color w:val="000000"/>
              </w:rPr>
              <w:t>Vice-Chair, Edison Electric Institute</w:t>
            </w:r>
          </w:p>
        </w:tc>
        <w:tc>
          <w:tcPr>
            <w:tcW w:w="0" w:type="dxa"/>
            <w:vAlign w:val="bottom"/>
          </w:tcPr>
          <w:p>
            <w:pPr>
              <w:spacing w:after="0"/>
              <w:rPr>
                <w:sz w:val="1"/>
                <w:szCs w:val="1"/>
                <w:color w:val="auto"/>
              </w:rPr>
            </w:pPr>
          </w:p>
        </w:tc>
      </w:tr>
      <w:tr>
        <w:trPr>
          <w:trHeight w:val="283"/>
        </w:trPr>
        <w:tc>
          <w:tcPr>
            <w:tcW w:w="3780" w:type="dxa"/>
            <w:vAlign w:val="bottom"/>
          </w:tcPr>
          <w:p>
            <w:pPr>
              <w:spacing w:after="0"/>
              <w:rPr>
                <w:sz w:val="20"/>
                <w:szCs w:val="20"/>
                <w:color w:val="auto"/>
              </w:rPr>
            </w:pPr>
            <w:r>
              <w:rPr>
                <w:rFonts w:ascii="Arial" w:cs="Arial" w:eastAsia="Arial" w:hAnsi="Arial"/>
                <w:sz w:val="16"/>
                <w:szCs w:val="16"/>
                <w:b w:val="1"/>
                <w:bCs w:val="1"/>
                <w:color w:val="170D67"/>
              </w:rPr>
              <w:t xml:space="preserve">• </w:t>
            </w:r>
            <w:r>
              <w:rPr>
                <w:rFonts w:ascii="Arial" w:cs="Arial" w:eastAsia="Arial" w:hAnsi="Arial"/>
                <w:sz w:val="16"/>
                <w:szCs w:val="16"/>
                <w:color w:val="000000"/>
              </w:rPr>
              <w:t>Chief Operating Officer, Exelon</w:t>
            </w:r>
            <w:r>
              <w:rPr>
                <w:rFonts w:ascii="Arial" w:cs="Arial" w:eastAsia="Arial" w:hAnsi="Arial"/>
                <w:sz w:val="16"/>
                <w:szCs w:val="16"/>
                <w:b w:val="1"/>
                <w:bCs w:val="1"/>
                <w:color w:val="170D67"/>
              </w:rPr>
              <w:t xml:space="preserve"> </w:t>
            </w:r>
            <w:r>
              <w:rPr>
                <w:rFonts w:ascii="Arial" w:cs="Arial" w:eastAsia="Arial" w:hAnsi="Arial"/>
                <w:sz w:val="16"/>
                <w:szCs w:val="16"/>
                <w:color w:val="3A5CFF"/>
              </w:rPr>
              <w:t>(2021 – 2022)</w:t>
            </w:r>
          </w:p>
        </w:tc>
        <w:tc>
          <w:tcPr>
            <w:tcW w:w="3960" w:type="dxa"/>
            <w:vAlign w:val="bottom"/>
          </w:tcPr>
          <w:p>
            <w:pPr>
              <w:ind w:left="200"/>
              <w:spacing w:after="0"/>
              <w:rPr>
                <w:sz w:val="20"/>
                <w:szCs w:val="20"/>
                <w:color w:val="auto"/>
              </w:rPr>
            </w:pPr>
            <w:r>
              <w:rPr>
                <w:rFonts w:ascii="Arial" w:cs="Arial" w:eastAsia="Arial" w:hAnsi="Arial"/>
                <w:sz w:val="16"/>
                <w:szCs w:val="16"/>
                <w:b w:val="1"/>
                <w:bCs w:val="1"/>
                <w:color w:val="170D67"/>
              </w:rPr>
              <w:t xml:space="preserve">• </w:t>
            </w:r>
            <w:r>
              <w:rPr>
                <w:rFonts w:ascii="Arial" w:cs="Arial" w:eastAsia="Arial" w:hAnsi="Arial"/>
                <w:sz w:val="16"/>
                <w:szCs w:val="16"/>
                <w:color w:val="000000"/>
              </w:rPr>
              <w:t>Chair, Cal Ripken, Sr. Foundation</w:t>
            </w:r>
          </w:p>
        </w:tc>
        <w:tc>
          <w:tcPr>
            <w:tcW w:w="0" w:type="dxa"/>
            <w:vAlign w:val="bottom"/>
          </w:tcPr>
          <w:p>
            <w:pPr>
              <w:spacing w:after="0"/>
              <w:rPr>
                <w:sz w:val="1"/>
                <w:szCs w:val="1"/>
                <w:color w:val="auto"/>
              </w:rPr>
            </w:pPr>
          </w:p>
        </w:tc>
      </w:tr>
      <w:tr>
        <w:trPr>
          <w:trHeight w:val="224"/>
        </w:trPr>
        <w:tc>
          <w:tcPr>
            <w:tcW w:w="3780" w:type="dxa"/>
            <w:vAlign w:val="bottom"/>
          </w:tcPr>
          <w:p>
            <w:pPr>
              <w:spacing w:after="0"/>
              <w:rPr>
                <w:sz w:val="20"/>
                <w:szCs w:val="20"/>
                <w:color w:val="auto"/>
              </w:rPr>
            </w:pPr>
            <w:r>
              <w:rPr>
                <w:rFonts w:ascii="Arial" w:cs="Arial" w:eastAsia="Arial" w:hAnsi="Arial"/>
                <w:sz w:val="16"/>
                <w:szCs w:val="16"/>
                <w:b w:val="1"/>
                <w:bCs w:val="1"/>
                <w:color w:val="170D67"/>
              </w:rPr>
              <w:t xml:space="preserve">• </w:t>
            </w:r>
            <w:r>
              <w:rPr>
                <w:rFonts w:ascii="Arial" w:cs="Arial" w:eastAsia="Arial" w:hAnsi="Arial"/>
                <w:sz w:val="16"/>
                <w:szCs w:val="16"/>
                <w:color w:val="000000"/>
              </w:rPr>
              <w:t>Senior Executive Vice President and Chief</w:t>
            </w:r>
          </w:p>
        </w:tc>
        <w:tc>
          <w:tcPr>
            <w:tcW w:w="3960" w:type="dxa"/>
            <w:vAlign w:val="bottom"/>
          </w:tcPr>
          <w:p>
            <w:pPr>
              <w:ind w:left="200"/>
              <w:spacing w:after="0"/>
              <w:rPr>
                <w:sz w:val="20"/>
                <w:szCs w:val="20"/>
                <w:color w:val="auto"/>
              </w:rPr>
            </w:pPr>
            <w:r>
              <w:rPr>
                <w:rFonts w:ascii="Arial" w:cs="Arial" w:eastAsia="Arial" w:hAnsi="Arial"/>
                <w:sz w:val="16"/>
                <w:szCs w:val="16"/>
                <w:b w:val="1"/>
                <w:bCs w:val="1"/>
                <w:color w:val="170D67"/>
              </w:rPr>
              <w:t xml:space="preserve">• </w:t>
            </w:r>
            <w:r>
              <w:rPr>
                <w:rFonts w:ascii="Arial" w:cs="Arial" w:eastAsia="Arial" w:hAnsi="Arial"/>
                <w:sz w:val="16"/>
                <w:szCs w:val="16"/>
                <w:color w:val="000000"/>
              </w:rPr>
              <w:t>Vice-Chair, Institute of International Education</w:t>
            </w:r>
          </w:p>
        </w:tc>
        <w:tc>
          <w:tcPr>
            <w:tcW w:w="0" w:type="dxa"/>
            <w:vAlign w:val="bottom"/>
          </w:tcPr>
          <w:p>
            <w:pPr>
              <w:spacing w:after="0"/>
              <w:rPr>
                <w:sz w:val="1"/>
                <w:szCs w:val="1"/>
                <w:color w:val="auto"/>
              </w:rPr>
            </w:pPr>
          </w:p>
        </w:tc>
      </w:tr>
      <w:tr>
        <w:trPr>
          <w:trHeight w:val="215"/>
        </w:trPr>
        <w:tc>
          <w:tcPr>
            <w:tcW w:w="3780" w:type="dxa"/>
            <w:vAlign w:val="bottom"/>
          </w:tcPr>
          <w:p>
            <w:pPr>
              <w:ind w:left="200"/>
              <w:spacing w:after="0"/>
              <w:rPr>
                <w:sz w:val="20"/>
                <w:szCs w:val="20"/>
                <w:color w:val="auto"/>
              </w:rPr>
            </w:pPr>
            <w:r>
              <w:rPr>
                <w:rFonts w:ascii="Arial" w:cs="Arial" w:eastAsia="Arial" w:hAnsi="Arial"/>
                <w:sz w:val="16"/>
                <w:szCs w:val="16"/>
                <w:color w:val="auto"/>
              </w:rPr>
              <w:t xml:space="preserve">Executive Officer, Exelon Utilities </w:t>
            </w:r>
            <w:r>
              <w:rPr>
                <w:rFonts w:ascii="Arial" w:cs="Arial" w:eastAsia="Arial" w:hAnsi="Arial"/>
                <w:sz w:val="16"/>
                <w:szCs w:val="16"/>
                <w:color w:val="3A5CFF"/>
              </w:rPr>
              <w:t>(2019 – 2022)</w:t>
            </w:r>
          </w:p>
        </w:tc>
        <w:tc>
          <w:tcPr>
            <w:tcW w:w="3960" w:type="dxa"/>
            <w:vAlign w:val="bottom"/>
            <w:vMerge w:val="restart"/>
          </w:tcPr>
          <w:p>
            <w:pPr>
              <w:ind w:left="200"/>
              <w:spacing w:after="0"/>
              <w:rPr>
                <w:sz w:val="20"/>
                <w:szCs w:val="20"/>
                <w:color w:val="auto"/>
              </w:rPr>
            </w:pPr>
            <w:r>
              <w:rPr>
                <w:rFonts w:ascii="Arial" w:cs="Arial" w:eastAsia="Arial" w:hAnsi="Arial"/>
                <w:sz w:val="16"/>
                <w:szCs w:val="16"/>
                <w:b w:val="1"/>
                <w:bCs w:val="1"/>
                <w:color w:val="170D67"/>
              </w:rPr>
              <w:t xml:space="preserve">• </w:t>
            </w:r>
            <w:r>
              <w:rPr>
                <w:rFonts w:ascii="Arial" w:cs="Arial" w:eastAsia="Arial" w:hAnsi="Arial"/>
                <w:sz w:val="16"/>
                <w:szCs w:val="16"/>
                <w:color w:val="000000"/>
              </w:rPr>
              <w:t>Member, Civic Committee of the Commercial Club</w:t>
            </w:r>
          </w:p>
        </w:tc>
        <w:tc>
          <w:tcPr>
            <w:tcW w:w="0" w:type="dxa"/>
            <w:vAlign w:val="bottom"/>
          </w:tcPr>
          <w:p>
            <w:pPr>
              <w:spacing w:after="0"/>
              <w:rPr>
                <w:sz w:val="1"/>
                <w:szCs w:val="1"/>
                <w:color w:val="auto"/>
              </w:rPr>
            </w:pPr>
          </w:p>
        </w:tc>
      </w:tr>
      <w:tr>
        <w:trPr>
          <w:trHeight w:val="109"/>
        </w:trPr>
        <w:tc>
          <w:tcPr>
            <w:tcW w:w="3780" w:type="dxa"/>
            <w:vAlign w:val="bottom"/>
            <w:vMerge w:val="restart"/>
          </w:tcPr>
          <w:p>
            <w:pPr>
              <w:spacing w:after="0"/>
              <w:rPr>
                <w:sz w:val="20"/>
                <w:szCs w:val="20"/>
                <w:color w:val="auto"/>
              </w:rPr>
            </w:pPr>
            <w:r>
              <w:rPr>
                <w:rFonts w:ascii="Arial" w:cs="Arial" w:eastAsia="Arial" w:hAnsi="Arial"/>
                <w:sz w:val="16"/>
                <w:szCs w:val="16"/>
                <w:b w:val="1"/>
                <w:bCs w:val="1"/>
                <w:color w:val="170D67"/>
              </w:rPr>
              <w:t xml:space="preserve">• </w:t>
            </w:r>
            <w:r>
              <w:rPr>
                <w:rFonts w:ascii="Arial" w:cs="Arial" w:eastAsia="Arial" w:hAnsi="Arial"/>
                <w:sz w:val="16"/>
                <w:szCs w:val="16"/>
                <w:color w:val="000000"/>
              </w:rPr>
              <w:t>Chief Executive Officer, Baltimore Gas and</w:t>
            </w:r>
          </w:p>
        </w:tc>
        <w:tc>
          <w:tcPr>
            <w:tcW w:w="3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3780" w:type="dxa"/>
            <w:vAlign w:val="bottom"/>
            <w:vMerge w:val="continue"/>
          </w:tcPr>
          <w:p>
            <w:pPr>
              <w:spacing w:after="0"/>
              <w:rPr>
                <w:sz w:val="15"/>
                <w:szCs w:val="15"/>
                <w:color w:val="auto"/>
              </w:rPr>
            </w:pPr>
          </w:p>
        </w:tc>
        <w:tc>
          <w:tcPr>
            <w:tcW w:w="3960" w:type="dxa"/>
            <w:vAlign w:val="bottom"/>
          </w:tcPr>
          <w:p>
            <w:pPr>
              <w:ind w:left="400"/>
              <w:spacing w:after="0" w:line="175" w:lineRule="exact"/>
              <w:rPr>
                <w:sz w:val="20"/>
                <w:szCs w:val="20"/>
                <w:color w:val="auto"/>
              </w:rPr>
            </w:pPr>
            <w:r>
              <w:rPr>
                <w:rFonts w:ascii="Arial" w:cs="Arial" w:eastAsia="Arial" w:hAnsi="Arial"/>
                <w:sz w:val="16"/>
                <w:szCs w:val="16"/>
                <w:color w:val="auto"/>
              </w:rPr>
              <w:t>of Chicago</w:t>
            </w:r>
          </w:p>
        </w:tc>
        <w:tc>
          <w:tcPr>
            <w:tcW w:w="0" w:type="dxa"/>
            <w:vAlign w:val="bottom"/>
          </w:tcPr>
          <w:p>
            <w:pPr>
              <w:spacing w:after="0"/>
              <w:rPr>
                <w:sz w:val="1"/>
                <w:szCs w:val="1"/>
                <w:color w:val="auto"/>
              </w:rPr>
            </w:pPr>
          </w:p>
        </w:tc>
      </w:tr>
      <w:tr>
        <w:trPr>
          <w:trHeight w:val="215"/>
        </w:trPr>
        <w:tc>
          <w:tcPr>
            <w:tcW w:w="3780" w:type="dxa"/>
            <w:vAlign w:val="bottom"/>
          </w:tcPr>
          <w:p>
            <w:pPr>
              <w:ind w:left="200"/>
              <w:spacing w:after="0"/>
              <w:rPr>
                <w:sz w:val="20"/>
                <w:szCs w:val="20"/>
                <w:color w:val="auto"/>
              </w:rPr>
            </w:pPr>
            <w:r>
              <w:rPr>
                <w:rFonts w:ascii="Arial" w:cs="Arial" w:eastAsia="Arial" w:hAnsi="Arial"/>
                <w:sz w:val="16"/>
                <w:szCs w:val="16"/>
                <w:color w:val="auto"/>
              </w:rPr>
              <w:t xml:space="preserve">Electric Company </w:t>
            </w:r>
            <w:r>
              <w:rPr>
                <w:rFonts w:ascii="Arial" w:cs="Arial" w:eastAsia="Arial" w:hAnsi="Arial"/>
                <w:sz w:val="16"/>
                <w:szCs w:val="16"/>
                <w:color w:val="3A5CFF"/>
              </w:rPr>
              <w:t>(2014 – 2019)</w:t>
            </w:r>
          </w:p>
        </w:tc>
        <w:tc>
          <w:tcPr>
            <w:tcW w:w="3960" w:type="dxa"/>
            <w:vAlign w:val="bottom"/>
            <w:vMerge w:val="restart"/>
          </w:tcPr>
          <w:p>
            <w:pPr>
              <w:ind w:left="200"/>
              <w:spacing w:after="0"/>
              <w:rPr>
                <w:sz w:val="20"/>
                <w:szCs w:val="20"/>
                <w:color w:val="auto"/>
              </w:rPr>
            </w:pPr>
            <w:r>
              <w:rPr>
                <w:rFonts w:ascii="Arial" w:cs="Arial" w:eastAsia="Arial" w:hAnsi="Arial"/>
                <w:sz w:val="16"/>
                <w:szCs w:val="16"/>
                <w:b w:val="1"/>
                <w:bCs w:val="1"/>
                <w:color w:val="170D67"/>
              </w:rPr>
              <w:t xml:space="preserve">• </w:t>
            </w:r>
            <w:r>
              <w:rPr>
                <w:rFonts w:ascii="Arial" w:cs="Arial" w:eastAsia="Arial" w:hAnsi="Arial"/>
                <w:sz w:val="16"/>
                <w:szCs w:val="16"/>
                <w:color w:val="000000"/>
              </w:rPr>
              <w:t>Director, Economic Club of Chicago</w:t>
            </w:r>
          </w:p>
        </w:tc>
        <w:tc>
          <w:tcPr>
            <w:tcW w:w="0" w:type="dxa"/>
            <w:vAlign w:val="bottom"/>
          </w:tcPr>
          <w:p>
            <w:pPr>
              <w:spacing w:after="0"/>
              <w:rPr>
                <w:sz w:val="1"/>
                <w:szCs w:val="1"/>
                <w:color w:val="auto"/>
              </w:rPr>
            </w:pPr>
          </w:p>
        </w:tc>
      </w:tr>
      <w:tr>
        <w:trPr>
          <w:trHeight w:val="116"/>
        </w:trPr>
        <w:tc>
          <w:tcPr>
            <w:tcW w:w="3780" w:type="dxa"/>
            <w:vAlign w:val="bottom"/>
          </w:tcPr>
          <w:p>
            <w:pPr>
              <w:spacing w:after="0"/>
              <w:rPr>
                <w:sz w:val="10"/>
                <w:szCs w:val="10"/>
                <w:color w:val="auto"/>
              </w:rPr>
            </w:pPr>
          </w:p>
        </w:tc>
        <w:tc>
          <w:tcPr>
            <w:tcW w:w="3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3780" w:type="dxa"/>
            <w:vAlign w:val="bottom"/>
          </w:tcPr>
          <w:p>
            <w:pPr>
              <w:spacing w:after="0"/>
              <w:rPr>
                <w:sz w:val="24"/>
                <w:szCs w:val="24"/>
                <w:color w:val="auto"/>
              </w:rPr>
            </w:pPr>
          </w:p>
        </w:tc>
        <w:tc>
          <w:tcPr>
            <w:tcW w:w="3960" w:type="dxa"/>
            <w:vAlign w:val="bottom"/>
          </w:tcPr>
          <w:p>
            <w:pPr>
              <w:ind w:left="200"/>
              <w:spacing w:after="0"/>
              <w:rPr>
                <w:sz w:val="20"/>
                <w:szCs w:val="20"/>
                <w:color w:val="auto"/>
              </w:rPr>
            </w:pPr>
            <w:r>
              <w:rPr>
                <w:rFonts w:ascii="Arial" w:cs="Arial" w:eastAsia="Arial" w:hAnsi="Arial"/>
                <w:sz w:val="16"/>
                <w:szCs w:val="16"/>
                <w:b w:val="1"/>
                <w:bCs w:val="1"/>
                <w:color w:val="170D67"/>
              </w:rPr>
              <w:t xml:space="preserve">• </w:t>
            </w:r>
            <w:r>
              <w:rPr>
                <w:rFonts w:ascii="Arial" w:cs="Arial" w:eastAsia="Arial" w:hAnsi="Arial"/>
                <w:sz w:val="16"/>
                <w:szCs w:val="16"/>
                <w:color w:val="000000"/>
              </w:rPr>
              <w:t>Director, Chief Executives for Corporate Purpose</w:t>
            </w:r>
          </w:p>
        </w:tc>
        <w:tc>
          <w:tcPr>
            <w:tcW w:w="0" w:type="dxa"/>
            <w:vAlign w:val="bottom"/>
          </w:tcPr>
          <w:p>
            <w:pPr>
              <w:spacing w:after="0"/>
              <w:rPr>
                <w:sz w:val="1"/>
                <w:szCs w:val="1"/>
                <w:color w:val="auto"/>
              </w:rPr>
            </w:pPr>
          </w:p>
        </w:tc>
      </w:tr>
      <w:tr>
        <w:trPr>
          <w:trHeight w:val="263"/>
        </w:trPr>
        <w:tc>
          <w:tcPr>
            <w:tcW w:w="3780" w:type="dxa"/>
            <w:vAlign w:val="bottom"/>
          </w:tcPr>
          <w:p>
            <w:pPr>
              <w:spacing w:after="0"/>
              <w:rPr>
                <w:sz w:val="22"/>
                <w:szCs w:val="22"/>
                <w:color w:val="auto"/>
              </w:rPr>
            </w:pPr>
          </w:p>
        </w:tc>
        <w:tc>
          <w:tcPr>
            <w:tcW w:w="3960" w:type="dxa"/>
            <w:vAlign w:val="bottom"/>
          </w:tcPr>
          <w:p>
            <w:pPr>
              <w:ind w:left="200"/>
              <w:spacing w:after="0"/>
              <w:rPr>
                <w:sz w:val="20"/>
                <w:szCs w:val="20"/>
                <w:color w:val="auto"/>
              </w:rPr>
            </w:pPr>
            <w:r>
              <w:rPr>
                <w:rFonts w:ascii="Arial" w:cs="Arial" w:eastAsia="Arial" w:hAnsi="Arial"/>
                <w:sz w:val="16"/>
                <w:szCs w:val="16"/>
                <w:b w:val="1"/>
                <w:bCs w:val="1"/>
                <w:color w:val="170D67"/>
              </w:rPr>
              <w:t xml:space="preserve">• </w:t>
            </w:r>
            <w:r>
              <w:rPr>
                <w:rFonts w:ascii="Arial" w:cs="Arial" w:eastAsia="Arial" w:hAnsi="Arial"/>
                <w:sz w:val="16"/>
                <w:szCs w:val="16"/>
                <w:color w:val="000000"/>
              </w:rPr>
              <w:t>Trustee, Library of Congress, James Madison</w:t>
            </w:r>
          </w:p>
        </w:tc>
        <w:tc>
          <w:tcPr>
            <w:tcW w:w="0" w:type="dxa"/>
            <w:vAlign w:val="bottom"/>
          </w:tcPr>
          <w:p>
            <w:pPr>
              <w:spacing w:after="0"/>
              <w:rPr>
                <w:sz w:val="1"/>
                <w:szCs w:val="1"/>
                <w:color w:val="auto"/>
              </w:rPr>
            </w:pPr>
          </w:p>
        </w:tc>
      </w:tr>
      <w:tr>
        <w:trPr>
          <w:trHeight w:val="215"/>
        </w:trPr>
        <w:tc>
          <w:tcPr>
            <w:tcW w:w="3780" w:type="dxa"/>
            <w:vAlign w:val="bottom"/>
          </w:tcPr>
          <w:p>
            <w:pPr>
              <w:spacing w:after="0"/>
              <w:rPr>
                <w:sz w:val="18"/>
                <w:szCs w:val="18"/>
                <w:color w:val="auto"/>
              </w:rPr>
            </w:pPr>
          </w:p>
        </w:tc>
        <w:tc>
          <w:tcPr>
            <w:tcW w:w="3960" w:type="dxa"/>
            <w:vAlign w:val="bottom"/>
          </w:tcPr>
          <w:p>
            <w:pPr>
              <w:ind w:left="400"/>
              <w:spacing w:after="0"/>
              <w:rPr>
                <w:sz w:val="20"/>
                <w:szCs w:val="20"/>
                <w:color w:val="auto"/>
              </w:rPr>
            </w:pPr>
            <w:r>
              <w:rPr>
                <w:rFonts w:ascii="Arial" w:cs="Arial" w:eastAsia="Arial" w:hAnsi="Arial"/>
                <w:sz w:val="16"/>
                <w:szCs w:val="16"/>
                <w:color w:val="auto"/>
              </w:rPr>
              <w:t>Council</w:t>
            </w:r>
          </w:p>
        </w:tc>
        <w:tc>
          <w:tcPr>
            <w:tcW w:w="0" w:type="dxa"/>
            <w:vAlign w:val="bottom"/>
          </w:tcPr>
          <w:p>
            <w:pPr>
              <w:spacing w:after="0"/>
              <w:rPr>
                <w:sz w:val="1"/>
                <w:szCs w:val="1"/>
                <w:color w:val="auto"/>
              </w:rPr>
            </w:pPr>
          </w:p>
        </w:tc>
      </w:tr>
      <w:tr>
        <w:trPr>
          <w:trHeight w:val="291"/>
        </w:trPr>
        <w:tc>
          <w:tcPr>
            <w:tcW w:w="3780" w:type="dxa"/>
            <w:vAlign w:val="bottom"/>
          </w:tcPr>
          <w:p>
            <w:pPr>
              <w:spacing w:after="0"/>
              <w:rPr>
                <w:sz w:val="24"/>
                <w:szCs w:val="24"/>
                <w:color w:val="auto"/>
              </w:rPr>
            </w:pPr>
          </w:p>
        </w:tc>
        <w:tc>
          <w:tcPr>
            <w:tcW w:w="3960" w:type="dxa"/>
            <w:vAlign w:val="bottom"/>
          </w:tcPr>
          <w:p>
            <w:pPr>
              <w:ind w:left="200"/>
              <w:spacing w:after="0"/>
              <w:rPr>
                <w:sz w:val="20"/>
                <w:szCs w:val="20"/>
                <w:color w:val="auto"/>
              </w:rPr>
            </w:pPr>
            <w:r>
              <w:rPr>
                <w:rFonts w:ascii="Arial" w:cs="Arial" w:eastAsia="Arial" w:hAnsi="Arial"/>
                <w:sz w:val="16"/>
                <w:szCs w:val="16"/>
                <w:b w:val="1"/>
                <w:bCs w:val="1"/>
                <w:color w:val="170D67"/>
              </w:rPr>
              <w:t xml:space="preserve">• </w:t>
            </w:r>
            <w:r>
              <w:rPr>
                <w:rFonts w:ascii="Arial" w:cs="Arial" w:eastAsia="Arial" w:hAnsi="Arial"/>
                <w:sz w:val="16"/>
                <w:szCs w:val="16"/>
                <w:color w:val="000000"/>
              </w:rPr>
              <w:t>Director, Battelle Memorial Institute</w:t>
            </w:r>
          </w:p>
        </w:tc>
        <w:tc>
          <w:tcPr>
            <w:tcW w:w="0" w:type="dxa"/>
            <w:vAlign w:val="bottom"/>
          </w:tcPr>
          <w:p>
            <w:pPr>
              <w:spacing w:after="0"/>
              <w:rPr>
                <w:sz w:val="1"/>
                <w:szCs w:val="1"/>
                <w:color w:val="auto"/>
              </w:rPr>
            </w:pPr>
          </w:p>
        </w:tc>
      </w:tr>
      <w:tr>
        <w:trPr>
          <w:trHeight w:val="284"/>
        </w:trPr>
        <w:tc>
          <w:tcPr>
            <w:tcW w:w="3780" w:type="dxa"/>
            <w:vAlign w:val="bottom"/>
          </w:tcPr>
          <w:p>
            <w:pPr>
              <w:spacing w:after="0"/>
              <w:rPr>
                <w:sz w:val="24"/>
                <w:szCs w:val="24"/>
                <w:color w:val="auto"/>
              </w:rPr>
            </w:pPr>
          </w:p>
        </w:tc>
        <w:tc>
          <w:tcPr>
            <w:tcW w:w="3960" w:type="dxa"/>
            <w:vAlign w:val="bottom"/>
          </w:tcPr>
          <w:p>
            <w:pPr>
              <w:ind w:left="200"/>
              <w:spacing w:after="0"/>
              <w:rPr>
                <w:sz w:val="20"/>
                <w:szCs w:val="20"/>
                <w:color w:val="auto"/>
              </w:rPr>
            </w:pPr>
            <w:r>
              <w:rPr>
                <w:rFonts w:ascii="Arial" w:cs="Arial" w:eastAsia="Arial" w:hAnsi="Arial"/>
                <w:sz w:val="16"/>
                <w:szCs w:val="16"/>
                <w:b w:val="1"/>
                <w:bCs w:val="1"/>
                <w:color w:val="170D67"/>
              </w:rPr>
              <w:t xml:space="preserve">• </w:t>
            </w:r>
            <w:r>
              <w:rPr>
                <w:rFonts w:ascii="Arial" w:cs="Arial" w:eastAsia="Arial" w:hAnsi="Arial"/>
                <w:sz w:val="16"/>
                <w:szCs w:val="16"/>
                <w:color w:val="000000"/>
              </w:rPr>
              <w:t>Director, Argonne National Library</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700" w:space="660"/>
            <w:col w:w="78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780"/>
              <w:spacing w:after="0"/>
              <w:rPr>
                <w:sz w:val="20"/>
                <w:szCs w:val="20"/>
                <w:color w:val="auto"/>
              </w:rPr>
            </w:pPr>
            <w:r>
              <w:rPr>
                <w:rFonts w:ascii="Arial" w:cs="Arial" w:eastAsia="Arial" w:hAnsi="Arial"/>
                <w:sz w:val="14"/>
                <w:szCs w:val="14"/>
                <w:color w:val="auto"/>
              </w:rPr>
              <w:t>2025 ׀ Exelon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19</w:t>
            </w:r>
          </w:p>
        </w:tc>
      </w:tr>
      <w:tr>
        <w:trPr>
          <w:trHeight w:val="211"/>
        </w:trPr>
        <w:tc>
          <w:tcPr>
            <w:tcW w:w="109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3"/>
          <w:szCs w:val="13"/>
          <w:b w:val="1"/>
          <w:bCs w:val="1"/>
          <w:color w:val="auto"/>
        </w:rPr>
        <w:t>Board and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619760</wp:posOffset>
            </wp:positionV>
            <wp:extent cx="7115175" cy="31629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15175" cy="316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3A5CFF"/>
        </w:rPr>
        <w:t>W. Paul Bowers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-61595</wp:posOffset>
            </wp:positionV>
            <wp:extent cx="1543050" cy="8655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clrChange>
                        <a:clrFrom>
                          <a:srgbClr val="000000"/>
                        </a:clrFrom>
                        <a:clrTo>
                          <a:srgbClr val="000000">
                            <a:alpha val="0"/>
                          </a:srgbClr>
                        </a:clrTo>
                      </a:clrChange>
                      <a:extLst>
                        <a:ext uri="{28A0092B-C50C-407E-A947-70E740481C1C}"/>
                      </a:extLst>
                    </a:blip>
                    <a:srcRect/>
                    <a:stretch>
                      <a:fillRect/>
                    </a:stretch>
                  </pic:blipFill>
                  <pic:spPr bwMode="auto">
                    <a:xfrm>
                      <a:off x="0" y="0"/>
                      <a:ext cx="1543050" cy="8655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-61595</wp:posOffset>
            </wp:positionV>
            <wp:extent cx="1543050" cy="8655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1543050" cy="865505"/>
                    </a:xfrm>
                    <a:prstGeom prst="rect">
                      <a:avLst/>
                    </a:prstGeom>
                    <a:noFill/>
                  </pic:spPr>
                </pic:pic>
              </a:graphicData>
            </a:graphic>
          </wp:anchor>
        </w:drawing>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5"/>
          <w:szCs w:val="15"/>
          <w:b w:val="1"/>
          <w:bCs w:val="1"/>
          <w:color w:val="00E4A5"/>
        </w:rPr>
        <w:t>INDEPENDENT</w:t>
      </w:r>
    </w:p>
    <w:p>
      <w:pPr>
        <w:spacing w:after="0" w:line="25"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6E06C1"/>
        </w:rPr>
        <w:t>BOARD CHAIR ELECT*</w:t>
      </w:r>
    </w:p>
    <w:p>
      <w:pPr>
        <w:spacing w:after="0" w:line="111" w:lineRule="exact"/>
        <w:rPr>
          <w:sz w:val="20"/>
          <w:szCs w:val="20"/>
          <w:color w:val="auto"/>
        </w:rPr>
      </w:pPr>
    </w:p>
    <w:p>
      <w:pPr>
        <w:ind w:left="3380"/>
        <w:spacing w:after="0" w:line="287" w:lineRule="auto"/>
        <w:rPr>
          <w:sz w:val="20"/>
          <w:szCs w:val="20"/>
          <w:color w:val="auto"/>
        </w:rPr>
      </w:pPr>
      <w:r>
        <w:rPr>
          <w:rFonts w:ascii="Arial" w:cs="Arial" w:eastAsia="Arial" w:hAnsi="Arial"/>
          <w:sz w:val="16"/>
          <w:szCs w:val="16"/>
          <w:color w:val="auto"/>
        </w:rPr>
        <w:t>Mr. Bowers’ extensive experience in the utilities industry as well as broad financial knowledge and business success bring great value to his service on the Board. His background serving as both a CEO and a CFO gives him a unique perspective on long-term strategy, corporate development, leadership, development, regulatory experience, and risk management. Additionally, Mr. Bowers’ public and private company board experience brings valuable insights and perspectives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-3175</wp:posOffset>
            </wp:positionV>
            <wp:extent cx="498919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p>
      <w:pPr>
        <w:spacing w:after="0" w:line="110"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68</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auto"/>
        </w:rPr>
        <w:t>July 2021</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Committees:</w:t>
      </w:r>
    </w:p>
    <w:p>
      <w:pPr>
        <w:spacing w:after="0" w:line="60" w:lineRule="exact"/>
        <w:rPr>
          <w:sz w:val="20"/>
          <w:szCs w:val="20"/>
          <w:color w:val="auto"/>
        </w:rPr>
      </w:pPr>
    </w:p>
    <w:p>
      <w:pPr>
        <w:ind w:left="200" w:hanging="174"/>
        <w:spacing w:after="0"/>
        <w:tabs>
          <w:tab w:leader="none" w:pos="200" w:val="left"/>
        </w:tabs>
        <w:numPr>
          <w:ilvl w:val="0"/>
          <w:numId w:val="29"/>
        </w:numPr>
        <w:rPr>
          <w:rFonts w:ascii="Arial" w:cs="Arial" w:eastAsia="Arial" w:hAnsi="Arial"/>
          <w:sz w:val="16"/>
          <w:szCs w:val="16"/>
          <w:b w:val="1"/>
          <w:bCs w:val="1"/>
          <w:color w:val="170D67"/>
        </w:rPr>
      </w:pPr>
      <w:r>
        <w:rPr>
          <w:rFonts w:ascii="Arial" w:cs="Arial" w:eastAsia="Arial" w:hAnsi="Arial"/>
          <w:sz w:val="16"/>
          <w:szCs w:val="16"/>
          <w:b w:val="1"/>
          <w:bCs w:val="1"/>
          <w:color w:val="auto"/>
        </w:rPr>
        <w:t xml:space="preserve">ARC, </w:t>
      </w:r>
      <w:r>
        <w:rPr>
          <w:rFonts w:ascii="Arial" w:cs="Arial" w:eastAsia="Arial" w:hAnsi="Arial"/>
          <w:sz w:val="16"/>
          <w:szCs w:val="16"/>
          <w:b w:val="1"/>
          <w:bCs w:val="1"/>
          <w:color w:val="3A5CFF"/>
        </w:rPr>
        <w:t>Chair</w:t>
      </w:r>
    </w:p>
    <w:p>
      <w:pPr>
        <w:spacing w:after="0" w:line="59" w:lineRule="exact"/>
        <w:rPr>
          <w:rFonts w:ascii="Arial" w:cs="Arial" w:eastAsia="Arial" w:hAnsi="Arial"/>
          <w:sz w:val="16"/>
          <w:szCs w:val="16"/>
          <w:b w:val="1"/>
          <w:bCs w:val="1"/>
          <w:color w:val="170D67"/>
        </w:rPr>
      </w:pPr>
    </w:p>
    <w:p>
      <w:pPr>
        <w:ind w:left="200" w:hanging="174"/>
        <w:spacing w:after="0"/>
        <w:tabs>
          <w:tab w:leader="none" w:pos="200" w:val="left"/>
        </w:tabs>
        <w:numPr>
          <w:ilvl w:val="0"/>
          <w:numId w:val="29"/>
        </w:numPr>
        <w:rPr>
          <w:rFonts w:ascii="Arial" w:cs="Arial" w:eastAsia="Arial" w:hAnsi="Arial"/>
          <w:sz w:val="16"/>
          <w:szCs w:val="16"/>
          <w:b w:val="1"/>
          <w:bCs w:val="1"/>
          <w:color w:val="170D67"/>
        </w:rPr>
      </w:pPr>
      <w:r>
        <w:rPr>
          <w:rFonts w:ascii="Arial" w:cs="Arial" w:eastAsia="Arial" w:hAnsi="Arial"/>
          <w:sz w:val="16"/>
          <w:szCs w:val="16"/>
          <w:b w:val="1"/>
          <w:bCs w:val="1"/>
          <w:color w:val="auto"/>
        </w:rPr>
        <w:t>CGC</w:t>
      </w:r>
    </w:p>
    <w:p>
      <w:pPr>
        <w:spacing w:after="0" w:line="59" w:lineRule="exact"/>
        <w:rPr>
          <w:rFonts w:ascii="Arial" w:cs="Arial" w:eastAsia="Arial" w:hAnsi="Arial"/>
          <w:sz w:val="16"/>
          <w:szCs w:val="16"/>
          <w:b w:val="1"/>
          <w:bCs w:val="1"/>
          <w:color w:val="170D67"/>
        </w:rPr>
      </w:pPr>
    </w:p>
    <w:p>
      <w:pPr>
        <w:ind w:left="200" w:hanging="174"/>
        <w:spacing w:after="0"/>
        <w:tabs>
          <w:tab w:leader="none" w:pos="200" w:val="left"/>
        </w:tabs>
        <w:numPr>
          <w:ilvl w:val="0"/>
          <w:numId w:val="29"/>
        </w:numPr>
        <w:rPr>
          <w:rFonts w:ascii="Arial" w:cs="Arial" w:eastAsia="Arial" w:hAnsi="Arial"/>
          <w:sz w:val="16"/>
          <w:szCs w:val="16"/>
          <w:b w:val="1"/>
          <w:bCs w:val="1"/>
          <w:color w:val="232B79"/>
        </w:rPr>
      </w:pPr>
      <w:r>
        <w:rPr>
          <w:rFonts w:ascii="Arial" w:cs="Arial" w:eastAsia="Arial" w:hAnsi="Arial"/>
          <w:sz w:val="16"/>
          <w:szCs w:val="16"/>
          <w:b w:val="1"/>
          <w:bCs w:val="1"/>
          <w:color w:val="auto"/>
        </w:rPr>
        <w:t>OSCC</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Other Current Public Boards: </w:t>
      </w:r>
      <w:r>
        <w:rPr>
          <w:rFonts w:ascii="Arial" w:cs="Arial" w:eastAsia="Arial" w:hAnsi="Arial"/>
          <w:sz w:val="15"/>
          <w:szCs w:val="15"/>
          <w:b w:val="1"/>
          <w:bCs w:val="1"/>
          <w:color w:val="auto"/>
        </w:rPr>
        <w:t>1</w:t>
      </w:r>
    </w:p>
    <w:p>
      <w:pPr>
        <w:spacing w:after="0" w:line="49" w:lineRule="exact"/>
        <w:rPr>
          <w:sz w:val="20"/>
          <w:szCs w:val="20"/>
          <w:color w:val="auto"/>
        </w:rPr>
      </w:pPr>
    </w:p>
    <w:p>
      <w:pPr>
        <w:ind w:left="200" w:hanging="174"/>
        <w:spacing w:after="0"/>
        <w:tabs>
          <w:tab w:leader="none" w:pos="200" w:val="left"/>
        </w:tabs>
        <w:numPr>
          <w:ilvl w:val="0"/>
          <w:numId w:val="30"/>
        </w:numPr>
        <w:rPr>
          <w:rFonts w:ascii="Arial" w:cs="Arial" w:eastAsia="Arial" w:hAnsi="Arial"/>
          <w:sz w:val="15"/>
          <w:szCs w:val="15"/>
          <w:b w:val="1"/>
          <w:bCs w:val="1"/>
          <w:color w:val="232B79"/>
        </w:rPr>
      </w:pPr>
      <w:r>
        <w:rPr>
          <w:rFonts w:ascii="Arial" w:cs="Arial" w:eastAsia="Arial" w:hAnsi="Arial"/>
          <w:sz w:val="16"/>
          <w:szCs w:val="16"/>
          <w:color w:val="auto"/>
        </w:rPr>
        <w:t>AFLAC (AFL)</w:t>
      </w:r>
    </w:p>
    <w:p>
      <w:pPr>
        <w:spacing w:after="0" w:line="150" w:lineRule="exact"/>
        <w:rPr>
          <w:sz w:val="20"/>
          <w:szCs w:val="20"/>
          <w:color w:val="auto"/>
        </w:rPr>
      </w:pPr>
    </w:p>
    <w:p>
      <w:pPr>
        <w:ind w:left="20"/>
        <w:spacing w:after="0" w:line="320" w:lineRule="auto"/>
        <w:rPr>
          <w:sz w:val="20"/>
          <w:szCs w:val="20"/>
          <w:color w:val="auto"/>
        </w:rPr>
      </w:pPr>
      <w:r>
        <w:rPr>
          <w:rFonts w:ascii="Arial" w:cs="Arial" w:eastAsia="Arial" w:hAnsi="Arial"/>
          <w:sz w:val="15"/>
          <w:szCs w:val="15"/>
          <w:color w:val="auto"/>
        </w:rPr>
        <w:t>*If re-elected, Mr. Bowers will assume the role of Board Chair as of April 29, 2025.</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333333"/>
        </w:rPr>
        <w:t>Career Highlights</w:t>
      </w:r>
    </w:p>
    <w:p>
      <w:pPr>
        <w:spacing w:after="0" w:line="100" w:lineRule="exact"/>
        <w:rPr>
          <w:sz w:val="20"/>
          <w:szCs w:val="20"/>
          <w:color w:val="auto"/>
        </w:rPr>
      </w:pPr>
    </w:p>
    <w:p>
      <w:pPr>
        <w:ind w:left="186" w:right="100" w:hanging="186"/>
        <w:spacing w:after="0" w:line="316" w:lineRule="auto"/>
        <w:tabs>
          <w:tab w:leader="none" w:pos="156" w:val="left"/>
        </w:tabs>
        <w:numPr>
          <w:ilvl w:val="0"/>
          <w:numId w:val="31"/>
        </w:numPr>
        <w:rPr>
          <w:rFonts w:ascii="Arial" w:cs="Arial" w:eastAsia="Arial" w:hAnsi="Arial"/>
          <w:sz w:val="16"/>
          <w:szCs w:val="16"/>
          <w:b w:val="1"/>
          <w:bCs w:val="1"/>
          <w:color w:val="170D67"/>
        </w:rPr>
      </w:pPr>
      <w:r>
        <w:rPr>
          <w:rFonts w:ascii="Arial" w:cs="Arial" w:eastAsia="Arial" w:hAnsi="Arial"/>
          <w:sz w:val="16"/>
          <w:szCs w:val="16"/>
          <w:color w:val="auto"/>
        </w:rPr>
        <w:t xml:space="preserve">Chair and Chief Executive Officer, Georgia Power Company </w:t>
      </w:r>
      <w:r>
        <w:rPr>
          <w:rFonts w:ascii="Arial" w:cs="Arial" w:eastAsia="Arial" w:hAnsi="Arial"/>
          <w:sz w:val="16"/>
          <w:szCs w:val="16"/>
          <w:color w:val="3A5CFF"/>
        </w:rPr>
        <w:t>(2011 – 2021) (Retired)</w:t>
      </w:r>
    </w:p>
    <w:p>
      <w:pPr>
        <w:spacing w:after="0" w:line="1" w:lineRule="exact"/>
        <w:rPr>
          <w:rFonts w:ascii="Arial" w:cs="Arial" w:eastAsia="Arial" w:hAnsi="Arial"/>
          <w:sz w:val="16"/>
          <w:szCs w:val="16"/>
          <w:b w:val="1"/>
          <w:bCs w:val="1"/>
          <w:color w:val="170D67"/>
        </w:rPr>
      </w:pPr>
    </w:p>
    <w:p>
      <w:pPr>
        <w:ind w:left="166" w:hanging="166"/>
        <w:spacing w:after="0"/>
        <w:tabs>
          <w:tab w:leader="none" w:pos="166" w:val="left"/>
        </w:tabs>
        <w:numPr>
          <w:ilvl w:val="0"/>
          <w:numId w:val="31"/>
        </w:numPr>
        <w:rPr>
          <w:rFonts w:ascii="Arial" w:cs="Arial" w:eastAsia="Arial" w:hAnsi="Arial"/>
          <w:sz w:val="16"/>
          <w:szCs w:val="16"/>
          <w:b w:val="1"/>
          <w:bCs w:val="1"/>
          <w:color w:val="170D67"/>
        </w:rPr>
      </w:pPr>
      <w:r>
        <w:rPr>
          <w:rFonts w:ascii="Arial" w:cs="Arial" w:eastAsia="Arial" w:hAnsi="Arial"/>
          <w:sz w:val="16"/>
          <w:szCs w:val="16"/>
          <w:color w:val="auto"/>
        </w:rPr>
        <w:t xml:space="preserve">President, Georgia Power Company </w:t>
      </w:r>
      <w:r>
        <w:rPr>
          <w:rFonts w:ascii="Arial" w:cs="Arial" w:eastAsia="Arial" w:hAnsi="Arial"/>
          <w:sz w:val="16"/>
          <w:szCs w:val="16"/>
          <w:color w:val="3A5CFF"/>
        </w:rPr>
        <w:t>(2011 – 2020)</w:t>
      </w:r>
    </w:p>
    <w:p>
      <w:pPr>
        <w:spacing w:after="0" w:line="99" w:lineRule="exact"/>
        <w:rPr>
          <w:rFonts w:ascii="Arial" w:cs="Arial" w:eastAsia="Arial" w:hAnsi="Arial"/>
          <w:sz w:val="16"/>
          <w:szCs w:val="16"/>
          <w:b w:val="1"/>
          <w:bCs w:val="1"/>
          <w:color w:val="170D67"/>
        </w:rPr>
      </w:pPr>
    </w:p>
    <w:p>
      <w:pPr>
        <w:ind w:left="186" w:hanging="186"/>
        <w:spacing w:after="0" w:line="321" w:lineRule="auto"/>
        <w:tabs>
          <w:tab w:leader="none" w:pos="156" w:val="left"/>
        </w:tabs>
        <w:numPr>
          <w:ilvl w:val="0"/>
          <w:numId w:val="31"/>
        </w:numPr>
        <w:rPr>
          <w:rFonts w:ascii="Arial" w:cs="Arial" w:eastAsia="Arial" w:hAnsi="Arial"/>
          <w:sz w:val="16"/>
          <w:szCs w:val="16"/>
          <w:b w:val="1"/>
          <w:bCs w:val="1"/>
          <w:color w:val="170D67"/>
        </w:rPr>
      </w:pPr>
      <w:r>
        <w:rPr>
          <w:rFonts w:ascii="Arial" w:cs="Arial" w:eastAsia="Arial" w:hAnsi="Arial"/>
          <w:sz w:val="16"/>
          <w:szCs w:val="16"/>
          <w:color w:val="auto"/>
        </w:rPr>
        <w:t xml:space="preserve">Chief Financial Officer, Southern Company </w:t>
      </w:r>
      <w:r>
        <w:rPr>
          <w:rFonts w:ascii="Arial" w:cs="Arial" w:eastAsia="Arial" w:hAnsi="Arial"/>
          <w:sz w:val="16"/>
          <w:szCs w:val="16"/>
          <w:color w:val="3A5CFF"/>
        </w:rPr>
        <w:t>(2008 –</w:t>
      </w:r>
      <w:r>
        <w:rPr>
          <w:rFonts w:ascii="Arial" w:cs="Arial" w:eastAsia="Arial" w:hAnsi="Arial"/>
          <w:sz w:val="16"/>
          <w:szCs w:val="16"/>
          <w:color w:val="auto"/>
        </w:rPr>
        <w:t xml:space="preserve"> </w:t>
      </w:r>
      <w:r>
        <w:rPr>
          <w:rFonts w:ascii="Arial" w:cs="Arial" w:eastAsia="Arial" w:hAnsi="Arial"/>
          <w:sz w:val="16"/>
          <w:szCs w:val="16"/>
          <w:color w:val="3A5CFF"/>
        </w:rPr>
        <w:t>2010)</w:t>
      </w:r>
    </w:p>
    <w:p>
      <w:pPr>
        <w:spacing w:after="0" w:line="7" w:lineRule="exact"/>
        <w:rPr>
          <w:rFonts w:ascii="Arial" w:cs="Arial" w:eastAsia="Arial" w:hAnsi="Arial"/>
          <w:sz w:val="16"/>
          <w:szCs w:val="16"/>
          <w:b w:val="1"/>
          <w:bCs w:val="1"/>
          <w:color w:val="170D67"/>
        </w:rPr>
      </w:pPr>
    </w:p>
    <w:p>
      <w:pPr>
        <w:ind w:left="186" w:right="320" w:hanging="186"/>
        <w:spacing w:after="0" w:line="304" w:lineRule="auto"/>
        <w:tabs>
          <w:tab w:leader="none" w:pos="156" w:val="left"/>
        </w:tabs>
        <w:numPr>
          <w:ilvl w:val="0"/>
          <w:numId w:val="31"/>
        </w:numPr>
        <w:rPr>
          <w:rFonts w:ascii="Arial" w:cs="Arial" w:eastAsia="Arial" w:hAnsi="Arial"/>
          <w:sz w:val="16"/>
          <w:szCs w:val="16"/>
          <w:b w:val="1"/>
          <w:bCs w:val="1"/>
          <w:color w:val="170D67"/>
        </w:rPr>
      </w:pPr>
      <w:r>
        <w:rPr>
          <w:rFonts w:ascii="Arial" w:cs="Arial" w:eastAsia="Arial" w:hAnsi="Arial"/>
          <w:sz w:val="16"/>
          <w:szCs w:val="16"/>
          <w:color w:val="auto"/>
        </w:rPr>
        <w:t xml:space="preserve">President, Southern Company Generation and Operations </w:t>
      </w:r>
      <w:r>
        <w:rPr>
          <w:rFonts w:ascii="Arial" w:cs="Arial" w:eastAsia="Arial" w:hAnsi="Arial"/>
          <w:sz w:val="16"/>
          <w:szCs w:val="16"/>
          <w:color w:val="3A5CFF"/>
        </w:rPr>
        <w:t>(2001 – 2008)</w:t>
      </w:r>
    </w:p>
    <w:p>
      <w:pPr>
        <w:spacing w:after="0" w:line="19" w:lineRule="exact"/>
        <w:rPr>
          <w:rFonts w:ascii="Arial" w:cs="Arial" w:eastAsia="Arial" w:hAnsi="Arial"/>
          <w:sz w:val="16"/>
          <w:szCs w:val="16"/>
          <w:b w:val="1"/>
          <w:bCs w:val="1"/>
          <w:color w:val="170D67"/>
        </w:rPr>
      </w:pPr>
    </w:p>
    <w:p>
      <w:pPr>
        <w:ind w:left="186" w:right="240" w:hanging="186"/>
        <w:spacing w:after="0" w:line="321" w:lineRule="auto"/>
        <w:tabs>
          <w:tab w:leader="none" w:pos="156" w:val="left"/>
        </w:tabs>
        <w:numPr>
          <w:ilvl w:val="0"/>
          <w:numId w:val="31"/>
        </w:numPr>
        <w:rPr>
          <w:rFonts w:ascii="Arial" w:cs="Arial" w:eastAsia="Arial" w:hAnsi="Arial"/>
          <w:sz w:val="16"/>
          <w:szCs w:val="16"/>
          <w:b w:val="1"/>
          <w:bCs w:val="1"/>
          <w:color w:val="170D67"/>
        </w:rPr>
      </w:pPr>
      <w:r>
        <w:rPr>
          <w:rFonts w:ascii="Arial" w:cs="Arial" w:eastAsia="Arial" w:hAnsi="Arial"/>
          <w:sz w:val="16"/>
          <w:szCs w:val="16"/>
          <w:color w:val="auto"/>
        </w:rPr>
        <w:t xml:space="preserve">President and Chief Executive Officer, Southern Power Company </w:t>
      </w:r>
      <w:r>
        <w:rPr>
          <w:rFonts w:ascii="Arial" w:cs="Arial" w:eastAsia="Arial" w:hAnsi="Arial"/>
          <w:sz w:val="16"/>
          <w:szCs w:val="16"/>
          <w:color w:val="3A5CFF"/>
        </w:rPr>
        <w:t>(2001 –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-2136775</wp:posOffset>
            </wp:positionH>
            <wp:positionV relativeFrom="paragraph">
              <wp:posOffset>399415</wp:posOffset>
            </wp:positionV>
            <wp:extent cx="7123430" cy="31115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23430" cy="3111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Other Professional Experience</w:t>
      </w:r>
    </w:p>
    <w:p>
      <w:pPr>
        <w:spacing w:after="0" w:line="140" w:lineRule="exact"/>
        <w:rPr>
          <w:sz w:val="20"/>
          <w:szCs w:val="20"/>
          <w:color w:val="auto"/>
        </w:rPr>
      </w:pPr>
    </w:p>
    <w:p>
      <w:pPr>
        <w:ind w:left="200" w:right="480" w:hanging="195"/>
        <w:spacing w:after="0" w:line="304" w:lineRule="auto"/>
        <w:tabs>
          <w:tab w:leader="none" w:pos="170" w:val="left"/>
        </w:tabs>
        <w:numPr>
          <w:ilvl w:val="0"/>
          <w:numId w:val="32"/>
        </w:numPr>
        <w:rPr>
          <w:rFonts w:ascii="Arial" w:cs="Arial" w:eastAsia="Arial" w:hAnsi="Arial"/>
          <w:sz w:val="16"/>
          <w:szCs w:val="16"/>
          <w:b w:val="1"/>
          <w:bCs w:val="1"/>
          <w:color w:val="170D67"/>
        </w:rPr>
      </w:pPr>
      <w:r>
        <w:rPr>
          <w:rFonts w:ascii="Arial" w:cs="Arial" w:eastAsia="Arial" w:hAnsi="Arial"/>
          <w:sz w:val="16"/>
          <w:szCs w:val="16"/>
          <w:color w:val="auto"/>
        </w:rPr>
        <w:t>Director, Children’s Healthcare of Atlanta (CHOA)</w:t>
      </w:r>
    </w:p>
    <w:p>
      <w:pPr>
        <w:spacing w:after="0" w:line="19" w:lineRule="exact"/>
        <w:rPr>
          <w:rFonts w:ascii="Arial" w:cs="Arial" w:eastAsia="Arial" w:hAnsi="Arial"/>
          <w:sz w:val="16"/>
          <w:szCs w:val="16"/>
          <w:b w:val="1"/>
          <w:bCs w:val="1"/>
          <w:color w:val="170D67"/>
        </w:rPr>
      </w:pPr>
    </w:p>
    <w:p>
      <w:pPr>
        <w:ind w:left="260" w:right="160" w:hanging="203"/>
        <w:spacing w:after="0" w:line="321" w:lineRule="auto"/>
        <w:tabs>
          <w:tab w:leader="none" w:pos="230" w:val="left"/>
        </w:tabs>
        <w:numPr>
          <w:ilvl w:val="1"/>
          <w:numId w:val="32"/>
        </w:numPr>
        <w:rPr>
          <w:rFonts w:ascii="Arial" w:cs="Arial" w:eastAsia="Arial" w:hAnsi="Arial"/>
          <w:sz w:val="16"/>
          <w:szCs w:val="16"/>
          <w:b w:val="1"/>
          <w:bCs w:val="1"/>
          <w:color w:val="170D67"/>
        </w:rPr>
      </w:pPr>
      <w:r>
        <w:rPr>
          <w:rFonts w:ascii="Arial" w:cs="Arial" w:eastAsia="Arial" w:hAnsi="Arial"/>
          <w:sz w:val="16"/>
          <w:szCs w:val="16"/>
          <w:color w:val="auto"/>
        </w:rPr>
        <w:t>Director, BrandSafway, a global construction solution provider</w:t>
      </w:r>
    </w:p>
    <w:p>
      <w:pPr>
        <w:spacing w:after="0" w:line="7" w:lineRule="exact"/>
        <w:rPr>
          <w:rFonts w:ascii="Arial" w:cs="Arial" w:eastAsia="Arial" w:hAnsi="Arial"/>
          <w:sz w:val="16"/>
          <w:szCs w:val="16"/>
          <w:b w:val="1"/>
          <w:bCs w:val="1"/>
          <w:color w:val="170D67"/>
        </w:rPr>
      </w:pPr>
    </w:p>
    <w:p>
      <w:pPr>
        <w:ind w:left="260" w:right="300" w:hanging="203"/>
        <w:spacing w:after="0" w:line="304" w:lineRule="auto"/>
        <w:tabs>
          <w:tab w:leader="none" w:pos="230" w:val="left"/>
        </w:tabs>
        <w:numPr>
          <w:ilvl w:val="1"/>
          <w:numId w:val="32"/>
        </w:numPr>
        <w:rPr>
          <w:rFonts w:ascii="Arial" w:cs="Arial" w:eastAsia="Arial" w:hAnsi="Arial"/>
          <w:sz w:val="16"/>
          <w:szCs w:val="16"/>
          <w:b w:val="1"/>
          <w:bCs w:val="1"/>
          <w:color w:val="170D67"/>
        </w:rPr>
      </w:pPr>
      <w:r>
        <w:rPr>
          <w:rFonts w:ascii="Arial" w:cs="Arial" w:eastAsia="Arial" w:hAnsi="Arial"/>
          <w:sz w:val="16"/>
          <w:szCs w:val="16"/>
          <w:color w:val="auto"/>
        </w:rPr>
        <w:t>Former Member, Federal Reserve Bank of Atlanta, Energy Policy Council</w:t>
      </w:r>
    </w:p>
    <w:p>
      <w:pPr>
        <w:spacing w:after="0" w:line="19" w:lineRule="exact"/>
        <w:rPr>
          <w:rFonts w:ascii="Arial" w:cs="Arial" w:eastAsia="Arial" w:hAnsi="Arial"/>
          <w:sz w:val="16"/>
          <w:szCs w:val="16"/>
          <w:b w:val="1"/>
          <w:bCs w:val="1"/>
          <w:color w:val="170D67"/>
        </w:rPr>
      </w:pPr>
    </w:p>
    <w:p>
      <w:pPr>
        <w:ind w:left="260" w:right="440" w:hanging="203"/>
        <w:spacing w:after="0" w:line="321" w:lineRule="auto"/>
        <w:tabs>
          <w:tab w:leader="none" w:pos="230" w:val="left"/>
        </w:tabs>
        <w:numPr>
          <w:ilvl w:val="1"/>
          <w:numId w:val="32"/>
        </w:numPr>
        <w:rPr>
          <w:rFonts w:ascii="Arial" w:cs="Arial" w:eastAsia="Arial" w:hAnsi="Arial"/>
          <w:sz w:val="16"/>
          <w:szCs w:val="16"/>
          <w:b w:val="1"/>
          <w:bCs w:val="1"/>
          <w:color w:val="170D67"/>
        </w:rPr>
      </w:pPr>
      <w:r>
        <w:rPr>
          <w:rFonts w:ascii="Arial" w:cs="Arial" w:eastAsia="Arial" w:hAnsi="Arial"/>
          <w:sz w:val="16"/>
          <w:szCs w:val="16"/>
          <w:color w:val="auto"/>
        </w:rPr>
        <w:t>Former Chair, Metro Atlanta Chamber of Commerce</w:t>
      </w:r>
    </w:p>
    <w:p>
      <w:pPr>
        <w:spacing w:after="0" w:line="7" w:lineRule="exact"/>
        <w:rPr>
          <w:rFonts w:ascii="Arial" w:cs="Arial" w:eastAsia="Arial" w:hAnsi="Arial"/>
          <w:sz w:val="16"/>
          <w:szCs w:val="16"/>
          <w:b w:val="1"/>
          <w:bCs w:val="1"/>
          <w:color w:val="170D67"/>
        </w:rPr>
      </w:pPr>
    </w:p>
    <w:p>
      <w:pPr>
        <w:ind w:left="260" w:right="420" w:hanging="203"/>
        <w:spacing w:after="0" w:line="304" w:lineRule="auto"/>
        <w:tabs>
          <w:tab w:leader="none" w:pos="230" w:val="left"/>
        </w:tabs>
        <w:numPr>
          <w:ilvl w:val="1"/>
          <w:numId w:val="32"/>
        </w:numPr>
        <w:rPr>
          <w:rFonts w:ascii="Arial" w:cs="Arial" w:eastAsia="Arial" w:hAnsi="Arial"/>
          <w:sz w:val="16"/>
          <w:szCs w:val="16"/>
          <w:b w:val="1"/>
          <w:bCs w:val="1"/>
          <w:color w:val="170D67"/>
        </w:rPr>
      </w:pPr>
      <w:r>
        <w:rPr>
          <w:rFonts w:ascii="Arial" w:cs="Arial" w:eastAsia="Arial" w:hAnsi="Arial"/>
          <w:sz w:val="16"/>
          <w:szCs w:val="16"/>
          <w:color w:val="auto"/>
        </w:rPr>
        <w:t>Former Chair, Nuclear Electric Insurance Limited (NEIL)</w:t>
      </w:r>
    </w:p>
    <w:p>
      <w:pPr>
        <w:spacing w:after="0" w:line="200" w:lineRule="exact"/>
        <w:rPr>
          <w:sz w:val="20"/>
          <w:szCs w:val="20"/>
          <w:color w:val="auto"/>
        </w:rPr>
      </w:pPr>
    </w:p>
    <w:p>
      <w:pPr>
        <w:sectPr>
          <w:pgSz w:w="11900" w:h="16838" w:orient="portrait"/>
          <w:cols w:equalWidth="0" w:num="3">
            <w:col w:w="2840" w:space="534"/>
            <w:col w:w="3826" w:space="300"/>
            <w:col w:w="3560"/>
          </w:cols>
          <w:pgMar w:left="320" w:top="121" w:right="519" w:bottom="1440" w:gutter="0" w:footer="0" w:header="0"/>
          <w:type w:val="continuous"/>
        </w:sectPr>
      </w:pPr>
    </w:p>
    <w:p>
      <w:pPr>
        <w:spacing w:after="0" w:line="350"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3A5CFF"/>
        </w:rPr>
        <w:t>Marjorie Rodgers Cheshire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-130175</wp:posOffset>
            </wp:positionV>
            <wp:extent cx="1543050" cy="8743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clrChange>
                        <a:clrFrom>
                          <a:srgbClr val="000000"/>
                        </a:clrFrom>
                        <a:clrTo>
                          <a:srgbClr val="000000">
                            <a:alpha val="0"/>
                          </a:srgbClr>
                        </a:clrTo>
                      </a:clrChange>
                      <a:extLst>
                        <a:ext uri="{28A0092B-C50C-407E-A947-70E740481C1C}"/>
                      </a:extLst>
                    </a:blip>
                    <a:srcRect/>
                    <a:stretch>
                      <a:fillRect/>
                    </a:stretch>
                  </pic:blipFill>
                  <pic:spPr bwMode="auto">
                    <a:xfrm>
                      <a:off x="0" y="0"/>
                      <a:ext cx="1543050" cy="87439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-130175</wp:posOffset>
            </wp:positionV>
            <wp:extent cx="1543050" cy="8743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1543050" cy="874395"/>
                    </a:xfrm>
                    <a:prstGeom prst="rect">
                      <a:avLst/>
                    </a:prstGeom>
                    <a:noFill/>
                  </pic:spPr>
                </pic:pic>
              </a:graphicData>
            </a:graphic>
          </wp:anchor>
        </w:drawing>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5"/>
          <w:szCs w:val="15"/>
          <w:color w:val="00E4A5"/>
        </w:rPr>
        <w:t>INDEPENDENT</w:t>
      </w:r>
    </w:p>
    <w:p>
      <w:pPr>
        <w:spacing w:after="0" w:line="117" w:lineRule="exact"/>
        <w:rPr>
          <w:sz w:val="20"/>
          <w:szCs w:val="20"/>
          <w:color w:val="auto"/>
        </w:rPr>
      </w:pPr>
    </w:p>
    <w:p>
      <w:pPr>
        <w:ind w:left="3380" w:right="80"/>
        <w:spacing w:after="0" w:line="276" w:lineRule="auto"/>
        <w:rPr>
          <w:sz w:val="20"/>
          <w:szCs w:val="20"/>
          <w:color w:val="auto"/>
        </w:rPr>
      </w:pPr>
      <w:r>
        <w:rPr>
          <w:rFonts w:ascii="Arial" w:cs="Arial" w:eastAsia="Arial" w:hAnsi="Arial"/>
          <w:sz w:val="16"/>
          <w:szCs w:val="16"/>
          <w:color w:val="auto"/>
        </w:rPr>
        <w:t>Ms. Rodgers Cheshire’s experience in organizational leadership and brand management and service on a public financial services company board, along with her deep understanding of compliance, strategy, asset management, marketing, and brand development, are of significant value to the Board. Additionally, her involvement in the Baltimore community and her familiarity with this important market brings</w:t>
      </w:r>
    </w:p>
    <w:p>
      <w:pPr>
        <w:spacing w:after="0" w:line="3"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beneficial perspectives and insights.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38735</wp:posOffset>
            </wp:positionV>
            <wp:extent cx="499745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type w:val="continuous"/>
        </w:sectPr>
      </w:pPr>
    </w:p>
    <w:p>
      <w:pPr>
        <w:spacing w:after="0" w:line="17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Age: 56</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auto"/>
        </w:rPr>
        <w:t>July 2020</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Committees:</w:t>
      </w:r>
    </w:p>
    <w:p>
      <w:pPr>
        <w:spacing w:after="0" w:line="60" w:lineRule="exact"/>
        <w:rPr>
          <w:sz w:val="20"/>
          <w:szCs w:val="20"/>
          <w:color w:val="auto"/>
        </w:rPr>
      </w:pPr>
    </w:p>
    <w:p>
      <w:pPr>
        <w:ind w:left="200" w:hanging="174"/>
        <w:spacing w:after="0"/>
        <w:tabs>
          <w:tab w:leader="none" w:pos="200" w:val="left"/>
        </w:tabs>
        <w:numPr>
          <w:ilvl w:val="0"/>
          <w:numId w:val="33"/>
        </w:numPr>
        <w:rPr>
          <w:rFonts w:ascii="Arial" w:cs="Arial" w:eastAsia="Arial" w:hAnsi="Arial"/>
          <w:sz w:val="16"/>
          <w:szCs w:val="16"/>
          <w:b w:val="1"/>
          <w:bCs w:val="1"/>
          <w:color w:val="232B79"/>
        </w:rPr>
      </w:pPr>
      <w:r>
        <w:rPr>
          <w:rFonts w:ascii="Arial" w:cs="Arial" w:eastAsia="Arial" w:hAnsi="Arial"/>
          <w:sz w:val="16"/>
          <w:szCs w:val="16"/>
          <w:color w:val="auto"/>
        </w:rPr>
        <w:t xml:space="preserve">TMCC, </w:t>
      </w:r>
      <w:r>
        <w:rPr>
          <w:rFonts w:ascii="Arial" w:cs="Arial" w:eastAsia="Arial" w:hAnsi="Arial"/>
          <w:sz w:val="16"/>
          <w:szCs w:val="16"/>
          <w:color w:val="3A5CFF"/>
        </w:rPr>
        <w:t>Chair</w:t>
      </w:r>
    </w:p>
    <w:p>
      <w:pPr>
        <w:spacing w:after="0" w:line="34" w:lineRule="exact"/>
        <w:rPr>
          <w:rFonts w:ascii="Arial" w:cs="Arial" w:eastAsia="Arial" w:hAnsi="Arial"/>
          <w:sz w:val="16"/>
          <w:szCs w:val="16"/>
          <w:b w:val="1"/>
          <w:bCs w:val="1"/>
          <w:color w:val="232B79"/>
        </w:rPr>
      </w:pPr>
    </w:p>
    <w:p>
      <w:pPr>
        <w:ind w:left="200" w:hanging="174"/>
        <w:spacing w:after="0"/>
        <w:tabs>
          <w:tab w:leader="none" w:pos="200" w:val="left"/>
        </w:tabs>
        <w:numPr>
          <w:ilvl w:val="0"/>
          <w:numId w:val="33"/>
        </w:numPr>
        <w:rPr>
          <w:rFonts w:ascii="Arial" w:cs="Arial" w:eastAsia="Arial" w:hAnsi="Arial"/>
          <w:sz w:val="16"/>
          <w:szCs w:val="16"/>
          <w:b w:val="1"/>
          <w:bCs w:val="1"/>
          <w:color w:val="232B79"/>
        </w:rPr>
      </w:pPr>
      <w:r>
        <w:rPr>
          <w:rFonts w:ascii="Arial" w:cs="Arial" w:eastAsia="Arial" w:hAnsi="Arial"/>
          <w:sz w:val="16"/>
          <w:szCs w:val="16"/>
          <w:color w:val="auto"/>
        </w:rPr>
        <w:t>CGC</w:t>
      </w:r>
    </w:p>
    <w:p>
      <w:pPr>
        <w:spacing w:after="0" w:line="22" w:lineRule="exact"/>
        <w:rPr>
          <w:rFonts w:ascii="Arial" w:cs="Arial" w:eastAsia="Arial" w:hAnsi="Arial"/>
          <w:sz w:val="16"/>
          <w:szCs w:val="16"/>
          <w:b w:val="1"/>
          <w:bCs w:val="1"/>
          <w:color w:val="232B79"/>
        </w:rPr>
      </w:pPr>
    </w:p>
    <w:p>
      <w:pPr>
        <w:ind w:left="200" w:hanging="174"/>
        <w:spacing w:after="0"/>
        <w:tabs>
          <w:tab w:leader="none" w:pos="200" w:val="left"/>
        </w:tabs>
        <w:numPr>
          <w:ilvl w:val="0"/>
          <w:numId w:val="33"/>
        </w:numPr>
        <w:rPr>
          <w:rFonts w:ascii="Arial" w:cs="Arial" w:eastAsia="Arial" w:hAnsi="Arial"/>
          <w:sz w:val="16"/>
          <w:szCs w:val="16"/>
          <w:b w:val="1"/>
          <w:bCs w:val="1"/>
          <w:color w:val="232B79"/>
        </w:rPr>
      </w:pPr>
      <w:r>
        <w:rPr>
          <w:rFonts w:ascii="Arial" w:cs="Arial" w:eastAsia="Arial" w:hAnsi="Arial"/>
          <w:sz w:val="16"/>
          <w:szCs w:val="16"/>
          <w:color w:val="auto"/>
        </w:rPr>
        <w:t>OSCC</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Other Current Public Boards: </w:t>
      </w:r>
      <w:r>
        <w:rPr>
          <w:rFonts w:ascii="Arial" w:cs="Arial" w:eastAsia="Arial" w:hAnsi="Arial"/>
          <w:sz w:val="15"/>
          <w:szCs w:val="15"/>
          <w:b w:val="1"/>
          <w:bCs w:val="1"/>
          <w:color w:val="auto"/>
        </w:rPr>
        <w:t>1</w:t>
      </w:r>
    </w:p>
    <w:p>
      <w:pPr>
        <w:spacing w:after="0" w:line="24" w:lineRule="exact"/>
        <w:rPr>
          <w:sz w:val="20"/>
          <w:szCs w:val="20"/>
          <w:color w:val="auto"/>
        </w:rPr>
      </w:pPr>
    </w:p>
    <w:p>
      <w:pPr>
        <w:ind w:left="200" w:hanging="174"/>
        <w:spacing w:after="0"/>
        <w:tabs>
          <w:tab w:leader="none" w:pos="200" w:val="left"/>
        </w:tabs>
        <w:numPr>
          <w:ilvl w:val="0"/>
          <w:numId w:val="34"/>
        </w:numPr>
        <w:rPr>
          <w:rFonts w:ascii="Arial" w:cs="Arial" w:eastAsia="Arial" w:hAnsi="Arial"/>
          <w:sz w:val="16"/>
          <w:szCs w:val="16"/>
          <w:b w:val="1"/>
          <w:bCs w:val="1"/>
          <w:color w:val="170D67"/>
        </w:rPr>
      </w:pPr>
      <w:r>
        <w:rPr>
          <w:rFonts w:ascii="Arial" w:cs="Arial" w:eastAsia="Arial" w:hAnsi="Arial"/>
          <w:sz w:val="15"/>
          <w:szCs w:val="15"/>
          <w:color w:val="auto"/>
        </w:rPr>
        <w:t>PNC Financial Services Group (PNC)</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Prior Public Directorships (Last 5 yrs)</w:t>
      </w:r>
    </w:p>
    <w:p>
      <w:pPr>
        <w:spacing w:after="0" w:line="31" w:lineRule="exact"/>
        <w:rPr>
          <w:sz w:val="20"/>
          <w:szCs w:val="20"/>
          <w:color w:val="auto"/>
        </w:rPr>
      </w:pPr>
    </w:p>
    <w:p>
      <w:pPr>
        <w:ind w:left="220" w:hanging="194"/>
        <w:spacing w:after="0" w:line="320" w:lineRule="auto"/>
        <w:tabs>
          <w:tab w:leader="none" w:pos="190" w:val="left"/>
        </w:tabs>
        <w:numPr>
          <w:ilvl w:val="0"/>
          <w:numId w:val="35"/>
        </w:numPr>
        <w:rPr>
          <w:rFonts w:ascii="Arial" w:cs="Arial" w:eastAsia="Arial" w:hAnsi="Arial"/>
          <w:sz w:val="16"/>
          <w:szCs w:val="16"/>
          <w:b w:val="1"/>
          <w:bCs w:val="1"/>
          <w:color w:val="170D67"/>
        </w:rPr>
      </w:pPr>
      <w:r>
        <w:rPr>
          <w:rFonts w:ascii="Arial" w:cs="Arial" w:eastAsia="Arial" w:hAnsi="Arial"/>
          <w:sz w:val="15"/>
          <w:szCs w:val="15"/>
          <w:color w:val="auto"/>
        </w:rPr>
        <w:t>Empowerment &amp; Inclusion Capital I Corp. (2021 – 2022)</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333333"/>
        </w:rPr>
        <w:t>Career Highlights</w:t>
      </w:r>
    </w:p>
    <w:p>
      <w:pPr>
        <w:spacing w:after="0" w:line="100" w:lineRule="exact"/>
        <w:rPr>
          <w:sz w:val="20"/>
          <w:szCs w:val="20"/>
          <w:color w:val="auto"/>
        </w:rPr>
      </w:pPr>
    </w:p>
    <w:p>
      <w:pPr>
        <w:jc w:val="both"/>
        <w:ind w:left="186" w:hanging="186"/>
        <w:spacing w:after="0" w:line="292" w:lineRule="auto"/>
        <w:tabs>
          <w:tab w:leader="none" w:pos="156" w:val="left"/>
        </w:tabs>
        <w:numPr>
          <w:ilvl w:val="0"/>
          <w:numId w:val="36"/>
        </w:numPr>
        <w:rPr>
          <w:rFonts w:ascii="Arial" w:cs="Arial" w:eastAsia="Arial" w:hAnsi="Arial"/>
          <w:sz w:val="16"/>
          <w:szCs w:val="16"/>
          <w:b w:val="1"/>
          <w:bCs w:val="1"/>
          <w:color w:val="170D67"/>
        </w:rPr>
      </w:pPr>
      <w:r>
        <w:rPr>
          <w:rFonts w:ascii="Arial" w:cs="Arial" w:eastAsia="Arial" w:hAnsi="Arial"/>
          <w:sz w:val="16"/>
          <w:szCs w:val="16"/>
          <w:color w:val="auto"/>
        </w:rPr>
        <w:t xml:space="preserve">Principal, A&amp;R Development Corp., a diversified real estate investment company </w:t>
      </w:r>
      <w:r>
        <w:rPr>
          <w:rFonts w:ascii="Arial" w:cs="Arial" w:eastAsia="Arial" w:hAnsi="Arial"/>
          <w:sz w:val="16"/>
          <w:szCs w:val="16"/>
          <w:color w:val="3A5CFF"/>
        </w:rPr>
        <w:t>(Since 2004)</w:t>
      </w:r>
      <w:r>
        <w:rPr>
          <w:rFonts w:ascii="Arial" w:cs="Arial" w:eastAsia="Arial" w:hAnsi="Arial"/>
          <w:sz w:val="16"/>
          <w:szCs w:val="16"/>
          <w:color w:val="auto"/>
        </w:rPr>
        <w:t xml:space="preserve">; previously President and Chief Operating Officer </w:t>
      </w:r>
      <w:r>
        <w:rPr>
          <w:rFonts w:ascii="Arial" w:cs="Arial" w:eastAsia="Arial" w:hAnsi="Arial"/>
          <w:sz w:val="16"/>
          <w:szCs w:val="16"/>
          <w:color w:val="3A5CFF"/>
        </w:rPr>
        <w:t>(2004 – 2021)</w:t>
      </w:r>
    </w:p>
    <w:p>
      <w:pPr>
        <w:spacing w:after="0" w:line="30" w:lineRule="exact"/>
        <w:rPr>
          <w:rFonts w:ascii="Arial" w:cs="Arial" w:eastAsia="Arial" w:hAnsi="Arial"/>
          <w:sz w:val="16"/>
          <w:szCs w:val="16"/>
          <w:b w:val="1"/>
          <w:bCs w:val="1"/>
          <w:color w:val="170D67"/>
        </w:rPr>
      </w:pPr>
    </w:p>
    <w:p>
      <w:pPr>
        <w:ind w:left="186" w:right="300" w:hanging="186"/>
        <w:spacing w:after="0" w:line="321" w:lineRule="auto"/>
        <w:tabs>
          <w:tab w:leader="none" w:pos="156" w:val="left"/>
        </w:tabs>
        <w:numPr>
          <w:ilvl w:val="0"/>
          <w:numId w:val="36"/>
        </w:numPr>
        <w:rPr>
          <w:rFonts w:ascii="Arial" w:cs="Arial" w:eastAsia="Arial" w:hAnsi="Arial"/>
          <w:sz w:val="16"/>
          <w:szCs w:val="16"/>
          <w:b w:val="1"/>
          <w:bCs w:val="1"/>
          <w:color w:val="170D67"/>
        </w:rPr>
      </w:pPr>
      <w:r>
        <w:rPr>
          <w:rFonts w:ascii="Arial" w:cs="Arial" w:eastAsia="Arial" w:hAnsi="Arial"/>
          <w:sz w:val="16"/>
          <w:szCs w:val="16"/>
          <w:color w:val="auto"/>
        </w:rPr>
        <w:t xml:space="preserve">Senior Director of Brand &amp; Consumer Marketing, National Football League </w:t>
      </w:r>
      <w:r>
        <w:rPr>
          <w:rFonts w:ascii="Arial" w:cs="Arial" w:eastAsia="Arial" w:hAnsi="Arial"/>
          <w:sz w:val="16"/>
          <w:szCs w:val="16"/>
          <w:color w:val="3A5CFF"/>
        </w:rPr>
        <w:t>(2001 – 2004)</w:t>
      </w:r>
    </w:p>
    <w:p>
      <w:pPr>
        <w:spacing w:after="0" w:line="7" w:lineRule="exact"/>
        <w:rPr>
          <w:rFonts w:ascii="Arial" w:cs="Arial" w:eastAsia="Arial" w:hAnsi="Arial"/>
          <w:sz w:val="16"/>
          <w:szCs w:val="16"/>
          <w:b w:val="1"/>
          <w:bCs w:val="1"/>
          <w:color w:val="170D67"/>
        </w:rPr>
      </w:pPr>
    </w:p>
    <w:p>
      <w:pPr>
        <w:ind w:left="186" w:right="200" w:hanging="186"/>
        <w:spacing w:after="0" w:line="304" w:lineRule="auto"/>
        <w:tabs>
          <w:tab w:leader="none" w:pos="156" w:val="left"/>
        </w:tabs>
        <w:numPr>
          <w:ilvl w:val="0"/>
          <w:numId w:val="36"/>
        </w:numPr>
        <w:rPr>
          <w:rFonts w:ascii="Arial" w:cs="Arial" w:eastAsia="Arial" w:hAnsi="Arial"/>
          <w:sz w:val="16"/>
          <w:szCs w:val="16"/>
          <w:b w:val="1"/>
          <w:bCs w:val="1"/>
          <w:color w:val="170D67"/>
        </w:rPr>
      </w:pPr>
      <w:r>
        <w:rPr>
          <w:rFonts w:ascii="Arial" w:cs="Arial" w:eastAsia="Arial" w:hAnsi="Arial"/>
          <w:sz w:val="16"/>
          <w:szCs w:val="16"/>
          <w:color w:val="auto"/>
        </w:rPr>
        <w:t xml:space="preserve">Vice President of Business Development, Oxygen Media </w:t>
      </w:r>
      <w:r>
        <w:rPr>
          <w:rFonts w:ascii="Arial" w:cs="Arial" w:eastAsia="Arial" w:hAnsi="Arial"/>
          <w:sz w:val="16"/>
          <w:szCs w:val="16"/>
          <w:color w:val="3A5CFF"/>
        </w:rPr>
        <w:t>(2000 – 2001)</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Other Professional Experience</w:t>
      </w:r>
    </w:p>
    <w:p>
      <w:pPr>
        <w:spacing w:after="0" w:line="140" w:lineRule="exact"/>
        <w:rPr>
          <w:sz w:val="20"/>
          <w:szCs w:val="20"/>
          <w:color w:val="auto"/>
        </w:rPr>
      </w:pPr>
    </w:p>
    <w:p>
      <w:pPr>
        <w:ind w:left="220" w:hanging="163"/>
        <w:spacing w:after="0"/>
        <w:tabs>
          <w:tab w:leader="none" w:pos="220" w:val="left"/>
        </w:tabs>
        <w:numPr>
          <w:ilvl w:val="0"/>
          <w:numId w:val="37"/>
        </w:numPr>
        <w:rPr>
          <w:rFonts w:ascii="Arial" w:cs="Arial" w:eastAsia="Arial" w:hAnsi="Arial"/>
          <w:sz w:val="16"/>
          <w:szCs w:val="16"/>
          <w:b w:val="1"/>
          <w:bCs w:val="1"/>
          <w:color w:val="170D67"/>
        </w:rPr>
      </w:pPr>
      <w:r>
        <w:rPr>
          <w:rFonts w:ascii="Arial" w:cs="Arial" w:eastAsia="Arial" w:hAnsi="Arial"/>
          <w:sz w:val="16"/>
          <w:szCs w:val="16"/>
          <w:color w:val="auto"/>
        </w:rPr>
        <w:t>Chair, Baltimore Equitable Insurance</w:t>
      </w:r>
    </w:p>
    <w:p>
      <w:pPr>
        <w:spacing w:after="0" w:line="99" w:lineRule="exact"/>
        <w:rPr>
          <w:rFonts w:ascii="Arial" w:cs="Arial" w:eastAsia="Arial" w:hAnsi="Arial"/>
          <w:sz w:val="16"/>
          <w:szCs w:val="16"/>
          <w:b w:val="1"/>
          <w:bCs w:val="1"/>
          <w:color w:val="170D67"/>
        </w:rPr>
      </w:pPr>
    </w:p>
    <w:p>
      <w:pPr>
        <w:ind w:left="220" w:hanging="163"/>
        <w:spacing w:after="0"/>
        <w:tabs>
          <w:tab w:leader="none" w:pos="220" w:val="left"/>
        </w:tabs>
        <w:numPr>
          <w:ilvl w:val="0"/>
          <w:numId w:val="37"/>
        </w:numPr>
        <w:rPr>
          <w:rFonts w:ascii="Arial" w:cs="Arial" w:eastAsia="Arial" w:hAnsi="Arial"/>
          <w:sz w:val="16"/>
          <w:szCs w:val="16"/>
          <w:b w:val="1"/>
          <w:bCs w:val="1"/>
          <w:color w:val="170D67"/>
        </w:rPr>
      </w:pPr>
      <w:r>
        <w:rPr>
          <w:rFonts w:ascii="Arial" w:cs="Arial" w:eastAsia="Arial" w:hAnsi="Arial"/>
          <w:sz w:val="16"/>
          <w:szCs w:val="16"/>
          <w:color w:val="auto"/>
        </w:rPr>
        <w:t>Trustee, Johns Hopkins Medicine</w:t>
      </w:r>
    </w:p>
    <w:p>
      <w:pPr>
        <w:spacing w:after="0" w:line="126" w:lineRule="exact"/>
        <w:rPr>
          <w:rFonts w:ascii="Arial" w:cs="Arial" w:eastAsia="Arial" w:hAnsi="Arial"/>
          <w:sz w:val="16"/>
          <w:szCs w:val="16"/>
          <w:b w:val="1"/>
          <w:bCs w:val="1"/>
          <w:color w:val="170D67"/>
        </w:rPr>
      </w:pPr>
    </w:p>
    <w:p>
      <w:pPr>
        <w:ind w:left="220" w:hanging="163"/>
        <w:spacing w:after="0"/>
        <w:tabs>
          <w:tab w:leader="none" w:pos="220" w:val="left"/>
        </w:tabs>
        <w:numPr>
          <w:ilvl w:val="0"/>
          <w:numId w:val="37"/>
        </w:numPr>
        <w:rPr>
          <w:rFonts w:ascii="Arial" w:cs="Arial" w:eastAsia="Arial" w:hAnsi="Arial"/>
          <w:sz w:val="16"/>
          <w:szCs w:val="16"/>
          <w:b w:val="1"/>
          <w:bCs w:val="1"/>
          <w:color w:val="170D67"/>
        </w:rPr>
      </w:pPr>
      <w:r>
        <w:rPr>
          <w:rFonts w:ascii="Arial" w:cs="Arial" w:eastAsia="Arial" w:hAnsi="Arial"/>
          <w:sz w:val="16"/>
          <w:szCs w:val="16"/>
          <w:color w:val="auto"/>
        </w:rPr>
        <w:t>Trustee, Thread, Inc.</w:t>
      </w:r>
    </w:p>
    <w:p>
      <w:pPr>
        <w:spacing w:after="0" w:line="2001" w:lineRule="exact"/>
        <w:rPr>
          <w:sz w:val="20"/>
          <w:szCs w:val="20"/>
          <w:color w:val="auto"/>
        </w:rPr>
      </w:pPr>
    </w:p>
    <w:p>
      <w:pPr>
        <w:sectPr>
          <w:pgSz w:w="11900" w:h="16838" w:orient="portrait"/>
          <w:cols w:equalWidth="0" w:num="3">
            <w:col w:w="2980" w:space="394"/>
            <w:col w:w="3946" w:space="220"/>
            <w:col w:w="3520"/>
          </w:cols>
          <w:pgMar w:left="320" w:top="121" w:right="519"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ind w:left="480" w:hanging="454"/>
        <w:spacing w:after="0"/>
        <w:tabs>
          <w:tab w:leader="none" w:pos="480" w:val="left"/>
        </w:tabs>
        <w:numPr>
          <w:ilvl w:val="0"/>
          <w:numId w:val="3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type w:val="continuous"/>
        </w:sectPr>
      </w:pPr>
    </w:p>
    <w:bookmarkStart w:id="24" w:name="page25"/>
    <w:bookmarkEnd w:id="24"/>
    <w:p>
      <w:pPr>
        <w:jc w:val="right"/>
        <w:spacing w:after="0"/>
        <w:rPr>
          <w:sz w:val="20"/>
          <w:szCs w:val="20"/>
          <w:color w:val="auto"/>
        </w:rPr>
      </w:pPr>
      <w:r>
        <w:rPr>
          <w:rFonts w:ascii="Arial" w:cs="Arial" w:eastAsia="Arial" w:hAnsi="Arial"/>
          <w:sz w:val="13"/>
          <w:szCs w:val="13"/>
          <w:b w:val="1"/>
          <w:bCs w:val="1"/>
          <w:color w:val="auto"/>
        </w:rPr>
        <w:t>Board and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619760</wp:posOffset>
            </wp:positionV>
            <wp:extent cx="7123430" cy="32061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23430"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3A5CFF"/>
        </w:rPr>
        <w:t>David DeWalt</w:t>
      </w:r>
    </w:p>
    <w:p>
      <w:pPr>
        <w:spacing w:after="0" w:line="33" w:lineRule="exact"/>
        <w:rPr>
          <w:sz w:val="20"/>
          <w:szCs w:val="20"/>
          <w:color w:val="auto"/>
        </w:rPr>
      </w:pPr>
    </w:p>
    <w:p>
      <w:pPr>
        <w:ind w:left="3380"/>
        <w:spacing w:after="0"/>
        <w:rPr>
          <w:sz w:val="20"/>
          <w:szCs w:val="20"/>
          <w:color w:val="auto"/>
        </w:rPr>
      </w:pPr>
      <w:r>
        <w:rPr>
          <w:rFonts w:ascii="Arial" w:cs="Arial" w:eastAsia="Arial" w:hAnsi="Arial"/>
          <w:sz w:val="15"/>
          <w:szCs w:val="15"/>
          <w:color w:val="00E4A5"/>
        </w:rPr>
        <w:t>INDEPENDENT</w:t>
      </w:r>
    </w:p>
    <w:p>
      <w:pPr>
        <w:spacing w:after="0" w:line="97" w:lineRule="exact"/>
        <w:rPr>
          <w:sz w:val="20"/>
          <w:szCs w:val="20"/>
          <w:color w:val="auto"/>
        </w:rPr>
      </w:pPr>
    </w:p>
    <w:p>
      <w:pPr>
        <w:ind w:left="3380" w:right="220"/>
        <w:spacing w:after="0" w:line="268" w:lineRule="auto"/>
        <w:rPr>
          <w:sz w:val="20"/>
          <w:szCs w:val="20"/>
          <w:color w:val="auto"/>
        </w:rPr>
      </w:pPr>
      <w:r>
        <w:rPr>
          <w:rFonts w:ascii="Arial" w:cs="Arial" w:eastAsia="Arial" w:hAnsi="Arial"/>
          <w:sz w:val="15"/>
          <w:szCs w:val="15"/>
          <w:color w:val="auto"/>
        </w:rPr>
        <w:t>Mr. DeWalt is a distinguished leader with over 30 years of experience leading and transforming cybersecurity and technology companies. Currently, Mr. DeWalt is the Founder, Managing Director, and Chief Executive Officer of NightDragon, a venture capital and advisory firm focused on cybersecurity. His background as an industry leader and his experience as CEO of three impactful technology companies contributes valuable strategic and operational expertise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50800</wp:posOffset>
            </wp:positionV>
            <wp:extent cx="499745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99745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96"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60</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auto"/>
        </w:rPr>
        <w:t>March 2025</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Committees: </w:t>
      </w:r>
      <w:r>
        <w:rPr>
          <w:rFonts w:ascii="Arial" w:cs="Arial" w:eastAsia="Arial" w:hAnsi="Arial"/>
          <w:sz w:val="15"/>
          <w:szCs w:val="15"/>
          <w:b w:val="1"/>
          <w:bCs w:val="1"/>
          <w:color w:val="auto"/>
        </w:rPr>
        <w:t>None</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Other Current Public Boards: </w:t>
      </w:r>
      <w:r>
        <w:rPr>
          <w:rFonts w:ascii="Arial" w:cs="Arial" w:eastAsia="Arial" w:hAnsi="Arial"/>
          <w:sz w:val="15"/>
          <w:szCs w:val="15"/>
          <w:b w:val="1"/>
          <w:bCs w:val="1"/>
          <w:color w:val="auto"/>
        </w:rPr>
        <w:t>1</w:t>
      </w:r>
    </w:p>
    <w:p>
      <w:pPr>
        <w:spacing w:after="0" w:line="38" w:lineRule="exact"/>
        <w:rPr>
          <w:sz w:val="20"/>
          <w:szCs w:val="20"/>
          <w:color w:val="auto"/>
        </w:rPr>
      </w:pPr>
    </w:p>
    <w:p>
      <w:pPr>
        <w:ind w:left="200" w:hanging="174"/>
        <w:spacing w:after="0"/>
        <w:tabs>
          <w:tab w:leader="none" w:pos="200" w:val="left"/>
        </w:tabs>
        <w:numPr>
          <w:ilvl w:val="0"/>
          <w:numId w:val="39"/>
        </w:numPr>
        <w:rPr>
          <w:rFonts w:ascii="Arial" w:cs="Arial" w:eastAsia="Arial" w:hAnsi="Arial"/>
          <w:sz w:val="16"/>
          <w:szCs w:val="16"/>
          <w:b w:val="1"/>
          <w:bCs w:val="1"/>
          <w:color w:val="170D67"/>
        </w:rPr>
      </w:pPr>
      <w:r>
        <w:rPr>
          <w:rFonts w:ascii="Arial" w:cs="Arial" w:eastAsia="Arial" w:hAnsi="Arial"/>
          <w:sz w:val="15"/>
          <w:szCs w:val="15"/>
          <w:color w:val="auto"/>
        </w:rPr>
        <w:t>Delta Air Lines (DAL)</w:t>
      </w:r>
    </w:p>
    <w:p>
      <w:pPr>
        <w:spacing w:after="0" w:line="121" w:lineRule="exact"/>
        <w:rPr>
          <w:sz w:val="20"/>
          <w:szCs w:val="20"/>
          <w:color w:val="auto"/>
        </w:rPr>
      </w:pPr>
    </w:p>
    <w:p>
      <w:pPr>
        <w:ind w:left="20" w:right="1360"/>
        <w:spacing w:after="0" w:line="280" w:lineRule="auto"/>
        <w:rPr>
          <w:sz w:val="20"/>
          <w:szCs w:val="20"/>
          <w:color w:val="auto"/>
        </w:rPr>
      </w:pPr>
      <w:r>
        <w:rPr>
          <w:rFonts w:ascii="Arial" w:cs="Arial" w:eastAsia="Arial" w:hAnsi="Arial"/>
          <w:sz w:val="15"/>
          <w:szCs w:val="15"/>
          <w:color w:val="auto"/>
        </w:rPr>
        <w:t>Prior Public Directorships (Last 5 yrs)</w:t>
      </w:r>
    </w:p>
    <w:p>
      <w:pPr>
        <w:spacing w:after="0" w:line="3" w:lineRule="exact"/>
        <w:rPr>
          <w:sz w:val="20"/>
          <w:szCs w:val="20"/>
          <w:color w:val="auto"/>
        </w:rPr>
      </w:pPr>
    </w:p>
    <w:p>
      <w:pPr>
        <w:ind w:left="200" w:hanging="174"/>
        <w:spacing w:after="0"/>
        <w:tabs>
          <w:tab w:leader="none" w:pos="200" w:val="left"/>
        </w:tabs>
        <w:numPr>
          <w:ilvl w:val="0"/>
          <w:numId w:val="40"/>
        </w:numPr>
        <w:rPr>
          <w:rFonts w:ascii="Arial" w:cs="Arial" w:eastAsia="Arial" w:hAnsi="Arial"/>
          <w:sz w:val="16"/>
          <w:szCs w:val="16"/>
          <w:b w:val="1"/>
          <w:bCs w:val="1"/>
          <w:color w:val="170D67"/>
        </w:rPr>
      </w:pPr>
      <w:r>
        <w:rPr>
          <w:rFonts w:ascii="Arial" w:cs="Arial" w:eastAsia="Arial" w:hAnsi="Arial"/>
          <w:sz w:val="15"/>
          <w:szCs w:val="15"/>
          <w:color w:val="auto"/>
        </w:rPr>
        <w:t>Five9, Inc. (2016 - 2024)</w:t>
      </w:r>
    </w:p>
    <w:p>
      <w:pPr>
        <w:spacing w:after="0" w:line="32" w:lineRule="exact"/>
        <w:rPr>
          <w:rFonts w:ascii="Arial" w:cs="Arial" w:eastAsia="Arial" w:hAnsi="Arial"/>
          <w:sz w:val="16"/>
          <w:szCs w:val="16"/>
          <w:b w:val="1"/>
          <w:bCs w:val="1"/>
          <w:color w:val="170D67"/>
        </w:rPr>
      </w:pPr>
    </w:p>
    <w:p>
      <w:pPr>
        <w:ind w:left="220" w:right="320" w:hanging="194"/>
        <w:spacing w:after="0" w:line="271" w:lineRule="auto"/>
        <w:tabs>
          <w:tab w:leader="none" w:pos="190" w:val="left"/>
        </w:tabs>
        <w:numPr>
          <w:ilvl w:val="0"/>
          <w:numId w:val="40"/>
        </w:numPr>
        <w:rPr>
          <w:rFonts w:ascii="Arial" w:cs="Arial" w:eastAsia="Arial" w:hAnsi="Arial"/>
          <w:sz w:val="16"/>
          <w:szCs w:val="16"/>
          <w:b w:val="1"/>
          <w:bCs w:val="1"/>
          <w:color w:val="170D67"/>
        </w:rPr>
      </w:pPr>
      <w:r>
        <w:rPr>
          <w:rFonts w:ascii="Arial" w:cs="Arial" w:eastAsia="Arial" w:hAnsi="Arial"/>
          <w:sz w:val="15"/>
          <w:szCs w:val="15"/>
          <w:color w:val="auto"/>
        </w:rPr>
        <w:t>NightDragon Acquisition Corp. (2017 - 2022)</w:t>
      </w:r>
    </w:p>
    <w:p>
      <w:pPr>
        <w:spacing w:after="0" w:line="2" w:lineRule="exact"/>
        <w:rPr>
          <w:rFonts w:ascii="Arial" w:cs="Arial" w:eastAsia="Arial" w:hAnsi="Arial"/>
          <w:sz w:val="16"/>
          <w:szCs w:val="16"/>
          <w:b w:val="1"/>
          <w:bCs w:val="1"/>
          <w:color w:val="170D67"/>
        </w:rPr>
      </w:pPr>
    </w:p>
    <w:p>
      <w:pPr>
        <w:ind w:left="200" w:hanging="174"/>
        <w:spacing w:after="0"/>
        <w:tabs>
          <w:tab w:leader="none" w:pos="200" w:val="left"/>
        </w:tabs>
        <w:numPr>
          <w:ilvl w:val="0"/>
          <w:numId w:val="40"/>
        </w:numPr>
        <w:rPr>
          <w:rFonts w:ascii="Arial" w:cs="Arial" w:eastAsia="Arial" w:hAnsi="Arial"/>
          <w:sz w:val="16"/>
          <w:szCs w:val="16"/>
          <w:b w:val="1"/>
          <w:bCs w:val="1"/>
          <w:color w:val="170D67"/>
        </w:rPr>
      </w:pPr>
      <w:r>
        <w:rPr>
          <w:rFonts w:ascii="Arial" w:cs="Arial" w:eastAsia="Arial" w:hAnsi="Arial"/>
          <w:sz w:val="15"/>
          <w:szCs w:val="15"/>
          <w:color w:val="auto"/>
        </w:rPr>
        <w:t>ForgeRock Inc. (2017 - 2022)</w:t>
      </w:r>
    </w:p>
    <w:p>
      <w:pPr>
        <w:spacing w:after="0" w:line="28" w:lineRule="exact"/>
        <w:rPr>
          <w:rFonts w:ascii="Arial" w:cs="Arial" w:eastAsia="Arial" w:hAnsi="Arial"/>
          <w:sz w:val="16"/>
          <w:szCs w:val="16"/>
          <w:b w:val="1"/>
          <w:bCs w:val="1"/>
          <w:color w:val="170D67"/>
        </w:rPr>
      </w:pPr>
    </w:p>
    <w:p>
      <w:pPr>
        <w:ind w:left="200" w:hanging="174"/>
        <w:spacing w:after="0"/>
        <w:tabs>
          <w:tab w:leader="none" w:pos="200" w:val="left"/>
        </w:tabs>
        <w:numPr>
          <w:ilvl w:val="0"/>
          <w:numId w:val="40"/>
        </w:numPr>
        <w:rPr>
          <w:rFonts w:ascii="Arial" w:cs="Arial" w:eastAsia="Arial" w:hAnsi="Arial"/>
          <w:sz w:val="16"/>
          <w:szCs w:val="16"/>
          <w:b w:val="1"/>
          <w:bCs w:val="1"/>
          <w:color w:val="170D67"/>
        </w:rPr>
      </w:pPr>
      <w:r>
        <w:rPr>
          <w:rFonts w:ascii="Arial" w:cs="Arial" w:eastAsia="Arial" w:hAnsi="Arial"/>
          <w:sz w:val="15"/>
          <w:szCs w:val="15"/>
          <w:color w:val="auto"/>
        </w:rPr>
        <w:t>Forescout Technologies, Inc. (2015 - 2020)</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333333"/>
        </w:rPr>
        <w:t>Career Highlights</w:t>
      </w:r>
    </w:p>
    <w:p>
      <w:pPr>
        <w:spacing w:after="0" w:line="86" w:lineRule="exact"/>
        <w:rPr>
          <w:sz w:val="20"/>
          <w:szCs w:val="20"/>
          <w:color w:val="auto"/>
        </w:rPr>
      </w:pPr>
    </w:p>
    <w:p>
      <w:pPr>
        <w:ind w:left="186" w:hanging="186"/>
        <w:spacing w:after="0" w:line="275" w:lineRule="auto"/>
        <w:tabs>
          <w:tab w:leader="none" w:pos="156" w:val="left"/>
        </w:tabs>
        <w:numPr>
          <w:ilvl w:val="0"/>
          <w:numId w:val="41"/>
        </w:numPr>
        <w:rPr>
          <w:rFonts w:ascii="Arial" w:cs="Arial" w:eastAsia="Arial" w:hAnsi="Arial"/>
          <w:sz w:val="16"/>
          <w:szCs w:val="16"/>
          <w:b w:val="1"/>
          <w:bCs w:val="1"/>
          <w:color w:val="170D67"/>
        </w:rPr>
      </w:pPr>
      <w:r>
        <w:rPr>
          <w:rFonts w:ascii="Arial" w:cs="Arial" w:eastAsia="Arial" w:hAnsi="Arial"/>
          <w:sz w:val="16"/>
          <w:szCs w:val="16"/>
          <w:color w:val="auto"/>
        </w:rPr>
        <w:t xml:space="preserve">Founder, Managing Director, and Chief Executive Officer, NightDragon, a venture capital and advisory firm focused on cybersecurity </w:t>
      </w:r>
      <w:r>
        <w:rPr>
          <w:rFonts w:ascii="Arial" w:cs="Arial" w:eastAsia="Arial" w:hAnsi="Arial"/>
          <w:sz w:val="16"/>
          <w:szCs w:val="16"/>
          <w:color w:val="3A5CFF"/>
        </w:rPr>
        <w:t>(Since 2012)</w:t>
      </w:r>
    </w:p>
    <w:p>
      <w:pPr>
        <w:spacing w:after="0" w:line="15" w:lineRule="exact"/>
        <w:rPr>
          <w:rFonts w:ascii="Arial" w:cs="Arial" w:eastAsia="Arial" w:hAnsi="Arial"/>
          <w:sz w:val="16"/>
          <w:szCs w:val="16"/>
          <w:b w:val="1"/>
          <w:bCs w:val="1"/>
          <w:color w:val="170D67"/>
        </w:rPr>
      </w:pPr>
    </w:p>
    <w:p>
      <w:pPr>
        <w:ind w:left="186" w:hanging="186"/>
        <w:spacing w:after="0" w:line="275" w:lineRule="auto"/>
        <w:tabs>
          <w:tab w:leader="none" w:pos="156" w:val="left"/>
        </w:tabs>
        <w:numPr>
          <w:ilvl w:val="0"/>
          <w:numId w:val="41"/>
        </w:numPr>
        <w:rPr>
          <w:rFonts w:ascii="Arial" w:cs="Arial" w:eastAsia="Arial" w:hAnsi="Arial"/>
          <w:sz w:val="16"/>
          <w:szCs w:val="16"/>
          <w:b w:val="1"/>
          <w:bCs w:val="1"/>
          <w:color w:val="170D67"/>
        </w:rPr>
      </w:pPr>
      <w:r>
        <w:rPr>
          <w:rFonts w:ascii="Arial" w:cs="Arial" w:eastAsia="Arial" w:hAnsi="Arial"/>
          <w:sz w:val="16"/>
          <w:szCs w:val="16"/>
          <w:color w:val="auto"/>
        </w:rPr>
        <w:t xml:space="preserve">Chairman of the Board of FireEye Inc., a global network cybersecurity company </w:t>
      </w:r>
      <w:r>
        <w:rPr>
          <w:rFonts w:ascii="Arial" w:cs="Arial" w:eastAsia="Arial" w:hAnsi="Arial"/>
          <w:sz w:val="16"/>
          <w:szCs w:val="16"/>
          <w:color w:val="3A5CFF"/>
        </w:rPr>
        <w:t>(2012 – 2017)</w:t>
      </w:r>
      <w:r>
        <w:rPr>
          <w:rFonts w:ascii="Arial" w:cs="Arial" w:eastAsia="Arial" w:hAnsi="Arial"/>
          <w:sz w:val="16"/>
          <w:szCs w:val="16"/>
          <w:color w:val="auto"/>
        </w:rPr>
        <w:t xml:space="preserve">; also Chief Executive Officer </w:t>
      </w:r>
      <w:r>
        <w:rPr>
          <w:rFonts w:ascii="Arial" w:cs="Arial" w:eastAsia="Arial" w:hAnsi="Arial"/>
          <w:sz w:val="16"/>
          <w:szCs w:val="16"/>
          <w:color w:val="3A5CFF"/>
        </w:rPr>
        <w:t>(2012 - 2016)</w:t>
      </w:r>
    </w:p>
    <w:p>
      <w:pPr>
        <w:spacing w:after="0" w:line="56" w:lineRule="exact"/>
        <w:rPr>
          <w:rFonts w:ascii="Arial" w:cs="Arial" w:eastAsia="Arial" w:hAnsi="Arial"/>
          <w:sz w:val="16"/>
          <w:szCs w:val="16"/>
          <w:b w:val="1"/>
          <w:bCs w:val="1"/>
          <w:color w:val="170D67"/>
        </w:rPr>
      </w:pPr>
    </w:p>
    <w:p>
      <w:pPr>
        <w:ind w:left="186" w:right="140" w:hanging="186"/>
        <w:spacing w:after="0" w:line="304" w:lineRule="auto"/>
        <w:tabs>
          <w:tab w:leader="none" w:pos="156" w:val="left"/>
        </w:tabs>
        <w:numPr>
          <w:ilvl w:val="0"/>
          <w:numId w:val="41"/>
        </w:numPr>
        <w:rPr>
          <w:rFonts w:ascii="Arial" w:cs="Arial" w:eastAsia="Arial" w:hAnsi="Arial"/>
          <w:sz w:val="16"/>
          <w:szCs w:val="16"/>
          <w:b w:val="1"/>
          <w:bCs w:val="1"/>
          <w:color w:val="170D67"/>
        </w:rPr>
      </w:pPr>
      <w:r>
        <w:rPr>
          <w:rFonts w:ascii="Arial" w:cs="Arial" w:eastAsia="Arial" w:hAnsi="Arial"/>
          <w:sz w:val="16"/>
          <w:szCs w:val="16"/>
          <w:color w:val="auto"/>
        </w:rPr>
        <w:t xml:space="preserve">President and Chief Executive Officer of McAfee, Inc., a security technology company </w:t>
      </w:r>
      <w:r>
        <w:rPr>
          <w:rFonts w:ascii="Arial" w:cs="Arial" w:eastAsia="Arial" w:hAnsi="Arial"/>
          <w:sz w:val="16"/>
          <w:szCs w:val="16"/>
          <w:color w:val="3A5CFF"/>
        </w:rPr>
        <w:t>(2007 - 2011)</w:t>
      </w:r>
    </w:p>
    <w:p>
      <w:pPr>
        <w:spacing w:after="0" w:line="33" w:lineRule="exact"/>
        <w:rPr>
          <w:rFonts w:ascii="Arial" w:cs="Arial" w:eastAsia="Arial" w:hAnsi="Arial"/>
          <w:sz w:val="16"/>
          <w:szCs w:val="16"/>
          <w:b w:val="1"/>
          <w:bCs w:val="1"/>
          <w:color w:val="170D67"/>
        </w:rPr>
      </w:pPr>
    </w:p>
    <w:p>
      <w:pPr>
        <w:ind w:left="186" w:right="200" w:hanging="186"/>
        <w:spacing w:after="0" w:line="265" w:lineRule="auto"/>
        <w:tabs>
          <w:tab w:leader="none" w:pos="156" w:val="left"/>
        </w:tabs>
        <w:numPr>
          <w:ilvl w:val="0"/>
          <w:numId w:val="41"/>
        </w:numPr>
        <w:rPr>
          <w:rFonts w:ascii="Arial" w:cs="Arial" w:eastAsia="Arial" w:hAnsi="Arial"/>
          <w:sz w:val="16"/>
          <w:szCs w:val="16"/>
          <w:b w:val="1"/>
          <w:bCs w:val="1"/>
          <w:color w:val="170D67"/>
        </w:rPr>
      </w:pPr>
      <w:r>
        <w:rPr>
          <w:rFonts w:ascii="Arial" w:cs="Arial" w:eastAsia="Arial" w:hAnsi="Arial"/>
          <w:sz w:val="16"/>
          <w:szCs w:val="16"/>
          <w:color w:val="auto"/>
        </w:rPr>
        <w:t xml:space="preserve">Various executive roles with EMC Corporation, a provider of information infrastructure technology solutions, including Executive Vice President and President - Customer Operations and Content Management Software </w:t>
      </w:r>
      <w:r>
        <w:rPr>
          <w:rFonts w:ascii="Arial" w:cs="Arial" w:eastAsia="Arial" w:hAnsi="Arial"/>
          <w:sz w:val="16"/>
          <w:szCs w:val="16"/>
          <w:color w:val="3A5CFF"/>
        </w:rPr>
        <w:t>(2003 - 2007)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-2136775</wp:posOffset>
            </wp:positionH>
            <wp:positionV relativeFrom="paragraph">
              <wp:posOffset>255270</wp:posOffset>
            </wp:positionV>
            <wp:extent cx="7123430" cy="29914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23430" cy="2991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Other Professional Experience</w:t>
      </w:r>
    </w:p>
    <w:p>
      <w:pPr>
        <w:spacing w:after="0" w:line="113" w:lineRule="exact"/>
        <w:rPr>
          <w:sz w:val="20"/>
          <w:szCs w:val="20"/>
          <w:color w:val="auto"/>
        </w:rPr>
      </w:pPr>
    </w:p>
    <w:p>
      <w:pPr>
        <w:ind w:left="220" w:hanging="163"/>
        <w:spacing w:after="0"/>
        <w:tabs>
          <w:tab w:leader="none" w:pos="220" w:val="left"/>
        </w:tabs>
        <w:numPr>
          <w:ilvl w:val="0"/>
          <w:numId w:val="42"/>
        </w:numPr>
        <w:rPr>
          <w:rFonts w:ascii="Arial" w:cs="Arial" w:eastAsia="Arial" w:hAnsi="Arial"/>
          <w:sz w:val="16"/>
          <w:szCs w:val="16"/>
          <w:b w:val="1"/>
          <w:bCs w:val="1"/>
          <w:color w:val="170D67"/>
        </w:rPr>
      </w:pPr>
      <w:r>
        <w:rPr>
          <w:rFonts w:ascii="Arial" w:cs="Arial" w:eastAsia="Arial" w:hAnsi="Arial"/>
          <w:sz w:val="16"/>
          <w:szCs w:val="16"/>
          <w:color w:val="auto"/>
        </w:rPr>
        <w:t>Director, Claroty</w:t>
      </w:r>
    </w:p>
    <w:p>
      <w:pPr>
        <w:spacing w:after="0" w:line="86" w:lineRule="exact"/>
        <w:rPr>
          <w:rFonts w:ascii="Arial" w:cs="Arial" w:eastAsia="Arial" w:hAnsi="Arial"/>
          <w:sz w:val="16"/>
          <w:szCs w:val="16"/>
          <w:b w:val="1"/>
          <w:bCs w:val="1"/>
          <w:color w:val="170D67"/>
        </w:rPr>
      </w:pPr>
    </w:p>
    <w:p>
      <w:pPr>
        <w:ind w:left="260" w:right="580" w:hanging="203"/>
        <w:spacing w:after="0" w:line="299" w:lineRule="auto"/>
        <w:tabs>
          <w:tab w:leader="none" w:pos="230" w:val="left"/>
        </w:tabs>
        <w:numPr>
          <w:ilvl w:val="0"/>
          <w:numId w:val="42"/>
        </w:numPr>
        <w:rPr>
          <w:rFonts w:ascii="Arial" w:cs="Arial" w:eastAsia="Arial" w:hAnsi="Arial"/>
          <w:sz w:val="16"/>
          <w:szCs w:val="16"/>
          <w:b w:val="1"/>
          <w:bCs w:val="1"/>
          <w:color w:val="170D67"/>
        </w:rPr>
      </w:pPr>
      <w:r>
        <w:rPr>
          <w:rFonts w:ascii="Arial" w:cs="Arial" w:eastAsia="Arial" w:hAnsi="Arial"/>
          <w:sz w:val="16"/>
          <w:szCs w:val="16"/>
          <w:color w:val="auto"/>
        </w:rPr>
        <w:t>Vice Chair, CISA Cybersecurity Advisory Committee</w:t>
      </w:r>
    </w:p>
    <w:p>
      <w:pPr>
        <w:ind w:left="260" w:right="480" w:hanging="203"/>
        <w:spacing w:after="0" w:line="304" w:lineRule="auto"/>
        <w:tabs>
          <w:tab w:leader="none" w:pos="230" w:val="left"/>
        </w:tabs>
        <w:numPr>
          <w:ilvl w:val="0"/>
          <w:numId w:val="42"/>
        </w:numPr>
        <w:rPr>
          <w:rFonts w:ascii="Arial" w:cs="Arial" w:eastAsia="Arial" w:hAnsi="Arial"/>
          <w:sz w:val="16"/>
          <w:szCs w:val="16"/>
          <w:b w:val="1"/>
          <w:bCs w:val="1"/>
          <w:color w:val="170D67"/>
        </w:rPr>
      </w:pPr>
      <w:r>
        <w:rPr>
          <w:rFonts w:ascii="Arial" w:cs="Arial" w:eastAsia="Arial" w:hAnsi="Arial"/>
          <w:sz w:val="16"/>
          <w:szCs w:val="16"/>
          <w:color w:val="auto"/>
        </w:rPr>
        <w:t>Member, National Security Telecommunications Advisory Committee</w:t>
      </w:r>
    </w:p>
    <w:p>
      <w:pPr>
        <w:spacing w:after="0" w:line="1829" w:lineRule="exact"/>
        <w:rPr>
          <w:sz w:val="20"/>
          <w:szCs w:val="20"/>
          <w:color w:val="auto"/>
        </w:rPr>
      </w:pPr>
    </w:p>
    <w:p>
      <w:pPr>
        <w:sectPr>
          <w:pgSz w:w="11900" w:h="16838" w:orient="portrait"/>
          <w:cols w:equalWidth="0" w:num="3">
            <w:col w:w="3100" w:space="274"/>
            <w:col w:w="3906" w:space="260"/>
            <w:col w:w="3700"/>
          </w:cols>
          <w:pgMar w:left="320" w:top="121" w:right="339" w:bottom="1440" w:gutter="0" w:footer="0" w:header="0"/>
          <w:type w:val="continuous"/>
        </w:sectPr>
      </w:pPr>
    </w:p>
    <w:p>
      <w:pPr>
        <w:spacing w:after="0" w:line="35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3A5CFF"/>
        </w:rPr>
        <w:t>Linda Jojo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-24765</wp:posOffset>
            </wp:positionV>
            <wp:extent cx="1543050" cy="8661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clrChange>
                        <a:clrFrom>
                          <a:srgbClr val="000000"/>
                        </a:clrFrom>
                        <a:clrTo>
                          <a:srgbClr val="000000">
                            <a:alpha val="0"/>
                          </a:srgbClr>
                        </a:clrTo>
                      </a:clrChange>
                      <a:extLst>
                        <a:ext uri="{28A0092B-C50C-407E-A947-70E740481C1C}"/>
                      </a:extLst>
                    </a:blip>
                    <a:srcRect/>
                    <a:stretch>
                      <a:fillRect/>
                    </a:stretch>
                  </pic:blipFill>
                  <pic:spPr bwMode="auto">
                    <a:xfrm>
                      <a:off x="0" y="0"/>
                      <a:ext cx="1543050" cy="86614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1543050" cy="8661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clrChange>
                        <a:clrFrom>
                          <a:srgbClr val="FFFFFF"/>
                        </a:clrFrom>
                        <a:clrTo>
                          <a:srgbClr val="FFFFFF">
                            <a:alpha val="0"/>
                          </a:srgbClr>
                        </a:clrTo>
                      </a:clrChange>
                      <a:extLst>
                        <a:ext uri="{28A0092B-C50C-407E-A947-70E740481C1C}"/>
                      </a:extLst>
                    </a:blip>
                    <a:srcRect/>
                    <a:stretch>
                      <a:fillRect/>
                    </a:stretch>
                  </pic:blipFill>
                  <pic:spPr bwMode="auto">
                    <a:xfrm>
                      <a:off x="0" y="0"/>
                      <a:ext cx="1543050" cy="866140"/>
                    </a:xfrm>
                    <a:prstGeom prst="rect">
                      <a:avLst/>
                    </a:prstGeom>
                    <a:noFill/>
                  </pic:spPr>
                </pic:pic>
              </a:graphicData>
            </a:graphic>
          </wp:anchor>
        </w:drawing>
      </w:r>
    </w:p>
    <w:p>
      <w:pPr>
        <w:spacing w:after="0" w:line="18" w:lineRule="exact"/>
        <w:rPr>
          <w:sz w:val="20"/>
          <w:szCs w:val="20"/>
          <w:color w:val="auto"/>
        </w:rPr>
      </w:pPr>
    </w:p>
    <w:p>
      <w:pPr>
        <w:ind w:left="3380"/>
        <w:spacing w:after="0"/>
        <w:rPr>
          <w:sz w:val="20"/>
          <w:szCs w:val="20"/>
          <w:color w:val="auto"/>
        </w:rPr>
      </w:pPr>
      <w:r>
        <w:rPr>
          <w:rFonts w:ascii="Arial" w:cs="Arial" w:eastAsia="Arial" w:hAnsi="Arial"/>
          <w:sz w:val="15"/>
          <w:szCs w:val="15"/>
          <w:color w:val="00E4A5"/>
        </w:rPr>
        <w:t>INDEPENDENT</w:t>
      </w:r>
    </w:p>
    <w:p>
      <w:pPr>
        <w:spacing w:after="0" w:line="114" w:lineRule="exact"/>
        <w:rPr>
          <w:sz w:val="20"/>
          <w:szCs w:val="20"/>
          <w:color w:val="auto"/>
        </w:rPr>
      </w:pPr>
    </w:p>
    <w:p>
      <w:pPr>
        <w:ind w:left="3380" w:right="180"/>
        <w:spacing w:after="0" w:line="259" w:lineRule="auto"/>
        <w:rPr>
          <w:sz w:val="20"/>
          <w:szCs w:val="20"/>
          <w:color w:val="auto"/>
        </w:rPr>
      </w:pPr>
      <w:r>
        <w:rPr>
          <w:rFonts w:ascii="Arial" w:cs="Arial" w:eastAsia="Arial" w:hAnsi="Arial"/>
          <w:sz w:val="16"/>
          <w:szCs w:val="16"/>
          <w:color w:val="auto"/>
        </w:rPr>
        <w:t>Ms. Jojo’s wealth of experience leading complex IT organizations brings valuable technology, cybersecurity, and innovation expertise to the Board. Her background in computer science and industrial engineering lends expertise to the Board’s risk oversight and cybersecurity programs and initiatives. Her most recent role as Chief Customer Officer at United Airlines also brings valuable experience in oversight of contact centers, customer solutions, and innovation. Additionally, her experience working with organizations preparing young people for STEM careers brings insight to the Board’s oversight of Exelon’s youth outreach and workforce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9525</wp:posOffset>
            </wp:positionV>
            <wp:extent cx="499745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99745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117"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59</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auto"/>
        </w:rPr>
        <w:t>September 2015</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Committees:</w:t>
      </w:r>
    </w:p>
    <w:p>
      <w:pPr>
        <w:spacing w:after="0" w:line="55" w:lineRule="exact"/>
        <w:rPr>
          <w:sz w:val="20"/>
          <w:szCs w:val="20"/>
          <w:color w:val="auto"/>
        </w:rPr>
      </w:pPr>
    </w:p>
    <w:p>
      <w:pPr>
        <w:ind w:left="200" w:hanging="174"/>
        <w:spacing w:after="0"/>
        <w:tabs>
          <w:tab w:leader="none" w:pos="200" w:val="left"/>
        </w:tabs>
        <w:numPr>
          <w:ilvl w:val="0"/>
          <w:numId w:val="43"/>
        </w:numPr>
        <w:rPr>
          <w:rFonts w:ascii="Arial" w:cs="Arial" w:eastAsia="Arial" w:hAnsi="Arial"/>
          <w:sz w:val="16"/>
          <w:szCs w:val="16"/>
          <w:b w:val="1"/>
          <w:bCs w:val="1"/>
          <w:color w:val="232B79"/>
        </w:rPr>
      </w:pPr>
      <w:r>
        <w:rPr>
          <w:rFonts w:ascii="Arial" w:cs="Arial" w:eastAsia="Arial" w:hAnsi="Arial"/>
          <w:sz w:val="15"/>
          <w:szCs w:val="15"/>
          <w:b w:val="1"/>
          <w:bCs w:val="1"/>
          <w:color w:val="auto"/>
        </w:rPr>
        <w:t>ARC</w:t>
      </w:r>
    </w:p>
    <w:p>
      <w:pPr>
        <w:spacing w:after="0" w:line="59" w:lineRule="exact"/>
        <w:rPr>
          <w:rFonts w:ascii="Arial" w:cs="Arial" w:eastAsia="Arial" w:hAnsi="Arial"/>
          <w:sz w:val="16"/>
          <w:szCs w:val="16"/>
          <w:b w:val="1"/>
          <w:bCs w:val="1"/>
          <w:color w:val="232B79"/>
        </w:rPr>
      </w:pPr>
    </w:p>
    <w:p>
      <w:pPr>
        <w:ind w:left="200" w:hanging="174"/>
        <w:spacing w:after="0"/>
        <w:tabs>
          <w:tab w:leader="none" w:pos="200" w:val="left"/>
        </w:tabs>
        <w:numPr>
          <w:ilvl w:val="0"/>
          <w:numId w:val="43"/>
        </w:numPr>
        <w:rPr>
          <w:rFonts w:ascii="Arial" w:cs="Arial" w:eastAsia="Arial" w:hAnsi="Arial"/>
          <w:sz w:val="16"/>
          <w:szCs w:val="16"/>
          <w:b w:val="1"/>
          <w:bCs w:val="1"/>
          <w:color w:val="232B79"/>
        </w:rPr>
      </w:pPr>
      <w:r>
        <w:rPr>
          <w:rFonts w:ascii="Arial" w:cs="Arial" w:eastAsia="Arial" w:hAnsi="Arial"/>
          <w:sz w:val="15"/>
          <w:szCs w:val="15"/>
          <w:b w:val="1"/>
          <w:bCs w:val="1"/>
          <w:color w:val="auto"/>
        </w:rPr>
        <w:t>OSCC</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Other Current Public Boards: </w:t>
      </w:r>
      <w:r>
        <w:rPr>
          <w:rFonts w:ascii="Arial" w:cs="Arial" w:eastAsia="Arial" w:hAnsi="Arial"/>
          <w:sz w:val="15"/>
          <w:szCs w:val="15"/>
          <w:b w:val="1"/>
          <w:bCs w:val="1"/>
          <w:color w:val="auto"/>
        </w:rPr>
        <w:t>0</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333333"/>
        </w:rPr>
        <w:t>Career Highlights</w:t>
      </w:r>
    </w:p>
    <w:p>
      <w:pPr>
        <w:spacing w:after="0" w:line="100" w:lineRule="exact"/>
        <w:rPr>
          <w:sz w:val="20"/>
          <w:szCs w:val="20"/>
          <w:color w:val="auto"/>
        </w:rPr>
      </w:pPr>
    </w:p>
    <w:p>
      <w:pPr>
        <w:ind w:left="186" w:hanging="186"/>
        <w:spacing w:after="0" w:line="260" w:lineRule="auto"/>
        <w:tabs>
          <w:tab w:leader="none" w:pos="156" w:val="left"/>
        </w:tabs>
        <w:numPr>
          <w:ilvl w:val="0"/>
          <w:numId w:val="44"/>
        </w:numPr>
        <w:rPr>
          <w:rFonts w:ascii="Arial" w:cs="Arial" w:eastAsia="Arial" w:hAnsi="Arial"/>
          <w:sz w:val="16"/>
          <w:szCs w:val="16"/>
          <w:b w:val="1"/>
          <w:bCs w:val="1"/>
          <w:color w:val="170D67"/>
        </w:rPr>
      </w:pPr>
      <w:r>
        <w:rPr>
          <w:rFonts w:ascii="Arial" w:cs="Arial" w:eastAsia="Arial" w:hAnsi="Arial"/>
          <w:sz w:val="16"/>
          <w:szCs w:val="16"/>
          <w:color w:val="auto"/>
        </w:rPr>
        <w:t xml:space="preserve">Executive Vice President, Chief Customer Officer of United Airlines Holdings, Inc. </w:t>
      </w:r>
      <w:r>
        <w:rPr>
          <w:rFonts w:ascii="Arial" w:cs="Arial" w:eastAsia="Arial" w:hAnsi="Arial"/>
          <w:sz w:val="16"/>
          <w:szCs w:val="16"/>
          <w:color w:val="3A5CFF"/>
        </w:rPr>
        <w:t>(2022 - 2024) (Retired)</w:t>
      </w:r>
      <w:r>
        <w:rPr>
          <w:rFonts w:ascii="Arial" w:cs="Arial" w:eastAsia="Arial" w:hAnsi="Arial"/>
          <w:sz w:val="16"/>
          <w:szCs w:val="16"/>
          <w:color w:val="auto"/>
        </w:rPr>
        <w:t xml:space="preserve">; previously Executive Vice President, Technology &amp; Chief Digital Officer </w:t>
      </w:r>
      <w:r>
        <w:rPr>
          <w:rFonts w:ascii="Arial" w:cs="Arial" w:eastAsia="Arial" w:hAnsi="Arial"/>
          <w:sz w:val="16"/>
          <w:szCs w:val="16"/>
          <w:color w:val="3A5CFF"/>
        </w:rPr>
        <w:t>(2017 – 2022)</w:t>
      </w:r>
      <w:r>
        <w:rPr>
          <w:rFonts w:ascii="Arial" w:cs="Arial" w:eastAsia="Arial" w:hAnsi="Arial"/>
          <w:sz w:val="16"/>
          <w:szCs w:val="16"/>
          <w:color w:val="auto"/>
        </w:rPr>
        <w:t xml:space="preserve"> and Executive Vice President &amp; Chief Information Officer </w:t>
      </w:r>
      <w:r>
        <w:rPr>
          <w:rFonts w:ascii="Arial" w:cs="Arial" w:eastAsia="Arial" w:hAnsi="Arial"/>
          <w:sz w:val="16"/>
          <w:szCs w:val="16"/>
          <w:color w:val="3A5CFF"/>
        </w:rPr>
        <w:t>(2014 – 2017)</w:t>
      </w:r>
    </w:p>
    <w:p>
      <w:pPr>
        <w:spacing w:after="0" w:line="42" w:lineRule="exact"/>
        <w:rPr>
          <w:rFonts w:ascii="Arial" w:cs="Arial" w:eastAsia="Arial" w:hAnsi="Arial"/>
          <w:sz w:val="16"/>
          <w:szCs w:val="16"/>
          <w:b w:val="1"/>
          <w:bCs w:val="1"/>
          <w:color w:val="170D67"/>
        </w:rPr>
      </w:pPr>
    </w:p>
    <w:p>
      <w:pPr>
        <w:ind w:left="186" w:right="140" w:hanging="186"/>
        <w:spacing w:after="0" w:line="275" w:lineRule="auto"/>
        <w:tabs>
          <w:tab w:leader="none" w:pos="156" w:val="left"/>
        </w:tabs>
        <w:numPr>
          <w:ilvl w:val="0"/>
          <w:numId w:val="44"/>
        </w:numPr>
        <w:rPr>
          <w:rFonts w:ascii="Arial" w:cs="Arial" w:eastAsia="Arial" w:hAnsi="Arial"/>
          <w:sz w:val="16"/>
          <w:szCs w:val="16"/>
          <w:b w:val="1"/>
          <w:bCs w:val="1"/>
          <w:color w:val="170D67"/>
        </w:rPr>
      </w:pPr>
      <w:r>
        <w:rPr>
          <w:rFonts w:ascii="Arial" w:cs="Arial" w:eastAsia="Arial" w:hAnsi="Arial"/>
          <w:sz w:val="16"/>
          <w:szCs w:val="16"/>
          <w:color w:val="auto"/>
        </w:rPr>
        <w:t xml:space="preserve">Executive Vice President and Chief Information Officer, Rogers Communications Inc., a wireless communications and media company </w:t>
      </w:r>
      <w:r>
        <w:rPr>
          <w:rFonts w:ascii="Arial" w:cs="Arial" w:eastAsia="Arial" w:hAnsi="Arial"/>
          <w:sz w:val="16"/>
          <w:szCs w:val="16"/>
          <w:color w:val="3A5CFF"/>
        </w:rPr>
        <w:t>(2011 – 2014)</w:t>
      </w:r>
    </w:p>
    <w:p>
      <w:pPr>
        <w:spacing w:after="0" w:line="29" w:lineRule="exact"/>
        <w:rPr>
          <w:rFonts w:ascii="Arial" w:cs="Arial" w:eastAsia="Arial" w:hAnsi="Arial"/>
          <w:sz w:val="16"/>
          <w:szCs w:val="16"/>
          <w:b w:val="1"/>
          <w:bCs w:val="1"/>
          <w:color w:val="170D67"/>
        </w:rPr>
      </w:pPr>
    </w:p>
    <w:p>
      <w:pPr>
        <w:jc w:val="both"/>
        <w:ind w:left="186" w:right="380" w:hanging="186"/>
        <w:spacing w:after="0" w:line="286" w:lineRule="auto"/>
        <w:tabs>
          <w:tab w:leader="none" w:pos="156" w:val="left"/>
        </w:tabs>
        <w:numPr>
          <w:ilvl w:val="0"/>
          <w:numId w:val="44"/>
        </w:numPr>
        <w:rPr>
          <w:rFonts w:ascii="Arial" w:cs="Arial" w:eastAsia="Arial" w:hAnsi="Arial"/>
          <w:sz w:val="16"/>
          <w:szCs w:val="16"/>
          <w:b w:val="1"/>
          <w:bCs w:val="1"/>
          <w:color w:val="170D67"/>
        </w:rPr>
      </w:pPr>
      <w:r>
        <w:rPr>
          <w:rFonts w:ascii="Arial" w:cs="Arial" w:eastAsia="Arial" w:hAnsi="Arial"/>
          <w:sz w:val="16"/>
          <w:szCs w:val="16"/>
          <w:color w:val="auto"/>
        </w:rPr>
        <w:t xml:space="preserve">Senior Vice President and Chief Information Officer, Energy Future Holdings Corporation </w:t>
      </w:r>
      <w:r>
        <w:rPr>
          <w:rFonts w:ascii="Arial" w:cs="Arial" w:eastAsia="Arial" w:hAnsi="Arial"/>
          <w:sz w:val="16"/>
          <w:szCs w:val="16"/>
          <w:color w:val="3A5CFF"/>
        </w:rPr>
        <w:t>(2008 – 2011)</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Other Professional Experience</w:t>
      </w:r>
    </w:p>
    <w:p>
      <w:pPr>
        <w:spacing w:after="0" w:line="140" w:lineRule="exact"/>
        <w:rPr>
          <w:sz w:val="20"/>
          <w:szCs w:val="20"/>
          <w:color w:val="auto"/>
        </w:rPr>
      </w:pPr>
    </w:p>
    <w:p>
      <w:pPr>
        <w:ind w:left="260" w:right="980" w:hanging="200"/>
        <w:spacing w:after="0" w:line="286" w:lineRule="auto"/>
        <w:tabs>
          <w:tab w:leader="none" w:pos="230" w:val="left"/>
        </w:tabs>
        <w:numPr>
          <w:ilvl w:val="0"/>
          <w:numId w:val="45"/>
        </w:numPr>
        <w:rPr>
          <w:rFonts w:ascii="Arial" w:cs="Arial" w:eastAsia="Arial" w:hAnsi="Arial"/>
          <w:sz w:val="16"/>
          <w:szCs w:val="16"/>
          <w:b w:val="1"/>
          <w:bCs w:val="1"/>
          <w:color w:val="170D67"/>
        </w:rPr>
      </w:pPr>
      <w:r>
        <w:rPr>
          <w:rFonts w:ascii="Arial" w:cs="Arial" w:eastAsia="Arial" w:hAnsi="Arial"/>
          <w:sz w:val="16"/>
          <w:szCs w:val="16"/>
          <w:color w:val="auto"/>
        </w:rPr>
        <w:t>Director, Federal Reserve Bank of Chicago</w:t>
      </w:r>
    </w:p>
    <w:p>
      <w:pPr>
        <w:spacing w:after="0" w:line="20" w:lineRule="exact"/>
        <w:rPr>
          <w:rFonts w:ascii="Arial" w:cs="Arial" w:eastAsia="Arial" w:hAnsi="Arial"/>
          <w:sz w:val="16"/>
          <w:szCs w:val="16"/>
          <w:b w:val="1"/>
          <w:bCs w:val="1"/>
          <w:color w:val="170D67"/>
        </w:rPr>
      </w:pPr>
    </w:p>
    <w:p>
      <w:pPr>
        <w:ind w:left="220" w:hanging="160"/>
        <w:spacing w:after="0"/>
        <w:tabs>
          <w:tab w:leader="none" w:pos="220" w:val="left"/>
        </w:tabs>
        <w:numPr>
          <w:ilvl w:val="0"/>
          <w:numId w:val="45"/>
        </w:numPr>
        <w:rPr>
          <w:rFonts w:ascii="Arial" w:cs="Arial" w:eastAsia="Arial" w:hAnsi="Arial"/>
          <w:sz w:val="16"/>
          <w:szCs w:val="16"/>
          <w:b w:val="1"/>
          <w:bCs w:val="1"/>
          <w:color w:val="170D67"/>
        </w:rPr>
      </w:pPr>
      <w:r>
        <w:rPr>
          <w:rFonts w:ascii="Arial" w:cs="Arial" w:eastAsia="Arial" w:hAnsi="Arial"/>
          <w:sz w:val="16"/>
          <w:szCs w:val="16"/>
          <w:color w:val="auto"/>
        </w:rPr>
        <w:t>Trustee, Rensselaer Polytechnic Institute</w:t>
      </w:r>
    </w:p>
    <w:p>
      <w:pPr>
        <w:spacing w:after="0" w:line="72" w:lineRule="exact"/>
        <w:rPr>
          <w:rFonts w:ascii="Arial" w:cs="Arial" w:eastAsia="Arial" w:hAnsi="Arial"/>
          <w:sz w:val="16"/>
          <w:szCs w:val="16"/>
          <w:b w:val="1"/>
          <w:bCs w:val="1"/>
          <w:color w:val="170D67"/>
        </w:rPr>
      </w:pPr>
    </w:p>
    <w:p>
      <w:pPr>
        <w:ind w:left="220" w:hanging="160"/>
        <w:spacing w:after="0"/>
        <w:tabs>
          <w:tab w:leader="none" w:pos="220" w:val="left"/>
        </w:tabs>
        <w:numPr>
          <w:ilvl w:val="0"/>
          <w:numId w:val="45"/>
        </w:numPr>
        <w:rPr>
          <w:rFonts w:ascii="Arial" w:cs="Arial" w:eastAsia="Arial" w:hAnsi="Arial"/>
          <w:sz w:val="16"/>
          <w:szCs w:val="16"/>
          <w:b w:val="1"/>
          <w:bCs w:val="1"/>
          <w:color w:val="170D67"/>
        </w:rPr>
      </w:pPr>
      <w:r>
        <w:rPr>
          <w:rFonts w:ascii="Arial" w:cs="Arial" w:eastAsia="Arial" w:hAnsi="Arial"/>
          <w:sz w:val="16"/>
          <w:szCs w:val="16"/>
          <w:color w:val="auto"/>
        </w:rPr>
        <w:t>Director, Hero Digital Holdings LLC</w:t>
      </w:r>
    </w:p>
    <w:p>
      <w:pPr>
        <w:spacing w:after="0" w:line="86" w:lineRule="exact"/>
        <w:rPr>
          <w:rFonts w:ascii="Arial" w:cs="Arial" w:eastAsia="Arial" w:hAnsi="Arial"/>
          <w:sz w:val="16"/>
          <w:szCs w:val="16"/>
          <w:b w:val="1"/>
          <w:bCs w:val="1"/>
          <w:color w:val="170D67"/>
        </w:rPr>
      </w:pPr>
    </w:p>
    <w:p>
      <w:pPr>
        <w:ind w:left="220" w:hanging="160"/>
        <w:spacing w:after="0"/>
        <w:tabs>
          <w:tab w:leader="none" w:pos="220" w:val="left"/>
        </w:tabs>
        <w:numPr>
          <w:ilvl w:val="0"/>
          <w:numId w:val="45"/>
        </w:numPr>
        <w:rPr>
          <w:rFonts w:ascii="Arial" w:cs="Arial" w:eastAsia="Arial" w:hAnsi="Arial"/>
          <w:sz w:val="16"/>
          <w:szCs w:val="16"/>
          <w:b w:val="1"/>
          <w:bCs w:val="1"/>
          <w:color w:val="170D67"/>
        </w:rPr>
      </w:pPr>
      <w:r>
        <w:rPr>
          <w:rFonts w:ascii="Arial" w:cs="Arial" w:eastAsia="Arial" w:hAnsi="Arial"/>
          <w:sz w:val="16"/>
          <w:szCs w:val="16"/>
          <w:color w:val="auto"/>
        </w:rPr>
        <w:t>Former Chair, Board of Trustees,</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Adler Planetarium</w:t>
      </w:r>
    </w:p>
    <w:p>
      <w:pPr>
        <w:spacing w:after="0" w:line="911" w:lineRule="exact"/>
        <w:rPr>
          <w:sz w:val="20"/>
          <w:szCs w:val="20"/>
          <w:color w:val="auto"/>
        </w:rPr>
      </w:pPr>
    </w:p>
    <w:p>
      <w:pPr>
        <w:sectPr>
          <w:pgSz w:w="11900" w:h="16838" w:orient="portrait"/>
          <w:cols w:equalWidth="0" w:num="3">
            <w:col w:w="2654" w:space="720"/>
            <w:col w:w="4246" w:space="160"/>
            <w:col w:w="3460"/>
          </w:cols>
          <w:pgMar w:left="320" w:top="121" w:right="339" w:bottom="1440" w:gutter="0" w:footer="0" w:header="0"/>
          <w:type w:val="continuous"/>
        </w:sect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780"/>
              <w:spacing w:after="0"/>
              <w:rPr>
                <w:sz w:val="20"/>
                <w:szCs w:val="20"/>
                <w:color w:val="auto"/>
              </w:rPr>
            </w:pPr>
            <w:r>
              <w:rPr>
                <w:rFonts w:ascii="Arial" w:cs="Arial" w:eastAsia="Arial" w:hAnsi="Arial"/>
                <w:sz w:val="14"/>
                <w:szCs w:val="14"/>
                <w:color w:val="auto"/>
              </w:rPr>
              <w:t>2025 ׀ Exelon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21</w:t>
            </w:r>
          </w:p>
        </w:tc>
      </w:tr>
      <w:tr>
        <w:trPr>
          <w:trHeight w:val="225"/>
        </w:trPr>
        <w:tc>
          <w:tcPr>
            <w:tcW w:w="1092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3"/>
          <w:szCs w:val="13"/>
          <w:b w:val="1"/>
          <w:bCs w:val="1"/>
          <w:color w:val="auto"/>
        </w:rPr>
        <w:t>Board and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619760</wp:posOffset>
            </wp:positionV>
            <wp:extent cx="7123430" cy="33775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23430" cy="337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3A5CFF"/>
        </w:rPr>
        <w:t>Charisse Lillie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-24765</wp:posOffset>
            </wp:positionV>
            <wp:extent cx="1543050" cy="8655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clrChange>
                        <a:clrFrom>
                          <a:srgbClr val="000000"/>
                        </a:clrFrom>
                        <a:clrTo>
                          <a:srgbClr val="000000">
                            <a:alpha val="0"/>
                          </a:srgbClr>
                        </a:clrTo>
                      </a:clrChange>
                      <a:extLst>
                        <a:ext uri="{28A0092B-C50C-407E-A947-70E740481C1C}"/>
                      </a:extLst>
                    </a:blip>
                    <a:srcRect/>
                    <a:stretch>
                      <a:fillRect/>
                    </a:stretch>
                  </pic:blipFill>
                  <pic:spPr bwMode="auto">
                    <a:xfrm>
                      <a:off x="0" y="0"/>
                      <a:ext cx="1543050" cy="8655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wp:posOffset>
            </wp:positionV>
            <wp:extent cx="1543050" cy="8655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clrChange>
                        <a:clrFrom>
                          <a:srgbClr val="FFFFFF"/>
                        </a:clrFrom>
                        <a:clrTo>
                          <a:srgbClr val="FFFFFF">
                            <a:alpha val="0"/>
                          </a:srgbClr>
                        </a:clrTo>
                      </a:clrChange>
                      <a:extLst>
                        <a:ext uri="{28A0092B-C50C-407E-A947-70E740481C1C}"/>
                      </a:extLst>
                    </a:blip>
                    <a:srcRect/>
                    <a:stretch>
                      <a:fillRect/>
                    </a:stretch>
                  </pic:blipFill>
                  <pic:spPr bwMode="auto">
                    <a:xfrm>
                      <a:off x="0" y="0"/>
                      <a:ext cx="1543050" cy="865505"/>
                    </a:xfrm>
                    <a:prstGeom prst="rect">
                      <a:avLst/>
                    </a:prstGeom>
                    <a:noFill/>
                  </pic:spPr>
                </pic:pic>
              </a:graphicData>
            </a:graphic>
          </wp:anchor>
        </w:drawing>
      </w:r>
    </w:p>
    <w:p>
      <w:pPr>
        <w:spacing w:after="0" w:line="4" w:lineRule="exact"/>
        <w:rPr>
          <w:sz w:val="20"/>
          <w:szCs w:val="20"/>
          <w:color w:val="auto"/>
        </w:rPr>
      </w:pPr>
    </w:p>
    <w:p>
      <w:pPr>
        <w:ind w:left="3380"/>
        <w:spacing w:after="0"/>
        <w:rPr>
          <w:sz w:val="20"/>
          <w:szCs w:val="20"/>
          <w:color w:val="auto"/>
        </w:rPr>
      </w:pPr>
      <w:r>
        <w:rPr>
          <w:rFonts w:ascii="Arial" w:cs="Arial" w:eastAsia="Arial" w:hAnsi="Arial"/>
          <w:sz w:val="15"/>
          <w:szCs w:val="15"/>
          <w:b w:val="1"/>
          <w:bCs w:val="1"/>
          <w:color w:val="00E4A5"/>
        </w:rPr>
        <w:t>INDEPENDENT</w:t>
      </w:r>
    </w:p>
    <w:p>
      <w:pPr>
        <w:spacing w:after="0" w:line="114" w:lineRule="exact"/>
        <w:rPr>
          <w:sz w:val="20"/>
          <w:szCs w:val="20"/>
          <w:color w:val="auto"/>
        </w:rPr>
      </w:pPr>
    </w:p>
    <w:p>
      <w:pPr>
        <w:ind w:left="3380"/>
        <w:spacing w:after="0" w:line="259" w:lineRule="auto"/>
        <w:rPr>
          <w:sz w:val="20"/>
          <w:szCs w:val="20"/>
          <w:color w:val="auto"/>
        </w:rPr>
      </w:pPr>
      <w:r>
        <w:rPr>
          <w:rFonts w:ascii="Arial" w:cs="Arial" w:eastAsia="Arial" w:hAnsi="Arial"/>
          <w:sz w:val="16"/>
          <w:szCs w:val="16"/>
          <w:color w:val="auto"/>
        </w:rPr>
        <w:t>Ms. Lillie brings a wealth of valuable experience to the Board through her years of experience on the PECO Board, her deep experience in community relations, and her leadership of the consulting firm she founded, which focuses on corporate governance, diversity, equity, and inclusion, and corporate social responsibility. Her past executive leadership roles with Comcast Corporation and Comcast Foundation contribute to her expertise in customer experience, community engagement, and talent management. Additionally, her background in law and government contribute to her know-how in the areas of regulatory affairs and public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635</wp:posOffset>
            </wp:positionV>
            <wp:extent cx="499745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997450" cy="8890"/>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p>
      <w:pPr>
        <w:spacing w:after="0" w:line="103"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72</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auto"/>
        </w:rPr>
        <w:t>April 2023</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Committees:</w:t>
      </w:r>
    </w:p>
    <w:p>
      <w:pPr>
        <w:spacing w:after="0" w:line="60" w:lineRule="exact"/>
        <w:rPr>
          <w:sz w:val="20"/>
          <w:szCs w:val="20"/>
          <w:color w:val="auto"/>
        </w:rPr>
      </w:pPr>
    </w:p>
    <w:p>
      <w:pPr>
        <w:ind w:left="200" w:hanging="174"/>
        <w:spacing w:after="0"/>
        <w:tabs>
          <w:tab w:leader="none" w:pos="200" w:val="left"/>
        </w:tabs>
        <w:numPr>
          <w:ilvl w:val="0"/>
          <w:numId w:val="46"/>
        </w:numPr>
        <w:rPr>
          <w:rFonts w:ascii="Arial" w:cs="Arial" w:eastAsia="Arial" w:hAnsi="Arial"/>
          <w:sz w:val="16"/>
          <w:szCs w:val="16"/>
          <w:b w:val="1"/>
          <w:bCs w:val="1"/>
          <w:color w:val="170D67"/>
        </w:rPr>
      </w:pPr>
      <w:r>
        <w:rPr>
          <w:rFonts w:ascii="Arial" w:cs="Arial" w:eastAsia="Arial" w:hAnsi="Arial"/>
          <w:sz w:val="16"/>
          <w:szCs w:val="16"/>
          <w:b w:val="1"/>
          <w:bCs w:val="1"/>
          <w:color w:val="auto"/>
        </w:rPr>
        <w:t>TMCC</w:t>
      </w:r>
    </w:p>
    <w:p>
      <w:pPr>
        <w:spacing w:after="0" w:line="34" w:lineRule="exact"/>
        <w:rPr>
          <w:rFonts w:ascii="Arial" w:cs="Arial" w:eastAsia="Arial" w:hAnsi="Arial"/>
          <w:sz w:val="16"/>
          <w:szCs w:val="16"/>
          <w:b w:val="1"/>
          <w:bCs w:val="1"/>
          <w:color w:val="170D67"/>
        </w:rPr>
      </w:pPr>
    </w:p>
    <w:p>
      <w:pPr>
        <w:ind w:left="200" w:hanging="174"/>
        <w:spacing w:after="0"/>
        <w:tabs>
          <w:tab w:leader="none" w:pos="200" w:val="left"/>
        </w:tabs>
        <w:numPr>
          <w:ilvl w:val="0"/>
          <w:numId w:val="46"/>
        </w:numPr>
        <w:rPr>
          <w:rFonts w:ascii="Arial" w:cs="Arial" w:eastAsia="Arial" w:hAnsi="Arial"/>
          <w:sz w:val="16"/>
          <w:szCs w:val="16"/>
          <w:b w:val="1"/>
          <w:bCs w:val="1"/>
          <w:color w:val="232B79"/>
        </w:rPr>
      </w:pPr>
      <w:r>
        <w:rPr>
          <w:rFonts w:ascii="Arial" w:cs="Arial" w:eastAsia="Arial" w:hAnsi="Arial"/>
          <w:sz w:val="16"/>
          <w:szCs w:val="16"/>
          <w:b w:val="1"/>
          <w:bCs w:val="1"/>
          <w:color w:val="auto"/>
        </w:rPr>
        <w:t>OSCC</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Other Current Public Boards: </w:t>
      </w:r>
      <w:r>
        <w:rPr>
          <w:rFonts w:ascii="Arial" w:cs="Arial" w:eastAsia="Arial" w:hAnsi="Arial"/>
          <w:sz w:val="15"/>
          <w:szCs w:val="15"/>
          <w:b w:val="1"/>
          <w:bCs w:val="1"/>
          <w:color w:val="auto"/>
        </w:rPr>
        <w:t>0</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333333"/>
        </w:rPr>
        <w:t>Career Highlights</w:t>
      </w:r>
    </w:p>
    <w:p>
      <w:pPr>
        <w:spacing w:after="0" w:line="59" w:lineRule="exact"/>
        <w:rPr>
          <w:sz w:val="20"/>
          <w:szCs w:val="20"/>
          <w:color w:val="auto"/>
        </w:rPr>
      </w:pPr>
    </w:p>
    <w:p>
      <w:pPr>
        <w:ind w:left="166" w:hanging="166"/>
        <w:spacing w:after="0"/>
        <w:tabs>
          <w:tab w:leader="none" w:pos="166" w:val="left"/>
        </w:tabs>
        <w:numPr>
          <w:ilvl w:val="0"/>
          <w:numId w:val="47"/>
        </w:numPr>
        <w:rPr>
          <w:rFonts w:ascii="Arial" w:cs="Arial" w:eastAsia="Arial" w:hAnsi="Arial"/>
          <w:sz w:val="16"/>
          <w:szCs w:val="16"/>
          <w:b w:val="1"/>
          <w:bCs w:val="1"/>
          <w:color w:val="170D67"/>
        </w:rPr>
      </w:pPr>
      <w:r>
        <w:rPr>
          <w:rFonts w:ascii="Arial" w:cs="Arial" w:eastAsia="Arial" w:hAnsi="Arial"/>
          <w:sz w:val="16"/>
          <w:szCs w:val="16"/>
          <w:color w:val="auto"/>
        </w:rPr>
        <w:t xml:space="preserve">Principal, CRL Consulting LLC </w:t>
      </w:r>
      <w:r>
        <w:rPr>
          <w:rFonts w:ascii="Arial" w:cs="Arial" w:eastAsia="Arial" w:hAnsi="Arial"/>
          <w:sz w:val="16"/>
          <w:szCs w:val="16"/>
          <w:color w:val="3A5CFF"/>
        </w:rPr>
        <w:t>(Since 2017)</w:t>
      </w:r>
    </w:p>
    <w:p>
      <w:pPr>
        <w:spacing w:after="0" w:line="86" w:lineRule="exact"/>
        <w:rPr>
          <w:rFonts w:ascii="Arial" w:cs="Arial" w:eastAsia="Arial" w:hAnsi="Arial"/>
          <w:sz w:val="16"/>
          <w:szCs w:val="16"/>
          <w:b w:val="1"/>
          <w:bCs w:val="1"/>
          <w:color w:val="170D67"/>
        </w:rPr>
      </w:pPr>
    </w:p>
    <w:p>
      <w:pPr>
        <w:jc w:val="both"/>
        <w:ind w:left="186" w:hanging="186"/>
        <w:spacing w:after="0" w:line="275" w:lineRule="auto"/>
        <w:tabs>
          <w:tab w:leader="none" w:pos="156" w:val="left"/>
        </w:tabs>
        <w:numPr>
          <w:ilvl w:val="0"/>
          <w:numId w:val="47"/>
        </w:numPr>
        <w:rPr>
          <w:rFonts w:ascii="Arial" w:cs="Arial" w:eastAsia="Arial" w:hAnsi="Arial"/>
          <w:sz w:val="16"/>
          <w:szCs w:val="16"/>
          <w:b w:val="1"/>
          <w:bCs w:val="1"/>
          <w:color w:val="170D67"/>
        </w:rPr>
      </w:pPr>
      <w:r>
        <w:rPr>
          <w:rFonts w:ascii="Arial" w:cs="Arial" w:eastAsia="Arial" w:hAnsi="Arial"/>
          <w:sz w:val="16"/>
          <w:szCs w:val="16"/>
          <w:color w:val="auto"/>
        </w:rPr>
        <w:t xml:space="preserve">Vice President, Community Investment, Comcast Corporation </w:t>
      </w:r>
      <w:r>
        <w:rPr>
          <w:rFonts w:ascii="Arial" w:cs="Arial" w:eastAsia="Arial" w:hAnsi="Arial"/>
          <w:sz w:val="16"/>
          <w:szCs w:val="16"/>
          <w:color w:val="3A5CFF"/>
        </w:rPr>
        <w:t>(2008 – 2017)</w:t>
      </w:r>
      <w:r>
        <w:rPr>
          <w:rFonts w:ascii="Arial" w:cs="Arial" w:eastAsia="Arial" w:hAnsi="Arial"/>
          <w:sz w:val="16"/>
          <w:szCs w:val="16"/>
          <w:color w:val="000000"/>
        </w:rPr>
        <w:t>; previously Vice President, Human Resources</w:t>
      </w:r>
      <w:r>
        <w:rPr>
          <w:rFonts w:ascii="Arial" w:cs="Arial" w:eastAsia="Arial" w:hAnsi="Arial"/>
          <w:sz w:val="16"/>
          <w:szCs w:val="16"/>
          <w:color w:val="3A5CFF"/>
        </w:rPr>
        <w:t xml:space="preserve"> (2005 – 2008)</w:t>
      </w:r>
    </w:p>
    <w:p>
      <w:pPr>
        <w:spacing w:after="0" w:line="2" w:lineRule="exact"/>
        <w:rPr>
          <w:rFonts w:ascii="Arial" w:cs="Arial" w:eastAsia="Arial" w:hAnsi="Arial"/>
          <w:sz w:val="16"/>
          <w:szCs w:val="16"/>
          <w:b w:val="1"/>
          <w:bCs w:val="1"/>
          <w:color w:val="170D67"/>
        </w:rPr>
      </w:pPr>
    </w:p>
    <w:p>
      <w:pPr>
        <w:ind w:left="186" w:right="40" w:hanging="186"/>
        <w:spacing w:after="0" w:line="290" w:lineRule="auto"/>
        <w:tabs>
          <w:tab w:leader="none" w:pos="156" w:val="left"/>
        </w:tabs>
        <w:numPr>
          <w:ilvl w:val="0"/>
          <w:numId w:val="47"/>
        </w:numPr>
        <w:rPr>
          <w:rFonts w:ascii="Arial" w:cs="Arial" w:eastAsia="Arial" w:hAnsi="Arial"/>
          <w:sz w:val="16"/>
          <w:szCs w:val="16"/>
          <w:b w:val="1"/>
          <w:bCs w:val="1"/>
          <w:color w:val="170D67"/>
        </w:rPr>
      </w:pPr>
      <w:r>
        <w:rPr>
          <w:rFonts w:ascii="Arial" w:cs="Arial" w:eastAsia="Arial" w:hAnsi="Arial"/>
          <w:sz w:val="16"/>
          <w:szCs w:val="16"/>
          <w:color w:val="auto"/>
        </w:rPr>
        <w:t xml:space="preserve">Executive Vice President, Comcast Foundation </w:t>
      </w:r>
      <w:r>
        <w:rPr>
          <w:rFonts w:ascii="Arial" w:cs="Arial" w:eastAsia="Arial" w:hAnsi="Arial"/>
          <w:sz w:val="16"/>
          <w:szCs w:val="16"/>
          <w:color w:val="3A5CFF"/>
        </w:rPr>
        <w:t>(2008 – 2011</w:t>
      </w:r>
      <w:r>
        <w:rPr>
          <w:rFonts w:ascii="Arial" w:cs="Arial" w:eastAsia="Arial" w:hAnsi="Arial"/>
          <w:sz w:val="16"/>
          <w:szCs w:val="16"/>
          <w:color w:val="auto"/>
        </w:rPr>
        <w:t xml:space="preserve"> and </w:t>
      </w:r>
      <w:r>
        <w:rPr>
          <w:rFonts w:ascii="Arial" w:cs="Arial" w:eastAsia="Arial" w:hAnsi="Arial"/>
          <w:sz w:val="16"/>
          <w:szCs w:val="16"/>
          <w:color w:val="3A5CFF"/>
        </w:rPr>
        <w:t>2016 – 2017)</w:t>
      </w:r>
      <w:r>
        <w:rPr>
          <w:rFonts w:ascii="Arial" w:cs="Arial" w:eastAsia="Arial" w:hAnsi="Arial"/>
          <w:sz w:val="16"/>
          <w:szCs w:val="16"/>
          <w:color w:val="auto"/>
        </w:rPr>
        <w:t xml:space="preserve">; previously President </w:t>
      </w:r>
      <w:r>
        <w:rPr>
          <w:rFonts w:ascii="Arial" w:cs="Arial" w:eastAsia="Arial" w:hAnsi="Arial"/>
          <w:sz w:val="16"/>
          <w:szCs w:val="16"/>
          <w:color w:val="3A5CFF"/>
        </w:rPr>
        <w:t>(2011 – 2016)</w:t>
      </w:r>
    </w:p>
    <w:p>
      <w:pPr>
        <w:ind w:left="186" w:right="40" w:hanging="186"/>
        <w:spacing w:after="0" w:line="286" w:lineRule="auto"/>
        <w:tabs>
          <w:tab w:leader="none" w:pos="156" w:val="left"/>
        </w:tabs>
        <w:numPr>
          <w:ilvl w:val="0"/>
          <w:numId w:val="47"/>
        </w:numPr>
        <w:rPr>
          <w:rFonts w:ascii="Arial" w:cs="Arial" w:eastAsia="Arial" w:hAnsi="Arial"/>
          <w:sz w:val="16"/>
          <w:szCs w:val="16"/>
          <w:b w:val="1"/>
          <w:bCs w:val="1"/>
          <w:color w:val="170D67"/>
        </w:rPr>
      </w:pPr>
      <w:r>
        <w:rPr>
          <w:rFonts w:ascii="Arial" w:cs="Arial" w:eastAsia="Arial" w:hAnsi="Arial"/>
          <w:sz w:val="16"/>
          <w:szCs w:val="16"/>
          <w:color w:val="auto"/>
        </w:rPr>
        <w:t xml:space="preserve">Partner, Ballard Spahr, LLP </w:t>
      </w:r>
      <w:r>
        <w:rPr>
          <w:rFonts w:ascii="Arial" w:cs="Arial" w:eastAsia="Arial" w:hAnsi="Arial"/>
          <w:sz w:val="16"/>
          <w:szCs w:val="16"/>
          <w:color w:val="3A5CFF"/>
        </w:rPr>
        <w:t>(1992 – 2005)</w:t>
      </w:r>
      <w:r>
        <w:rPr>
          <w:rFonts w:ascii="Arial" w:cs="Arial" w:eastAsia="Arial" w:hAnsi="Arial"/>
          <w:sz w:val="16"/>
          <w:szCs w:val="16"/>
          <w:color w:val="auto"/>
        </w:rPr>
        <w:t xml:space="preserve">; including Chair of Litigation Department </w:t>
      </w:r>
      <w:r>
        <w:rPr>
          <w:rFonts w:ascii="Arial" w:cs="Arial" w:eastAsia="Arial" w:hAnsi="Arial"/>
          <w:sz w:val="16"/>
          <w:szCs w:val="16"/>
          <w:color w:val="3A5CFF"/>
        </w:rPr>
        <w:t>(2002 – 2005)</w:t>
      </w:r>
    </w:p>
    <w:p>
      <w:pPr>
        <w:spacing w:after="0" w:line="7" w:lineRule="exact"/>
        <w:rPr>
          <w:rFonts w:ascii="Arial" w:cs="Arial" w:eastAsia="Arial" w:hAnsi="Arial"/>
          <w:sz w:val="16"/>
          <w:szCs w:val="16"/>
          <w:b w:val="1"/>
          <w:bCs w:val="1"/>
          <w:color w:val="170D67"/>
        </w:rPr>
      </w:pPr>
    </w:p>
    <w:p>
      <w:pPr>
        <w:ind w:left="186" w:right="300" w:hanging="186"/>
        <w:spacing w:after="0" w:line="286" w:lineRule="auto"/>
        <w:tabs>
          <w:tab w:leader="none" w:pos="156" w:val="left"/>
        </w:tabs>
        <w:numPr>
          <w:ilvl w:val="0"/>
          <w:numId w:val="47"/>
        </w:numPr>
        <w:rPr>
          <w:rFonts w:ascii="Arial" w:cs="Arial" w:eastAsia="Arial" w:hAnsi="Arial"/>
          <w:sz w:val="16"/>
          <w:szCs w:val="16"/>
          <w:b w:val="1"/>
          <w:bCs w:val="1"/>
          <w:color w:val="170D67"/>
        </w:rPr>
      </w:pPr>
      <w:r>
        <w:rPr>
          <w:rFonts w:ascii="Arial" w:cs="Arial" w:eastAsia="Arial" w:hAnsi="Arial"/>
          <w:sz w:val="16"/>
          <w:szCs w:val="16"/>
          <w:color w:val="auto"/>
        </w:rPr>
        <w:t xml:space="preserve">City of Philadelphia: City Solicitor </w:t>
      </w:r>
      <w:r>
        <w:rPr>
          <w:rFonts w:ascii="Arial" w:cs="Arial" w:eastAsia="Arial" w:hAnsi="Arial"/>
          <w:sz w:val="16"/>
          <w:szCs w:val="16"/>
          <w:color w:val="3A5CFF"/>
        </w:rPr>
        <w:t>(1990 – 1992);</w:t>
      </w:r>
      <w:r>
        <w:rPr>
          <w:rFonts w:ascii="Arial" w:cs="Arial" w:eastAsia="Arial" w:hAnsi="Arial"/>
          <w:sz w:val="16"/>
          <w:szCs w:val="16"/>
          <w:color w:val="auto"/>
        </w:rPr>
        <w:t xml:space="preserve"> General Counsel to the Redevelopment Authority </w:t>
      </w:r>
      <w:r>
        <w:rPr>
          <w:rFonts w:ascii="Arial" w:cs="Arial" w:eastAsia="Arial" w:hAnsi="Arial"/>
          <w:sz w:val="16"/>
          <w:szCs w:val="16"/>
          <w:color w:val="3A5CFF"/>
        </w:rPr>
        <w:t>(1988 – 1990)</w:t>
      </w:r>
    </w:p>
    <w:p>
      <w:pPr>
        <w:spacing w:after="0" w:line="7" w:lineRule="exact"/>
        <w:rPr>
          <w:rFonts w:ascii="Arial" w:cs="Arial" w:eastAsia="Arial" w:hAnsi="Arial"/>
          <w:sz w:val="16"/>
          <w:szCs w:val="16"/>
          <w:b w:val="1"/>
          <w:bCs w:val="1"/>
          <w:color w:val="170D67"/>
        </w:rPr>
      </w:pPr>
    </w:p>
    <w:p>
      <w:pPr>
        <w:ind w:left="186" w:right="20" w:hanging="186"/>
        <w:spacing w:after="0" w:line="266" w:lineRule="auto"/>
        <w:tabs>
          <w:tab w:leader="none" w:pos="156" w:val="left"/>
        </w:tabs>
        <w:numPr>
          <w:ilvl w:val="0"/>
          <w:numId w:val="47"/>
        </w:numPr>
        <w:rPr>
          <w:rFonts w:ascii="Arial" w:cs="Arial" w:eastAsia="Arial" w:hAnsi="Arial"/>
          <w:sz w:val="16"/>
          <w:szCs w:val="16"/>
          <w:b w:val="1"/>
          <w:bCs w:val="1"/>
          <w:color w:val="170D67"/>
        </w:rPr>
      </w:pPr>
      <w:r>
        <w:rPr>
          <w:rFonts w:ascii="Arial" w:cs="Arial" w:eastAsia="Arial" w:hAnsi="Arial"/>
          <w:sz w:val="16"/>
          <w:szCs w:val="16"/>
          <w:color w:val="auto"/>
        </w:rPr>
        <w:t xml:space="preserve">U.S. Department of Justice: Assistant United States Attorney, Eastern Division of Pennsylvania, Civil Division </w:t>
      </w:r>
      <w:r>
        <w:rPr>
          <w:rFonts w:ascii="Arial" w:cs="Arial" w:eastAsia="Arial" w:hAnsi="Arial"/>
          <w:sz w:val="16"/>
          <w:szCs w:val="16"/>
          <w:color w:val="3A5CFF"/>
        </w:rPr>
        <w:t>(1985 -</w:t>
      </w:r>
      <w:r>
        <w:rPr>
          <w:rFonts w:ascii="Arial" w:cs="Arial" w:eastAsia="Arial" w:hAnsi="Arial"/>
          <w:sz w:val="16"/>
          <w:szCs w:val="16"/>
          <w:color w:val="auto"/>
        </w:rPr>
        <w:t xml:space="preserve"> </w:t>
      </w:r>
      <w:r>
        <w:rPr>
          <w:rFonts w:ascii="Arial" w:cs="Arial" w:eastAsia="Arial" w:hAnsi="Arial"/>
          <w:sz w:val="16"/>
          <w:szCs w:val="16"/>
          <w:color w:val="3A5CFF"/>
        </w:rPr>
        <w:t>1988)</w:t>
      </w:r>
      <w:r>
        <w:rPr>
          <w:rFonts w:ascii="Arial" w:cs="Arial" w:eastAsia="Arial" w:hAnsi="Arial"/>
          <w:sz w:val="16"/>
          <w:szCs w:val="16"/>
          <w:color w:val="000000"/>
        </w:rPr>
        <w:t>; Trial Attorney, Civil Rights Division</w:t>
      </w:r>
      <w:r>
        <w:rPr>
          <w:rFonts w:ascii="Arial" w:cs="Arial" w:eastAsia="Arial" w:hAnsi="Arial"/>
          <w:sz w:val="16"/>
          <w:szCs w:val="16"/>
          <w:color w:val="3A5CFF"/>
        </w:rPr>
        <w:t xml:space="preserve"> (1978 - 1980)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-2136775</wp:posOffset>
            </wp:positionH>
            <wp:positionV relativeFrom="paragraph">
              <wp:posOffset>229235</wp:posOffset>
            </wp:positionV>
            <wp:extent cx="7123430" cy="32315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23430" cy="32315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Other Professional Experience</w:t>
      </w:r>
    </w:p>
    <w:p>
      <w:pPr>
        <w:spacing w:after="0" w:line="113" w:lineRule="exact"/>
        <w:rPr>
          <w:sz w:val="20"/>
          <w:szCs w:val="20"/>
          <w:color w:val="auto"/>
        </w:rPr>
      </w:pPr>
    </w:p>
    <w:p>
      <w:pPr>
        <w:ind w:left="260" w:right="860" w:hanging="202"/>
        <w:spacing w:after="0" w:line="304" w:lineRule="auto"/>
        <w:tabs>
          <w:tab w:leader="none" w:pos="230" w:val="left"/>
        </w:tabs>
        <w:numPr>
          <w:ilvl w:val="0"/>
          <w:numId w:val="48"/>
        </w:numPr>
        <w:rPr>
          <w:rFonts w:ascii="Arial" w:cs="Arial" w:eastAsia="Arial" w:hAnsi="Arial"/>
          <w:sz w:val="16"/>
          <w:szCs w:val="16"/>
          <w:b w:val="1"/>
          <w:bCs w:val="1"/>
          <w:color w:val="170D67"/>
        </w:rPr>
      </w:pPr>
      <w:r>
        <w:rPr>
          <w:rFonts w:ascii="Arial" w:cs="Arial" w:eastAsia="Arial" w:hAnsi="Arial"/>
          <w:sz w:val="16"/>
          <w:szCs w:val="16"/>
          <w:color w:val="auto"/>
        </w:rPr>
        <w:t>Director, Penn Mutual Life Insurance Company</w:t>
      </w:r>
    </w:p>
    <w:p>
      <w:pPr>
        <w:spacing w:after="0" w:line="6" w:lineRule="exact"/>
        <w:rPr>
          <w:rFonts w:ascii="Arial" w:cs="Arial" w:eastAsia="Arial" w:hAnsi="Arial"/>
          <w:sz w:val="16"/>
          <w:szCs w:val="16"/>
          <w:b w:val="1"/>
          <w:bCs w:val="1"/>
          <w:color w:val="170D67"/>
        </w:rPr>
      </w:pPr>
    </w:p>
    <w:p>
      <w:pPr>
        <w:ind w:left="260" w:right="520" w:hanging="202"/>
        <w:spacing w:after="0" w:line="286" w:lineRule="auto"/>
        <w:tabs>
          <w:tab w:leader="none" w:pos="230" w:val="left"/>
        </w:tabs>
        <w:numPr>
          <w:ilvl w:val="0"/>
          <w:numId w:val="48"/>
        </w:numPr>
        <w:rPr>
          <w:rFonts w:ascii="Arial" w:cs="Arial" w:eastAsia="Arial" w:hAnsi="Arial"/>
          <w:sz w:val="16"/>
          <w:szCs w:val="16"/>
          <w:b w:val="1"/>
          <w:bCs w:val="1"/>
          <w:color w:val="170D67"/>
        </w:rPr>
      </w:pPr>
      <w:r>
        <w:rPr>
          <w:rFonts w:ascii="Arial" w:cs="Arial" w:eastAsia="Arial" w:hAnsi="Arial"/>
          <w:sz w:val="16"/>
          <w:szCs w:val="16"/>
          <w:color w:val="auto"/>
        </w:rPr>
        <w:t>Director, Independence Health Group, Inc.</w:t>
      </w:r>
    </w:p>
    <w:p>
      <w:pPr>
        <w:spacing w:after="0" w:line="20" w:lineRule="exact"/>
        <w:rPr>
          <w:rFonts w:ascii="Arial" w:cs="Arial" w:eastAsia="Arial" w:hAnsi="Arial"/>
          <w:sz w:val="16"/>
          <w:szCs w:val="16"/>
          <w:b w:val="1"/>
          <w:bCs w:val="1"/>
          <w:color w:val="170D67"/>
        </w:rPr>
      </w:pPr>
    </w:p>
    <w:p>
      <w:pPr>
        <w:ind w:left="260" w:right="880" w:hanging="202"/>
        <w:spacing w:after="0" w:line="286" w:lineRule="auto"/>
        <w:tabs>
          <w:tab w:leader="none" w:pos="230" w:val="left"/>
        </w:tabs>
        <w:numPr>
          <w:ilvl w:val="0"/>
          <w:numId w:val="48"/>
        </w:numPr>
        <w:rPr>
          <w:rFonts w:ascii="Arial" w:cs="Arial" w:eastAsia="Arial" w:hAnsi="Arial"/>
          <w:sz w:val="16"/>
          <w:szCs w:val="16"/>
          <w:b w:val="1"/>
          <w:bCs w:val="1"/>
          <w:color w:val="170D67"/>
        </w:rPr>
      </w:pPr>
      <w:r>
        <w:rPr>
          <w:rFonts w:ascii="Arial" w:cs="Arial" w:eastAsia="Arial" w:hAnsi="Arial"/>
          <w:sz w:val="16"/>
          <w:szCs w:val="16"/>
          <w:color w:val="auto"/>
        </w:rPr>
        <w:t>Director, Franklin Institute Science Museum</w:t>
      </w:r>
    </w:p>
    <w:p>
      <w:pPr>
        <w:spacing w:after="0" w:line="20" w:lineRule="exact"/>
        <w:rPr>
          <w:rFonts w:ascii="Arial" w:cs="Arial" w:eastAsia="Arial" w:hAnsi="Arial"/>
          <w:sz w:val="16"/>
          <w:szCs w:val="16"/>
          <w:b w:val="1"/>
          <w:bCs w:val="1"/>
          <w:color w:val="170D67"/>
        </w:rPr>
      </w:pPr>
    </w:p>
    <w:p>
      <w:pPr>
        <w:ind w:left="220" w:hanging="162"/>
        <w:spacing w:after="0"/>
        <w:tabs>
          <w:tab w:leader="none" w:pos="220" w:val="left"/>
        </w:tabs>
        <w:numPr>
          <w:ilvl w:val="0"/>
          <w:numId w:val="48"/>
        </w:numPr>
        <w:rPr>
          <w:rFonts w:ascii="Arial" w:cs="Arial" w:eastAsia="Arial" w:hAnsi="Arial"/>
          <w:sz w:val="16"/>
          <w:szCs w:val="16"/>
          <w:b w:val="1"/>
          <w:bCs w:val="1"/>
          <w:color w:val="170D67"/>
        </w:rPr>
      </w:pPr>
      <w:r>
        <w:rPr>
          <w:rFonts w:ascii="Arial" w:cs="Arial" w:eastAsia="Arial" w:hAnsi="Arial"/>
          <w:sz w:val="16"/>
          <w:szCs w:val="16"/>
          <w:color w:val="auto"/>
        </w:rPr>
        <w:t>Former Director, PECO</w:t>
      </w:r>
    </w:p>
    <w:p>
      <w:pPr>
        <w:spacing w:after="0" w:line="72" w:lineRule="exact"/>
        <w:rPr>
          <w:rFonts w:ascii="Arial" w:cs="Arial" w:eastAsia="Arial" w:hAnsi="Arial"/>
          <w:sz w:val="16"/>
          <w:szCs w:val="16"/>
          <w:b w:val="1"/>
          <w:bCs w:val="1"/>
          <w:color w:val="170D67"/>
        </w:rPr>
      </w:pPr>
    </w:p>
    <w:p>
      <w:pPr>
        <w:ind w:left="260" w:right="200" w:hanging="202"/>
        <w:spacing w:after="0" w:line="304" w:lineRule="auto"/>
        <w:tabs>
          <w:tab w:leader="none" w:pos="230" w:val="left"/>
        </w:tabs>
        <w:numPr>
          <w:ilvl w:val="0"/>
          <w:numId w:val="48"/>
        </w:numPr>
        <w:rPr>
          <w:rFonts w:ascii="Arial" w:cs="Arial" w:eastAsia="Arial" w:hAnsi="Arial"/>
          <w:sz w:val="16"/>
          <w:szCs w:val="16"/>
          <w:b w:val="1"/>
          <w:bCs w:val="1"/>
          <w:color w:val="170D67"/>
        </w:rPr>
      </w:pPr>
      <w:r>
        <w:rPr>
          <w:rFonts w:ascii="Arial" w:cs="Arial" w:eastAsia="Arial" w:hAnsi="Arial"/>
          <w:sz w:val="16"/>
          <w:szCs w:val="16"/>
          <w:color w:val="auto"/>
        </w:rPr>
        <w:t>Former Director and Chair, Federal Reserve Bank of Philadelphia</w:t>
      </w:r>
    </w:p>
    <w:p>
      <w:pPr>
        <w:spacing w:after="0" w:line="885" w:lineRule="exact"/>
        <w:rPr>
          <w:sz w:val="20"/>
          <w:szCs w:val="20"/>
          <w:color w:val="auto"/>
        </w:rPr>
      </w:pPr>
    </w:p>
    <w:p>
      <w:pPr>
        <w:sectPr>
          <w:pgSz w:w="11900" w:h="16838" w:orient="portrait"/>
          <w:cols w:equalWidth="0" w:num="3">
            <w:col w:w="2654" w:space="720"/>
            <w:col w:w="4566" w:space="180"/>
            <w:col w:w="2940"/>
          </w:cols>
          <w:pgMar w:left="320" w:top="121"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-1348105</wp:posOffset>
            </wp:positionV>
            <wp:extent cx="1543050" cy="8743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clrChange>
                        <a:clrFrom>
                          <a:srgbClr val="000000"/>
                        </a:clrFrom>
                        <a:clrTo>
                          <a:srgbClr val="000000">
                            <a:alpha val="0"/>
                          </a:srgbClr>
                        </a:clrTo>
                      </a:clrChange>
                      <a:extLst>
                        <a:ext uri="{28A0092B-C50C-407E-A947-70E740481C1C}"/>
                      </a:extLst>
                    </a:blip>
                    <a:srcRect/>
                    <a:stretch>
                      <a:fillRect/>
                    </a:stretch>
                  </pic:blipFill>
                  <pic:spPr bwMode="auto">
                    <a:xfrm>
                      <a:off x="0" y="0"/>
                      <a:ext cx="1543050" cy="87439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-1348105</wp:posOffset>
            </wp:positionV>
            <wp:extent cx="1543050" cy="8743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clrChange>
                        <a:clrFrom>
                          <a:srgbClr val="FFFFFF"/>
                        </a:clrFrom>
                        <a:clrTo>
                          <a:srgbClr val="FFFFFF">
                            <a:alpha val="0"/>
                          </a:srgbClr>
                        </a:clrTo>
                      </a:clrChange>
                      <a:extLst>
                        <a:ext uri="{28A0092B-C50C-407E-A947-70E740481C1C}"/>
                      </a:extLst>
                    </a:blip>
                    <a:srcRect/>
                    <a:stretch>
                      <a:fillRect/>
                    </a:stretch>
                  </pic:blipFill>
                  <pic:spPr bwMode="auto">
                    <a:xfrm>
                      <a:off x="0" y="0"/>
                      <a:ext cx="1543050" cy="874395"/>
                    </a:xfrm>
                    <a:prstGeom prst="rect">
                      <a:avLst/>
                    </a:prstGeom>
                    <a:noFill/>
                  </pic:spPr>
                </pic:pic>
              </a:graphicData>
            </a:graphic>
          </wp:anchor>
        </w:drawing>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auto"/>
        </w:rPr>
        <w:t>August 2023</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Committees:</w:t>
      </w:r>
    </w:p>
    <w:p>
      <w:pPr>
        <w:spacing w:after="0" w:line="55" w:lineRule="exact"/>
        <w:rPr>
          <w:sz w:val="20"/>
          <w:szCs w:val="20"/>
          <w:color w:val="auto"/>
        </w:rPr>
      </w:pPr>
    </w:p>
    <w:p>
      <w:pPr>
        <w:ind w:left="200" w:hanging="174"/>
        <w:spacing w:after="0"/>
        <w:tabs>
          <w:tab w:leader="none" w:pos="200" w:val="left"/>
        </w:tabs>
        <w:numPr>
          <w:ilvl w:val="0"/>
          <w:numId w:val="49"/>
        </w:numPr>
        <w:rPr>
          <w:rFonts w:ascii="Arial" w:cs="Arial" w:eastAsia="Arial" w:hAnsi="Arial"/>
          <w:sz w:val="16"/>
          <w:szCs w:val="16"/>
          <w:b w:val="1"/>
          <w:bCs w:val="1"/>
          <w:color w:val="232B79"/>
        </w:rPr>
      </w:pPr>
      <w:r>
        <w:rPr>
          <w:rFonts w:ascii="Arial" w:cs="Arial" w:eastAsia="Arial" w:hAnsi="Arial"/>
          <w:sz w:val="15"/>
          <w:szCs w:val="15"/>
          <w:b w:val="1"/>
          <w:bCs w:val="1"/>
          <w:color w:val="auto"/>
        </w:rPr>
        <w:t>ARC</w:t>
      </w:r>
    </w:p>
    <w:p>
      <w:pPr>
        <w:spacing w:after="0" w:line="30" w:lineRule="exact"/>
        <w:rPr>
          <w:rFonts w:ascii="Arial" w:cs="Arial" w:eastAsia="Arial" w:hAnsi="Arial"/>
          <w:sz w:val="16"/>
          <w:szCs w:val="16"/>
          <w:b w:val="1"/>
          <w:bCs w:val="1"/>
          <w:color w:val="232B79"/>
        </w:rPr>
      </w:pPr>
    </w:p>
    <w:p>
      <w:pPr>
        <w:ind w:left="200" w:hanging="174"/>
        <w:spacing w:after="0"/>
        <w:tabs>
          <w:tab w:leader="none" w:pos="200" w:val="left"/>
        </w:tabs>
        <w:numPr>
          <w:ilvl w:val="0"/>
          <w:numId w:val="49"/>
        </w:numPr>
        <w:rPr>
          <w:rFonts w:ascii="Arial" w:cs="Arial" w:eastAsia="Arial" w:hAnsi="Arial"/>
          <w:sz w:val="16"/>
          <w:szCs w:val="16"/>
          <w:b w:val="1"/>
          <w:bCs w:val="1"/>
          <w:color w:val="232B79"/>
        </w:rPr>
      </w:pPr>
      <w:r>
        <w:rPr>
          <w:rFonts w:ascii="Arial" w:cs="Arial" w:eastAsia="Arial" w:hAnsi="Arial"/>
          <w:sz w:val="15"/>
          <w:szCs w:val="15"/>
          <w:b w:val="1"/>
          <w:bCs w:val="1"/>
          <w:color w:val="auto"/>
        </w:rPr>
        <w:t>TMCC</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Other Current Public Boards: </w:t>
      </w:r>
      <w:r>
        <w:rPr>
          <w:rFonts w:ascii="Arial" w:cs="Arial" w:eastAsia="Arial" w:hAnsi="Arial"/>
          <w:sz w:val="15"/>
          <w:szCs w:val="15"/>
          <w:b w:val="1"/>
          <w:bCs w:val="1"/>
          <w:color w:val="auto"/>
        </w:rPr>
        <w:t>1</w:t>
      </w:r>
    </w:p>
    <w:p>
      <w:pPr>
        <w:spacing w:after="0" w:line="24" w:lineRule="exact"/>
        <w:rPr>
          <w:sz w:val="20"/>
          <w:szCs w:val="20"/>
          <w:color w:val="auto"/>
        </w:rPr>
      </w:pPr>
    </w:p>
    <w:p>
      <w:pPr>
        <w:ind w:left="200" w:hanging="174"/>
        <w:spacing w:after="0"/>
        <w:tabs>
          <w:tab w:leader="none" w:pos="200" w:val="left"/>
        </w:tabs>
        <w:numPr>
          <w:ilvl w:val="0"/>
          <w:numId w:val="50"/>
        </w:numPr>
        <w:rPr>
          <w:rFonts w:ascii="Arial" w:cs="Arial" w:eastAsia="Arial" w:hAnsi="Arial"/>
          <w:sz w:val="16"/>
          <w:szCs w:val="16"/>
          <w:b w:val="1"/>
          <w:bCs w:val="1"/>
          <w:color w:val="170D67"/>
        </w:rPr>
      </w:pPr>
      <w:r>
        <w:rPr>
          <w:rFonts w:ascii="Arial" w:cs="Arial" w:eastAsia="Arial" w:hAnsi="Arial"/>
          <w:sz w:val="15"/>
          <w:szCs w:val="15"/>
          <w:color w:val="auto"/>
        </w:rPr>
        <w:t>Illumina, Inc. (ILMN)</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Prior Public Directorships (Last 5 yrs)</w:t>
      </w:r>
    </w:p>
    <w:p>
      <w:pPr>
        <w:spacing w:after="0" w:line="21" w:lineRule="exact"/>
        <w:rPr>
          <w:sz w:val="20"/>
          <w:szCs w:val="20"/>
          <w:color w:val="auto"/>
        </w:rPr>
      </w:pPr>
    </w:p>
    <w:p>
      <w:pPr>
        <w:ind w:left="220" w:hanging="194"/>
        <w:spacing w:after="0" w:line="283" w:lineRule="auto"/>
        <w:tabs>
          <w:tab w:leader="none" w:pos="201" w:val="left"/>
        </w:tabs>
        <w:numPr>
          <w:ilvl w:val="0"/>
          <w:numId w:val="51"/>
        </w:numPr>
        <w:rPr>
          <w:rFonts w:ascii="Arial" w:cs="Arial" w:eastAsia="Arial" w:hAnsi="Arial"/>
          <w:sz w:val="15"/>
          <w:szCs w:val="15"/>
          <w:b w:val="1"/>
          <w:bCs w:val="1"/>
          <w:color w:val="170D67"/>
        </w:rPr>
      </w:pPr>
      <w:r>
        <w:rPr>
          <w:rFonts w:ascii="Arial" w:cs="Arial" w:eastAsia="Arial" w:hAnsi="Arial"/>
          <w:sz w:val="16"/>
          <w:szCs w:val="16"/>
          <w:color w:val="auto"/>
        </w:rPr>
        <w:t>Adamas Pharmaceuticals, Inc. (2020 – 2021)</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3A5CFF"/>
        </w:rPr>
        <w:t>Anna Richo</w:t>
      </w:r>
    </w:p>
    <w:p>
      <w:pPr>
        <w:spacing w:after="0" w:line="24"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00E4A5"/>
        </w:rPr>
        <w:t>INDEPENDENT</w:t>
      </w:r>
    </w:p>
    <w:p>
      <w:pPr>
        <w:spacing w:after="0" w:line="114" w:lineRule="exact"/>
        <w:rPr>
          <w:sz w:val="20"/>
          <w:szCs w:val="20"/>
          <w:color w:val="auto"/>
        </w:rPr>
      </w:pPr>
    </w:p>
    <w:p>
      <w:pPr>
        <w:ind w:left="6" w:right="100"/>
        <w:spacing w:after="0" w:line="257" w:lineRule="auto"/>
        <w:rPr>
          <w:sz w:val="20"/>
          <w:szCs w:val="20"/>
          <w:color w:val="auto"/>
        </w:rPr>
      </w:pPr>
      <w:r>
        <w:rPr>
          <w:rFonts w:ascii="Arial" w:cs="Arial" w:eastAsia="Arial" w:hAnsi="Arial"/>
          <w:sz w:val="16"/>
          <w:szCs w:val="16"/>
          <w:color w:val="auto"/>
        </w:rPr>
        <w:t>Ms. Richo brings more than 30 years of regulated-industry experience as an attorney and legal executive, with extensive experience in compliance and business ethics, intellectual property and corporate litigation. Ms. Richo formerly served as the Corporate Senior Vice President, General Counsel, Chief Compliance Officer and Corporate Secretary at Cargill, Inc., a global food production and agricultural company, where she oversaw Cargill’s corporate governance, global ethics and compliance, global security, global government relations, law, and shareholder relations functions. Ms. Richo’s previous experience at biotechnology and pharmaceutical companies brings valuable insights related to operating in regulated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10795</wp:posOffset>
            </wp:positionV>
            <wp:extent cx="499745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105" w:lineRule="exact"/>
        <w:rPr>
          <w:sz w:val="20"/>
          <w:szCs w:val="20"/>
          <w:color w:val="auto"/>
        </w:rPr>
      </w:pPr>
    </w:p>
    <w:tbl>
      <w:tblPr>
        <w:tblLayout w:type="fixed"/>
        <w:tblInd w:w="6" w:type="dxa"/>
        <w:tblCellMar>
          <w:top w:w="0" w:type="dxa"/>
          <w:left w:w="0" w:type="dxa"/>
          <w:bottom w:w="0" w:type="dxa"/>
          <w:right w:w="0" w:type="dxa"/>
        </w:tblCellMar>
      </w:tblPr>
      <w:tr>
        <w:trPr>
          <w:trHeight w:val="223"/>
        </w:trPr>
        <w:tc>
          <w:tcPr>
            <w:tcW w:w="4520" w:type="dxa"/>
            <w:vAlign w:val="bottom"/>
          </w:tcPr>
          <w:p>
            <w:pPr>
              <w:jc w:val="right"/>
              <w:ind w:right="3099"/>
              <w:spacing w:after="0"/>
              <w:rPr>
                <w:sz w:val="20"/>
                <w:szCs w:val="20"/>
                <w:color w:val="auto"/>
              </w:rPr>
            </w:pPr>
            <w:r>
              <w:rPr>
                <w:rFonts w:ascii="Arial" w:cs="Arial" w:eastAsia="Arial" w:hAnsi="Arial"/>
                <w:sz w:val="16"/>
                <w:szCs w:val="16"/>
                <w:b w:val="1"/>
                <w:bCs w:val="1"/>
                <w:color w:val="333333"/>
                <w:w w:val="98"/>
              </w:rPr>
              <w:t>Career Highlights</w:t>
            </w:r>
          </w:p>
        </w:tc>
        <w:tc>
          <w:tcPr>
            <w:tcW w:w="2600" w:type="dxa"/>
            <w:vAlign w:val="bottom"/>
            <w:gridSpan w:val="2"/>
          </w:tcPr>
          <w:p>
            <w:pPr>
              <w:ind w:left="220"/>
              <w:spacing w:after="0"/>
              <w:rPr>
                <w:sz w:val="20"/>
                <w:szCs w:val="20"/>
                <w:color w:val="auto"/>
              </w:rPr>
            </w:pPr>
            <w:r>
              <w:rPr>
                <w:rFonts w:ascii="Arial" w:cs="Arial" w:eastAsia="Arial" w:hAnsi="Arial"/>
                <w:sz w:val="16"/>
                <w:szCs w:val="16"/>
                <w:b w:val="1"/>
                <w:bCs w:val="1"/>
                <w:color w:val="333333"/>
              </w:rPr>
              <w:t>Other Professional Experience</w:t>
            </w:r>
          </w:p>
        </w:tc>
        <w:tc>
          <w:tcPr>
            <w:tcW w:w="0" w:type="dxa"/>
            <w:vAlign w:val="bottom"/>
          </w:tcPr>
          <w:p>
            <w:pPr>
              <w:spacing w:after="0"/>
              <w:rPr>
                <w:sz w:val="1"/>
                <w:szCs w:val="1"/>
                <w:color w:val="auto"/>
              </w:rPr>
            </w:pPr>
          </w:p>
        </w:tc>
      </w:tr>
      <w:tr>
        <w:trPr>
          <w:trHeight w:val="237"/>
        </w:trPr>
        <w:tc>
          <w:tcPr>
            <w:tcW w:w="4520" w:type="dxa"/>
            <w:vAlign w:val="bottom"/>
          </w:tcPr>
          <w:p>
            <w:pPr>
              <w:jc w:val="right"/>
              <w:ind w:right="199"/>
              <w:spacing w:after="0"/>
              <w:rPr>
                <w:sz w:val="20"/>
                <w:szCs w:val="20"/>
                <w:color w:val="auto"/>
              </w:rPr>
            </w:pPr>
            <w:r>
              <w:rPr>
                <w:rFonts w:ascii="Arial" w:cs="Arial" w:eastAsia="Arial" w:hAnsi="Arial"/>
                <w:sz w:val="16"/>
                <w:szCs w:val="16"/>
                <w:b w:val="1"/>
                <w:bCs w:val="1"/>
                <w:color w:val="170D67"/>
              </w:rPr>
              <w:t xml:space="preserve">• </w:t>
            </w:r>
            <w:r>
              <w:rPr>
                <w:rFonts w:ascii="Arial" w:cs="Arial" w:eastAsia="Arial" w:hAnsi="Arial"/>
                <w:sz w:val="16"/>
                <w:szCs w:val="16"/>
                <w:color w:val="000000"/>
              </w:rPr>
              <w:t>Corporate Senior Vice President, Strategic Advisor to the</w:t>
            </w:r>
          </w:p>
        </w:tc>
        <w:tc>
          <w:tcPr>
            <w:tcW w:w="380" w:type="dxa"/>
            <w:vAlign w:val="bottom"/>
          </w:tcPr>
          <w:p>
            <w:pPr>
              <w:ind w:left="280"/>
              <w:spacing w:after="0"/>
              <w:rPr>
                <w:sz w:val="20"/>
                <w:szCs w:val="20"/>
                <w:color w:val="auto"/>
              </w:rPr>
            </w:pPr>
            <w:r>
              <w:rPr>
                <w:rFonts w:ascii="Arial" w:cs="Arial" w:eastAsia="Arial" w:hAnsi="Arial"/>
                <w:sz w:val="16"/>
                <w:szCs w:val="16"/>
                <w:b w:val="1"/>
                <w:bCs w:val="1"/>
                <w:color w:val="170D67"/>
              </w:rPr>
              <w:t>•</w:t>
            </w:r>
          </w:p>
        </w:tc>
        <w:tc>
          <w:tcPr>
            <w:tcW w:w="2220" w:type="dxa"/>
            <w:vAlign w:val="bottom"/>
          </w:tcPr>
          <w:p>
            <w:pPr>
              <w:ind w:left="60"/>
              <w:spacing w:after="0"/>
              <w:rPr>
                <w:sz w:val="20"/>
                <w:szCs w:val="20"/>
                <w:color w:val="auto"/>
              </w:rPr>
            </w:pPr>
            <w:r>
              <w:rPr>
                <w:rFonts w:ascii="Arial" w:cs="Arial" w:eastAsia="Arial" w:hAnsi="Arial"/>
                <w:sz w:val="16"/>
                <w:szCs w:val="16"/>
                <w:color w:val="auto"/>
              </w:rPr>
              <w:t>Trustee, DePaul University</w:t>
            </w:r>
          </w:p>
        </w:tc>
        <w:tc>
          <w:tcPr>
            <w:tcW w:w="0" w:type="dxa"/>
            <w:vAlign w:val="bottom"/>
          </w:tcPr>
          <w:p>
            <w:pPr>
              <w:spacing w:after="0"/>
              <w:rPr>
                <w:sz w:val="1"/>
                <w:szCs w:val="1"/>
                <w:color w:val="auto"/>
              </w:rPr>
            </w:pPr>
          </w:p>
        </w:tc>
      </w:tr>
      <w:tr>
        <w:trPr>
          <w:trHeight w:val="188"/>
        </w:trPr>
        <w:tc>
          <w:tcPr>
            <w:tcW w:w="4520" w:type="dxa"/>
            <w:vAlign w:val="bottom"/>
          </w:tcPr>
          <w:p>
            <w:pPr>
              <w:jc w:val="right"/>
              <w:ind w:right="199"/>
              <w:spacing w:after="0"/>
              <w:rPr>
                <w:sz w:val="20"/>
                <w:szCs w:val="20"/>
                <w:color w:val="auto"/>
              </w:rPr>
            </w:pPr>
            <w:r>
              <w:rPr>
                <w:rFonts w:ascii="Arial" w:cs="Arial" w:eastAsia="Arial" w:hAnsi="Arial"/>
                <w:sz w:val="16"/>
                <w:szCs w:val="16"/>
                <w:color w:val="auto"/>
              </w:rPr>
              <w:t xml:space="preserve">CEO and General Counsel, Cargill, Inc. </w:t>
            </w:r>
            <w:r>
              <w:rPr>
                <w:rFonts w:ascii="Arial" w:cs="Arial" w:eastAsia="Arial" w:hAnsi="Arial"/>
                <w:sz w:val="16"/>
                <w:szCs w:val="16"/>
                <w:color w:val="3A5CFF"/>
              </w:rPr>
              <w:t>(2024) (Retired)</w:t>
            </w:r>
            <w:r>
              <w:rPr>
                <w:rFonts w:ascii="Arial" w:cs="Arial" w:eastAsia="Arial" w:hAnsi="Arial"/>
                <w:sz w:val="16"/>
                <w:szCs w:val="16"/>
                <w:color w:val="auto"/>
              </w:rPr>
              <w:t>;</w:t>
            </w:r>
          </w:p>
        </w:tc>
        <w:tc>
          <w:tcPr>
            <w:tcW w:w="380" w:type="dxa"/>
            <w:vAlign w:val="bottom"/>
            <w:vMerge w:val="restart"/>
          </w:tcPr>
          <w:p>
            <w:pPr>
              <w:ind w:left="280"/>
              <w:spacing w:after="0"/>
              <w:rPr>
                <w:sz w:val="20"/>
                <w:szCs w:val="20"/>
                <w:color w:val="auto"/>
              </w:rPr>
            </w:pPr>
            <w:r>
              <w:rPr>
                <w:rFonts w:ascii="Arial" w:cs="Arial" w:eastAsia="Arial" w:hAnsi="Arial"/>
                <w:sz w:val="16"/>
                <w:szCs w:val="16"/>
                <w:b w:val="1"/>
                <w:bCs w:val="1"/>
                <w:color w:val="170D67"/>
              </w:rPr>
              <w:t>•</w:t>
            </w:r>
          </w:p>
        </w:tc>
        <w:tc>
          <w:tcPr>
            <w:tcW w:w="2220" w:type="dxa"/>
            <w:vAlign w:val="bottom"/>
            <w:vMerge w:val="restart"/>
          </w:tcPr>
          <w:p>
            <w:pPr>
              <w:ind w:left="60"/>
              <w:spacing w:after="0"/>
              <w:rPr>
                <w:sz w:val="20"/>
                <w:szCs w:val="20"/>
                <w:color w:val="auto"/>
              </w:rPr>
            </w:pPr>
            <w:r>
              <w:rPr>
                <w:rFonts w:ascii="Arial" w:cs="Arial" w:eastAsia="Arial" w:hAnsi="Arial"/>
                <w:sz w:val="16"/>
                <w:szCs w:val="16"/>
                <w:color w:val="auto"/>
                <w:w w:val="99"/>
              </w:rPr>
              <w:t>Director, Children’s Minnesota</w:t>
            </w:r>
          </w:p>
        </w:tc>
        <w:tc>
          <w:tcPr>
            <w:tcW w:w="0" w:type="dxa"/>
            <w:vAlign w:val="bottom"/>
          </w:tcPr>
          <w:p>
            <w:pPr>
              <w:spacing w:after="0"/>
              <w:rPr>
                <w:sz w:val="1"/>
                <w:szCs w:val="1"/>
                <w:color w:val="auto"/>
              </w:rPr>
            </w:pPr>
          </w:p>
        </w:tc>
      </w:tr>
      <w:tr>
        <w:trPr>
          <w:trHeight w:val="142"/>
        </w:trPr>
        <w:tc>
          <w:tcPr>
            <w:tcW w:w="4520" w:type="dxa"/>
            <w:vAlign w:val="bottom"/>
            <w:vMerge w:val="restart"/>
          </w:tcPr>
          <w:p>
            <w:pPr>
              <w:jc w:val="right"/>
              <w:ind w:right="139"/>
              <w:spacing w:after="0"/>
              <w:rPr>
                <w:sz w:val="20"/>
                <w:szCs w:val="20"/>
                <w:color w:val="auto"/>
              </w:rPr>
            </w:pPr>
            <w:r>
              <w:rPr>
                <w:rFonts w:ascii="Arial" w:cs="Arial" w:eastAsia="Arial" w:hAnsi="Arial"/>
                <w:sz w:val="16"/>
                <w:szCs w:val="16"/>
                <w:color w:val="auto"/>
              </w:rPr>
              <w:t>previously Senior Vice President, General Counsel, Chief</w:t>
            </w:r>
          </w:p>
        </w:tc>
        <w:tc>
          <w:tcPr>
            <w:tcW w:w="380" w:type="dxa"/>
            <w:vAlign w:val="bottom"/>
            <w:vMerge w:val="continue"/>
          </w:tcPr>
          <w:p>
            <w:pPr>
              <w:spacing w:after="0"/>
              <w:rPr>
                <w:sz w:val="12"/>
                <w:szCs w:val="12"/>
                <w:color w:val="auto"/>
              </w:rPr>
            </w:pPr>
          </w:p>
        </w:tc>
        <w:tc>
          <w:tcPr>
            <w:tcW w:w="2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452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86"/>
        <w:spacing w:after="0"/>
        <w:rPr>
          <w:sz w:val="20"/>
          <w:szCs w:val="20"/>
          <w:color w:val="auto"/>
        </w:rPr>
      </w:pPr>
      <w:r>
        <w:rPr>
          <w:rFonts w:ascii="Arial" w:cs="Arial" w:eastAsia="Arial" w:hAnsi="Arial"/>
          <w:sz w:val="16"/>
          <w:szCs w:val="16"/>
          <w:color w:val="auto"/>
        </w:rPr>
        <w:t xml:space="preserve">Compliance Officer, and Corporate Secretary </w:t>
      </w:r>
      <w:r>
        <w:rPr>
          <w:rFonts w:ascii="Arial" w:cs="Arial" w:eastAsia="Arial" w:hAnsi="Arial"/>
          <w:sz w:val="16"/>
          <w:szCs w:val="16"/>
          <w:color w:val="3A5CFF"/>
        </w:rPr>
        <w:t>(2019 - 2023)</w:t>
      </w:r>
    </w:p>
    <w:p>
      <w:pPr>
        <w:spacing w:after="0" w:line="74" w:lineRule="exact"/>
        <w:rPr>
          <w:sz w:val="20"/>
          <w:szCs w:val="20"/>
          <w:color w:val="auto"/>
        </w:rPr>
      </w:pPr>
    </w:p>
    <w:p>
      <w:pPr>
        <w:ind w:left="186" w:right="3540" w:hanging="186"/>
        <w:spacing w:after="0" w:line="286" w:lineRule="auto"/>
        <w:tabs>
          <w:tab w:leader="none" w:pos="156" w:val="left"/>
        </w:tabs>
        <w:numPr>
          <w:ilvl w:val="0"/>
          <w:numId w:val="52"/>
        </w:numPr>
        <w:rPr>
          <w:rFonts w:ascii="Arial" w:cs="Arial" w:eastAsia="Arial" w:hAnsi="Arial"/>
          <w:sz w:val="16"/>
          <w:szCs w:val="16"/>
          <w:b w:val="1"/>
          <w:bCs w:val="1"/>
          <w:color w:val="170D67"/>
        </w:rPr>
      </w:pPr>
      <w:r>
        <w:rPr>
          <w:rFonts w:ascii="Arial" w:cs="Arial" w:eastAsia="Arial" w:hAnsi="Arial"/>
          <w:sz w:val="16"/>
          <w:szCs w:val="16"/>
          <w:color w:val="auto"/>
        </w:rPr>
        <w:t xml:space="preserve">Executive Vice President and General Counsel, UCB, a biopharmaceutical company </w:t>
      </w:r>
      <w:r>
        <w:rPr>
          <w:rFonts w:ascii="Arial" w:cs="Arial" w:eastAsia="Arial" w:hAnsi="Arial"/>
          <w:sz w:val="16"/>
          <w:szCs w:val="16"/>
          <w:color w:val="3A5CFF"/>
        </w:rPr>
        <w:t>(2012 - 2019)</w:t>
      </w:r>
    </w:p>
    <w:p>
      <w:pPr>
        <w:spacing w:after="0" w:line="20" w:lineRule="exact"/>
        <w:rPr>
          <w:rFonts w:ascii="Arial" w:cs="Arial" w:eastAsia="Arial" w:hAnsi="Arial"/>
          <w:sz w:val="16"/>
          <w:szCs w:val="16"/>
          <w:b w:val="1"/>
          <w:bCs w:val="1"/>
          <w:color w:val="170D67"/>
        </w:rPr>
      </w:pPr>
    </w:p>
    <w:p>
      <w:pPr>
        <w:ind w:left="186" w:right="3220" w:hanging="186"/>
        <w:spacing w:after="0" w:line="266" w:lineRule="auto"/>
        <w:tabs>
          <w:tab w:leader="none" w:pos="156" w:val="left"/>
        </w:tabs>
        <w:numPr>
          <w:ilvl w:val="0"/>
          <w:numId w:val="52"/>
        </w:numPr>
        <w:rPr>
          <w:rFonts w:ascii="Arial" w:cs="Arial" w:eastAsia="Arial" w:hAnsi="Arial"/>
          <w:sz w:val="16"/>
          <w:szCs w:val="16"/>
          <w:b w:val="1"/>
          <w:bCs w:val="1"/>
          <w:color w:val="170D67"/>
        </w:rPr>
      </w:pPr>
      <w:r>
        <w:rPr>
          <w:rFonts w:ascii="Arial" w:cs="Arial" w:eastAsia="Arial" w:hAnsi="Arial"/>
          <w:sz w:val="16"/>
          <w:szCs w:val="16"/>
          <w:color w:val="auto"/>
        </w:rPr>
        <w:t xml:space="preserve">Senior Vice President and Chief Compliance Officer, Amgen Inc. </w:t>
      </w:r>
      <w:r>
        <w:rPr>
          <w:rFonts w:ascii="Arial" w:cs="Arial" w:eastAsia="Arial" w:hAnsi="Arial"/>
          <w:sz w:val="16"/>
          <w:szCs w:val="16"/>
          <w:color w:val="3A5CFF"/>
        </w:rPr>
        <w:t>(2008 - 2012)</w:t>
      </w:r>
      <w:r>
        <w:rPr>
          <w:rFonts w:ascii="Arial" w:cs="Arial" w:eastAsia="Arial" w:hAnsi="Arial"/>
          <w:sz w:val="16"/>
          <w:szCs w:val="16"/>
          <w:color w:val="auto"/>
        </w:rPr>
        <w:t xml:space="preserve">; previously Vice President, Law </w:t>
      </w:r>
      <w:r>
        <w:rPr>
          <w:rFonts w:ascii="Arial" w:cs="Arial" w:eastAsia="Arial" w:hAnsi="Arial"/>
          <w:sz w:val="16"/>
          <w:szCs w:val="16"/>
          <w:color w:val="3A5CFF"/>
        </w:rPr>
        <w:t>(2003 -</w:t>
      </w:r>
      <w:r>
        <w:rPr>
          <w:rFonts w:ascii="Arial" w:cs="Arial" w:eastAsia="Arial" w:hAnsi="Arial"/>
          <w:sz w:val="16"/>
          <w:szCs w:val="16"/>
          <w:color w:val="auto"/>
        </w:rPr>
        <w:t xml:space="preserve"> </w:t>
      </w:r>
      <w:r>
        <w:rPr>
          <w:rFonts w:ascii="Arial" w:cs="Arial" w:eastAsia="Arial" w:hAnsi="Arial"/>
          <w:sz w:val="16"/>
          <w:szCs w:val="16"/>
          <w:color w:val="3A5CFF"/>
        </w:rPr>
        <w:t>2008)</w:t>
      </w:r>
    </w:p>
    <w:p>
      <w:pPr>
        <w:spacing w:after="0" w:line="36" w:lineRule="exact"/>
        <w:rPr>
          <w:rFonts w:ascii="Arial" w:cs="Arial" w:eastAsia="Arial" w:hAnsi="Arial"/>
          <w:sz w:val="16"/>
          <w:szCs w:val="16"/>
          <w:b w:val="1"/>
          <w:bCs w:val="1"/>
          <w:color w:val="170D67"/>
        </w:rPr>
      </w:pPr>
    </w:p>
    <w:p>
      <w:pPr>
        <w:ind w:left="186" w:right="3360" w:hanging="186"/>
        <w:spacing w:after="0" w:line="304" w:lineRule="auto"/>
        <w:tabs>
          <w:tab w:leader="none" w:pos="156" w:val="left"/>
        </w:tabs>
        <w:numPr>
          <w:ilvl w:val="0"/>
          <w:numId w:val="52"/>
        </w:numPr>
        <w:rPr>
          <w:rFonts w:ascii="Arial" w:cs="Arial" w:eastAsia="Arial" w:hAnsi="Arial"/>
          <w:sz w:val="16"/>
          <w:szCs w:val="16"/>
          <w:b w:val="1"/>
          <w:bCs w:val="1"/>
          <w:color w:val="170D67"/>
        </w:rPr>
      </w:pPr>
      <w:r>
        <w:rPr>
          <w:rFonts w:ascii="Arial" w:cs="Arial" w:eastAsia="Arial" w:hAnsi="Arial"/>
          <w:sz w:val="16"/>
          <w:szCs w:val="16"/>
          <w:color w:val="auto"/>
        </w:rPr>
        <w:t xml:space="preserve">Chief Litigation Counsel, Associate General Counsel, Vice President of Law, Baxter Healthcare </w:t>
      </w:r>
      <w:r>
        <w:rPr>
          <w:rFonts w:ascii="Arial" w:cs="Arial" w:eastAsia="Arial" w:hAnsi="Arial"/>
          <w:sz w:val="16"/>
          <w:szCs w:val="16"/>
          <w:color w:val="3A5CFF"/>
        </w:rPr>
        <w:t>(1991 - 2003)</w:t>
      </w:r>
    </w:p>
    <w:p>
      <w:pPr>
        <w:spacing w:after="0" w:line="200" w:lineRule="exact"/>
        <w:rPr>
          <w:sz w:val="20"/>
          <w:szCs w:val="20"/>
          <w:color w:val="auto"/>
        </w:rPr>
      </w:pPr>
    </w:p>
    <w:p>
      <w:pPr>
        <w:sectPr>
          <w:pgSz w:w="11900" w:h="16838" w:orient="portrait"/>
          <w:cols w:equalWidth="0" w:num="2">
            <w:col w:w="2980" w:space="394"/>
            <w:col w:w="7686"/>
          </w:cols>
          <w:pgMar w:left="320" w:top="121" w:right="51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ind w:left="480" w:hanging="454"/>
        <w:spacing w:after="0"/>
        <w:tabs>
          <w:tab w:leader="none" w:pos="480" w:val="left"/>
        </w:tabs>
        <w:numPr>
          <w:ilvl w:val="0"/>
          <w:numId w:val="5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13"/>
          <w:szCs w:val="13"/>
          <w:b w:val="1"/>
          <w:bCs w:val="1"/>
          <w:color w:val="auto"/>
        </w:rPr>
        <w:t>Board and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619760</wp:posOffset>
            </wp:positionV>
            <wp:extent cx="7123430" cy="34118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23430" cy="341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3A5CFF"/>
        </w:rPr>
        <w:t>Matthew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8890</wp:posOffset>
            </wp:positionV>
            <wp:extent cx="1543050" cy="8655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clrChange>
                        <a:clrFrom>
                          <a:srgbClr val="000000"/>
                        </a:clrFrom>
                        <a:clrTo>
                          <a:srgbClr val="000000">
                            <a:alpha val="0"/>
                          </a:srgbClr>
                        </a:clrTo>
                      </a:clrChange>
                      <a:extLst>
                        <a:ext uri="{28A0092B-C50C-407E-A947-70E740481C1C}"/>
                      </a:extLst>
                    </a:blip>
                    <a:srcRect/>
                    <a:stretch>
                      <a:fillRect/>
                    </a:stretch>
                  </pic:blipFill>
                  <pic:spPr bwMode="auto">
                    <a:xfrm>
                      <a:off x="0" y="0"/>
                      <a:ext cx="1543050" cy="8655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8890</wp:posOffset>
            </wp:positionV>
            <wp:extent cx="1543050" cy="8655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clrChange>
                        <a:clrFrom>
                          <a:srgbClr val="FFFFFF"/>
                        </a:clrFrom>
                        <a:clrTo>
                          <a:srgbClr val="FFFFFF">
                            <a:alpha val="0"/>
                          </a:srgbClr>
                        </a:clrTo>
                      </a:clrChange>
                      <a:extLst>
                        <a:ext uri="{28A0092B-C50C-407E-A947-70E740481C1C}"/>
                      </a:extLst>
                    </a:blip>
                    <a:srcRect/>
                    <a:stretch>
                      <a:fillRect/>
                    </a:stretch>
                  </pic:blipFill>
                  <pic:spPr bwMode="auto">
                    <a:xfrm>
                      <a:off x="0" y="0"/>
                      <a:ext cx="1543050" cy="865505"/>
                    </a:xfrm>
                    <a:prstGeom prst="rect">
                      <a:avLst/>
                    </a:prstGeom>
                    <a:noFill/>
                  </pic:spPr>
                </pic:pic>
              </a:graphicData>
            </a:graphic>
          </wp:anchor>
        </w:drawing>
      </w:r>
    </w:p>
    <w:p>
      <w:pPr>
        <w:spacing w:after="0" w:line="18" w:lineRule="exact"/>
        <w:rPr>
          <w:sz w:val="20"/>
          <w:szCs w:val="20"/>
          <w:color w:val="auto"/>
        </w:rPr>
      </w:pPr>
    </w:p>
    <w:p>
      <w:pPr>
        <w:ind w:left="3380"/>
        <w:spacing w:after="0"/>
        <w:rPr>
          <w:sz w:val="20"/>
          <w:szCs w:val="20"/>
          <w:color w:val="auto"/>
        </w:rPr>
      </w:pPr>
      <w:r>
        <w:rPr>
          <w:rFonts w:ascii="Arial" w:cs="Arial" w:eastAsia="Arial" w:hAnsi="Arial"/>
          <w:sz w:val="15"/>
          <w:szCs w:val="15"/>
          <w:b w:val="1"/>
          <w:bCs w:val="1"/>
          <w:color w:val="00E4A5"/>
        </w:rPr>
        <w:t>INDEPENDENT</w:t>
      </w:r>
    </w:p>
    <w:p>
      <w:pPr>
        <w:spacing w:after="0" w:line="114" w:lineRule="exact"/>
        <w:rPr>
          <w:sz w:val="20"/>
          <w:szCs w:val="20"/>
          <w:color w:val="auto"/>
        </w:rPr>
      </w:pPr>
    </w:p>
    <w:p>
      <w:pPr>
        <w:ind w:left="3380" w:right="220"/>
        <w:spacing w:after="0" w:line="282" w:lineRule="auto"/>
        <w:rPr>
          <w:sz w:val="20"/>
          <w:szCs w:val="20"/>
          <w:color w:val="auto"/>
        </w:rPr>
      </w:pPr>
      <w:r>
        <w:rPr>
          <w:rFonts w:ascii="Arial" w:cs="Arial" w:eastAsia="Arial" w:hAnsi="Arial"/>
          <w:sz w:val="16"/>
          <w:szCs w:val="16"/>
          <w:color w:val="auto"/>
        </w:rPr>
        <w:t>Mr. Rogers is an energy and environmental sustainability thought leader, who has focused on the role technologies play in restructuring energy markets. He has extensive global consulting experience as a former Senior Partner at McKinsey &amp; Company where he led the Energy and Sustainability practices and served electric and gas utilities, major oil companies, and energy technology innovators globally. As a former Senior Advisor to the U.S. Secretary of Energy, he had operational responsibility for the Department of Energy’s $35B in Recovery Act appropriations, funding more than 5,000 projects to accelerate US clean energy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0</wp:posOffset>
            </wp:positionV>
            <wp:extent cx="499745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01"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62</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auto"/>
        </w:rPr>
        <w:t>April 2023</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Committees:</w:t>
      </w:r>
    </w:p>
    <w:p>
      <w:pPr>
        <w:spacing w:after="0" w:line="60" w:lineRule="exact"/>
        <w:rPr>
          <w:sz w:val="20"/>
          <w:szCs w:val="20"/>
          <w:color w:val="auto"/>
        </w:rPr>
      </w:pPr>
    </w:p>
    <w:p>
      <w:pPr>
        <w:ind w:left="200" w:hanging="174"/>
        <w:spacing w:after="0"/>
        <w:tabs>
          <w:tab w:leader="none" w:pos="200" w:val="left"/>
        </w:tabs>
        <w:numPr>
          <w:ilvl w:val="0"/>
          <w:numId w:val="54"/>
        </w:numPr>
        <w:rPr>
          <w:rFonts w:ascii="Arial" w:cs="Arial" w:eastAsia="Arial" w:hAnsi="Arial"/>
          <w:sz w:val="16"/>
          <w:szCs w:val="16"/>
          <w:b w:val="1"/>
          <w:bCs w:val="1"/>
          <w:color w:val="170D67"/>
        </w:rPr>
      </w:pPr>
      <w:r>
        <w:rPr>
          <w:rFonts w:ascii="Arial" w:cs="Arial" w:eastAsia="Arial" w:hAnsi="Arial"/>
          <w:sz w:val="16"/>
          <w:szCs w:val="16"/>
          <w:b w:val="1"/>
          <w:bCs w:val="1"/>
          <w:color w:val="auto"/>
        </w:rPr>
        <w:t xml:space="preserve">OSCC, </w:t>
      </w:r>
      <w:r>
        <w:rPr>
          <w:rFonts w:ascii="Arial" w:cs="Arial" w:eastAsia="Arial" w:hAnsi="Arial"/>
          <w:sz w:val="16"/>
          <w:szCs w:val="16"/>
          <w:b w:val="1"/>
          <w:bCs w:val="1"/>
          <w:color w:val="3A5CFF"/>
        </w:rPr>
        <w:t>Chair</w:t>
      </w:r>
    </w:p>
    <w:p>
      <w:pPr>
        <w:spacing w:after="0" w:line="59" w:lineRule="exact"/>
        <w:rPr>
          <w:rFonts w:ascii="Arial" w:cs="Arial" w:eastAsia="Arial" w:hAnsi="Arial"/>
          <w:sz w:val="16"/>
          <w:szCs w:val="16"/>
          <w:b w:val="1"/>
          <w:bCs w:val="1"/>
          <w:color w:val="170D67"/>
        </w:rPr>
      </w:pPr>
    </w:p>
    <w:p>
      <w:pPr>
        <w:ind w:left="200" w:hanging="174"/>
        <w:spacing w:after="0"/>
        <w:tabs>
          <w:tab w:leader="none" w:pos="200" w:val="left"/>
        </w:tabs>
        <w:numPr>
          <w:ilvl w:val="0"/>
          <w:numId w:val="54"/>
        </w:numPr>
        <w:rPr>
          <w:rFonts w:ascii="Arial" w:cs="Arial" w:eastAsia="Arial" w:hAnsi="Arial"/>
          <w:sz w:val="16"/>
          <w:szCs w:val="16"/>
          <w:b w:val="1"/>
          <w:bCs w:val="1"/>
          <w:color w:val="170D67"/>
        </w:rPr>
      </w:pPr>
      <w:r>
        <w:rPr>
          <w:rFonts w:ascii="Arial" w:cs="Arial" w:eastAsia="Arial" w:hAnsi="Arial"/>
          <w:sz w:val="16"/>
          <w:szCs w:val="16"/>
          <w:b w:val="1"/>
          <w:bCs w:val="1"/>
          <w:color w:val="auto"/>
        </w:rPr>
        <w:t>ARC</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Other Current Public Boards: </w:t>
      </w:r>
      <w:r>
        <w:rPr>
          <w:rFonts w:ascii="Arial" w:cs="Arial" w:eastAsia="Arial" w:hAnsi="Arial"/>
          <w:sz w:val="15"/>
          <w:szCs w:val="15"/>
          <w:b w:val="1"/>
          <w:bCs w:val="1"/>
          <w:color w:val="auto"/>
        </w:rPr>
        <w:t>0</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333333"/>
        </w:rPr>
        <w:t>Career Highlights</w:t>
      </w:r>
    </w:p>
    <w:p>
      <w:pPr>
        <w:spacing w:after="0" w:line="100" w:lineRule="exact"/>
        <w:rPr>
          <w:sz w:val="20"/>
          <w:szCs w:val="20"/>
          <w:color w:val="auto"/>
        </w:rPr>
      </w:pPr>
    </w:p>
    <w:p>
      <w:pPr>
        <w:ind w:left="186" w:right="60" w:hanging="186"/>
        <w:spacing w:after="0" w:line="292" w:lineRule="auto"/>
        <w:tabs>
          <w:tab w:leader="none" w:pos="156" w:val="left"/>
        </w:tabs>
        <w:numPr>
          <w:ilvl w:val="0"/>
          <w:numId w:val="55"/>
        </w:numPr>
        <w:rPr>
          <w:rFonts w:ascii="Arial" w:cs="Arial" w:eastAsia="Arial" w:hAnsi="Arial"/>
          <w:sz w:val="16"/>
          <w:szCs w:val="16"/>
          <w:b w:val="1"/>
          <w:bCs w:val="1"/>
          <w:color w:val="170D67"/>
        </w:rPr>
      </w:pPr>
      <w:r>
        <w:rPr>
          <w:rFonts w:ascii="Arial" w:cs="Arial" w:eastAsia="Arial" w:hAnsi="Arial"/>
          <w:sz w:val="16"/>
          <w:szCs w:val="16"/>
          <w:color w:val="auto"/>
        </w:rPr>
        <w:t xml:space="preserve">Operations Partner, Ajax Strategies, a venture capital firm focused on technologies to reduce greenhouse gas emissions </w:t>
      </w:r>
      <w:r>
        <w:rPr>
          <w:rFonts w:ascii="Arial" w:cs="Arial" w:eastAsia="Arial" w:hAnsi="Arial"/>
          <w:sz w:val="16"/>
          <w:szCs w:val="16"/>
          <w:color w:val="3A5CFF"/>
        </w:rPr>
        <w:t>(Since 2022)</w:t>
      </w:r>
    </w:p>
    <w:p>
      <w:pPr>
        <w:spacing w:after="0" w:line="30" w:lineRule="exact"/>
        <w:rPr>
          <w:rFonts w:ascii="Arial" w:cs="Arial" w:eastAsia="Arial" w:hAnsi="Arial"/>
          <w:sz w:val="16"/>
          <w:szCs w:val="16"/>
          <w:b w:val="1"/>
          <w:bCs w:val="1"/>
          <w:color w:val="170D67"/>
        </w:rPr>
      </w:pPr>
    </w:p>
    <w:p>
      <w:pPr>
        <w:ind w:left="186" w:hanging="186"/>
        <w:spacing w:after="0" w:line="292" w:lineRule="auto"/>
        <w:tabs>
          <w:tab w:leader="none" w:pos="156" w:val="left"/>
        </w:tabs>
        <w:numPr>
          <w:ilvl w:val="0"/>
          <w:numId w:val="55"/>
        </w:numPr>
        <w:rPr>
          <w:rFonts w:ascii="Arial" w:cs="Arial" w:eastAsia="Arial" w:hAnsi="Arial"/>
          <w:sz w:val="16"/>
          <w:szCs w:val="16"/>
          <w:b w:val="1"/>
          <w:bCs w:val="1"/>
          <w:color w:val="170D67"/>
        </w:rPr>
      </w:pPr>
      <w:r>
        <w:rPr>
          <w:rFonts w:ascii="Arial" w:cs="Arial" w:eastAsia="Arial" w:hAnsi="Arial"/>
          <w:sz w:val="16"/>
          <w:szCs w:val="16"/>
          <w:color w:val="auto"/>
        </w:rPr>
        <w:t xml:space="preserve">Chief Executive Officer, Mission Possible Partnership, an organization supporting public and private sector partnerships working toward the energy transition </w:t>
      </w:r>
      <w:r>
        <w:rPr>
          <w:rFonts w:ascii="Arial" w:cs="Arial" w:eastAsia="Arial" w:hAnsi="Arial"/>
          <w:sz w:val="16"/>
          <w:szCs w:val="16"/>
          <w:color w:val="3A5CFF"/>
        </w:rPr>
        <w:t>(2022)</w:t>
      </w:r>
    </w:p>
    <w:p>
      <w:pPr>
        <w:spacing w:after="0" w:line="30" w:lineRule="exact"/>
        <w:rPr>
          <w:rFonts w:ascii="Arial" w:cs="Arial" w:eastAsia="Arial" w:hAnsi="Arial"/>
          <w:sz w:val="16"/>
          <w:szCs w:val="16"/>
          <w:b w:val="1"/>
          <w:bCs w:val="1"/>
          <w:color w:val="170D67"/>
        </w:rPr>
      </w:pPr>
    </w:p>
    <w:p>
      <w:pPr>
        <w:ind w:left="186" w:right="160" w:hanging="186"/>
        <w:spacing w:after="0" w:line="289" w:lineRule="auto"/>
        <w:tabs>
          <w:tab w:leader="none" w:pos="156" w:val="left"/>
        </w:tabs>
        <w:numPr>
          <w:ilvl w:val="0"/>
          <w:numId w:val="55"/>
        </w:numPr>
        <w:rPr>
          <w:rFonts w:ascii="Arial" w:cs="Arial" w:eastAsia="Arial" w:hAnsi="Arial"/>
          <w:sz w:val="16"/>
          <w:szCs w:val="16"/>
          <w:b w:val="1"/>
          <w:bCs w:val="1"/>
          <w:color w:val="170D67"/>
        </w:rPr>
      </w:pPr>
      <w:r>
        <w:rPr>
          <w:rFonts w:ascii="Arial" w:cs="Arial" w:eastAsia="Arial" w:hAnsi="Arial"/>
          <w:sz w:val="16"/>
          <w:szCs w:val="16"/>
          <w:color w:val="auto"/>
        </w:rPr>
        <w:t xml:space="preserve">Senior Partner Emeritus, McKinsey &amp; Company </w:t>
      </w:r>
      <w:r>
        <w:rPr>
          <w:rFonts w:ascii="Arial" w:cs="Arial" w:eastAsia="Arial" w:hAnsi="Arial"/>
          <w:sz w:val="16"/>
          <w:szCs w:val="16"/>
          <w:color w:val="3A5CFF"/>
        </w:rPr>
        <w:t>(Since</w:t>
      </w:r>
      <w:r>
        <w:rPr>
          <w:rFonts w:ascii="Arial" w:cs="Arial" w:eastAsia="Arial" w:hAnsi="Arial"/>
          <w:sz w:val="16"/>
          <w:szCs w:val="16"/>
          <w:color w:val="auto"/>
        </w:rPr>
        <w:t xml:space="preserve"> </w:t>
      </w:r>
      <w:r>
        <w:rPr>
          <w:rFonts w:ascii="Arial" w:cs="Arial" w:eastAsia="Arial" w:hAnsi="Arial"/>
          <w:sz w:val="16"/>
          <w:szCs w:val="16"/>
          <w:color w:val="3A5CFF"/>
        </w:rPr>
        <w:t>2021)</w:t>
      </w:r>
      <w:r>
        <w:rPr>
          <w:rFonts w:ascii="Arial" w:cs="Arial" w:eastAsia="Arial" w:hAnsi="Arial"/>
          <w:sz w:val="16"/>
          <w:szCs w:val="16"/>
          <w:color w:val="000000"/>
        </w:rPr>
        <w:t>; previously Senior Partner</w:t>
      </w:r>
      <w:r>
        <w:rPr>
          <w:rFonts w:ascii="Arial" w:cs="Arial" w:eastAsia="Arial" w:hAnsi="Arial"/>
          <w:sz w:val="16"/>
          <w:szCs w:val="16"/>
          <w:color w:val="3A5CFF"/>
        </w:rPr>
        <w:t xml:space="preserve"> (2005 – 2021), </w:t>
      </w:r>
      <w:r>
        <w:rPr>
          <w:rFonts w:ascii="Arial" w:cs="Arial" w:eastAsia="Arial" w:hAnsi="Arial"/>
          <w:sz w:val="16"/>
          <w:szCs w:val="16"/>
          <w:color w:val="000000"/>
        </w:rPr>
        <w:t xml:space="preserve">including McKinsey’s Sustainability Practice Leader </w:t>
      </w:r>
      <w:r>
        <w:rPr>
          <w:rFonts w:ascii="Arial" w:cs="Arial" w:eastAsia="Arial" w:hAnsi="Arial"/>
          <w:sz w:val="16"/>
          <w:szCs w:val="16"/>
          <w:color w:val="3A5CFF"/>
        </w:rPr>
        <w:t xml:space="preserve">(2015 – 2017), </w:t>
      </w:r>
      <w:r>
        <w:rPr>
          <w:rFonts w:ascii="Arial" w:cs="Arial" w:eastAsia="Arial" w:hAnsi="Arial"/>
          <w:sz w:val="16"/>
          <w:szCs w:val="16"/>
          <w:color w:val="000000"/>
        </w:rPr>
        <w:t>and Partner</w:t>
      </w:r>
      <w:r>
        <w:rPr>
          <w:rFonts w:ascii="Arial" w:cs="Arial" w:eastAsia="Arial" w:hAnsi="Arial"/>
          <w:sz w:val="16"/>
          <w:szCs w:val="16"/>
          <w:color w:val="3A5CFF"/>
        </w:rPr>
        <w:t xml:space="preserve"> (1999 – 2005)</w:t>
      </w:r>
    </w:p>
    <w:p>
      <w:pPr>
        <w:spacing w:after="0" w:line="31" w:lineRule="exact"/>
        <w:rPr>
          <w:rFonts w:ascii="Arial" w:cs="Arial" w:eastAsia="Arial" w:hAnsi="Arial"/>
          <w:sz w:val="16"/>
          <w:szCs w:val="16"/>
          <w:b w:val="1"/>
          <w:bCs w:val="1"/>
          <w:color w:val="170D67"/>
        </w:rPr>
      </w:pPr>
    </w:p>
    <w:p>
      <w:pPr>
        <w:ind w:left="166" w:hanging="166"/>
        <w:spacing w:after="0"/>
        <w:tabs>
          <w:tab w:leader="none" w:pos="166" w:val="left"/>
        </w:tabs>
        <w:numPr>
          <w:ilvl w:val="0"/>
          <w:numId w:val="55"/>
        </w:numPr>
        <w:rPr>
          <w:rFonts w:ascii="Arial" w:cs="Arial" w:eastAsia="Arial" w:hAnsi="Arial"/>
          <w:sz w:val="16"/>
          <w:szCs w:val="16"/>
          <w:b w:val="1"/>
          <w:bCs w:val="1"/>
          <w:color w:val="170D67"/>
        </w:rPr>
      </w:pPr>
      <w:r>
        <w:rPr>
          <w:rFonts w:ascii="Arial" w:cs="Arial" w:eastAsia="Arial" w:hAnsi="Arial"/>
          <w:sz w:val="16"/>
          <w:szCs w:val="16"/>
          <w:color w:val="auto"/>
        </w:rPr>
        <w:t xml:space="preserve">U.S. Secretary of Energy: Advisory Board member </w:t>
      </w:r>
      <w:r>
        <w:rPr>
          <w:rFonts w:ascii="Arial" w:cs="Arial" w:eastAsia="Arial" w:hAnsi="Arial"/>
          <w:sz w:val="16"/>
          <w:szCs w:val="16"/>
          <w:color w:val="3A5CFF"/>
        </w:rPr>
        <w:t>(2011</w:t>
      </w:r>
    </w:p>
    <w:p>
      <w:pPr>
        <w:spacing w:after="0" w:line="34" w:lineRule="exact"/>
        <w:rPr>
          <w:rFonts w:ascii="Arial" w:cs="Arial" w:eastAsia="Arial" w:hAnsi="Arial"/>
          <w:sz w:val="16"/>
          <w:szCs w:val="16"/>
          <w:b w:val="1"/>
          <w:bCs w:val="1"/>
          <w:color w:val="170D67"/>
        </w:rPr>
      </w:pPr>
    </w:p>
    <w:p>
      <w:pPr>
        <w:ind w:left="186"/>
        <w:spacing w:after="0"/>
        <w:rPr>
          <w:rFonts w:ascii="Arial" w:cs="Arial" w:eastAsia="Arial" w:hAnsi="Arial"/>
          <w:sz w:val="16"/>
          <w:szCs w:val="16"/>
          <w:b w:val="1"/>
          <w:bCs w:val="1"/>
          <w:color w:val="170D67"/>
        </w:rPr>
      </w:pPr>
      <w:r>
        <w:rPr>
          <w:rFonts w:ascii="Arial" w:cs="Arial" w:eastAsia="Arial" w:hAnsi="Arial"/>
          <w:sz w:val="16"/>
          <w:szCs w:val="16"/>
          <w:color w:val="3A5CFF"/>
        </w:rPr>
        <w:t xml:space="preserve">– 2013); </w:t>
      </w:r>
      <w:r>
        <w:rPr>
          <w:rFonts w:ascii="Arial" w:cs="Arial" w:eastAsia="Arial" w:hAnsi="Arial"/>
          <w:sz w:val="16"/>
          <w:szCs w:val="16"/>
          <w:color w:val="000000"/>
        </w:rPr>
        <w:t>Senior Advisor</w:t>
      </w:r>
      <w:r>
        <w:rPr>
          <w:rFonts w:ascii="Arial" w:cs="Arial" w:eastAsia="Arial" w:hAnsi="Arial"/>
          <w:sz w:val="16"/>
          <w:szCs w:val="16"/>
          <w:color w:val="3A5CFF"/>
        </w:rPr>
        <w:t xml:space="preserve"> (2009 –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-2136775</wp:posOffset>
            </wp:positionH>
            <wp:positionV relativeFrom="paragraph">
              <wp:posOffset>224790</wp:posOffset>
            </wp:positionV>
            <wp:extent cx="7123430" cy="27514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23430" cy="27514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Other Professional Experience</w:t>
      </w:r>
    </w:p>
    <w:p>
      <w:pPr>
        <w:spacing w:after="0" w:line="140" w:lineRule="exact"/>
        <w:rPr>
          <w:sz w:val="20"/>
          <w:szCs w:val="20"/>
          <w:color w:val="auto"/>
        </w:rPr>
      </w:pPr>
    </w:p>
    <w:p>
      <w:pPr>
        <w:ind w:left="260" w:right="1480" w:hanging="200"/>
        <w:spacing w:after="0" w:line="304" w:lineRule="auto"/>
        <w:tabs>
          <w:tab w:leader="none" w:pos="230" w:val="left"/>
        </w:tabs>
        <w:numPr>
          <w:ilvl w:val="0"/>
          <w:numId w:val="56"/>
        </w:numPr>
        <w:rPr>
          <w:rFonts w:ascii="Arial" w:cs="Arial" w:eastAsia="Arial" w:hAnsi="Arial"/>
          <w:sz w:val="16"/>
          <w:szCs w:val="16"/>
          <w:b w:val="1"/>
          <w:bCs w:val="1"/>
          <w:color w:val="170D67"/>
        </w:rPr>
      </w:pPr>
      <w:r>
        <w:rPr>
          <w:rFonts w:ascii="Arial" w:cs="Arial" w:eastAsia="Arial" w:hAnsi="Arial"/>
          <w:sz w:val="16"/>
          <w:szCs w:val="16"/>
          <w:color w:val="auto"/>
        </w:rPr>
        <w:t>Director, Natel Energy, a hydropower company</w:t>
      </w:r>
    </w:p>
    <w:p>
      <w:pPr>
        <w:spacing w:after="0" w:line="19" w:lineRule="exact"/>
        <w:rPr>
          <w:rFonts w:ascii="Arial" w:cs="Arial" w:eastAsia="Arial" w:hAnsi="Arial"/>
          <w:sz w:val="16"/>
          <w:szCs w:val="16"/>
          <w:b w:val="1"/>
          <w:bCs w:val="1"/>
          <w:color w:val="170D67"/>
        </w:rPr>
      </w:pPr>
    </w:p>
    <w:p>
      <w:pPr>
        <w:jc w:val="both"/>
        <w:ind w:left="260" w:right="420" w:hanging="200"/>
        <w:spacing w:after="0" w:line="292" w:lineRule="auto"/>
        <w:tabs>
          <w:tab w:leader="none" w:pos="230" w:val="left"/>
        </w:tabs>
        <w:numPr>
          <w:ilvl w:val="0"/>
          <w:numId w:val="56"/>
        </w:numPr>
        <w:rPr>
          <w:rFonts w:ascii="Arial" w:cs="Arial" w:eastAsia="Arial" w:hAnsi="Arial"/>
          <w:sz w:val="16"/>
          <w:szCs w:val="16"/>
          <w:b w:val="1"/>
          <w:bCs w:val="1"/>
          <w:color w:val="170D67"/>
        </w:rPr>
      </w:pPr>
      <w:r>
        <w:rPr>
          <w:rFonts w:ascii="Arial" w:cs="Arial" w:eastAsia="Arial" w:hAnsi="Arial"/>
          <w:sz w:val="16"/>
          <w:szCs w:val="16"/>
          <w:color w:val="auto"/>
        </w:rPr>
        <w:t>Former Director, Upstream Tech, which builds software to manage water flows and land use</w:t>
      </w:r>
    </w:p>
    <w:p>
      <w:pPr>
        <w:spacing w:after="0" w:line="30" w:lineRule="exact"/>
        <w:rPr>
          <w:rFonts w:ascii="Arial" w:cs="Arial" w:eastAsia="Arial" w:hAnsi="Arial"/>
          <w:sz w:val="16"/>
          <w:szCs w:val="16"/>
          <w:b w:val="1"/>
          <w:bCs w:val="1"/>
          <w:color w:val="170D67"/>
        </w:rPr>
      </w:pPr>
    </w:p>
    <w:p>
      <w:pPr>
        <w:ind w:left="260" w:right="1160" w:hanging="200"/>
        <w:spacing w:after="0" w:line="321" w:lineRule="auto"/>
        <w:tabs>
          <w:tab w:leader="none" w:pos="230" w:val="left"/>
        </w:tabs>
        <w:numPr>
          <w:ilvl w:val="0"/>
          <w:numId w:val="56"/>
        </w:numPr>
        <w:rPr>
          <w:rFonts w:ascii="Arial" w:cs="Arial" w:eastAsia="Arial" w:hAnsi="Arial"/>
          <w:sz w:val="16"/>
          <w:szCs w:val="16"/>
          <w:b w:val="1"/>
          <w:bCs w:val="1"/>
          <w:color w:val="170D67"/>
        </w:rPr>
      </w:pPr>
      <w:r>
        <w:rPr>
          <w:rFonts w:ascii="Arial" w:cs="Arial" w:eastAsia="Arial" w:hAnsi="Arial"/>
          <w:sz w:val="16"/>
          <w:szCs w:val="16"/>
          <w:color w:val="auto"/>
        </w:rPr>
        <w:t>Former Director, Ojjo, a solar foundations installer</w:t>
      </w:r>
    </w:p>
    <w:p>
      <w:pPr>
        <w:spacing w:after="0" w:line="7" w:lineRule="exact"/>
        <w:rPr>
          <w:rFonts w:ascii="Arial" w:cs="Arial" w:eastAsia="Arial" w:hAnsi="Arial"/>
          <w:sz w:val="16"/>
          <w:szCs w:val="16"/>
          <w:b w:val="1"/>
          <w:bCs w:val="1"/>
          <w:color w:val="170D67"/>
        </w:rPr>
      </w:pPr>
    </w:p>
    <w:p>
      <w:pPr>
        <w:ind w:left="260" w:right="620" w:hanging="200"/>
        <w:spacing w:after="0" w:line="304" w:lineRule="auto"/>
        <w:tabs>
          <w:tab w:leader="none" w:pos="230" w:val="left"/>
        </w:tabs>
        <w:numPr>
          <w:ilvl w:val="0"/>
          <w:numId w:val="56"/>
        </w:numPr>
        <w:rPr>
          <w:rFonts w:ascii="Arial" w:cs="Arial" w:eastAsia="Arial" w:hAnsi="Arial"/>
          <w:sz w:val="16"/>
          <w:szCs w:val="16"/>
          <w:b w:val="1"/>
          <w:bCs w:val="1"/>
          <w:color w:val="170D67"/>
        </w:rPr>
      </w:pPr>
      <w:r>
        <w:rPr>
          <w:rFonts w:ascii="Arial" w:cs="Arial" w:eastAsia="Arial" w:hAnsi="Arial"/>
          <w:sz w:val="16"/>
          <w:szCs w:val="16"/>
          <w:color w:val="auto"/>
        </w:rPr>
        <w:t>Former Member, National Petroleum Council</w:t>
      </w:r>
    </w:p>
    <w:p>
      <w:pPr>
        <w:spacing w:after="0" w:line="730" w:lineRule="exact"/>
        <w:rPr>
          <w:sz w:val="20"/>
          <w:szCs w:val="20"/>
          <w:color w:val="auto"/>
        </w:rPr>
      </w:pPr>
    </w:p>
    <w:p>
      <w:pPr>
        <w:sectPr>
          <w:pgSz w:w="11900" w:h="16838" w:orient="portrait"/>
          <w:cols w:equalWidth="0" w:num="3">
            <w:col w:w="2654" w:space="720"/>
            <w:col w:w="4246" w:space="160"/>
            <w:col w:w="3460"/>
          </w:cols>
          <w:pgMar w:left="320" w:top="121" w:right="339" w:bottom="1440" w:gutter="0" w:footer="0" w:header="0"/>
          <w:type w:val="continuous"/>
        </w:sectPr>
      </w:pPr>
    </w:p>
    <w:p>
      <w:pPr>
        <w:spacing w:after="0" w:line="31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3A5CFF"/>
        </w:rPr>
        <w:t>Bryan Segedi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-59055</wp:posOffset>
            </wp:positionV>
            <wp:extent cx="1543050" cy="8743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clrChange>
                        <a:clrFrom>
                          <a:srgbClr val="000000"/>
                        </a:clrFrom>
                        <a:clrTo>
                          <a:srgbClr val="000000">
                            <a:alpha val="0"/>
                          </a:srgbClr>
                        </a:clrTo>
                      </a:clrChange>
                      <a:extLst>
                        <a:ext uri="{28A0092B-C50C-407E-A947-70E740481C1C}"/>
                      </a:extLst>
                    </a:blip>
                    <a:srcRect/>
                    <a:stretch>
                      <a:fillRect/>
                    </a:stretch>
                  </pic:blipFill>
                  <pic:spPr bwMode="auto">
                    <a:xfrm>
                      <a:off x="0" y="0"/>
                      <a:ext cx="1543050" cy="87439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-59055</wp:posOffset>
            </wp:positionV>
            <wp:extent cx="1543050" cy="8743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clrChange>
                        <a:clrFrom>
                          <a:srgbClr val="FFFFFF"/>
                        </a:clrFrom>
                        <a:clrTo>
                          <a:srgbClr val="FFFFFF">
                            <a:alpha val="0"/>
                          </a:srgbClr>
                        </a:clrTo>
                      </a:clrChange>
                      <a:extLst>
                        <a:ext uri="{28A0092B-C50C-407E-A947-70E740481C1C}"/>
                      </a:extLst>
                    </a:blip>
                    <a:srcRect/>
                    <a:stretch>
                      <a:fillRect/>
                    </a:stretch>
                  </pic:blipFill>
                  <pic:spPr bwMode="auto">
                    <a:xfrm>
                      <a:off x="0" y="0"/>
                      <a:ext cx="1543050" cy="874395"/>
                    </a:xfrm>
                    <a:prstGeom prst="rect">
                      <a:avLst/>
                    </a:prstGeom>
                    <a:noFill/>
                  </pic:spPr>
                </pic:pic>
              </a:graphicData>
            </a:graphic>
          </wp:anchor>
        </w:drawing>
      </w:r>
    </w:p>
    <w:p>
      <w:pPr>
        <w:spacing w:after="0" w:line="18" w:lineRule="exact"/>
        <w:rPr>
          <w:sz w:val="20"/>
          <w:szCs w:val="20"/>
          <w:color w:val="auto"/>
        </w:rPr>
      </w:pPr>
    </w:p>
    <w:p>
      <w:pPr>
        <w:ind w:left="3380"/>
        <w:spacing w:after="0"/>
        <w:rPr>
          <w:sz w:val="20"/>
          <w:szCs w:val="20"/>
          <w:color w:val="auto"/>
        </w:rPr>
      </w:pPr>
      <w:r>
        <w:rPr>
          <w:rFonts w:ascii="Arial" w:cs="Arial" w:eastAsia="Arial" w:hAnsi="Arial"/>
          <w:sz w:val="15"/>
          <w:szCs w:val="15"/>
          <w:b w:val="1"/>
          <w:bCs w:val="1"/>
          <w:color w:val="00E4A5"/>
        </w:rPr>
        <w:t>INDEPENDENT</w:t>
      </w:r>
    </w:p>
    <w:p>
      <w:pPr>
        <w:spacing w:after="0" w:line="114" w:lineRule="exact"/>
        <w:rPr>
          <w:sz w:val="20"/>
          <w:szCs w:val="20"/>
          <w:color w:val="auto"/>
        </w:rPr>
      </w:pPr>
    </w:p>
    <w:p>
      <w:pPr>
        <w:ind w:left="3380" w:right="300"/>
        <w:spacing w:after="0" w:line="282" w:lineRule="auto"/>
        <w:rPr>
          <w:sz w:val="20"/>
          <w:szCs w:val="20"/>
          <w:color w:val="auto"/>
        </w:rPr>
      </w:pPr>
      <w:r>
        <w:rPr>
          <w:rFonts w:ascii="Arial" w:cs="Arial" w:eastAsia="Arial" w:hAnsi="Arial"/>
          <w:sz w:val="16"/>
          <w:szCs w:val="16"/>
          <w:color w:val="auto"/>
        </w:rPr>
        <w:t>Mr. Segedi, a globally recognized financial executive known for his successful growth strategies and leadership at Ernst &amp; Young LLP (EY) and certified public accountant, brings over 30 years in public accounting experience to our Board. Most recently, Mr. Segedi was the Deputy Global Vice Chair of Assurance at EY, where he oversaw the firm's $12 billion assurance service line and more than 77,000 professionals. Additionally, Mr. Segedi’s experience serving as a director for public and private companies and implementing strategic and growth initiatives for EY are valuable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8255</wp:posOffset>
            </wp:positionV>
            <wp:extent cx="499745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99745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129"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Age: </w:t>
      </w:r>
      <w:r>
        <w:rPr>
          <w:rFonts w:ascii="Arial" w:cs="Arial" w:eastAsia="Arial" w:hAnsi="Arial"/>
          <w:sz w:val="15"/>
          <w:szCs w:val="15"/>
          <w:b w:val="1"/>
          <w:bCs w:val="1"/>
          <w:color w:val="auto"/>
        </w:rPr>
        <w:t>65</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auto"/>
        </w:rPr>
        <w:t>January 2024</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Committees:</w:t>
      </w:r>
    </w:p>
    <w:p>
      <w:pPr>
        <w:spacing w:after="0" w:line="28" w:lineRule="exact"/>
        <w:rPr>
          <w:sz w:val="20"/>
          <w:szCs w:val="20"/>
          <w:color w:val="auto"/>
        </w:rPr>
      </w:pPr>
    </w:p>
    <w:p>
      <w:pPr>
        <w:ind w:left="200" w:hanging="174"/>
        <w:spacing w:after="0"/>
        <w:tabs>
          <w:tab w:leader="none" w:pos="200" w:val="left"/>
        </w:tabs>
        <w:numPr>
          <w:ilvl w:val="0"/>
          <w:numId w:val="57"/>
        </w:numPr>
        <w:rPr>
          <w:rFonts w:ascii="Arial" w:cs="Arial" w:eastAsia="Arial" w:hAnsi="Arial"/>
          <w:sz w:val="16"/>
          <w:szCs w:val="16"/>
          <w:b w:val="1"/>
          <w:bCs w:val="1"/>
          <w:color w:val="170D67"/>
        </w:rPr>
      </w:pPr>
      <w:r>
        <w:rPr>
          <w:rFonts w:ascii="Arial" w:cs="Arial" w:eastAsia="Arial" w:hAnsi="Arial"/>
          <w:sz w:val="15"/>
          <w:szCs w:val="15"/>
          <w:b w:val="1"/>
          <w:bCs w:val="1"/>
          <w:color w:val="auto"/>
        </w:rPr>
        <w:t>ARC</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Other Current Public Boards: </w:t>
      </w:r>
      <w:r>
        <w:rPr>
          <w:rFonts w:ascii="Arial" w:cs="Arial" w:eastAsia="Arial" w:hAnsi="Arial"/>
          <w:sz w:val="15"/>
          <w:szCs w:val="15"/>
          <w:b w:val="1"/>
          <w:bCs w:val="1"/>
          <w:color w:val="auto"/>
        </w:rPr>
        <w:t>1</w:t>
      </w:r>
    </w:p>
    <w:p>
      <w:pPr>
        <w:spacing w:after="0" w:line="33" w:lineRule="exact"/>
        <w:rPr>
          <w:sz w:val="20"/>
          <w:szCs w:val="20"/>
          <w:color w:val="auto"/>
        </w:rPr>
      </w:pPr>
    </w:p>
    <w:p>
      <w:pPr>
        <w:ind w:left="200" w:hanging="174"/>
        <w:spacing w:after="0"/>
        <w:tabs>
          <w:tab w:leader="none" w:pos="200" w:val="left"/>
        </w:tabs>
        <w:numPr>
          <w:ilvl w:val="0"/>
          <w:numId w:val="58"/>
        </w:numPr>
        <w:rPr>
          <w:rFonts w:ascii="Arial" w:cs="Arial" w:eastAsia="Arial" w:hAnsi="Arial"/>
          <w:sz w:val="15"/>
          <w:szCs w:val="15"/>
          <w:b w:val="1"/>
          <w:bCs w:val="1"/>
          <w:color w:val="170D67"/>
        </w:rPr>
      </w:pPr>
      <w:r>
        <w:rPr>
          <w:rFonts w:ascii="Arial" w:cs="Arial" w:eastAsia="Arial" w:hAnsi="Arial"/>
          <w:sz w:val="15"/>
          <w:szCs w:val="15"/>
          <w:color w:val="auto"/>
        </w:rPr>
        <w:t>Western Alliance Bancorporation (WAL)</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333333"/>
        </w:rPr>
        <w:t>Career Highlights</w:t>
      </w:r>
    </w:p>
    <w:p>
      <w:pPr>
        <w:spacing w:after="0" w:line="100" w:lineRule="exact"/>
        <w:rPr>
          <w:sz w:val="20"/>
          <w:szCs w:val="20"/>
          <w:color w:val="auto"/>
        </w:rPr>
      </w:pPr>
    </w:p>
    <w:p>
      <w:pPr>
        <w:ind w:left="186" w:hanging="186"/>
        <w:spacing w:after="0" w:line="316" w:lineRule="auto"/>
        <w:tabs>
          <w:tab w:leader="none" w:pos="156" w:val="left"/>
        </w:tabs>
        <w:numPr>
          <w:ilvl w:val="0"/>
          <w:numId w:val="59"/>
        </w:numPr>
        <w:rPr>
          <w:rFonts w:ascii="Arial" w:cs="Arial" w:eastAsia="Arial" w:hAnsi="Arial"/>
          <w:sz w:val="16"/>
          <w:szCs w:val="16"/>
          <w:b w:val="1"/>
          <w:bCs w:val="1"/>
          <w:color w:val="170D67"/>
        </w:rPr>
      </w:pPr>
      <w:r>
        <w:rPr>
          <w:rFonts w:ascii="Arial" w:cs="Arial" w:eastAsia="Arial" w:hAnsi="Arial"/>
          <w:sz w:val="16"/>
          <w:szCs w:val="16"/>
          <w:color w:val="auto"/>
        </w:rPr>
        <w:t xml:space="preserve">Deputy Global Vice Chair, Ernst &amp; Young, LLP </w:t>
      </w:r>
      <w:r>
        <w:rPr>
          <w:rFonts w:ascii="Arial" w:cs="Arial" w:eastAsia="Arial" w:hAnsi="Arial"/>
          <w:sz w:val="16"/>
          <w:szCs w:val="16"/>
          <w:color w:val="3A5CFF"/>
        </w:rPr>
        <w:t>(2012 –</w:t>
      </w:r>
      <w:r>
        <w:rPr>
          <w:rFonts w:ascii="Arial" w:cs="Arial" w:eastAsia="Arial" w:hAnsi="Arial"/>
          <w:sz w:val="16"/>
          <w:szCs w:val="16"/>
          <w:color w:val="auto"/>
        </w:rPr>
        <w:t xml:space="preserve"> </w:t>
      </w:r>
      <w:r>
        <w:rPr>
          <w:rFonts w:ascii="Arial" w:cs="Arial" w:eastAsia="Arial" w:hAnsi="Arial"/>
          <w:sz w:val="16"/>
          <w:szCs w:val="16"/>
          <w:color w:val="3A5CFF"/>
        </w:rPr>
        <w:t xml:space="preserve">2015) </w:t>
      </w:r>
      <w:r>
        <w:rPr>
          <w:rFonts w:ascii="Arial" w:cs="Arial" w:eastAsia="Arial" w:hAnsi="Arial"/>
          <w:sz w:val="16"/>
          <w:szCs w:val="16"/>
          <w:color w:val="000000"/>
        </w:rPr>
        <w:t>(Retired)</w:t>
      </w:r>
    </w:p>
    <w:p>
      <w:pPr>
        <w:spacing w:after="0" w:line="1" w:lineRule="exact"/>
        <w:rPr>
          <w:rFonts w:ascii="Arial" w:cs="Arial" w:eastAsia="Arial" w:hAnsi="Arial"/>
          <w:sz w:val="16"/>
          <w:szCs w:val="16"/>
          <w:b w:val="1"/>
          <w:bCs w:val="1"/>
          <w:color w:val="170D67"/>
        </w:rPr>
      </w:pPr>
    </w:p>
    <w:p>
      <w:pPr>
        <w:ind w:left="186" w:right="100" w:hanging="186"/>
        <w:spacing w:after="0" w:line="321" w:lineRule="auto"/>
        <w:tabs>
          <w:tab w:leader="none" w:pos="156" w:val="left"/>
        </w:tabs>
        <w:numPr>
          <w:ilvl w:val="0"/>
          <w:numId w:val="59"/>
        </w:numPr>
        <w:rPr>
          <w:rFonts w:ascii="Arial" w:cs="Arial" w:eastAsia="Arial" w:hAnsi="Arial"/>
          <w:sz w:val="16"/>
          <w:szCs w:val="16"/>
          <w:b w:val="1"/>
          <w:bCs w:val="1"/>
          <w:color w:val="170D67"/>
        </w:rPr>
      </w:pPr>
      <w:r>
        <w:rPr>
          <w:rFonts w:ascii="Arial" w:cs="Arial" w:eastAsia="Arial" w:hAnsi="Arial"/>
          <w:sz w:val="16"/>
          <w:szCs w:val="16"/>
          <w:color w:val="auto"/>
        </w:rPr>
        <w:t xml:space="preserve">Advisory Global Markets Leader, Ernst &amp; Young, LLP </w:t>
      </w:r>
      <w:r>
        <w:rPr>
          <w:rFonts w:ascii="Arial" w:cs="Arial" w:eastAsia="Arial" w:hAnsi="Arial"/>
          <w:sz w:val="16"/>
          <w:szCs w:val="16"/>
          <w:color w:val="3A5CFF"/>
        </w:rPr>
        <w:t>(2010 - 2012)</w:t>
      </w:r>
    </w:p>
    <w:p>
      <w:pPr>
        <w:spacing w:after="0" w:line="7" w:lineRule="exact"/>
        <w:rPr>
          <w:rFonts w:ascii="Arial" w:cs="Arial" w:eastAsia="Arial" w:hAnsi="Arial"/>
          <w:sz w:val="16"/>
          <w:szCs w:val="16"/>
          <w:b w:val="1"/>
          <w:bCs w:val="1"/>
          <w:color w:val="170D67"/>
        </w:rPr>
      </w:pPr>
    </w:p>
    <w:p>
      <w:pPr>
        <w:ind w:left="166" w:hanging="166"/>
        <w:spacing w:after="0"/>
        <w:tabs>
          <w:tab w:leader="none" w:pos="166" w:val="left"/>
        </w:tabs>
        <w:numPr>
          <w:ilvl w:val="0"/>
          <w:numId w:val="59"/>
        </w:numPr>
        <w:rPr>
          <w:rFonts w:ascii="Arial" w:cs="Arial" w:eastAsia="Arial" w:hAnsi="Arial"/>
          <w:sz w:val="16"/>
          <w:szCs w:val="16"/>
          <w:b w:val="1"/>
          <w:bCs w:val="1"/>
          <w:color w:val="170D67"/>
        </w:rPr>
      </w:pPr>
      <w:r>
        <w:rPr>
          <w:rFonts w:ascii="Arial" w:cs="Arial" w:eastAsia="Arial" w:hAnsi="Arial"/>
          <w:sz w:val="16"/>
          <w:szCs w:val="16"/>
          <w:color w:val="auto"/>
        </w:rPr>
        <w:t>Americas Vice Chair, Ernst &amp; Young, LLP</w:t>
      </w:r>
    </w:p>
    <w:p>
      <w:pPr>
        <w:spacing w:after="0" w:line="38" w:lineRule="exact"/>
        <w:rPr>
          <w:rFonts w:ascii="Arial" w:cs="Arial" w:eastAsia="Arial" w:hAnsi="Arial"/>
          <w:sz w:val="16"/>
          <w:szCs w:val="16"/>
          <w:b w:val="1"/>
          <w:bCs w:val="1"/>
          <w:color w:val="170D67"/>
        </w:rPr>
      </w:pPr>
    </w:p>
    <w:p>
      <w:pPr>
        <w:ind w:left="166" w:hanging="166"/>
        <w:spacing w:after="0"/>
        <w:tabs>
          <w:tab w:leader="none" w:pos="166" w:val="left"/>
        </w:tabs>
        <w:numPr>
          <w:ilvl w:val="0"/>
          <w:numId w:val="59"/>
        </w:numPr>
        <w:rPr>
          <w:rFonts w:ascii="Arial" w:cs="Arial" w:eastAsia="Arial" w:hAnsi="Arial"/>
          <w:sz w:val="16"/>
          <w:szCs w:val="16"/>
          <w:b w:val="1"/>
          <w:bCs w:val="1"/>
          <w:color w:val="170D67"/>
        </w:rPr>
      </w:pPr>
      <w:r>
        <w:rPr>
          <w:rFonts w:ascii="Arial" w:cs="Arial" w:eastAsia="Arial" w:hAnsi="Arial"/>
          <w:sz w:val="16"/>
          <w:szCs w:val="16"/>
          <w:color w:val="3A5CFF"/>
        </w:rPr>
        <w:t>(2006 - 2010)</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Other Professional Experience</w:t>
      </w:r>
    </w:p>
    <w:p>
      <w:pPr>
        <w:spacing w:after="0" w:line="140" w:lineRule="exact"/>
        <w:rPr>
          <w:sz w:val="20"/>
          <w:szCs w:val="20"/>
          <w:color w:val="auto"/>
        </w:rPr>
      </w:pPr>
    </w:p>
    <w:p>
      <w:pPr>
        <w:ind w:left="260" w:right="280" w:hanging="200"/>
        <w:spacing w:after="0" w:line="292" w:lineRule="auto"/>
        <w:tabs>
          <w:tab w:leader="none" w:pos="230" w:val="left"/>
        </w:tabs>
        <w:numPr>
          <w:ilvl w:val="0"/>
          <w:numId w:val="60"/>
        </w:numPr>
        <w:rPr>
          <w:rFonts w:ascii="Arial" w:cs="Arial" w:eastAsia="Arial" w:hAnsi="Arial"/>
          <w:sz w:val="16"/>
          <w:szCs w:val="16"/>
          <w:b w:val="1"/>
          <w:bCs w:val="1"/>
          <w:color w:val="170D67"/>
        </w:rPr>
      </w:pPr>
      <w:r>
        <w:rPr>
          <w:rFonts w:ascii="Arial" w:cs="Arial" w:eastAsia="Arial" w:hAnsi="Arial"/>
          <w:sz w:val="16"/>
          <w:szCs w:val="16"/>
          <w:color w:val="auto"/>
        </w:rPr>
        <w:t>Former Executive-in-Residence, W.P. Carey School of Business, Arizona State University</w:t>
      </w:r>
    </w:p>
    <w:p>
      <w:pPr>
        <w:spacing w:after="0" w:line="30" w:lineRule="exact"/>
        <w:rPr>
          <w:rFonts w:ascii="Arial" w:cs="Arial" w:eastAsia="Arial" w:hAnsi="Arial"/>
          <w:sz w:val="16"/>
          <w:szCs w:val="16"/>
          <w:b w:val="1"/>
          <w:bCs w:val="1"/>
          <w:color w:val="170D67"/>
        </w:rPr>
      </w:pPr>
    </w:p>
    <w:p>
      <w:pPr>
        <w:ind w:left="220" w:hanging="160"/>
        <w:spacing w:after="0"/>
        <w:tabs>
          <w:tab w:leader="none" w:pos="220" w:val="left"/>
        </w:tabs>
        <w:numPr>
          <w:ilvl w:val="0"/>
          <w:numId w:val="60"/>
        </w:numPr>
        <w:rPr>
          <w:rFonts w:ascii="Arial" w:cs="Arial" w:eastAsia="Arial" w:hAnsi="Arial"/>
          <w:sz w:val="16"/>
          <w:szCs w:val="16"/>
          <w:b w:val="1"/>
          <w:bCs w:val="1"/>
          <w:color w:val="170D67"/>
        </w:rPr>
      </w:pPr>
      <w:r>
        <w:rPr>
          <w:rFonts w:ascii="Arial" w:cs="Arial" w:eastAsia="Arial" w:hAnsi="Arial"/>
          <w:sz w:val="16"/>
          <w:szCs w:val="16"/>
          <w:color w:val="auto"/>
        </w:rPr>
        <w:t>Former Trustee, Alma College</w:t>
      </w:r>
    </w:p>
    <w:p>
      <w:pPr>
        <w:spacing w:after="0" w:line="99" w:lineRule="exact"/>
        <w:rPr>
          <w:rFonts w:ascii="Arial" w:cs="Arial" w:eastAsia="Arial" w:hAnsi="Arial"/>
          <w:sz w:val="16"/>
          <w:szCs w:val="16"/>
          <w:b w:val="1"/>
          <w:bCs w:val="1"/>
          <w:color w:val="170D67"/>
        </w:rPr>
      </w:pPr>
    </w:p>
    <w:p>
      <w:pPr>
        <w:ind w:left="220" w:hanging="160"/>
        <w:spacing w:after="0"/>
        <w:tabs>
          <w:tab w:leader="none" w:pos="220" w:val="left"/>
        </w:tabs>
        <w:numPr>
          <w:ilvl w:val="0"/>
          <w:numId w:val="60"/>
        </w:numPr>
        <w:rPr>
          <w:rFonts w:ascii="Arial" w:cs="Arial" w:eastAsia="Arial" w:hAnsi="Arial"/>
          <w:sz w:val="16"/>
          <w:szCs w:val="16"/>
          <w:b w:val="1"/>
          <w:bCs w:val="1"/>
          <w:color w:val="170D67"/>
        </w:rPr>
      </w:pPr>
      <w:r>
        <w:rPr>
          <w:rFonts w:ascii="Arial" w:cs="Arial" w:eastAsia="Arial" w:hAnsi="Arial"/>
          <w:sz w:val="16"/>
          <w:szCs w:val="16"/>
          <w:color w:val="auto"/>
        </w:rPr>
        <w:t>Former Director, Conway MacKenzie, Inc.</w:t>
      </w:r>
    </w:p>
    <w:p>
      <w:pPr>
        <w:spacing w:after="0" w:line="261" w:lineRule="exact"/>
        <w:rPr>
          <w:sz w:val="20"/>
          <w:szCs w:val="20"/>
          <w:color w:val="auto"/>
        </w:rPr>
      </w:pPr>
    </w:p>
    <w:p>
      <w:pPr>
        <w:sectPr>
          <w:pgSz w:w="11900" w:h="16838" w:orient="portrait"/>
          <w:cols w:equalWidth="0" w:num="3">
            <w:col w:w="2900" w:space="474"/>
            <w:col w:w="4066" w:space="340"/>
            <w:col w:w="3460"/>
          </w:cols>
          <w:pgMar w:left="320" w:top="121" w:right="339" w:bottom="1440" w:gutter="0" w:footer="0" w:header="0"/>
          <w:type w:val="continuous"/>
        </w:sectPr>
      </w:pPr>
    </w:p>
    <w:p>
      <w:pPr>
        <w:ind w:left="3560" w:right="3860" w:hanging="186"/>
        <w:spacing w:after="0" w:line="321" w:lineRule="auto"/>
        <w:tabs>
          <w:tab w:leader="none" w:pos="3530" w:val="left"/>
        </w:tabs>
        <w:numPr>
          <w:ilvl w:val="0"/>
          <w:numId w:val="61"/>
        </w:numPr>
        <w:rPr>
          <w:rFonts w:ascii="Arial" w:cs="Arial" w:eastAsia="Arial" w:hAnsi="Arial"/>
          <w:sz w:val="16"/>
          <w:szCs w:val="16"/>
          <w:b w:val="1"/>
          <w:bCs w:val="1"/>
          <w:color w:val="170D67"/>
        </w:rPr>
      </w:pPr>
      <w:r>
        <w:rPr>
          <w:rFonts w:ascii="Arial" w:cs="Arial" w:eastAsia="Arial" w:hAnsi="Arial"/>
          <w:sz w:val="16"/>
          <w:szCs w:val="16"/>
          <w:color w:val="auto"/>
        </w:rPr>
        <w:t xml:space="preserve">Vice Chair, North Central Region, Ernst &amp; Young, LLP </w:t>
      </w:r>
      <w:r>
        <w:rPr>
          <w:rFonts w:ascii="Arial" w:cs="Arial" w:eastAsia="Arial" w:hAnsi="Arial"/>
          <w:sz w:val="16"/>
          <w:szCs w:val="16"/>
          <w:color w:val="3A5CFF"/>
        </w:rPr>
        <w:t>(2000 - 2006)</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780"/>
              <w:spacing w:after="0"/>
              <w:rPr>
                <w:sz w:val="20"/>
                <w:szCs w:val="20"/>
                <w:color w:val="auto"/>
              </w:rPr>
            </w:pPr>
            <w:r>
              <w:rPr>
                <w:rFonts w:ascii="Arial" w:cs="Arial" w:eastAsia="Arial" w:hAnsi="Arial"/>
                <w:sz w:val="14"/>
                <w:szCs w:val="14"/>
                <w:color w:val="auto"/>
              </w:rPr>
              <w:t>2025 ׀ Exelon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23</w:t>
            </w:r>
          </w:p>
        </w:tc>
      </w:tr>
      <w:tr>
        <w:trPr>
          <w:trHeight w:val="225"/>
        </w:trPr>
        <w:tc>
          <w:tcPr>
            <w:tcW w:w="1092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3"/>
          <w:szCs w:val="13"/>
          <w:b w:val="1"/>
          <w:bCs w:val="1"/>
          <w:color w:val="auto"/>
        </w:rPr>
        <w:t>Board and Corporate Governance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Corporate Governance</w:t>
      </w:r>
    </w:p>
    <w:p>
      <w:pPr>
        <w:spacing w:after="0" w:line="123"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 xml:space="preserve">Exelon’s Board remains committed to maintaining the highest standards of corporate governance. We believe our strong corporate governance practices help us achieve our performance goals and maintain the trust and confidence of our shareholders, employees, customers, regulators, and other stakeholders. Below is a summary of our corporate governance practices, and more detail is presented in our Corporate Governance Principles, which are available on the Exelon website at </w:t>
      </w:r>
      <w:r>
        <w:rPr>
          <w:rFonts w:ascii="Arial" w:cs="Arial" w:eastAsia="Arial" w:hAnsi="Arial"/>
          <w:sz w:val="16"/>
          <w:szCs w:val="16"/>
          <w:b w:val="1"/>
          <w:bCs w:val="1"/>
          <w:color w:val="170D67"/>
        </w:rPr>
        <w:t>www.exeloncorp.com</w:t>
      </w:r>
      <w:r>
        <w:rPr>
          <w:rFonts w:ascii="Arial" w:cs="Arial" w:eastAsia="Arial" w:hAnsi="Arial"/>
          <w:sz w:val="16"/>
          <w:szCs w:val="16"/>
          <w:color w:val="auto"/>
        </w:rPr>
        <w:t xml:space="preserve"> on the Governance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15175" cy="1803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6E06C1"/>
        </w:rPr>
        <w:t>Independence</w:t>
      </w:r>
    </w:p>
    <w:p>
      <w:pPr>
        <w:spacing w:after="0" w:line="243" w:lineRule="exact"/>
        <w:rPr>
          <w:sz w:val="20"/>
          <w:szCs w:val="20"/>
          <w:color w:val="auto"/>
        </w:rPr>
      </w:pPr>
    </w:p>
    <w:p>
      <w:pPr>
        <w:ind w:left="200" w:hanging="174"/>
        <w:spacing w:after="0"/>
        <w:tabs>
          <w:tab w:leader="none" w:pos="200" w:val="left"/>
        </w:tabs>
        <w:numPr>
          <w:ilvl w:val="0"/>
          <w:numId w:val="62"/>
        </w:numPr>
        <w:rPr>
          <w:rFonts w:ascii="Arial" w:cs="Arial" w:eastAsia="Arial" w:hAnsi="Arial"/>
          <w:sz w:val="16"/>
          <w:szCs w:val="16"/>
          <w:b w:val="1"/>
          <w:bCs w:val="1"/>
          <w:color w:val="170D67"/>
        </w:rPr>
      </w:pPr>
      <w:r>
        <w:rPr>
          <w:rFonts w:ascii="Arial" w:cs="Arial" w:eastAsia="Arial" w:hAnsi="Arial"/>
          <w:sz w:val="16"/>
          <w:szCs w:val="16"/>
          <w:b w:val="1"/>
          <w:bCs w:val="1"/>
          <w:color w:val="170D67"/>
        </w:rPr>
        <w:t>All Director nominees are independent</w:t>
      </w:r>
      <w:r>
        <w:rPr>
          <w:rFonts w:ascii="Arial" w:cs="Arial" w:eastAsia="Arial" w:hAnsi="Arial"/>
          <w:sz w:val="16"/>
          <w:szCs w:val="16"/>
          <w:color w:val="000000"/>
        </w:rPr>
        <w:t>, except for our CEO.</w:t>
      </w:r>
    </w:p>
    <w:p>
      <w:pPr>
        <w:spacing w:after="0" w:line="99" w:lineRule="exact"/>
        <w:rPr>
          <w:rFonts w:ascii="Arial" w:cs="Arial" w:eastAsia="Arial" w:hAnsi="Arial"/>
          <w:sz w:val="16"/>
          <w:szCs w:val="16"/>
          <w:b w:val="1"/>
          <w:bCs w:val="1"/>
          <w:color w:val="170D67"/>
        </w:rPr>
      </w:pPr>
    </w:p>
    <w:p>
      <w:pPr>
        <w:ind w:left="200" w:hanging="174"/>
        <w:spacing w:after="0"/>
        <w:tabs>
          <w:tab w:leader="none" w:pos="200" w:val="left"/>
        </w:tabs>
        <w:numPr>
          <w:ilvl w:val="0"/>
          <w:numId w:val="62"/>
        </w:numPr>
        <w:rPr>
          <w:rFonts w:ascii="Arial" w:cs="Arial" w:eastAsia="Arial" w:hAnsi="Arial"/>
          <w:sz w:val="16"/>
          <w:szCs w:val="16"/>
          <w:b w:val="1"/>
          <w:bCs w:val="1"/>
          <w:color w:val="170D67"/>
        </w:rPr>
      </w:pPr>
      <w:r>
        <w:rPr>
          <w:rFonts w:ascii="Arial" w:cs="Arial" w:eastAsia="Arial" w:hAnsi="Arial"/>
          <w:sz w:val="16"/>
          <w:szCs w:val="16"/>
          <w:color w:val="auto"/>
        </w:rPr>
        <w:t xml:space="preserve">Board is led by an </w:t>
      </w:r>
      <w:r>
        <w:rPr>
          <w:rFonts w:ascii="Arial" w:cs="Arial" w:eastAsia="Arial" w:hAnsi="Arial"/>
          <w:sz w:val="16"/>
          <w:szCs w:val="16"/>
          <w:b w:val="1"/>
          <w:bCs w:val="1"/>
          <w:color w:val="170D67"/>
        </w:rPr>
        <w:t>independent Board Chair</w:t>
      </w:r>
      <w:r>
        <w:rPr>
          <w:rFonts w:ascii="Arial" w:cs="Arial" w:eastAsia="Arial" w:hAnsi="Arial"/>
          <w:sz w:val="16"/>
          <w:szCs w:val="16"/>
          <w:color w:val="auto"/>
        </w:rPr>
        <w:t>.</w:t>
      </w:r>
    </w:p>
    <w:p>
      <w:pPr>
        <w:spacing w:after="0" w:line="99" w:lineRule="exact"/>
        <w:rPr>
          <w:rFonts w:ascii="Arial" w:cs="Arial" w:eastAsia="Arial" w:hAnsi="Arial"/>
          <w:sz w:val="16"/>
          <w:szCs w:val="16"/>
          <w:b w:val="1"/>
          <w:bCs w:val="1"/>
          <w:color w:val="170D67"/>
        </w:rPr>
      </w:pPr>
    </w:p>
    <w:p>
      <w:pPr>
        <w:ind w:left="200" w:hanging="174"/>
        <w:spacing w:after="0"/>
        <w:tabs>
          <w:tab w:leader="none" w:pos="200" w:val="left"/>
        </w:tabs>
        <w:numPr>
          <w:ilvl w:val="0"/>
          <w:numId w:val="62"/>
        </w:numPr>
        <w:rPr>
          <w:rFonts w:ascii="Arial" w:cs="Arial" w:eastAsia="Arial" w:hAnsi="Arial"/>
          <w:sz w:val="16"/>
          <w:szCs w:val="16"/>
          <w:b w:val="1"/>
          <w:bCs w:val="1"/>
          <w:color w:val="170D67"/>
        </w:rPr>
      </w:pPr>
      <w:r>
        <w:rPr>
          <w:rFonts w:ascii="Arial" w:cs="Arial" w:eastAsia="Arial" w:hAnsi="Arial"/>
          <w:sz w:val="16"/>
          <w:szCs w:val="16"/>
          <w:color w:val="auto"/>
        </w:rPr>
        <w:t xml:space="preserve">All Board </w:t>
      </w:r>
      <w:r>
        <w:rPr>
          <w:rFonts w:ascii="Arial" w:cs="Arial" w:eastAsia="Arial" w:hAnsi="Arial"/>
          <w:sz w:val="16"/>
          <w:szCs w:val="16"/>
          <w:b w:val="1"/>
          <w:bCs w:val="1"/>
          <w:color w:val="170D67"/>
        </w:rPr>
        <w:t>Committees are composed wholly of independent Directors.</w:t>
      </w:r>
    </w:p>
    <w:p>
      <w:pPr>
        <w:spacing w:after="0" w:line="86" w:lineRule="exact"/>
        <w:rPr>
          <w:rFonts w:ascii="Arial" w:cs="Arial" w:eastAsia="Arial" w:hAnsi="Arial"/>
          <w:sz w:val="16"/>
          <w:szCs w:val="16"/>
          <w:b w:val="1"/>
          <w:bCs w:val="1"/>
          <w:color w:val="170D67"/>
        </w:rPr>
      </w:pPr>
    </w:p>
    <w:p>
      <w:pPr>
        <w:ind w:left="200" w:hanging="174"/>
        <w:spacing w:after="0"/>
        <w:tabs>
          <w:tab w:leader="none" w:pos="200" w:val="left"/>
        </w:tabs>
        <w:numPr>
          <w:ilvl w:val="0"/>
          <w:numId w:val="62"/>
        </w:numPr>
        <w:rPr>
          <w:rFonts w:ascii="Arial" w:cs="Arial" w:eastAsia="Arial" w:hAnsi="Arial"/>
          <w:sz w:val="16"/>
          <w:szCs w:val="16"/>
          <w:b w:val="1"/>
          <w:bCs w:val="1"/>
          <w:color w:val="170D67"/>
        </w:rPr>
      </w:pPr>
      <w:r>
        <w:rPr>
          <w:rFonts w:ascii="Arial" w:cs="Arial" w:eastAsia="Arial" w:hAnsi="Arial"/>
          <w:sz w:val="16"/>
          <w:szCs w:val="16"/>
          <w:color w:val="auto"/>
        </w:rPr>
        <w:t xml:space="preserve">Independent Directors meet regularly in </w:t>
      </w:r>
      <w:r>
        <w:rPr>
          <w:rFonts w:ascii="Arial" w:cs="Arial" w:eastAsia="Arial" w:hAnsi="Arial"/>
          <w:sz w:val="16"/>
          <w:szCs w:val="16"/>
          <w:b w:val="1"/>
          <w:bCs w:val="1"/>
          <w:color w:val="170D67"/>
        </w:rPr>
        <w:t>executive session</w:t>
      </w:r>
      <w:r>
        <w:rPr>
          <w:rFonts w:ascii="Arial" w:cs="Arial" w:eastAsia="Arial" w:hAnsi="Arial"/>
          <w:sz w:val="16"/>
          <w:szCs w:val="16"/>
          <w:color w:val="auto"/>
        </w:rPr>
        <w:t xml:space="preserve"> without management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15175" cy="1797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32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6E06C1"/>
        </w:rPr>
        <w:t>Accountability</w:t>
      </w:r>
    </w:p>
    <w:p>
      <w:pPr>
        <w:spacing w:after="0" w:line="243" w:lineRule="exact"/>
        <w:rPr>
          <w:sz w:val="20"/>
          <w:szCs w:val="20"/>
          <w:color w:val="auto"/>
        </w:rPr>
      </w:pPr>
    </w:p>
    <w:p>
      <w:pPr>
        <w:ind w:left="200" w:hanging="174"/>
        <w:spacing w:after="0"/>
        <w:tabs>
          <w:tab w:leader="none" w:pos="200" w:val="left"/>
        </w:tabs>
        <w:numPr>
          <w:ilvl w:val="0"/>
          <w:numId w:val="63"/>
        </w:numPr>
        <w:rPr>
          <w:rFonts w:ascii="Arial" w:cs="Arial" w:eastAsia="Arial" w:hAnsi="Arial"/>
          <w:sz w:val="16"/>
          <w:szCs w:val="16"/>
          <w:b w:val="1"/>
          <w:bCs w:val="1"/>
          <w:color w:val="170D67"/>
        </w:rPr>
      </w:pPr>
      <w:r>
        <w:rPr>
          <w:rFonts w:ascii="Arial" w:cs="Arial" w:eastAsia="Arial" w:hAnsi="Arial"/>
          <w:sz w:val="16"/>
          <w:szCs w:val="16"/>
          <w:color w:val="auto"/>
        </w:rPr>
        <w:t xml:space="preserve">All Directors are elected </w:t>
      </w:r>
      <w:r>
        <w:rPr>
          <w:rFonts w:ascii="Arial" w:cs="Arial" w:eastAsia="Arial" w:hAnsi="Arial"/>
          <w:sz w:val="16"/>
          <w:szCs w:val="16"/>
          <w:b w:val="1"/>
          <w:bCs w:val="1"/>
          <w:color w:val="170D67"/>
        </w:rPr>
        <w:t>annually</w:t>
      </w:r>
      <w:r>
        <w:rPr>
          <w:rFonts w:ascii="Arial" w:cs="Arial" w:eastAsia="Arial" w:hAnsi="Arial"/>
          <w:sz w:val="16"/>
          <w:szCs w:val="16"/>
          <w:color w:val="auto"/>
        </w:rPr>
        <w:t>.</w:t>
      </w:r>
    </w:p>
    <w:p>
      <w:pPr>
        <w:spacing w:after="0" w:line="99" w:lineRule="exact"/>
        <w:rPr>
          <w:rFonts w:ascii="Arial" w:cs="Arial" w:eastAsia="Arial" w:hAnsi="Arial"/>
          <w:sz w:val="16"/>
          <w:szCs w:val="16"/>
          <w:b w:val="1"/>
          <w:bCs w:val="1"/>
          <w:color w:val="170D67"/>
        </w:rPr>
      </w:pPr>
    </w:p>
    <w:p>
      <w:pPr>
        <w:ind w:left="200" w:hanging="174"/>
        <w:spacing w:after="0"/>
        <w:tabs>
          <w:tab w:leader="none" w:pos="2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In uncontested elections, Directors are elected by </w:t>
      </w:r>
      <w:r>
        <w:rPr>
          <w:rFonts w:ascii="Arial" w:cs="Arial" w:eastAsia="Arial" w:hAnsi="Arial"/>
          <w:sz w:val="16"/>
          <w:szCs w:val="16"/>
          <w:b w:val="1"/>
          <w:bCs w:val="1"/>
          <w:color w:val="170D67"/>
        </w:rPr>
        <w:t>majority</w:t>
      </w:r>
      <w:r>
        <w:rPr>
          <w:rFonts w:ascii="Arial" w:cs="Arial" w:eastAsia="Arial" w:hAnsi="Arial"/>
          <w:sz w:val="16"/>
          <w:szCs w:val="16"/>
          <w:color w:val="auto"/>
        </w:rPr>
        <w:t xml:space="preserve"> vote.</w:t>
      </w:r>
    </w:p>
    <w:p>
      <w:pPr>
        <w:spacing w:after="0" w:line="99" w:lineRule="exact"/>
        <w:rPr>
          <w:rFonts w:ascii="Arial" w:cs="Arial" w:eastAsia="Arial" w:hAnsi="Arial"/>
          <w:sz w:val="16"/>
          <w:szCs w:val="16"/>
          <w:color w:val="auto"/>
        </w:rPr>
      </w:pPr>
    </w:p>
    <w:p>
      <w:pPr>
        <w:ind w:left="220" w:hanging="194"/>
        <w:spacing w:after="0" w:line="314" w:lineRule="auto"/>
        <w:tabs>
          <w:tab w:leader="none" w:pos="190" w:val="left"/>
        </w:tabs>
        <w:numPr>
          <w:ilvl w:val="0"/>
          <w:numId w:val="63"/>
        </w:numPr>
        <w:rPr>
          <w:rFonts w:ascii="Arial" w:cs="Arial" w:eastAsia="Arial" w:hAnsi="Arial"/>
          <w:sz w:val="16"/>
          <w:szCs w:val="16"/>
          <w:b w:val="1"/>
          <w:bCs w:val="1"/>
          <w:color w:val="170D67"/>
        </w:rPr>
      </w:pPr>
      <w:r>
        <w:rPr>
          <w:rFonts w:ascii="Arial" w:cs="Arial" w:eastAsia="Arial" w:hAnsi="Arial"/>
          <w:sz w:val="16"/>
          <w:szCs w:val="16"/>
          <w:color w:val="auto"/>
        </w:rPr>
        <w:t xml:space="preserve">The Board and each Committee conducts an </w:t>
      </w:r>
      <w:r>
        <w:rPr>
          <w:rFonts w:ascii="Arial" w:cs="Arial" w:eastAsia="Arial" w:hAnsi="Arial"/>
          <w:sz w:val="16"/>
          <w:szCs w:val="16"/>
          <w:b w:val="1"/>
          <w:bCs w:val="1"/>
          <w:color w:val="170D67"/>
        </w:rPr>
        <w:t>annual performance self-evaluation</w:t>
      </w:r>
      <w:r>
        <w:rPr>
          <w:rFonts w:ascii="Arial" w:cs="Arial" w:eastAsia="Arial" w:hAnsi="Arial"/>
          <w:sz w:val="16"/>
          <w:szCs w:val="16"/>
          <w:color w:val="000000"/>
        </w:rPr>
        <w:t>.</w:t>
      </w:r>
    </w:p>
    <w:p>
      <w:pPr>
        <w:spacing w:after="0" w:line="4" w:lineRule="exact"/>
        <w:rPr>
          <w:rFonts w:ascii="Arial" w:cs="Arial" w:eastAsia="Arial" w:hAnsi="Arial"/>
          <w:sz w:val="16"/>
          <w:szCs w:val="16"/>
          <w:b w:val="1"/>
          <w:bCs w:val="1"/>
          <w:color w:val="170D67"/>
        </w:rPr>
      </w:pPr>
    </w:p>
    <w:p>
      <w:pPr>
        <w:ind w:left="220" w:right="220" w:hanging="194"/>
        <w:spacing w:after="0" w:line="321" w:lineRule="auto"/>
        <w:tabs>
          <w:tab w:leader="none" w:pos="190" w:val="left"/>
        </w:tabs>
        <w:numPr>
          <w:ilvl w:val="0"/>
          <w:numId w:val="63"/>
        </w:numPr>
        <w:rPr>
          <w:rFonts w:ascii="Arial" w:cs="Arial" w:eastAsia="Arial" w:hAnsi="Arial"/>
          <w:sz w:val="16"/>
          <w:szCs w:val="16"/>
          <w:b w:val="1"/>
          <w:bCs w:val="1"/>
          <w:color w:val="170D67"/>
        </w:rPr>
      </w:pPr>
      <w:r>
        <w:rPr>
          <w:rFonts w:ascii="Arial" w:cs="Arial" w:eastAsia="Arial" w:hAnsi="Arial"/>
          <w:sz w:val="16"/>
          <w:szCs w:val="16"/>
          <w:color w:val="auto"/>
        </w:rPr>
        <w:t xml:space="preserve">Individual Directors are more thoroughly </w:t>
      </w:r>
      <w:r>
        <w:rPr>
          <w:rFonts w:ascii="Arial" w:cs="Arial" w:eastAsia="Arial" w:hAnsi="Arial"/>
          <w:sz w:val="16"/>
          <w:szCs w:val="16"/>
          <w:b w:val="1"/>
          <w:bCs w:val="1"/>
          <w:color w:val="170D67"/>
        </w:rPr>
        <w:t>evaluated every other year</w:t>
      </w:r>
      <w:r>
        <w:rPr>
          <w:rFonts w:ascii="Arial" w:cs="Arial" w:eastAsia="Arial" w:hAnsi="Arial"/>
          <w:sz w:val="16"/>
          <w:szCs w:val="16"/>
          <w:color w:val="auto"/>
        </w:rPr>
        <w:t xml:space="preserve"> including input from peers and executive management.</w:t>
      </w:r>
    </w:p>
    <w:p>
      <w:pPr>
        <w:spacing w:after="0" w:line="7" w:lineRule="exact"/>
        <w:rPr>
          <w:rFonts w:ascii="Arial" w:cs="Arial" w:eastAsia="Arial" w:hAnsi="Arial"/>
          <w:sz w:val="16"/>
          <w:szCs w:val="16"/>
          <w:b w:val="1"/>
          <w:bCs w:val="1"/>
          <w:color w:val="170D67"/>
        </w:rPr>
      </w:pPr>
    </w:p>
    <w:p>
      <w:pPr>
        <w:ind w:left="220" w:right="140" w:hanging="194"/>
        <w:spacing w:after="0" w:line="314" w:lineRule="auto"/>
        <w:tabs>
          <w:tab w:leader="none" w:pos="190" w:val="left"/>
        </w:tabs>
        <w:numPr>
          <w:ilvl w:val="0"/>
          <w:numId w:val="63"/>
        </w:numPr>
        <w:rPr>
          <w:rFonts w:ascii="Arial" w:cs="Arial" w:eastAsia="Arial" w:hAnsi="Arial"/>
          <w:sz w:val="16"/>
          <w:szCs w:val="16"/>
          <w:b w:val="1"/>
          <w:bCs w:val="1"/>
          <w:color w:val="170D67"/>
        </w:rPr>
      </w:pPr>
      <w:r>
        <w:rPr>
          <w:rFonts w:ascii="Arial" w:cs="Arial" w:eastAsia="Arial" w:hAnsi="Arial"/>
          <w:sz w:val="16"/>
          <w:szCs w:val="16"/>
          <w:color w:val="auto"/>
        </w:rPr>
        <w:t>Eligible shareholders may nominate Directors through Exelon’s “</w:t>
      </w:r>
      <w:r>
        <w:rPr>
          <w:rFonts w:ascii="Arial" w:cs="Arial" w:eastAsia="Arial" w:hAnsi="Arial"/>
          <w:sz w:val="16"/>
          <w:szCs w:val="16"/>
          <w:b w:val="1"/>
          <w:bCs w:val="1"/>
          <w:color w:val="170D67"/>
        </w:rPr>
        <w:t>proxy</w:t>
      </w:r>
      <w:r>
        <w:rPr>
          <w:rFonts w:ascii="Arial" w:cs="Arial" w:eastAsia="Arial" w:hAnsi="Arial"/>
          <w:sz w:val="16"/>
          <w:szCs w:val="16"/>
          <w:color w:val="auto"/>
        </w:rPr>
        <w:t xml:space="preserve"> </w:t>
      </w:r>
      <w:r>
        <w:rPr>
          <w:rFonts w:ascii="Arial" w:cs="Arial" w:eastAsia="Arial" w:hAnsi="Arial"/>
          <w:sz w:val="16"/>
          <w:szCs w:val="16"/>
          <w:b w:val="1"/>
          <w:bCs w:val="1"/>
          <w:color w:val="170D67"/>
        </w:rPr>
        <w:t>access</w:t>
      </w:r>
      <w:r>
        <w:rPr>
          <w:rFonts w:ascii="Arial" w:cs="Arial" w:eastAsia="Arial" w:hAnsi="Arial"/>
          <w:sz w:val="16"/>
          <w:szCs w:val="16"/>
          <w:color w:val="000000"/>
        </w:rPr>
        <w:t>” bylaws.</w:t>
      </w:r>
    </w:p>
    <w:p>
      <w:pPr>
        <w:spacing w:after="0" w:line="4" w:lineRule="exact"/>
        <w:rPr>
          <w:rFonts w:ascii="Arial" w:cs="Arial" w:eastAsia="Arial" w:hAnsi="Arial"/>
          <w:sz w:val="16"/>
          <w:szCs w:val="16"/>
          <w:b w:val="1"/>
          <w:bCs w:val="1"/>
          <w:color w:val="170D67"/>
        </w:rPr>
      </w:pPr>
    </w:p>
    <w:p>
      <w:pPr>
        <w:ind w:left="200" w:hanging="174"/>
        <w:spacing w:after="0"/>
        <w:tabs>
          <w:tab w:leader="none" w:pos="200" w:val="left"/>
        </w:tabs>
        <w:numPr>
          <w:ilvl w:val="0"/>
          <w:numId w:val="63"/>
        </w:numPr>
        <w:rPr>
          <w:rFonts w:ascii="Arial" w:cs="Arial" w:eastAsia="Arial" w:hAnsi="Arial"/>
          <w:sz w:val="16"/>
          <w:szCs w:val="16"/>
          <w:b w:val="1"/>
          <w:bCs w:val="1"/>
          <w:color w:val="170D67"/>
        </w:rPr>
      </w:pPr>
      <w:r>
        <w:rPr>
          <w:rFonts w:ascii="Arial" w:cs="Arial" w:eastAsia="Arial" w:hAnsi="Arial"/>
          <w:sz w:val="16"/>
          <w:szCs w:val="16"/>
          <w:color w:val="auto"/>
        </w:rPr>
        <w:t xml:space="preserve">Shareholders can call </w:t>
      </w:r>
      <w:r>
        <w:rPr>
          <w:rFonts w:ascii="Arial" w:cs="Arial" w:eastAsia="Arial" w:hAnsi="Arial"/>
          <w:sz w:val="16"/>
          <w:szCs w:val="16"/>
          <w:b w:val="1"/>
          <w:bCs w:val="1"/>
          <w:color w:val="170D67"/>
        </w:rPr>
        <w:t>special meetings</w:t>
      </w:r>
      <w:r>
        <w:rPr>
          <w:rFonts w:ascii="Arial" w:cs="Arial" w:eastAsia="Arial" w:hAnsi="Arial"/>
          <w:sz w:val="16"/>
          <w:szCs w:val="16"/>
          <w:color w:val="auto"/>
        </w:rPr>
        <w:t>.</w:t>
      </w:r>
    </w:p>
    <w:p>
      <w:pPr>
        <w:spacing w:after="0" w:line="140" w:lineRule="exact"/>
        <w:rPr>
          <w:rFonts w:ascii="Arial" w:cs="Arial" w:eastAsia="Arial" w:hAnsi="Arial"/>
          <w:sz w:val="16"/>
          <w:szCs w:val="16"/>
          <w:b w:val="1"/>
          <w:bCs w:val="1"/>
          <w:color w:val="170D67"/>
        </w:rPr>
      </w:pPr>
    </w:p>
    <w:p>
      <w:pPr>
        <w:ind w:left="200" w:hanging="174"/>
        <w:spacing w:after="0"/>
        <w:tabs>
          <w:tab w:leader="none" w:pos="200" w:val="left"/>
        </w:tabs>
        <w:numPr>
          <w:ilvl w:val="0"/>
          <w:numId w:val="63"/>
        </w:numPr>
        <w:rPr>
          <w:rFonts w:ascii="Arial" w:cs="Arial" w:eastAsia="Arial" w:hAnsi="Arial"/>
          <w:sz w:val="16"/>
          <w:szCs w:val="16"/>
          <w:b w:val="1"/>
          <w:bCs w:val="1"/>
          <w:color w:val="170D67"/>
        </w:rPr>
      </w:pPr>
      <w:r>
        <w:rPr>
          <w:rFonts w:ascii="Arial" w:cs="Arial" w:eastAsia="Arial" w:hAnsi="Arial"/>
          <w:sz w:val="16"/>
          <w:szCs w:val="16"/>
          <w:color w:val="auto"/>
        </w:rPr>
        <w:t xml:space="preserve">Transparent and robust disclosures of </w:t>
      </w:r>
      <w:r>
        <w:rPr>
          <w:rFonts w:ascii="Arial" w:cs="Arial" w:eastAsia="Arial" w:hAnsi="Arial"/>
          <w:sz w:val="16"/>
          <w:szCs w:val="16"/>
          <w:b w:val="1"/>
          <w:bCs w:val="1"/>
          <w:color w:val="170D67"/>
        </w:rPr>
        <w:t>political contributions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56"/>
        <w:spacing w:after="0"/>
        <w:rPr>
          <w:sz w:val="20"/>
          <w:szCs w:val="20"/>
          <w:color w:val="auto"/>
        </w:rPr>
      </w:pPr>
      <w:r>
        <w:rPr>
          <w:rFonts w:ascii="Arial" w:cs="Arial" w:eastAsia="Arial" w:hAnsi="Arial"/>
          <w:sz w:val="18"/>
          <w:szCs w:val="18"/>
          <w:b w:val="1"/>
          <w:bCs w:val="1"/>
          <w:color w:val="6E06C1"/>
        </w:rPr>
        <w:t>Engagement</w:t>
      </w:r>
    </w:p>
    <w:p>
      <w:pPr>
        <w:spacing w:after="0" w:line="243" w:lineRule="exact"/>
        <w:rPr>
          <w:sz w:val="20"/>
          <w:szCs w:val="20"/>
          <w:color w:val="auto"/>
        </w:rPr>
      </w:pPr>
    </w:p>
    <w:p>
      <w:pPr>
        <w:ind w:left="196" w:right="420" w:hanging="196"/>
        <w:spacing w:after="0" w:line="314" w:lineRule="auto"/>
        <w:tabs>
          <w:tab w:leader="none" w:pos="166" w:val="left"/>
        </w:tabs>
        <w:numPr>
          <w:ilvl w:val="0"/>
          <w:numId w:val="64"/>
        </w:numPr>
        <w:rPr>
          <w:rFonts w:ascii="Arial" w:cs="Arial" w:eastAsia="Arial" w:hAnsi="Arial"/>
          <w:sz w:val="16"/>
          <w:szCs w:val="16"/>
          <w:b w:val="1"/>
          <w:bCs w:val="1"/>
          <w:color w:val="170D67"/>
        </w:rPr>
      </w:pPr>
      <w:r>
        <w:rPr>
          <w:rFonts w:ascii="Arial" w:cs="Arial" w:eastAsia="Arial" w:hAnsi="Arial"/>
          <w:sz w:val="16"/>
          <w:szCs w:val="16"/>
          <w:color w:val="auto"/>
        </w:rPr>
        <w:t>Directors who are not public company CEOs are limited to three additional public company boards in addition to Exelon (</w:t>
      </w:r>
      <w:r>
        <w:rPr>
          <w:rFonts w:ascii="Arial" w:cs="Arial" w:eastAsia="Arial" w:hAnsi="Arial"/>
          <w:sz w:val="16"/>
          <w:szCs w:val="16"/>
          <w:b w:val="1"/>
          <w:bCs w:val="1"/>
          <w:color w:val="170D67"/>
        </w:rPr>
        <w:t>four total</w:t>
      </w:r>
      <w:r>
        <w:rPr>
          <w:rFonts w:ascii="Arial" w:cs="Arial" w:eastAsia="Arial" w:hAnsi="Arial"/>
          <w:sz w:val="16"/>
          <w:szCs w:val="16"/>
          <w:color w:val="auto"/>
        </w:rPr>
        <w:t>).</w:t>
      </w:r>
    </w:p>
    <w:p>
      <w:pPr>
        <w:spacing w:after="0" w:line="4" w:lineRule="exact"/>
        <w:rPr>
          <w:rFonts w:ascii="Arial" w:cs="Arial" w:eastAsia="Arial" w:hAnsi="Arial"/>
          <w:sz w:val="16"/>
          <w:szCs w:val="16"/>
          <w:b w:val="1"/>
          <w:bCs w:val="1"/>
          <w:color w:val="170D67"/>
        </w:rPr>
      </w:pPr>
    </w:p>
    <w:p>
      <w:pPr>
        <w:ind w:left="196" w:right="300" w:hanging="196"/>
        <w:spacing w:after="0" w:line="325" w:lineRule="auto"/>
        <w:tabs>
          <w:tab w:leader="none" w:pos="166" w:val="left"/>
        </w:tabs>
        <w:numPr>
          <w:ilvl w:val="0"/>
          <w:numId w:val="64"/>
        </w:numPr>
        <w:rPr>
          <w:rFonts w:ascii="Arial" w:cs="Arial" w:eastAsia="Arial" w:hAnsi="Arial"/>
          <w:sz w:val="16"/>
          <w:szCs w:val="16"/>
          <w:b w:val="1"/>
          <w:bCs w:val="1"/>
          <w:color w:val="170D67"/>
        </w:rPr>
      </w:pPr>
      <w:r>
        <w:rPr>
          <w:rFonts w:ascii="Arial" w:cs="Arial" w:eastAsia="Arial" w:hAnsi="Arial"/>
          <w:sz w:val="16"/>
          <w:szCs w:val="16"/>
          <w:color w:val="auto"/>
        </w:rPr>
        <w:t>Directors who are public company CEOs are limited to one additional public company board in addition to Exelon (</w:t>
      </w:r>
      <w:r>
        <w:rPr>
          <w:rFonts w:ascii="Arial" w:cs="Arial" w:eastAsia="Arial" w:hAnsi="Arial"/>
          <w:sz w:val="16"/>
          <w:szCs w:val="16"/>
          <w:b w:val="1"/>
          <w:bCs w:val="1"/>
          <w:color w:val="170D67"/>
        </w:rPr>
        <w:t>two total</w:t>
      </w:r>
      <w:r>
        <w:rPr>
          <w:rFonts w:ascii="Arial" w:cs="Arial" w:eastAsia="Arial" w:hAnsi="Arial"/>
          <w:sz w:val="16"/>
          <w:szCs w:val="16"/>
          <w:color w:val="auto"/>
        </w:rPr>
        <w:t>).</w:t>
      </w:r>
    </w:p>
    <w:p>
      <w:pPr>
        <w:spacing w:after="0" w:line="1" w:lineRule="exact"/>
        <w:rPr>
          <w:rFonts w:ascii="Arial" w:cs="Arial" w:eastAsia="Arial" w:hAnsi="Arial"/>
          <w:sz w:val="16"/>
          <w:szCs w:val="16"/>
          <w:b w:val="1"/>
          <w:bCs w:val="1"/>
          <w:color w:val="170D67"/>
        </w:rPr>
      </w:pPr>
    </w:p>
    <w:p>
      <w:pPr>
        <w:ind w:left="196" w:right="940" w:hanging="196"/>
        <w:spacing w:after="0" w:line="304" w:lineRule="auto"/>
        <w:tabs>
          <w:tab w:leader="none" w:pos="166" w:val="left"/>
        </w:tabs>
        <w:numPr>
          <w:ilvl w:val="0"/>
          <w:numId w:val="64"/>
        </w:numPr>
        <w:rPr>
          <w:rFonts w:ascii="Arial" w:cs="Arial" w:eastAsia="Arial" w:hAnsi="Arial"/>
          <w:sz w:val="16"/>
          <w:szCs w:val="16"/>
          <w:b w:val="1"/>
          <w:bCs w:val="1"/>
          <w:color w:val="170D67"/>
        </w:rPr>
      </w:pPr>
      <w:r>
        <w:rPr>
          <w:rFonts w:ascii="Arial" w:cs="Arial" w:eastAsia="Arial" w:hAnsi="Arial"/>
          <w:sz w:val="16"/>
          <w:szCs w:val="16"/>
          <w:color w:val="auto"/>
        </w:rPr>
        <w:t xml:space="preserve">Active, year-round </w:t>
      </w:r>
      <w:r>
        <w:rPr>
          <w:rFonts w:ascii="Arial" w:cs="Arial" w:eastAsia="Arial" w:hAnsi="Arial"/>
          <w:sz w:val="16"/>
          <w:szCs w:val="16"/>
          <w:b w:val="1"/>
          <w:bCs w:val="1"/>
          <w:color w:val="170D67"/>
        </w:rPr>
        <w:t>shareholder engagement program</w:t>
      </w:r>
      <w:r>
        <w:rPr>
          <w:rFonts w:ascii="Arial" w:cs="Arial" w:eastAsia="Arial" w:hAnsi="Arial"/>
          <w:sz w:val="16"/>
          <w:szCs w:val="16"/>
          <w:color w:val="auto"/>
        </w:rPr>
        <w:t xml:space="preserve"> with independent Director participation, as appropriate.</w:t>
      </w:r>
    </w:p>
    <w:p>
      <w:pPr>
        <w:spacing w:after="0" w:line="19" w:lineRule="exact"/>
        <w:rPr>
          <w:rFonts w:ascii="Arial" w:cs="Arial" w:eastAsia="Arial" w:hAnsi="Arial"/>
          <w:sz w:val="16"/>
          <w:szCs w:val="16"/>
          <w:b w:val="1"/>
          <w:bCs w:val="1"/>
          <w:color w:val="170D67"/>
        </w:rPr>
      </w:pPr>
    </w:p>
    <w:p>
      <w:pPr>
        <w:ind w:left="196" w:right="340" w:hanging="196"/>
        <w:spacing w:after="0" w:line="321" w:lineRule="auto"/>
        <w:tabs>
          <w:tab w:leader="none" w:pos="166" w:val="left"/>
        </w:tabs>
        <w:numPr>
          <w:ilvl w:val="0"/>
          <w:numId w:val="64"/>
        </w:numPr>
        <w:rPr>
          <w:rFonts w:ascii="Arial" w:cs="Arial" w:eastAsia="Arial" w:hAnsi="Arial"/>
          <w:sz w:val="16"/>
          <w:szCs w:val="16"/>
          <w:b w:val="1"/>
          <w:bCs w:val="1"/>
          <w:color w:val="170D67"/>
        </w:rPr>
      </w:pPr>
      <w:r>
        <w:rPr>
          <w:rFonts w:ascii="Arial" w:cs="Arial" w:eastAsia="Arial" w:hAnsi="Arial"/>
          <w:sz w:val="16"/>
          <w:szCs w:val="16"/>
          <w:color w:val="auto"/>
        </w:rPr>
        <w:t xml:space="preserve">Directors are encouraged to attend </w:t>
      </w:r>
      <w:r>
        <w:rPr>
          <w:rFonts w:ascii="Arial" w:cs="Arial" w:eastAsia="Arial" w:hAnsi="Arial"/>
          <w:sz w:val="16"/>
          <w:szCs w:val="16"/>
          <w:b w:val="1"/>
          <w:bCs w:val="1"/>
          <w:color w:val="170D67"/>
        </w:rPr>
        <w:t>continuing education</w:t>
      </w:r>
      <w:r>
        <w:rPr>
          <w:rFonts w:ascii="Arial" w:cs="Arial" w:eastAsia="Arial" w:hAnsi="Arial"/>
          <w:sz w:val="16"/>
          <w:szCs w:val="16"/>
          <w:color w:val="auto"/>
        </w:rPr>
        <w:t xml:space="preserve"> programs provided by the company or third-party providers.</w:t>
      </w:r>
    </w:p>
    <w:p>
      <w:pPr>
        <w:spacing w:after="0" w:line="7" w:lineRule="exact"/>
        <w:rPr>
          <w:rFonts w:ascii="Arial" w:cs="Arial" w:eastAsia="Arial" w:hAnsi="Arial"/>
          <w:sz w:val="16"/>
          <w:szCs w:val="16"/>
          <w:b w:val="1"/>
          <w:bCs w:val="1"/>
          <w:color w:val="170D67"/>
        </w:rPr>
      </w:pPr>
    </w:p>
    <w:p>
      <w:pPr>
        <w:ind w:left="196" w:right="280" w:hanging="196"/>
        <w:spacing w:after="0" w:line="304" w:lineRule="auto"/>
        <w:tabs>
          <w:tab w:leader="none" w:pos="166" w:val="left"/>
        </w:tabs>
        <w:numPr>
          <w:ilvl w:val="0"/>
          <w:numId w:val="64"/>
        </w:numPr>
        <w:rPr>
          <w:rFonts w:ascii="Arial" w:cs="Arial" w:eastAsia="Arial" w:hAnsi="Arial"/>
          <w:sz w:val="16"/>
          <w:szCs w:val="16"/>
          <w:b w:val="1"/>
          <w:bCs w:val="1"/>
          <w:color w:val="170D67"/>
        </w:rPr>
      </w:pPr>
      <w:r>
        <w:rPr>
          <w:rFonts w:ascii="Arial" w:cs="Arial" w:eastAsia="Arial" w:hAnsi="Arial"/>
          <w:sz w:val="16"/>
          <w:szCs w:val="16"/>
          <w:color w:val="auto"/>
        </w:rPr>
        <w:t xml:space="preserve">Exelon Directors are invited to </w:t>
      </w:r>
      <w:r>
        <w:rPr>
          <w:rFonts w:ascii="Arial" w:cs="Arial" w:eastAsia="Arial" w:hAnsi="Arial"/>
          <w:sz w:val="16"/>
          <w:szCs w:val="16"/>
          <w:b w:val="1"/>
          <w:bCs w:val="1"/>
          <w:color w:val="170D67"/>
        </w:rPr>
        <w:t>attend utility Board meetings</w:t>
      </w:r>
      <w:r>
        <w:rPr>
          <w:rFonts w:ascii="Arial" w:cs="Arial" w:eastAsia="Arial" w:hAnsi="Arial"/>
          <w:sz w:val="16"/>
          <w:szCs w:val="16"/>
          <w:color w:val="auto"/>
        </w:rPr>
        <w:t xml:space="preserve"> to gain greater insight into operations and performance at the utility level.</w:t>
      </w:r>
    </w:p>
    <w:p>
      <w:pPr>
        <w:spacing w:after="0" w:line="309" w:lineRule="exact"/>
        <w:rPr>
          <w:sz w:val="20"/>
          <w:szCs w:val="20"/>
          <w:color w:val="auto"/>
        </w:rPr>
      </w:pPr>
    </w:p>
    <w:p>
      <w:pPr>
        <w:sectPr>
          <w:pgSz w:w="11900" w:h="16838" w:orient="portrait"/>
          <w:cols w:equalWidth="0" w:num="2">
            <w:col w:w="5380" w:space="424"/>
            <w:col w:w="5416"/>
          </w:cols>
          <w:pgMar w:left="320" w:top="121" w:right="359"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Governance Documents</w:t>
      </w:r>
    </w:p>
    <w:p>
      <w:pPr>
        <w:spacing w:after="0" w:line="12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Our Corporate Governance Principles, together with the articles of incorporation, bylaws, Committee charters, and other policies and practices, provide the framework for the effective governance of Exelon. The Corporate Governance Principles address matters including the Board’s responsibilities and role; Board structure, Director selection, evaluation, and other expectations; Board operations; Board Committees; and additional matters such as succession planning, executive stock ownership requirements, and our recoupment policy. Our Corporate Governance Principles are reviewed periodically and were last amended in July 2024.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Process for Communicating with the Board</w:t>
      </w:r>
    </w:p>
    <w:p>
      <w:pPr>
        <w:spacing w:after="0" w:line="122"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Shareholders and other interested persons can communicate with any Director or the independent Directors as a group by writing to them at Exelon Corporation, Attn: Corporate Secretary, 10 South Dearborn Street, P.O. Box 805398, Chicago, IL 60680-5398. The Board has instructed the Corporate Secretary to review communications initially and transmit a summary to the Directors and to exclude from transmittal any communications that are commercial advertisements, other forms of solicitation, general shareholder service matters, or individual service or billing complaints. Pursuant to our Corporate Governance Principles, the Corporate Secretary will forward to the Directors any communication raising substantial issues.</w:t>
      </w:r>
    </w:p>
    <w:p>
      <w:pPr>
        <w:spacing w:after="0" w:line="8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Shareholders may also report an ethics concern with the Exelon Ethics Hotline by calling 1-800-23-ETHIC (1-800-233-8442). You may also report an ethics concern via email to EthicsOffice2@exeloncorp.com.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Related Person Transactions</w:t>
      </w:r>
    </w:p>
    <w:p>
      <w:pPr>
        <w:spacing w:after="0" w:line="122" w:lineRule="exact"/>
        <w:rPr>
          <w:sz w:val="20"/>
          <w:szCs w:val="20"/>
          <w:color w:val="auto"/>
        </w:rPr>
      </w:pPr>
    </w:p>
    <w:p>
      <w:pPr>
        <w:ind w:right="600"/>
        <w:spacing w:after="0" w:line="292" w:lineRule="auto"/>
        <w:rPr>
          <w:sz w:val="20"/>
          <w:szCs w:val="20"/>
          <w:color w:val="auto"/>
        </w:rPr>
      </w:pPr>
      <w:r>
        <w:rPr>
          <w:rFonts w:ascii="Arial" w:cs="Arial" w:eastAsia="Arial" w:hAnsi="Arial"/>
          <w:sz w:val="16"/>
          <w:szCs w:val="16"/>
          <w:color w:val="auto"/>
        </w:rPr>
        <w:t>Exelon has adopted a written policy on the review, approval, or ratification of transactions with related persons, which is overseen by the CGC and is available on our website. The policy provides that the Exelon Chief Legal Officer reviews relevant information on transactions, arrangements, and relationships and makes a determination as to the existence of a related person transaction as</w:t>
      </w:r>
    </w:p>
    <w:p>
      <w:pPr>
        <w:spacing w:after="0" w:line="200" w:lineRule="exact"/>
        <w:rPr>
          <w:sz w:val="20"/>
          <w:szCs w:val="20"/>
          <w:color w:val="auto"/>
        </w:rPr>
      </w:pPr>
    </w:p>
    <w:p>
      <w:pPr>
        <w:spacing w:after="0" w:line="389" w:lineRule="exact"/>
        <w:rPr>
          <w:sz w:val="20"/>
          <w:szCs w:val="20"/>
          <w:color w:val="auto"/>
        </w:rPr>
      </w:pPr>
    </w:p>
    <w:p>
      <w:pPr>
        <w:ind w:left="480" w:hanging="454"/>
        <w:spacing w:after="0"/>
        <w:tabs>
          <w:tab w:leader="none" w:pos="480" w:val="left"/>
        </w:tabs>
        <w:numPr>
          <w:ilvl w:val="0"/>
          <w:numId w:val="6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13"/>
          <w:szCs w:val="13"/>
          <w:b w:val="1"/>
          <w:bCs w:val="1"/>
          <w:color w:val="auto"/>
        </w:rPr>
        <w:t>Board and Corporate Governance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00"/>
        <w:spacing w:after="0" w:line="321" w:lineRule="auto"/>
        <w:rPr>
          <w:sz w:val="20"/>
          <w:szCs w:val="20"/>
          <w:color w:val="auto"/>
        </w:rPr>
      </w:pPr>
      <w:r>
        <w:rPr>
          <w:rFonts w:ascii="Arial" w:cs="Arial" w:eastAsia="Arial" w:hAnsi="Arial"/>
          <w:sz w:val="16"/>
          <w:szCs w:val="16"/>
          <w:color w:val="auto"/>
        </w:rPr>
        <w:t>defined by SEC rules and the policy. If it is determined that a transaction is a related person transaction, the CGC will review such transactions. Related person transactions that are in, or not inconsistent with, the best interests of Exelon may be approved by the CGC and reported to the Board.</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There were no related person transactions identified for 2024.</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Investor Engagement</w:t>
      </w:r>
    </w:p>
    <w:p>
      <w:pPr>
        <w:spacing w:after="0" w:line="11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Our relationship with our shareholders is an important part of our company’s success, and our long tradition of engaging with our investors enables valuable insights for the Board and its Committees into investor perspectives and priorities. During 2024, Exelon’s engagement team, comprising representatives of the Office of Corporate Governance, Investor Relations, Human Resources, Executive Compensation, and Strategy, Innovation, and Sustainability met to discuss a wide variety of issues with investors.</w:t>
      </w:r>
    </w:p>
    <w:p>
      <w:pPr>
        <w:spacing w:after="0" w:line="59"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auto"/>
        </w:rPr>
        <w:t>In 2024, Exelon contacted the holders of over 50% of our outstanding shares with offers to engage. Portfolio managers and governance professionals that accepted included a significant cross-section of our shareholder base, representing approximately 30% of Exelon’s outstanding shares. The feedback received from shareholders and other stakeholder groups is shared with each Committee and the Board, as appropriate, on a regular basis throughout the year. The ARC, CGC, OSCC, and TMCC adopt or recommend Board approval of suggested enhancements to policies, practices, or disclosures where appropriate to meet investor concerns or expectations relating to new issues or emerging trends.</w:t>
      </w:r>
    </w:p>
    <w:p>
      <w:pPr>
        <w:spacing w:after="0" w:line="61"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We believe that our approach to engaging openly with our investors on topics such as environmental strategy, corporate governance, executive compensation, and other human capital management issues drives increased accountability, improves decision making, and ultimately creates long-term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06285" cy="19284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06285" cy="1928495"/>
                    </a:xfrm>
                    <a:prstGeom prst="rect">
                      <a:avLst/>
                    </a:prstGeom>
                    <a:noFill/>
                  </pic:spPr>
                </pic:pic>
              </a:graphicData>
            </a:graphic>
          </wp:anchor>
        </w:drawing>
      </w:r>
    </w:p>
    <w:p>
      <w:pPr>
        <w:spacing w:after="0" w:line="254"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170D67"/>
        </w:rPr>
        <w:t>Annual Engagement Cycle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00E4A5"/>
        </w:rPr>
        <w:t>SPRING/SUMMER</w:t>
      </w:r>
    </w:p>
    <w:p>
      <w:pPr>
        <w:spacing w:after="0" w:line="135" w:lineRule="exact"/>
        <w:rPr>
          <w:sz w:val="20"/>
          <w:szCs w:val="20"/>
          <w:color w:val="auto"/>
        </w:rPr>
      </w:pPr>
    </w:p>
    <w:p>
      <w:pPr>
        <w:ind w:left="860" w:right="40" w:hanging="200"/>
        <w:spacing w:after="0" w:line="301" w:lineRule="auto"/>
        <w:tabs>
          <w:tab w:leader="none" w:pos="830" w:val="left"/>
        </w:tabs>
        <w:numPr>
          <w:ilvl w:val="0"/>
          <w:numId w:val="66"/>
        </w:numPr>
        <w:rPr>
          <w:rFonts w:ascii="Arial" w:cs="Arial" w:eastAsia="Arial" w:hAnsi="Arial"/>
          <w:sz w:val="16"/>
          <w:szCs w:val="16"/>
          <w:b w:val="1"/>
          <w:bCs w:val="1"/>
          <w:color w:val="170D67"/>
        </w:rPr>
      </w:pPr>
      <w:r>
        <w:rPr>
          <w:rFonts w:ascii="Arial" w:cs="Arial" w:eastAsia="Arial" w:hAnsi="Arial"/>
          <w:sz w:val="16"/>
          <w:szCs w:val="16"/>
          <w:color w:val="auto"/>
        </w:rPr>
        <w:t>Review annual meeting results and develop focused off-season engagement plan</w:t>
      </w:r>
    </w:p>
    <w:p>
      <w:pPr>
        <w:spacing w:after="0" w:line="23" w:lineRule="exact"/>
        <w:rPr>
          <w:rFonts w:ascii="Arial" w:cs="Arial" w:eastAsia="Arial" w:hAnsi="Arial"/>
          <w:sz w:val="16"/>
          <w:szCs w:val="16"/>
          <w:b w:val="1"/>
          <w:bCs w:val="1"/>
          <w:color w:val="170D67"/>
        </w:rPr>
      </w:pPr>
    </w:p>
    <w:p>
      <w:pPr>
        <w:ind w:left="860" w:hanging="200"/>
        <w:spacing w:after="0" w:line="292" w:lineRule="auto"/>
        <w:tabs>
          <w:tab w:leader="none" w:pos="830" w:val="left"/>
        </w:tabs>
        <w:numPr>
          <w:ilvl w:val="0"/>
          <w:numId w:val="66"/>
        </w:numPr>
        <w:rPr>
          <w:rFonts w:ascii="Arial" w:cs="Arial" w:eastAsia="Arial" w:hAnsi="Arial"/>
          <w:sz w:val="16"/>
          <w:szCs w:val="16"/>
          <w:b w:val="1"/>
          <w:bCs w:val="1"/>
          <w:color w:val="170D67"/>
        </w:rPr>
      </w:pPr>
      <w:r>
        <w:rPr>
          <w:rFonts w:ascii="Arial" w:cs="Arial" w:eastAsia="Arial" w:hAnsi="Arial"/>
          <w:sz w:val="16"/>
          <w:szCs w:val="16"/>
          <w:color w:val="auto"/>
        </w:rPr>
        <w:t>Review governance practices in light of investor feedback and governance trends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7"/>
        <w:spacing w:after="0"/>
        <w:rPr>
          <w:sz w:val="20"/>
          <w:szCs w:val="20"/>
          <w:color w:val="auto"/>
        </w:rPr>
      </w:pPr>
      <w:r>
        <w:rPr>
          <w:rFonts w:ascii="Arial" w:cs="Arial" w:eastAsia="Arial" w:hAnsi="Arial"/>
          <w:sz w:val="13"/>
          <w:szCs w:val="13"/>
          <w:b w:val="1"/>
          <w:bCs w:val="1"/>
          <w:color w:val="3A5CFF"/>
        </w:rPr>
        <w:t>FALL/WINTER</w:t>
      </w:r>
    </w:p>
    <w:p>
      <w:pPr>
        <w:spacing w:after="0" w:line="135" w:lineRule="exact"/>
        <w:rPr>
          <w:sz w:val="20"/>
          <w:szCs w:val="20"/>
          <w:color w:val="auto"/>
        </w:rPr>
      </w:pPr>
    </w:p>
    <w:p>
      <w:pPr>
        <w:ind w:left="187" w:right="60" w:hanging="187"/>
        <w:spacing w:after="0" w:line="301" w:lineRule="auto"/>
        <w:tabs>
          <w:tab w:leader="none" w:pos="157" w:val="left"/>
        </w:tabs>
        <w:numPr>
          <w:ilvl w:val="0"/>
          <w:numId w:val="67"/>
        </w:numPr>
        <w:rPr>
          <w:rFonts w:ascii="Arial" w:cs="Arial" w:eastAsia="Arial" w:hAnsi="Arial"/>
          <w:sz w:val="16"/>
          <w:szCs w:val="16"/>
          <w:b w:val="1"/>
          <w:bCs w:val="1"/>
          <w:color w:val="170D67"/>
        </w:rPr>
      </w:pPr>
      <w:r>
        <w:rPr>
          <w:rFonts w:ascii="Arial" w:cs="Arial" w:eastAsia="Arial" w:hAnsi="Arial"/>
          <w:sz w:val="16"/>
          <w:szCs w:val="16"/>
          <w:color w:val="auto"/>
        </w:rPr>
        <w:t>Engage with shareholders to solicit feedback and understand their priorities</w:t>
      </w:r>
    </w:p>
    <w:p>
      <w:pPr>
        <w:spacing w:after="0" w:line="23" w:lineRule="exact"/>
        <w:rPr>
          <w:rFonts w:ascii="Arial" w:cs="Arial" w:eastAsia="Arial" w:hAnsi="Arial"/>
          <w:sz w:val="16"/>
          <w:szCs w:val="16"/>
          <w:b w:val="1"/>
          <w:bCs w:val="1"/>
          <w:color w:val="170D67"/>
        </w:rPr>
      </w:pPr>
    </w:p>
    <w:p>
      <w:pPr>
        <w:ind w:left="187" w:hanging="187"/>
        <w:spacing w:after="0" w:line="283" w:lineRule="auto"/>
        <w:tabs>
          <w:tab w:leader="none" w:pos="157" w:val="left"/>
        </w:tabs>
        <w:numPr>
          <w:ilvl w:val="0"/>
          <w:numId w:val="67"/>
        </w:numPr>
        <w:rPr>
          <w:rFonts w:ascii="Arial" w:cs="Arial" w:eastAsia="Arial" w:hAnsi="Arial"/>
          <w:sz w:val="16"/>
          <w:szCs w:val="16"/>
          <w:b w:val="1"/>
          <w:bCs w:val="1"/>
          <w:color w:val="170D67"/>
        </w:rPr>
      </w:pPr>
      <w:r>
        <w:rPr>
          <w:rFonts w:ascii="Arial" w:cs="Arial" w:eastAsia="Arial" w:hAnsi="Arial"/>
          <w:sz w:val="16"/>
          <w:szCs w:val="16"/>
          <w:color w:val="auto"/>
        </w:rPr>
        <w:t>Evaluate potential changes to governance policies, compensation practices or other disclosures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6E06C1"/>
        </w:rPr>
        <w:t>PRE-ANNUAL MEETING</w:t>
      </w:r>
    </w:p>
    <w:p>
      <w:pPr>
        <w:spacing w:after="0" w:line="135" w:lineRule="exact"/>
        <w:rPr>
          <w:sz w:val="20"/>
          <w:szCs w:val="20"/>
          <w:color w:val="auto"/>
        </w:rPr>
      </w:pPr>
    </w:p>
    <w:p>
      <w:pPr>
        <w:ind w:left="201" w:right="80" w:hanging="201"/>
        <w:spacing w:after="0" w:line="321" w:lineRule="auto"/>
        <w:tabs>
          <w:tab w:leader="none" w:pos="171" w:val="left"/>
        </w:tabs>
        <w:numPr>
          <w:ilvl w:val="0"/>
          <w:numId w:val="68"/>
        </w:numPr>
        <w:rPr>
          <w:rFonts w:ascii="Arial" w:cs="Arial" w:eastAsia="Arial" w:hAnsi="Arial"/>
          <w:sz w:val="16"/>
          <w:szCs w:val="16"/>
          <w:b w:val="1"/>
          <w:bCs w:val="1"/>
          <w:color w:val="170D67"/>
        </w:rPr>
      </w:pPr>
      <w:r>
        <w:rPr>
          <w:rFonts w:ascii="Arial" w:cs="Arial" w:eastAsia="Arial" w:hAnsi="Arial"/>
          <w:sz w:val="16"/>
          <w:szCs w:val="16"/>
          <w:color w:val="auto"/>
        </w:rPr>
        <w:t>Engage with shareholders on proxy matters</w:t>
      </w:r>
    </w:p>
    <w:p>
      <w:pPr>
        <w:spacing w:after="0" w:line="7" w:lineRule="exact"/>
        <w:rPr>
          <w:rFonts w:ascii="Arial" w:cs="Arial" w:eastAsia="Arial" w:hAnsi="Arial"/>
          <w:sz w:val="16"/>
          <w:szCs w:val="16"/>
          <w:b w:val="1"/>
          <w:bCs w:val="1"/>
          <w:color w:val="170D67"/>
        </w:rPr>
      </w:pPr>
    </w:p>
    <w:p>
      <w:pPr>
        <w:ind w:left="201" w:hanging="201"/>
        <w:spacing w:after="0" w:line="292" w:lineRule="auto"/>
        <w:tabs>
          <w:tab w:leader="none" w:pos="171" w:val="left"/>
        </w:tabs>
        <w:numPr>
          <w:ilvl w:val="0"/>
          <w:numId w:val="68"/>
        </w:numPr>
        <w:rPr>
          <w:rFonts w:ascii="Arial" w:cs="Arial" w:eastAsia="Arial" w:hAnsi="Arial"/>
          <w:sz w:val="16"/>
          <w:szCs w:val="16"/>
          <w:b w:val="1"/>
          <w:bCs w:val="1"/>
          <w:color w:val="170D67"/>
        </w:rPr>
      </w:pPr>
      <w:r>
        <w:rPr>
          <w:rFonts w:ascii="Arial" w:cs="Arial" w:eastAsia="Arial" w:hAnsi="Arial"/>
          <w:sz w:val="16"/>
          <w:szCs w:val="16"/>
          <w:color w:val="auto"/>
        </w:rPr>
        <w:t>Answer questions about proxy issues and the Board’s vote recommendations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170D67"/>
        </w:rPr>
        <w:t>ANNUAL MEETING</w:t>
      </w:r>
    </w:p>
    <w:p>
      <w:pPr>
        <w:spacing w:after="0" w:line="135" w:lineRule="exact"/>
        <w:rPr>
          <w:sz w:val="20"/>
          <w:szCs w:val="20"/>
          <w:color w:val="auto"/>
        </w:rPr>
      </w:pPr>
    </w:p>
    <w:p>
      <w:pPr>
        <w:ind w:left="202" w:right="420" w:hanging="202"/>
        <w:spacing w:after="0" w:line="287" w:lineRule="auto"/>
        <w:tabs>
          <w:tab w:leader="none" w:pos="172" w:val="left"/>
        </w:tabs>
        <w:numPr>
          <w:ilvl w:val="0"/>
          <w:numId w:val="69"/>
        </w:numPr>
        <w:rPr>
          <w:rFonts w:ascii="Arial" w:cs="Arial" w:eastAsia="Arial" w:hAnsi="Arial"/>
          <w:sz w:val="16"/>
          <w:szCs w:val="16"/>
          <w:b w:val="1"/>
          <w:bCs w:val="1"/>
          <w:color w:val="170D67"/>
        </w:rPr>
      </w:pPr>
      <w:r>
        <w:rPr>
          <w:rFonts w:ascii="Arial" w:cs="Arial" w:eastAsia="Arial" w:hAnsi="Arial"/>
          <w:sz w:val="16"/>
          <w:szCs w:val="16"/>
          <w:color w:val="auto"/>
        </w:rPr>
        <w:t>Opportunity for shareholders to ask questions directly to senior management and the Board and to vote on proposals</w:t>
      </w:r>
    </w:p>
    <w:p>
      <w:pPr>
        <w:spacing w:after="0" w:line="683" w:lineRule="exact"/>
        <w:rPr>
          <w:sz w:val="20"/>
          <w:szCs w:val="20"/>
          <w:color w:val="auto"/>
        </w:rPr>
      </w:pPr>
    </w:p>
    <w:p>
      <w:pPr>
        <w:sectPr>
          <w:pgSz w:w="11900" w:h="16838" w:orient="portrait"/>
          <w:cols w:equalWidth="0" w:num="4">
            <w:col w:w="2940" w:space="353"/>
            <w:col w:w="2287" w:space="359"/>
            <w:col w:w="2341" w:space="318"/>
            <w:col w:w="2642"/>
          </w:cols>
          <w:pgMar w:left="320" w:top="121" w:right="339"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6E06C1"/>
        </w:rPr>
        <w:t>RECENT ACTIONS DEMONSTRATING RESPONSIVENESS TO INVESTOR FEEDBACK</w:t>
      </w:r>
    </w:p>
    <w:p>
      <w:pPr>
        <w:spacing w:after="0" w:line="113" w:lineRule="exact"/>
        <w:rPr>
          <w:sz w:val="20"/>
          <w:szCs w:val="20"/>
          <w:color w:val="auto"/>
        </w:rPr>
      </w:pPr>
    </w:p>
    <w:p>
      <w:pPr>
        <w:ind w:right="520"/>
        <w:spacing w:after="0" w:line="289" w:lineRule="auto"/>
        <w:rPr>
          <w:sz w:val="20"/>
          <w:szCs w:val="20"/>
          <w:color w:val="auto"/>
        </w:rPr>
      </w:pPr>
      <w:r>
        <w:rPr>
          <w:rFonts w:ascii="Arial" w:cs="Arial" w:eastAsia="Arial" w:hAnsi="Arial"/>
          <w:sz w:val="16"/>
          <w:szCs w:val="16"/>
          <w:color w:val="auto"/>
        </w:rPr>
        <w:t>During 2024, sustainability and human capital topics continued to be a focal point in nearly all investor engagements. Many investors were keenly interested in Exelon’s strategy to meet future challenges and the Board’s role in oversight of these critical issues. In 2024, our Investor Relations team refreshed an in-depth sustainability presentation that is available on our IR webpage (</w:t>
      </w:r>
      <w:r>
        <w:rPr>
          <w:rFonts w:ascii="Arial" w:cs="Arial" w:eastAsia="Arial" w:hAnsi="Arial"/>
          <w:sz w:val="16"/>
          <w:szCs w:val="16"/>
          <w:b w:val="1"/>
          <w:bCs w:val="1"/>
          <w:color w:val="170D67"/>
        </w:rPr>
        <w:t>investors.exeloncorp.com</w:t>
      </w:r>
      <w:r>
        <w:rPr>
          <w:rFonts w:ascii="Arial" w:cs="Arial" w:eastAsia="Arial" w:hAnsi="Arial"/>
          <w:sz w:val="16"/>
          <w:szCs w:val="16"/>
          <w:color w:val="auto"/>
        </w:rPr>
        <w:t>) and contains detailed information covering a range of topics frequently requested by investors. This report is supplemental to and complements the Exelon Sustainability Report.</w:t>
      </w:r>
    </w:p>
    <w:p>
      <w:pPr>
        <w:spacing w:after="0" w:line="72" w:lineRule="exact"/>
        <w:rPr>
          <w:sz w:val="20"/>
          <w:szCs w:val="20"/>
          <w:color w:val="auto"/>
        </w:rPr>
      </w:pPr>
    </w:p>
    <w:p>
      <w:pPr>
        <w:ind w:right="480"/>
        <w:spacing w:after="0" w:line="292" w:lineRule="auto"/>
        <w:rPr>
          <w:sz w:val="20"/>
          <w:szCs w:val="20"/>
          <w:color w:val="auto"/>
        </w:rPr>
      </w:pPr>
      <w:r>
        <w:rPr>
          <w:rFonts w:ascii="Arial" w:cs="Arial" w:eastAsia="Arial" w:hAnsi="Arial"/>
          <w:sz w:val="16"/>
          <w:szCs w:val="16"/>
          <w:color w:val="auto"/>
        </w:rPr>
        <w:t>Recent actions taken in response to shareholder feedback include implementing shareholder special meeting rights (discussed immediately below); eliminating all tax gross-ups for executive perquisites with limited exceptions for required travel and relocation; publishing Exelon’s EEO-1 reports; and reporting in compliance with the SASB Standards.</w:t>
      </w:r>
    </w:p>
    <w:p>
      <w:pPr>
        <w:spacing w:after="0" w:line="5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2024, Exelon received a shareholder proposal to provide shareholders the right to call a special meeting. This proposal received 34% support from shareholders. At the same time, Exelon put forth a management proposal to provide for the right to call a special meeting which was tailored to specifically align with the minimum threshold under Pennsylvania law, our state of incorporation. The management proposal received 99% support. The corresponding changes to Exelon’s governance documents were effectuated as of April 30, 2024, thus implementing the core request underlying the shareholder proposal. These changes were discussed during the 2024 fall and winter engagement season, and shareholders indicated their overall satisfaction with the changes.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780"/>
              <w:spacing w:after="0"/>
              <w:rPr>
                <w:sz w:val="20"/>
                <w:szCs w:val="20"/>
                <w:color w:val="auto"/>
              </w:rPr>
            </w:pPr>
            <w:r>
              <w:rPr>
                <w:rFonts w:ascii="Arial" w:cs="Arial" w:eastAsia="Arial" w:hAnsi="Arial"/>
                <w:sz w:val="14"/>
                <w:szCs w:val="14"/>
                <w:color w:val="auto"/>
              </w:rPr>
              <w:t>2025 ׀ Exelon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25</w:t>
            </w:r>
          </w:p>
        </w:tc>
      </w:tr>
      <w:tr>
        <w:trPr>
          <w:trHeight w:val="225"/>
        </w:trPr>
        <w:tc>
          <w:tcPr>
            <w:tcW w:w="1092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3"/>
          <w:szCs w:val="13"/>
          <w:b w:val="1"/>
          <w:bCs w:val="1"/>
          <w:color w:val="auto"/>
        </w:rPr>
        <w:t>Board and Corporate Governance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Board Oversight of Risk</w:t>
      </w:r>
    </w:p>
    <w:p>
      <w:pPr>
        <w:spacing w:after="0" w:line="123" w:lineRule="exact"/>
        <w:rPr>
          <w:sz w:val="20"/>
          <w:szCs w:val="20"/>
          <w:color w:val="auto"/>
        </w:rPr>
      </w:pPr>
    </w:p>
    <w:p>
      <w:pPr>
        <w:ind w:right="360"/>
        <w:spacing w:after="0" w:line="265" w:lineRule="auto"/>
        <w:rPr>
          <w:sz w:val="20"/>
          <w:szCs w:val="20"/>
          <w:color w:val="auto"/>
        </w:rPr>
      </w:pPr>
      <w:r>
        <w:rPr>
          <w:rFonts w:ascii="Arial" w:cs="Arial" w:eastAsia="Arial" w:hAnsi="Arial"/>
          <w:sz w:val="16"/>
          <w:szCs w:val="16"/>
          <w:color w:val="auto"/>
        </w:rPr>
        <w:t>The Company operates in a complex market and regulatory environment. The Board has broad responsibility to provide oversight of significant risks primarily through direct engagement with management and through delegation of ongoing risk oversight responsibilities to the Committees. Any risk oversight area not allocated to a Committee remains with the Board. Cybersecurity and other risk items that are overseen by the full Board are generally those that are deemed most critical to our operations or strategy.</w:t>
      </w:r>
    </w:p>
    <w:p>
      <w:pPr>
        <w:spacing w:after="0" w:line="7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Each Committee has a designated member of executive management as the primary responsible officer for providing information and updates related to the significant risks for that Committee. These officers ensure that all significant risks identified by our enterprise risk management program are regularly reviewed with the Board and/or the appropriate Committee(s). Each Committee reports regularly to the Board on discussions of enterprise risks for which it is responsible. Furthermore, the Board regularly discusses short-, medium-, and long-term enterprise risks in connection with the evaluation of capital investments, other business opportunities and strategies as well as emerging trends or developments. Reports provided by senior leadership, as well as third-party experts, support oversight of the key risks delegated to each Committee and the full Board.</w:t>
      </w:r>
    </w:p>
    <w:p>
      <w:pPr>
        <w:spacing w:after="0" w:line="109"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All Directors are actively involved in the risk oversight function, and we believe that our leadership structure supports the Board’s risk oversight responsibility. Each Committee is chaired by an independent Director, and the CEO does not serve on any Committee. There is regular, open communication between management and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23430" cy="1625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23430" cy="162560"/>
                    </a:xfrm>
                    <a:prstGeom prst="rect">
                      <a:avLst/>
                    </a:prstGeom>
                    <a:noFill/>
                  </pic:spPr>
                </pic:pic>
              </a:graphicData>
            </a:graphic>
          </wp:anchor>
        </w:drawing>
      </w:r>
    </w:p>
    <w:p>
      <w:pPr>
        <w:spacing w:after="0" w:line="166"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FFFFFF"/>
          <w:shd w:val="clear" w:color="auto" w:fill="170D67"/>
        </w:rPr>
        <w:t>EXELON BOARD OF DIRECTORS</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The full Board has primary responsibility for risk oversight including the following areas:</w:t>
      </w:r>
    </w:p>
    <w:p>
      <w:pPr>
        <w:spacing w:after="0" w:line="130" w:lineRule="exact"/>
        <w:rPr>
          <w:sz w:val="20"/>
          <w:szCs w:val="20"/>
          <w:color w:val="auto"/>
        </w:rPr>
      </w:pPr>
    </w:p>
    <w:p>
      <w:pPr>
        <w:ind w:left="200" w:hanging="174"/>
        <w:spacing w:after="0"/>
        <w:tabs>
          <w:tab w:leader="none" w:pos="200" w:val="left"/>
        </w:tabs>
        <w:numPr>
          <w:ilvl w:val="0"/>
          <w:numId w:val="70"/>
        </w:numPr>
        <w:rPr>
          <w:rFonts w:ascii="Arial" w:cs="Arial" w:eastAsia="Arial" w:hAnsi="Arial"/>
          <w:sz w:val="16"/>
          <w:szCs w:val="16"/>
          <w:b w:val="1"/>
          <w:bCs w:val="1"/>
          <w:color w:val="170D67"/>
        </w:rPr>
      </w:pPr>
      <w:r>
        <w:rPr>
          <w:rFonts w:ascii="Arial" w:cs="Arial" w:eastAsia="Arial" w:hAnsi="Arial"/>
          <w:sz w:val="16"/>
          <w:szCs w:val="16"/>
          <w:color w:val="auto"/>
        </w:rPr>
        <w:t>Significant enterprise risk, strategy, and long-range business plan</w:t>
      </w:r>
    </w:p>
    <w:p>
      <w:pPr>
        <w:spacing w:after="0" w:line="59" w:lineRule="exact"/>
        <w:rPr>
          <w:rFonts w:ascii="Arial" w:cs="Arial" w:eastAsia="Arial" w:hAnsi="Arial"/>
          <w:sz w:val="16"/>
          <w:szCs w:val="16"/>
          <w:b w:val="1"/>
          <w:bCs w:val="1"/>
          <w:color w:val="170D67"/>
        </w:rPr>
      </w:pPr>
    </w:p>
    <w:p>
      <w:pPr>
        <w:ind w:left="200" w:hanging="174"/>
        <w:spacing w:after="0"/>
        <w:tabs>
          <w:tab w:leader="none" w:pos="200" w:val="left"/>
        </w:tabs>
        <w:numPr>
          <w:ilvl w:val="0"/>
          <w:numId w:val="70"/>
        </w:numPr>
        <w:rPr>
          <w:rFonts w:ascii="Arial" w:cs="Arial" w:eastAsia="Arial" w:hAnsi="Arial"/>
          <w:sz w:val="16"/>
          <w:szCs w:val="16"/>
          <w:b w:val="1"/>
          <w:bCs w:val="1"/>
          <w:color w:val="170D67"/>
        </w:rPr>
      </w:pPr>
      <w:r>
        <w:rPr>
          <w:rFonts w:ascii="Arial" w:cs="Arial" w:eastAsia="Arial" w:hAnsi="Arial"/>
          <w:sz w:val="16"/>
          <w:szCs w:val="16"/>
          <w:color w:val="auto"/>
        </w:rPr>
        <w:t>Cybersecurity</w:t>
      </w:r>
    </w:p>
    <w:p>
      <w:pPr>
        <w:spacing w:after="0" w:line="72" w:lineRule="exact"/>
        <w:rPr>
          <w:rFonts w:ascii="Arial" w:cs="Arial" w:eastAsia="Arial" w:hAnsi="Arial"/>
          <w:sz w:val="16"/>
          <w:szCs w:val="16"/>
          <w:b w:val="1"/>
          <w:bCs w:val="1"/>
          <w:color w:val="170D67"/>
        </w:rPr>
      </w:pPr>
    </w:p>
    <w:p>
      <w:pPr>
        <w:ind w:left="200" w:hanging="174"/>
        <w:spacing w:after="0"/>
        <w:tabs>
          <w:tab w:leader="none" w:pos="200" w:val="left"/>
        </w:tabs>
        <w:numPr>
          <w:ilvl w:val="0"/>
          <w:numId w:val="70"/>
        </w:numPr>
        <w:rPr>
          <w:rFonts w:ascii="Arial" w:cs="Arial" w:eastAsia="Arial" w:hAnsi="Arial"/>
          <w:sz w:val="16"/>
          <w:szCs w:val="16"/>
          <w:b w:val="1"/>
          <w:bCs w:val="1"/>
          <w:color w:val="170D67"/>
        </w:rPr>
      </w:pPr>
      <w:r>
        <w:rPr>
          <w:rFonts w:ascii="Arial" w:cs="Arial" w:eastAsia="Arial" w:hAnsi="Arial"/>
          <w:sz w:val="16"/>
          <w:szCs w:val="16"/>
          <w:color w:val="auto"/>
        </w:rPr>
        <w:t>Business risks and capital allocation, including capital decisions related to environmental and climate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23430" cy="1631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23430" cy="163195"/>
                    </a:xfrm>
                    <a:prstGeom prst="rect">
                      <a:avLst/>
                    </a:prstGeom>
                    <a:noFill/>
                  </pic:spPr>
                </pic:pic>
              </a:graphicData>
            </a:graphic>
          </wp:anchor>
        </w:drawing>
      </w: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FFFFFF"/>
        </w:rPr>
        <w:t>RISK OVERSIGHT DELEGATED TO THE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23430" cy="38061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23430" cy="38061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6" w:lineRule="exact"/>
        <w:rPr>
          <w:sz w:val="20"/>
          <w:szCs w:val="20"/>
          <w:color w:val="auto"/>
        </w:rPr>
      </w:pPr>
    </w:p>
    <w:p>
      <w:pPr>
        <w:ind w:left="2140"/>
        <w:spacing w:after="0"/>
        <w:rPr>
          <w:sz w:val="20"/>
          <w:szCs w:val="20"/>
          <w:color w:val="auto"/>
        </w:rPr>
      </w:pPr>
      <w:r>
        <w:rPr>
          <w:rFonts w:ascii="Arial" w:cs="Arial" w:eastAsia="Arial" w:hAnsi="Arial"/>
          <w:sz w:val="15"/>
          <w:szCs w:val="15"/>
          <w:b w:val="1"/>
          <w:bCs w:val="1"/>
          <w:color w:val="170D67"/>
        </w:rPr>
        <w:t>AUDIT AND RISK</w:t>
      </w:r>
    </w:p>
    <w:p>
      <w:pPr>
        <w:spacing w:after="0" w:line="265" w:lineRule="exact"/>
        <w:rPr>
          <w:sz w:val="20"/>
          <w:szCs w:val="20"/>
          <w:color w:val="auto"/>
        </w:rPr>
      </w:pPr>
    </w:p>
    <w:p>
      <w:pPr>
        <w:ind w:left="220" w:right="220" w:hanging="194"/>
        <w:spacing w:after="0" w:line="286" w:lineRule="auto"/>
        <w:tabs>
          <w:tab w:leader="none" w:pos="190" w:val="left"/>
        </w:tabs>
        <w:numPr>
          <w:ilvl w:val="0"/>
          <w:numId w:val="71"/>
        </w:numPr>
        <w:rPr>
          <w:rFonts w:ascii="Arial" w:cs="Arial" w:eastAsia="Arial" w:hAnsi="Arial"/>
          <w:sz w:val="16"/>
          <w:szCs w:val="16"/>
          <w:b w:val="1"/>
          <w:bCs w:val="1"/>
          <w:color w:val="170D67"/>
        </w:rPr>
      </w:pPr>
      <w:r>
        <w:rPr>
          <w:rFonts w:ascii="Arial" w:cs="Arial" w:eastAsia="Arial" w:hAnsi="Arial"/>
          <w:sz w:val="16"/>
          <w:szCs w:val="16"/>
          <w:color w:val="auto"/>
        </w:rPr>
        <w:t>Oversees independent auditor relationship and internal audit program, and risks associated with financial reporting</w:t>
      </w:r>
    </w:p>
    <w:p>
      <w:pPr>
        <w:spacing w:after="0" w:line="7" w:lineRule="exact"/>
        <w:rPr>
          <w:rFonts w:ascii="Arial" w:cs="Arial" w:eastAsia="Arial" w:hAnsi="Arial"/>
          <w:sz w:val="16"/>
          <w:szCs w:val="16"/>
          <w:b w:val="1"/>
          <w:bCs w:val="1"/>
          <w:color w:val="170D67"/>
        </w:rPr>
      </w:pPr>
    </w:p>
    <w:p>
      <w:pPr>
        <w:ind w:left="200" w:hanging="174"/>
        <w:spacing w:after="0"/>
        <w:tabs>
          <w:tab w:leader="none" w:pos="200" w:val="left"/>
        </w:tabs>
        <w:numPr>
          <w:ilvl w:val="0"/>
          <w:numId w:val="71"/>
        </w:numPr>
        <w:rPr>
          <w:rFonts w:ascii="Arial" w:cs="Arial" w:eastAsia="Arial" w:hAnsi="Arial"/>
          <w:sz w:val="16"/>
          <w:szCs w:val="16"/>
          <w:b w:val="1"/>
          <w:bCs w:val="1"/>
          <w:color w:val="170D67"/>
        </w:rPr>
      </w:pPr>
      <w:r>
        <w:rPr>
          <w:rFonts w:ascii="Arial" w:cs="Arial" w:eastAsia="Arial" w:hAnsi="Arial"/>
          <w:sz w:val="16"/>
          <w:szCs w:val="16"/>
          <w:color w:val="auto"/>
        </w:rPr>
        <w:t>Oversees tax strategy and assessment of tax risks</w:t>
      </w:r>
    </w:p>
    <w:p>
      <w:pPr>
        <w:spacing w:after="0" w:line="59" w:lineRule="exact"/>
        <w:rPr>
          <w:rFonts w:ascii="Arial" w:cs="Arial" w:eastAsia="Arial" w:hAnsi="Arial"/>
          <w:sz w:val="16"/>
          <w:szCs w:val="16"/>
          <w:b w:val="1"/>
          <w:bCs w:val="1"/>
          <w:color w:val="170D67"/>
        </w:rPr>
      </w:pPr>
    </w:p>
    <w:p>
      <w:pPr>
        <w:ind w:left="220" w:right="80" w:hanging="194"/>
        <w:spacing w:after="0" w:line="275" w:lineRule="auto"/>
        <w:tabs>
          <w:tab w:leader="none" w:pos="190" w:val="left"/>
        </w:tabs>
        <w:numPr>
          <w:ilvl w:val="0"/>
          <w:numId w:val="71"/>
        </w:numPr>
        <w:rPr>
          <w:rFonts w:ascii="Arial" w:cs="Arial" w:eastAsia="Arial" w:hAnsi="Arial"/>
          <w:sz w:val="16"/>
          <w:szCs w:val="16"/>
          <w:b w:val="1"/>
          <w:bCs w:val="1"/>
          <w:color w:val="170D67"/>
        </w:rPr>
      </w:pPr>
      <w:r>
        <w:rPr>
          <w:rFonts w:ascii="Arial" w:cs="Arial" w:eastAsia="Arial" w:hAnsi="Arial"/>
          <w:sz w:val="16"/>
          <w:szCs w:val="16"/>
          <w:color w:val="auto"/>
        </w:rPr>
        <w:t>Oversees compliance and ethics program, including review of significant matters, review of an annual compliance risk assessment, and compliance with policies governing interactions with public officials</w:t>
      </w:r>
    </w:p>
    <w:p>
      <w:pPr>
        <w:spacing w:after="0" w:line="2" w:lineRule="exact"/>
        <w:rPr>
          <w:rFonts w:ascii="Arial" w:cs="Arial" w:eastAsia="Arial" w:hAnsi="Arial"/>
          <w:sz w:val="16"/>
          <w:szCs w:val="16"/>
          <w:b w:val="1"/>
          <w:bCs w:val="1"/>
          <w:color w:val="170D67"/>
        </w:rPr>
      </w:pPr>
    </w:p>
    <w:p>
      <w:pPr>
        <w:ind w:left="200" w:hanging="174"/>
        <w:spacing w:after="0"/>
        <w:tabs>
          <w:tab w:leader="none" w:pos="200" w:val="left"/>
        </w:tabs>
        <w:numPr>
          <w:ilvl w:val="0"/>
          <w:numId w:val="71"/>
        </w:numPr>
        <w:rPr>
          <w:rFonts w:ascii="Arial" w:cs="Arial" w:eastAsia="Arial" w:hAnsi="Arial"/>
          <w:sz w:val="16"/>
          <w:szCs w:val="16"/>
          <w:b w:val="1"/>
          <w:bCs w:val="1"/>
          <w:color w:val="170D67"/>
        </w:rPr>
      </w:pPr>
      <w:r>
        <w:rPr>
          <w:rFonts w:ascii="Arial" w:cs="Arial" w:eastAsia="Arial" w:hAnsi="Arial"/>
          <w:sz w:val="16"/>
          <w:szCs w:val="16"/>
          <w:color w:val="auto"/>
        </w:rPr>
        <w:t>Oversees enterprise risk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505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309"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6E06C1"/>
        </w:rPr>
        <w:t>Executive Leads</w:t>
      </w:r>
      <w:r>
        <w:rPr>
          <w:rFonts w:ascii="Arial" w:cs="Arial" w:eastAsia="Arial" w:hAnsi="Arial"/>
          <w:sz w:val="16"/>
          <w:szCs w:val="16"/>
          <w:color w:val="6E06C1"/>
        </w:rPr>
        <w:t xml:space="preserve">: </w:t>
      </w:r>
      <w:r>
        <w:rPr>
          <w:rFonts w:ascii="Arial" w:cs="Arial" w:eastAsia="Arial" w:hAnsi="Arial"/>
          <w:sz w:val="16"/>
          <w:szCs w:val="16"/>
          <w:color w:val="000000"/>
        </w:rPr>
        <w:t>CFO and EVP, Compliance Audit and Risk</w:t>
      </w:r>
    </w:p>
    <w:p>
      <w:pPr>
        <w:spacing w:after="0" w:line="113" w:lineRule="exact"/>
        <w:rPr>
          <w:sz w:val="20"/>
          <w:szCs w:val="20"/>
          <w:color w:val="auto"/>
        </w:rPr>
      </w:pPr>
    </w:p>
    <w:p>
      <w:pPr>
        <w:ind w:left="20" w:right="720"/>
        <w:spacing w:after="0" w:line="304" w:lineRule="auto"/>
        <w:rPr>
          <w:sz w:val="20"/>
          <w:szCs w:val="20"/>
          <w:color w:val="auto"/>
        </w:rPr>
      </w:pPr>
      <w:r>
        <w:rPr>
          <w:rFonts w:ascii="Arial" w:cs="Arial" w:eastAsia="Arial" w:hAnsi="Arial"/>
          <w:sz w:val="16"/>
          <w:szCs w:val="16"/>
          <w:u w:val="single" w:color="auto"/>
          <w:color w:val="6E06C1"/>
        </w:rPr>
        <w:t>Key Support</w:t>
      </w:r>
      <w:r>
        <w:rPr>
          <w:rFonts w:ascii="Arial" w:cs="Arial" w:eastAsia="Arial" w:hAnsi="Arial"/>
          <w:sz w:val="16"/>
          <w:szCs w:val="16"/>
          <w:color w:val="000000"/>
        </w:rPr>
        <w:t>: Controller, Tax, Internal Audit, Compliance &amp; Ethics,</w:t>
      </w:r>
      <w:r>
        <w:rPr>
          <w:rFonts w:ascii="Arial" w:cs="Arial" w:eastAsia="Arial" w:hAnsi="Arial"/>
          <w:sz w:val="16"/>
          <w:szCs w:val="16"/>
          <w:color w:val="6E06C1"/>
        </w:rPr>
        <w:t xml:space="preserve"> </w:t>
      </w:r>
      <w:r>
        <w:rPr>
          <w:rFonts w:ascii="Arial" w:cs="Arial" w:eastAsia="Arial" w:hAnsi="Arial"/>
          <w:sz w:val="16"/>
          <w:szCs w:val="16"/>
          <w:color w:val="000000"/>
        </w:rPr>
        <w:t>Operations &amp; Business Investments, Independent Auditor,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3505835" cy="1625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505835" cy="162560"/>
                    </a:xfrm>
                    <a:prstGeom prst="rect">
                      <a:avLst/>
                    </a:prstGeom>
                    <a:noFill/>
                  </pic:spPr>
                </pic:pic>
              </a:graphicData>
            </a:graphic>
          </wp:anchor>
        </w:drawing>
      </w:r>
    </w:p>
    <w:p>
      <w:pPr>
        <w:spacing w:after="0" w:line="238"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170D67"/>
        </w:rPr>
        <w:t>CORPORATE GOVERNANCE</w:t>
      </w:r>
    </w:p>
    <w:p>
      <w:pPr>
        <w:spacing w:after="0" w:line="224" w:lineRule="exact"/>
        <w:rPr>
          <w:sz w:val="20"/>
          <w:szCs w:val="20"/>
          <w:color w:val="auto"/>
        </w:rPr>
      </w:pPr>
    </w:p>
    <w:p>
      <w:pPr>
        <w:ind w:left="200" w:hanging="174"/>
        <w:spacing w:after="0"/>
        <w:tabs>
          <w:tab w:leader="none" w:pos="200" w:val="left"/>
        </w:tabs>
        <w:numPr>
          <w:ilvl w:val="0"/>
          <w:numId w:val="72"/>
        </w:numPr>
        <w:rPr>
          <w:rFonts w:ascii="Arial" w:cs="Arial" w:eastAsia="Arial" w:hAnsi="Arial"/>
          <w:sz w:val="16"/>
          <w:szCs w:val="16"/>
          <w:b w:val="1"/>
          <w:bCs w:val="1"/>
          <w:color w:val="170D67"/>
        </w:rPr>
      </w:pPr>
      <w:r>
        <w:rPr>
          <w:rFonts w:ascii="Arial" w:cs="Arial" w:eastAsia="Arial" w:hAnsi="Arial"/>
          <w:sz w:val="16"/>
          <w:szCs w:val="16"/>
          <w:color w:val="auto"/>
        </w:rPr>
        <w:t>Oversees CEO succession planning</w:t>
      </w:r>
    </w:p>
    <w:p>
      <w:pPr>
        <w:spacing w:after="0" w:line="59" w:lineRule="exact"/>
        <w:rPr>
          <w:rFonts w:ascii="Arial" w:cs="Arial" w:eastAsia="Arial" w:hAnsi="Arial"/>
          <w:sz w:val="16"/>
          <w:szCs w:val="16"/>
          <w:b w:val="1"/>
          <w:bCs w:val="1"/>
          <w:color w:val="170D67"/>
        </w:rPr>
      </w:pPr>
    </w:p>
    <w:p>
      <w:pPr>
        <w:ind w:left="200" w:hanging="174"/>
        <w:spacing w:after="0"/>
        <w:tabs>
          <w:tab w:leader="none" w:pos="200" w:val="left"/>
        </w:tabs>
        <w:numPr>
          <w:ilvl w:val="0"/>
          <w:numId w:val="72"/>
        </w:numPr>
        <w:rPr>
          <w:rFonts w:ascii="Arial" w:cs="Arial" w:eastAsia="Arial" w:hAnsi="Arial"/>
          <w:sz w:val="16"/>
          <w:szCs w:val="16"/>
          <w:b w:val="1"/>
          <w:bCs w:val="1"/>
          <w:color w:val="170D67"/>
        </w:rPr>
      </w:pPr>
      <w:r>
        <w:rPr>
          <w:rFonts w:ascii="Arial" w:cs="Arial" w:eastAsia="Arial" w:hAnsi="Arial"/>
          <w:sz w:val="16"/>
          <w:szCs w:val="16"/>
          <w:color w:val="auto"/>
        </w:rPr>
        <w:t>Reviews risks related to governance and shareholder activism</w:t>
      </w:r>
    </w:p>
    <w:p>
      <w:pPr>
        <w:spacing w:after="0" w:line="72" w:lineRule="exact"/>
        <w:rPr>
          <w:rFonts w:ascii="Arial" w:cs="Arial" w:eastAsia="Arial" w:hAnsi="Arial"/>
          <w:sz w:val="16"/>
          <w:szCs w:val="16"/>
          <w:b w:val="1"/>
          <w:bCs w:val="1"/>
          <w:color w:val="170D67"/>
        </w:rPr>
      </w:pPr>
    </w:p>
    <w:p>
      <w:pPr>
        <w:ind w:left="220" w:right="400" w:hanging="194"/>
        <w:spacing w:after="0" w:line="281" w:lineRule="auto"/>
        <w:tabs>
          <w:tab w:leader="none" w:pos="190" w:val="left"/>
        </w:tabs>
        <w:numPr>
          <w:ilvl w:val="0"/>
          <w:numId w:val="72"/>
        </w:numPr>
        <w:rPr>
          <w:rFonts w:ascii="Arial" w:cs="Arial" w:eastAsia="Arial" w:hAnsi="Arial"/>
          <w:sz w:val="16"/>
          <w:szCs w:val="16"/>
          <w:b w:val="1"/>
          <w:bCs w:val="1"/>
          <w:color w:val="170D67"/>
        </w:rPr>
      </w:pPr>
      <w:r>
        <w:rPr>
          <w:rFonts w:ascii="Arial" w:cs="Arial" w:eastAsia="Arial" w:hAnsi="Arial"/>
          <w:sz w:val="16"/>
          <w:szCs w:val="16"/>
          <w:color w:val="auto"/>
        </w:rPr>
        <w:t>Oversees sustainability and climate change strategies and efforts to protect and improve the environment</w:t>
      </w:r>
    </w:p>
    <w:p>
      <w:pPr>
        <w:spacing w:after="0" w:line="1" w:lineRule="exact"/>
        <w:rPr>
          <w:rFonts w:ascii="Arial" w:cs="Arial" w:eastAsia="Arial" w:hAnsi="Arial"/>
          <w:sz w:val="16"/>
          <w:szCs w:val="16"/>
          <w:b w:val="1"/>
          <w:bCs w:val="1"/>
          <w:color w:val="170D67"/>
        </w:rPr>
      </w:pPr>
    </w:p>
    <w:p>
      <w:pPr>
        <w:ind w:left="200" w:hanging="174"/>
        <w:spacing w:after="0"/>
        <w:tabs>
          <w:tab w:leader="none" w:pos="200" w:val="left"/>
        </w:tabs>
        <w:numPr>
          <w:ilvl w:val="0"/>
          <w:numId w:val="72"/>
        </w:numPr>
        <w:rPr>
          <w:rFonts w:ascii="Arial" w:cs="Arial" w:eastAsia="Arial" w:hAnsi="Arial"/>
          <w:sz w:val="16"/>
          <w:szCs w:val="16"/>
          <w:b w:val="1"/>
          <w:bCs w:val="1"/>
          <w:color w:val="170D67"/>
        </w:rPr>
      </w:pPr>
      <w:r>
        <w:rPr>
          <w:rFonts w:ascii="Arial" w:cs="Arial" w:eastAsia="Arial" w:hAnsi="Arial"/>
          <w:sz w:val="16"/>
          <w:szCs w:val="16"/>
          <w:color w:val="auto"/>
        </w:rPr>
        <w:t>Oversees political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5058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6E06C1"/>
        </w:rPr>
        <w:t>Ex</w:t>
      </w:r>
      <w:r>
        <w:rPr>
          <w:rFonts w:ascii="Arial" w:cs="Arial" w:eastAsia="Arial" w:hAnsi="Arial"/>
          <w:sz w:val="15"/>
          <w:szCs w:val="15"/>
          <w:u w:val="single" w:color="auto"/>
          <w:color w:val="6E06C1"/>
        </w:rPr>
        <w:t>ecutive Lead</w:t>
      </w:r>
      <w:r>
        <w:rPr>
          <w:rFonts w:ascii="Arial" w:cs="Arial" w:eastAsia="Arial" w:hAnsi="Arial"/>
          <w:sz w:val="15"/>
          <w:szCs w:val="15"/>
          <w:color w:val="000000"/>
        </w:rPr>
        <w:t>: Chief Legal Officer</w:t>
      </w:r>
    </w:p>
    <w:p>
      <w:pPr>
        <w:spacing w:after="0" w:line="137" w:lineRule="exact"/>
        <w:rPr>
          <w:sz w:val="20"/>
          <w:szCs w:val="20"/>
          <w:color w:val="auto"/>
        </w:rPr>
      </w:pPr>
    </w:p>
    <w:p>
      <w:pPr>
        <w:ind w:left="20"/>
        <w:spacing w:after="0" w:line="283" w:lineRule="auto"/>
        <w:rPr>
          <w:sz w:val="20"/>
          <w:szCs w:val="20"/>
          <w:color w:val="auto"/>
        </w:rPr>
      </w:pPr>
      <w:r>
        <w:rPr>
          <w:rFonts w:ascii="Arial" w:cs="Arial" w:eastAsia="Arial" w:hAnsi="Arial"/>
          <w:sz w:val="15"/>
          <w:szCs w:val="15"/>
          <w:u w:val="single" w:color="auto"/>
          <w:color w:val="6E06C1"/>
        </w:rPr>
        <w:t>Key Support</w:t>
      </w:r>
      <w:r>
        <w:rPr>
          <w:rFonts w:ascii="Arial" w:cs="Arial" w:eastAsia="Arial" w:hAnsi="Arial"/>
          <w:sz w:val="15"/>
          <w:szCs w:val="15"/>
          <w:color w:val="000000"/>
        </w:rPr>
        <w:t>: Corporate Governance, Chief Sustainability Officer, Environmental</w:t>
      </w:r>
      <w:r>
        <w:rPr>
          <w:rFonts w:ascii="Arial" w:cs="Arial" w:eastAsia="Arial" w:hAnsi="Arial"/>
          <w:sz w:val="15"/>
          <w:szCs w:val="15"/>
          <w:color w:val="6E06C1"/>
        </w:rPr>
        <w:t xml:space="preserve"> </w:t>
      </w:r>
      <w:r>
        <w:rPr>
          <w:rFonts w:ascii="Arial" w:cs="Arial" w:eastAsia="Arial" w:hAnsi="Arial"/>
          <w:sz w:val="15"/>
          <w:szCs w:val="15"/>
          <w:color w:val="000000"/>
        </w:rPr>
        <w:t>Strategy, HR, Independent Compensation Consultant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170D67"/>
        </w:rPr>
        <w:t>OPERATIONS, SAFETY, AND CUSTOMER EXPERIENCE</w:t>
      </w:r>
    </w:p>
    <w:p>
      <w:pPr>
        <w:spacing w:after="0" w:line="265" w:lineRule="exact"/>
        <w:rPr>
          <w:sz w:val="20"/>
          <w:szCs w:val="20"/>
          <w:color w:val="auto"/>
        </w:rPr>
      </w:pPr>
    </w:p>
    <w:p>
      <w:pPr>
        <w:ind w:left="200" w:right="540" w:hanging="196"/>
        <w:spacing w:after="0" w:line="304" w:lineRule="auto"/>
        <w:tabs>
          <w:tab w:leader="none" w:pos="170" w:val="left"/>
        </w:tabs>
        <w:numPr>
          <w:ilvl w:val="0"/>
          <w:numId w:val="73"/>
        </w:numPr>
        <w:rPr>
          <w:rFonts w:ascii="Arial" w:cs="Arial" w:eastAsia="Arial" w:hAnsi="Arial"/>
          <w:sz w:val="16"/>
          <w:szCs w:val="16"/>
          <w:b w:val="1"/>
          <w:bCs w:val="1"/>
          <w:color w:val="170D67"/>
        </w:rPr>
      </w:pPr>
      <w:r>
        <w:rPr>
          <w:rFonts w:ascii="Arial" w:cs="Arial" w:eastAsia="Arial" w:hAnsi="Arial"/>
          <w:sz w:val="16"/>
          <w:szCs w:val="16"/>
          <w:color w:val="auto"/>
        </w:rPr>
        <w:t>Reviews operational reliability, resiliency, business continuity, and emergency response risks and mitigation plans</w:t>
      </w:r>
    </w:p>
    <w:p>
      <w:pPr>
        <w:spacing w:after="0" w:line="6" w:lineRule="exact"/>
        <w:rPr>
          <w:rFonts w:ascii="Arial" w:cs="Arial" w:eastAsia="Arial" w:hAnsi="Arial"/>
          <w:sz w:val="16"/>
          <w:szCs w:val="16"/>
          <w:b w:val="1"/>
          <w:bCs w:val="1"/>
          <w:color w:val="170D67"/>
        </w:rPr>
      </w:pPr>
    </w:p>
    <w:p>
      <w:pPr>
        <w:ind w:left="160" w:hanging="156"/>
        <w:spacing w:after="0"/>
        <w:tabs>
          <w:tab w:leader="none" w:pos="160" w:val="left"/>
        </w:tabs>
        <w:numPr>
          <w:ilvl w:val="0"/>
          <w:numId w:val="73"/>
        </w:numPr>
        <w:rPr>
          <w:rFonts w:ascii="Arial" w:cs="Arial" w:eastAsia="Arial" w:hAnsi="Arial"/>
          <w:sz w:val="16"/>
          <w:szCs w:val="16"/>
          <w:b w:val="1"/>
          <w:bCs w:val="1"/>
          <w:color w:val="170D67"/>
        </w:rPr>
      </w:pPr>
      <w:r>
        <w:rPr>
          <w:rFonts w:ascii="Arial" w:cs="Arial" w:eastAsia="Arial" w:hAnsi="Arial"/>
          <w:sz w:val="16"/>
          <w:szCs w:val="16"/>
          <w:color w:val="auto"/>
        </w:rPr>
        <w:t>Oversees risk mitigation for operational technology and physical security</w:t>
      </w:r>
    </w:p>
    <w:p>
      <w:pPr>
        <w:spacing w:after="0" w:line="59" w:lineRule="exact"/>
        <w:rPr>
          <w:rFonts w:ascii="Arial" w:cs="Arial" w:eastAsia="Arial" w:hAnsi="Arial"/>
          <w:sz w:val="16"/>
          <w:szCs w:val="16"/>
          <w:b w:val="1"/>
          <w:bCs w:val="1"/>
          <w:color w:val="170D67"/>
        </w:rPr>
      </w:pPr>
    </w:p>
    <w:p>
      <w:pPr>
        <w:ind w:left="200" w:right="260" w:hanging="196"/>
        <w:spacing w:after="0" w:line="290" w:lineRule="auto"/>
        <w:tabs>
          <w:tab w:leader="none" w:pos="170" w:val="left"/>
        </w:tabs>
        <w:numPr>
          <w:ilvl w:val="0"/>
          <w:numId w:val="73"/>
        </w:numPr>
        <w:rPr>
          <w:rFonts w:ascii="Arial" w:cs="Arial" w:eastAsia="Arial" w:hAnsi="Arial"/>
          <w:sz w:val="16"/>
          <w:szCs w:val="16"/>
          <w:b w:val="1"/>
          <w:bCs w:val="1"/>
          <w:color w:val="170D67"/>
        </w:rPr>
      </w:pPr>
      <w:r>
        <w:rPr>
          <w:rFonts w:ascii="Arial" w:cs="Arial" w:eastAsia="Arial" w:hAnsi="Arial"/>
          <w:sz w:val="16"/>
          <w:szCs w:val="16"/>
          <w:color w:val="auto"/>
        </w:rPr>
        <w:t>Reviews and monitors responses to significant operational and health and safety incidents</w:t>
      </w:r>
    </w:p>
    <w:p>
      <w:pPr>
        <w:ind w:left="160" w:hanging="156"/>
        <w:spacing w:after="0"/>
        <w:tabs>
          <w:tab w:leader="none" w:pos="160" w:val="left"/>
        </w:tabs>
        <w:numPr>
          <w:ilvl w:val="0"/>
          <w:numId w:val="73"/>
        </w:numPr>
        <w:rPr>
          <w:rFonts w:ascii="Arial" w:cs="Arial" w:eastAsia="Arial" w:hAnsi="Arial"/>
          <w:sz w:val="16"/>
          <w:szCs w:val="16"/>
          <w:b w:val="1"/>
          <w:bCs w:val="1"/>
          <w:color w:val="170D67"/>
        </w:rPr>
      </w:pPr>
      <w:r>
        <w:rPr>
          <w:rFonts w:ascii="Arial" w:cs="Arial" w:eastAsia="Arial" w:hAnsi="Arial"/>
          <w:sz w:val="16"/>
          <w:szCs w:val="16"/>
          <w:color w:val="auto"/>
        </w:rPr>
        <w:t>Oversees safety culture, goals, and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342900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6E06C1"/>
        </w:rPr>
        <w:t>Executive Lead</w:t>
      </w:r>
      <w:r>
        <w:rPr>
          <w:rFonts w:ascii="Arial" w:cs="Arial" w:eastAsia="Arial" w:hAnsi="Arial"/>
          <w:sz w:val="16"/>
          <w:szCs w:val="16"/>
          <w:color w:val="000000"/>
        </w:rPr>
        <w:t>: Chief Operating Officer</w:t>
      </w:r>
    </w:p>
    <w:p>
      <w:pPr>
        <w:spacing w:after="0" w:line="113"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u w:val="single" w:color="auto"/>
          <w:color w:val="6E06C1"/>
        </w:rPr>
        <w:t>Key Support</w:t>
      </w:r>
      <w:r>
        <w:rPr>
          <w:rFonts w:ascii="Arial" w:cs="Arial" w:eastAsia="Arial" w:hAnsi="Arial"/>
          <w:sz w:val="16"/>
          <w:szCs w:val="16"/>
          <w:color w:val="000000"/>
        </w:rPr>
        <w:t>: Utility CEOs, Safety, Customer Operations, Operations &amp;</w:t>
      </w:r>
      <w:r>
        <w:rPr>
          <w:rFonts w:ascii="Arial" w:cs="Arial" w:eastAsia="Arial" w:hAnsi="Arial"/>
          <w:sz w:val="16"/>
          <w:szCs w:val="16"/>
          <w:color w:val="6E06C1"/>
        </w:rPr>
        <w:t xml:space="preserve"> </w:t>
      </w:r>
      <w:r>
        <w:rPr>
          <w:rFonts w:ascii="Arial" w:cs="Arial" w:eastAsia="Arial" w:hAnsi="Arial"/>
          <w:sz w:val="16"/>
          <w:szCs w:val="16"/>
          <w:color w:val="000000"/>
        </w:rPr>
        <w:t>Business Investments, Legal, Cyber &amp; IT,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150495</wp:posOffset>
            </wp:positionV>
            <wp:extent cx="3429000" cy="1625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00" cy="162560"/>
                    </a:xfrm>
                    <a:prstGeom prst="rect">
                      <a:avLst/>
                    </a:prstGeom>
                    <a:noFill/>
                  </pic:spPr>
                </pic:pic>
              </a:graphicData>
            </a:graphic>
          </wp:anchor>
        </w:drawing>
      </w:r>
    </w:p>
    <w:p>
      <w:pPr>
        <w:spacing w:after="0" w:line="238" w:lineRule="exact"/>
        <w:rPr>
          <w:sz w:val="20"/>
          <w:szCs w:val="20"/>
          <w:color w:val="auto"/>
        </w:rPr>
      </w:pPr>
    </w:p>
    <w:p>
      <w:pPr>
        <w:ind w:left="1100"/>
        <w:spacing w:after="0"/>
        <w:rPr>
          <w:sz w:val="20"/>
          <w:szCs w:val="20"/>
          <w:color w:val="auto"/>
        </w:rPr>
      </w:pPr>
      <w:r>
        <w:rPr>
          <w:rFonts w:ascii="Arial" w:cs="Arial" w:eastAsia="Arial" w:hAnsi="Arial"/>
          <w:sz w:val="15"/>
          <w:szCs w:val="15"/>
          <w:b w:val="1"/>
          <w:bCs w:val="1"/>
          <w:color w:val="170D67"/>
        </w:rPr>
        <w:t>TALENT MANAGEMENT &amp; COMPENSATION</w:t>
      </w:r>
    </w:p>
    <w:p>
      <w:pPr>
        <w:spacing w:after="0" w:line="248" w:lineRule="exact"/>
        <w:rPr>
          <w:sz w:val="20"/>
          <w:szCs w:val="20"/>
          <w:color w:val="auto"/>
        </w:rPr>
      </w:pPr>
    </w:p>
    <w:p>
      <w:pPr>
        <w:ind w:left="200" w:right="460" w:hanging="196"/>
        <w:spacing w:after="0" w:line="285" w:lineRule="auto"/>
        <w:tabs>
          <w:tab w:leader="none" w:pos="170" w:val="left"/>
        </w:tabs>
        <w:numPr>
          <w:ilvl w:val="0"/>
          <w:numId w:val="74"/>
        </w:numPr>
        <w:rPr>
          <w:rFonts w:ascii="Arial" w:cs="Arial" w:eastAsia="Arial" w:hAnsi="Arial"/>
          <w:sz w:val="16"/>
          <w:szCs w:val="16"/>
          <w:b w:val="1"/>
          <w:bCs w:val="1"/>
          <w:color w:val="170D67"/>
        </w:rPr>
      </w:pPr>
      <w:r>
        <w:rPr>
          <w:rFonts w:ascii="Arial" w:cs="Arial" w:eastAsia="Arial" w:hAnsi="Arial"/>
          <w:sz w:val="15"/>
          <w:szCs w:val="15"/>
          <w:color w:val="auto"/>
        </w:rPr>
        <w:t>Oversees compensation philosophy and strategy to align with Exelon’s strategic and operating objectives</w:t>
      </w:r>
    </w:p>
    <w:p>
      <w:pPr>
        <w:spacing w:after="0" w:line="35" w:lineRule="exact"/>
        <w:rPr>
          <w:rFonts w:ascii="Arial" w:cs="Arial" w:eastAsia="Arial" w:hAnsi="Arial"/>
          <w:sz w:val="16"/>
          <w:szCs w:val="16"/>
          <w:b w:val="1"/>
          <w:bCs w:val="1"/>
          <w:color w:val="170D67"/>
        </w:rPr>
      </w:pPr>
    </w:p>
    <w:p>
      <w:pPr>
        <w:ind w:left="160" w:hanging="156"/>
        <w:spacing w:after="0"/>
        <w:tabs>
          <w:tab w:leader="none" w:pos="160" w:val="left"/>
        </w:tabs>
        <w:numPr>
          <w:ilvl w:val="0"/>
          <w:numId w:val="74"/>
        </w:numPr>
        <w:rPr>
          <w:rFonts w:ascii="Arial" w:cs="Arial" w:eastAsia="Arial" w:hAnsi="Arial"/>
          <w:sz w:val="16"/>
          <w:szCs w:val="16"/>
          <w:b w:val="1"/>
          <w:bCs w:val="1"/>
          <w:color w:val="170D67"/>
        </w:rPr>
      </w:pPr>
      <w:r>
        <w:rPr>
          <w:rFonts w:ascii="Arial" w:cs="Arial" w:eastAsia="Arial" w:hAnsi="Arial"/>
          <w:sz w:val="15"/>
          <w:szCs w:val="15"/>
          <w:color w:val="auto"/>
        </w:rPr>
        <w:t>Evaluates risks related to compensation policies and practices</w:t>
      </w:r>
    </w:p>
    <w:p>
      <w:pPr>
        <w:spacing w:after="0" w:line="86" w:lineRule="exact"/>
        <w:rPr>
          <w:rFonts w:ascii="Arial" w:cs="Arial" w:eastAsia="Arial" w:hAnsi="Arial"/>
          <w:sz w:val="16"/>
          <w:szCs w:val="16"/>
          <w:b w:val="1"/>
          <w:bCs w:val="1"/>
          <w:color w:val="170D67"/>
        </w:rPr>
      </w:pPr>
    </w:p>
    <w:p>
      <w:pPr>
        <w:ind w:left="160" w:hanging="156"/>
        <w:spacing w:after="0"/>
        <w:tabs>
          <w:tab w:leader="none" w:pos="160" w:val="left"/>
        </w:tabs>
        <w:numPr>
          <w:ilvl w:val="0"/>
          <w:numId w:val="74"/>
        </w:numPr>
        <w:rPr>
          <w:rFonts w:ascii="Arial" w:cs="Arial" w:eastAsia="Arial" w:hAnsi="Arial"/>
          <w:sz w:val="16"/>
          <w:szCs w:val="16"/>
          <w:b w:val="1"/>
          <w:bCs w:val="1"/>
          <w:color w:val="170D67"/>
        </w:rPr>
      </w:pPr>
      <w:r>
        <w:rPr>
          <w:rFonts w:ascii="Arial" w:cs="Arial" w:eastAsia="Arial" w:hAnsi="Arial"/>
          <w:sz w:val="15"/>
          <w:szCs w:val="15"/>
          <w:color w:val="auto"/>
        </w:rPr>
        <w:t>Oversees matters related to corporate culture and talent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185420</wp:posOffset>
            </wp:positionV>
            <wp:extent cx="34290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5"/>
          <w:szCs w:val="15"/>
          <w:u w:val="single" w:color="auto"/>
          <w:color w:val="6E06C1"/>
        </w:rPr>
        <w:t>Executive Lead:</w:t>
      </w:r>
      <w:r>
        <w:rPr>
          <w:rFonts w:ascii="Arial" w:cs="Arial" w:eastAsia="Arial" w:hAnsi="Arial"/>
          <w:sz w:val="15"/>
          <w:szCs w:val="15"/>
          <w:color w:val="6E06C1"/>
        </w:rPr>
        <w:t xml:space="preserve"> </w:t>
      </w:r>
      <w:r>
        <w:rPr>
          <w:rFonts w:ascii="Arial" w:cs="Arial" w:eastAsia="Arial" w:hAnsi="Arial"/>
          <w:sz w:val="15"/>
          <w:szCs w:val="15"/>
          <w:color w:val="000000"/>
        </w:rPr>
        <w:t>Chief People and Equity Officer</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u w:val="single" w:color="auto"/>
          <w:color w:val="6E06C1"/>
        </w:rPr>
        <w:t>Key Support</w:t>
      </w:r>
      <w:r>
        <w:rPr>
          <w:rFonts w:ascii="Arial" w:cs="Arial" w:eastAsia="Arial" w:hAnsi="Arial"/>
          <w:sz w:val="15"/>
          <w:szCs w:val="15"/>
          <w:color w:val="6E06C1"/>
        </w:rPr>
        <w:t xml:space="preserve">: </w:t>
      </w:r>
      <w:r>
        <w:rPr>
          <w:rFonts w:ascii="Arial" w:cs="Arial" w:eastAsia="Arial" w:hAnsi="Arial"/>
          <w:sz w:val="15"/>
          <w:szCs w:val="15"/>
          <w:color w:val="000000"/>
        </w:rPr>
        <w:t>Executive Compensation, HR, Finance, Corporate Governance,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Independent Compensation Consultant</w:t>
      </w:r>
    </w:p>
    <w:p>
      <w:pPr>
        <w:spacing w:after="0" w:line="233" w:lineRule="exact"/>
        <w:rPr>
          <w:sz w:val="20"/>
          <w:szCs w:val="20"/>
          <w:color w:val="auto"/>
        </w:rPr>
      </w:pPr>
    </w:p>
    <w:p>
      <w:pPr>
        <w:sectPr>
          <w:pgSz w:w="11900" w:h="16838" w:orient="portrait"/>
          <w:cols w:equalWidth="0" w:num="2">
            <w:col w:w="5440" w:space="400"/>
            <w:col w:w="54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80" w:hanging="454"/>
        <w:spacing w:after="0"/>
        <w:tabs>
          <w:tab w:leader="none" w:pos="480" w:val="left"/>
        </w:tabs>
        <w:numPr>
          <w:ilvl w:val="0"/>
          <w:numId w:val="7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jc w:val="right"/>
        <w:spacing w:after="0"/>
        <w:rPr>
          <w:sz w:val="20"/>
          <w:szCs w:val="20"/>
          <w:color w:val="auto"/>
        </w:rPr>
      </w:pPr>
      <w:r>
        <w:rPr>
          <w:rFonts w:ascii="Arial" w:cs="Arial" w:eastAsia="Arial" w:hAnsi="Arial"/>
          <w:sz w:val="13"/>
          <w:szCs w:val="13"/>
          <w:b w:val="1"/>
          <w:bCs w:val="1"/>
          <w:color w:val="auto"/>
        </w:rPr>
        <w:t>Board and Corporate Governance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Management’s role in supporting the Board and Committees’ oversight of risk is focused on identifying risk and risk controls related to significant business activities, mapping the risks to company strategy, and developing programs and recommendations to determine the sufficiency of risk identification, the balance of potential risk to potential reward, and the appropriate manner in which to manage risk.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Enterprise Risk Management</w:t>
      </w:r>
    </w:p>
    <w:p>
      <w:pPr>
        <w:spacing w:after="0" w:line="122"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Managing business risks of all types, from operational, financial, and regulatory risks to global risks like climate change, is central to Exelon’s business. Our Enterprise Risk Management (ERM) team, in collaboration with our operating companies, is responsible for coordinating Exelon’s risk management program. As part of its risk oversight program, Exelon has adopted a Three Lines operating model of governance developed by the Institute of Internal Auditors and updated in 2020. The Three Lines Model delineates responsibilities across business operations, risk, and oversight functions to support coordinated management and oversight of risks.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Three Lines model allocates risk management responsibilities among three distinct groups:</w:t>
      </w:r>
    </w:p>
    <w:p>
      <w:pPr>
        <w:spacing w:after="0" w:line="140" w:lineRule="exact"/>
        <w:rPr>
          <w:sz w:val="20"/>
          <w:szCs w:val="20"/>
          <w:color w:val="auto"/>
        </w:rPr>
      </w:pPr>
    </w:p>
    <w:p>
      <w:pPr>
        <w:ind w:left="180" w:hanging="172"/>
        <w:spacing w:after="0"/>
        <w:tabs>
          <w:tab w:leader="none" w:pos="180" w:val="left"/>
        </w:tabs>
        <w:numPr>
          <w:ilvl w:val="0"/>
          <w:numId w:val="76"/>
        </w:numPr>
        <w:rPr>
          <w:rFonts w:ascii="Arial" w:cs="Arial" w:eastAsia="Arial" w:hAnsi="Arial"/>
          <w:sz w:val="16"/>
          <w:szCs w:val="16"/>
          <w:b w:val="1"/>
          <w:bCs w:val="1"/>
          <w:color w:val="170D67"/>
        </w:rPr>
      </w:pPr>
      <w:r>
        <w:rPr>
          <w:rFonts w:ascii="Arial" w:cs="Arial" w:eastAsia="Arial" w:hAnsi="Arial"/>
          <w:sz w:val="16"/>
          <w:szCs w:val="16"/>
          <w:color w:val="auto"/>
        </w:rPr>
        <w:t>First Line: Functions that own and manage risk,</w:t>
      </w:r>
    </w:p>
    <w:p>
      <w:pPr>
        <w:spacing w:after="0" w:line="99" w:lineRule="exact"/>
        <w:rPr>
          <w:rFonts w:ascii="Arial" w:cs="Arial" w:eastAsia="Arial" w:hAnsi="Arial"/>
          <w:sz w:val="16"/>
          <w:szCs w:val="16"/>
          <w:b w:val="1"/>
          <w:bCs w:val="1"/>
          <w:color w:val="170D67"/>
        </w:rPr>
      </w:pPr>
    </w:p>
    <w:p>
      <w:pPr>
        <w:ind w:left="180" w:hanging="172"/>
        <w:spacing w:after="0"/>
        <w:tabs>
          <w:tab w:leader="none" w:pos="180" w:val="left"/>
        </w:tabs>
        <w:numPr>
          <w:ilvl w:val="0"/>
          <w:numId w:val="76"/>
        </w:numPr>
        <w:rPr>
          <w:rFonts w:ascii="Arial" w:cs="Arial" w:eastAsia="Arial" w:hAnsi="Arial"/>
          <w:sz w:val="16"/>
          <w:szCs w:val="16"/>
          <w:b w:val="1"/>
          <w:bCs w:val="1"/>
          <w:color w:val="170D67"/>
        </w:rPr>
      </w:pPr>
      <w:r>
        <w:rPr>
          <w:rFonts w:ascii="Arial" w:cs="Arial" w:eastAsia="Arial" w:hAnsi="Arial"/>
          <w:sz w:val="16"/>
          <w:szCs w:val="16"/>
          <w:color w:val="auto"/>
        </w:rPr>
        <w:t>Second Line: Functions that monitor internal and external compliance regarding risk-related matters, and</w:t>
      </w:r>
    </w:p>
    <w:p>
      <w:pPr>
        <w:spacing w:after="0" w:line="99" w:lineRule="exact"/>
        <w:rPr>
          <w:rFonts w:ascii="Arial" w:cs="Arial" w:eastAsia="Arial" w:hAnsi="Arial"/>
          <w:sz w:val="16"/>
          <w:szCs w:val="16"/>
          <w:b w:val="1"/>
          <w:bCs w:val="1"/>
          <w:color w:val="170D67"/>
        </w:rPr>
      </w:pPr>
    </w:p>
    <w:p>
      <w:pPr>
        <w:ind w:left="180" w:hanging="172"/>
        <w:spacing w:after="0"/>
        <w:tabs>
          <w:tab w:leader="none" w:pos="180" w:val="left"/>
        </w:tabs>
        <w:numPr>
          <w:ilvl w:val="0"/>
          <w:numId w:val="76"/>
        </w:numPr>
        <w:rPr>
          <w:rFonts w:ascii="Arial" w:cs="Arial" w:eastAsia="Arial" w:hAnsi="Arial"/>
          <w:sz w:val="16"/>
          <w:szCs w:val="16"/>
          <w:b w:val="1"/>
          <w:bCs w:val="1"/>
          <w:color w:val="170D67"/>
        </w:rPr>
      </w:pPr>
      <w:r>
        <w:rPr>
          <w:rFonts w:ascii="Arial" w:cs="Arial" w:eastAsia="Arial" w:hAnsi="Arial"/>
          <w:sz w:val="16"/>
          <w:szCs w:val="16"/>
          <w:color w:val="auto"/>
        </w:rPr>
        <w:t>Third Line: Function that provides independent assurance. At Exelon, this is Exelon Audit Services (EAS).</w:t>
      </w:r>
    </w:p>
    <w:p>
      <w:pPr>
        <w:spacing w:after="0" w:line="127"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auto"/>
        </w:rPr>
        <w:t>The ERM team works collaboratively with business teams to help them identify and assess risks, and to better understand how to manage risks and establish tolerances that allow for growth while staying within our risk appetite. This includes but is not limited to supporting business teams in connection with the following processes: identifying and assessing the management of top enterprise risks, monitoring top enterprise risks using enterprise risk management tools, such as Key Risk Indicators (KRIs) and bow-tie risk assessments, identifying, monitoring, and assessing emerging risks, and reviewing proposed capital projects.</w:t>
      </w:r>
    </w:p>
    <w:p>
      <w:pPr>
        <w:spacing w:after="0" w:line="80"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ERM provides an enterprise-wide view of risks and risk management practices and provides reporting regarding risk management issues to senior leadership and the Board. Each operating company has a Risk Management Committee tasked with identifying and evaluating the most significant risks of the business and the actions needed to manage and mitigate those risks. The senior executives of the business, as well as ERM, discuss risks with the ARC.</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Other Board Responsibilities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Oversight of Strategy</w:t>
      </w:r>
    </w:p>
    <w:p>
      <w:pPr>
        <w:spacing w:after="0" w:line="122"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The Board and its Committees provide oversight of the Company’s business strategy throughout the year. Various elements of strategy are discussed at every Board meeting, as well as at many meetings of the Committees, and the Board receives regular updates on progress and execution from, and provides guidance to, our management team. The Board dedicates at least one meeting each year to a deep dive on strategic planning and oversight. These sessions create a dedicated forum for a fluid exchange of viewpoints and ideas on the Company’s strategic direction and identifying new opportunities and risks as management executes upon the Company’s strategy.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Oversight of Sustainability</w:t>
      </w:r>
    </w:p>
    <w:p>
      <w:pPr>
        <w:spacing w:after="0" w:line="122"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The Board’s oversight of strategy and risks includes oversight of key sustainability and responsible business matters at both the Committee and full Board levels. Issues such as climate resilience, cybersecurity, talent management, and safety are important to the long-term success of the Company and, accordingly, are integrated into topics reviewed and discussed at Board meetings throughout the year.</w:t>
      </w:r>
    </w:p>
    <w:p>
      <w:pPr>
        <w:spacing w:after="0" w:line="71"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Each of the Committees also has oversight of issues relevant to their domain. The ARC reviews SEC disclosures related to human capital management, environmental, and cybersecurity risks. The TMCC is actively involved in overseeing policies related to talent development and corporate culture. The CGC is tasked with overseeing sustainability and climate change strategies and efforts to protect and improve the environment as well as overseeing political contributions. And lastly, the OSCC oversees key operational issues, including safety.</w:t>
      </w:r>
    </w:p>
    <w:p>
      <w:pPr>
        <w:spacing w:after="0" w:line="59"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The full Board oversees all other relevant issues, including, but not limited to, evaluating business risks related to climate change; reviewing investment and divestment opportunities related to climate risks; workforce development; and corporate philanthropy.</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780"/>
              <w:spacing w:after="0"/>
              <w:rPr>
                <w:sz w:val="20"/>
                <w:szCs w:val="20"/>
                <w:color w:val="auto"/>
              </w:rPr>
            </w:pPr>
            <w:r>
              <w:rPr>
                <w:rFonts w:ascii="Arial" w:cs="Arial" w:eastAsia="Arial" w:hAnsi="Arial"/>
                <w:sz w:val="14"/>
                <w:szCs w:val="14"/>
                <w:color w:val="auto"/>
              </w:rPr>
              <w:t>2025 ׀ Exelon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27</w:t>
            </w:r>
          </w:p>
        </w:tc>
      </w:tr>
      <w:tr>
        <w:trPr>
          <w:trHeight w:val="225"/>
        </w:trPr>
        <w:tc>
          <w:tcPr>
            <w:tcW w:w="1092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3"/>
          <w:szCs w:val="13"/>
          <w:b w:val="1"/>
          <w:bCs w:val="1"/>
          <w:color w:val="auto"/>
        </w:rPr>
        <w:t>Board and Corporate Governance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Oversight of Cybersecurity</w:t>
      </w:r>
    </w:p>
    <w:p>
      <w:pPr>
        <w:spacing w:after="0" w:line="12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business serves millions of customers, including governmental customers, making us part of the nation’s critical infrastructure. Accordingly, cybersecurity is a high priority at Exelon, and the Board devotes significant time and attention to overseeing cyber and information security risk. We frequently assess our cybersecurity capabilities and embrace continuous improvement to protect assets critical to grid reliability and national security, as well as customer information.</w:t>
      </w:r>
    </w:p>
    <w:p>
      <w:pPr>
        <w:spacing w:after="0" w:line="72" w:lineRule="exact"/>
        <w:rPr>
          <w:sz w:val="20"/>
          <w:szCs w:val="20"/>
          <w:color w:val="auto"/>
        </w:rPr>
      </w:pPr>
    </w:p>
    <w:p>
      <w:pPr>
        <w:ind w:right="260"/>
        <w:spacing w:after="0" w:line="283" w:lineRule="auto"/>
        <w:rPr>
          <w:sz w:val="20"/>
          <w:szCs w:val="20"/>
          <w:color w:val="auto"/>
        </w:rPr>
      </w:pPr>
      <w:r>
        <w:rPr>
          <w:rFonts w:ascii="Arial" w:cs="Arial" w:eastAsia="Arial" w:hAnsi="Arial"/>
          <w:sz w:val="16"/>
          <w:szCs w:val="16"/>
          <w:color w:val="auto"/>
        </w:rPr>
        <w:t>In 2022, the Board adopted a Cybersecurity Oversight Policy to specifically address their oversight of management’s cybersecurity program and Exelon’s enterprise-wide risk related to cybersecurity, including management’s identification, assessment, and mitigation of cybersecurity risks, and the Board engages regularly with management regarding risks from cybersecurity threats. Additional information about the Board’s oversight of cybersecurity and Exelon’s cybersecurity risk management strategies can be found in Item 1C of Exelon’s 2024 Annual Report on Form 10-K.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Oversight of Utility Boards</w:t>
      </w:r>
    </w:p>
    <w:p>
      <w:pPr>
        <w:spacing w:after="0" w:line="122"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Each of Exelon’s six utilities are wholly or majority owned by Exelon (i.e., controlled companies). However, each utility maintains its own board of directors with independent directors to ensure independent and engaged oversight of utility operations.</w:t>
      </w:r>
    </w:p>
    <w:p>
      <w:pPr>
        <w:spacing w:after="0" w:line="48"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CGC and Board have adopted governance and structural documents for the utility boards to reflect strong and consistent governance practices, such as clearly defining utility director qualifications and core competencies, which include the need to reflect the diversity of the communities served; clarifying utility boards’ duties and limits of authority to align with the parameters of the controlled company structure; and implementing formal annual utility board and director evaluations.</w:t>
      </w:r>
    </w:p>
    <w:p>
      <w:pPr>
        <w:spacing w:after="0" w:line="77"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Pursuant to its charter, the CGC’s responsibilities for oversight of the utility boards include (1) determining utility board size and consulting on the appropriate skills needed for each utility board; (2) assessing potential utility board candidates and approving utility director elections; (3) reviewing and recommending evaluation processes and criteria and annually reviewing the results of completed evaluations; and (4) annually reviewing all utility board governing documents, policies, and practices to ensure alignment with Exelon interests and best practices for controlled company governance and recommending revisions as needed.</w:t>
      </w:r>
    </w:p>
    <w:p>
      <w:pPr>
        <w:spacing w:after="0" w:line="80"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Oversight of the utility boards also includes an annual assessments of each utility board and utility director. Utility directors are provided a list of questions and topics to review prior to discussion with the utilities board chair or his delegate. Results of these interviews are summarized and presented to the CGC, and appropriate feedback is communicated to individual directors as needed.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80" w:hanging="454"/>
        <w:spacing w:after="0"/>
        <w:tabs>
          <w:tab w:leader="none" w:pos="480" w:val="left"/>
        </w:tabs>
        <w:numPr>
          <w:ilvl w:val="0"/>
          <w:numId w:val="7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jc w:val="right"/>
        <w:spacing w:after="0"/>
        <w:rPr>
          <w:sz w:val="20"/>
          <w:szCs w:val="20"/>
          <w:color w:val="auto"/>
        </w:rPr>
      </w:pPr>
      <w:r>
        <w:rPr>
          <w:rFonts w:ascii="Arial" w:cs="Arial" w:eastAsia="Arial" w:hAnsi="Arial"/>
          <w:sz w:val="13"/>
          <w:szCs w:val="13"/>
          <w:b w:val="1"/>
          <w:bCs w:val="1"/>
          <w:color w:val="auto"/>
        </w:rPr>
        <w:t>Board and Corporate Governance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Board Composition and Leadership</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Board Composition and Refreshment</w:t>
      </w:r>
    </w:p>
    <w:p>
      <w:pPr>
        <w:spacing w:after="0" w:line="122"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CGC regularly reviews the composition of the Board, and, while the CGC does not have a formal policy, the CGC considers diversity to be an important consideration when evaluating Board composition and director qualifications. The CGC considers all aspects of diversity, such as diversity of background, skills, gender, race or ethnicity, as well as professional and life experience.</w:t>
      </w:r>
    </w:p>
    <w:p>
      <w:pPr>
        <w:spacing w:after="0" w:line="5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CGC is also responsible for considering the long-term composition of the Board and believes in the value of new perspectives and fresh ideas that come from adding new directors to the Board. The CGC also closely considers the pacing of expanding the Board so that new additions have sufficient overlap with longer-tenured directors to learn the business and understand the operations and culture of the Board. The Board also considers a gradual refreshment process to be appropriate in order to avoid significant disruptions to the normal course of business.</w:t>
      </w:r>
    </w:p>
    <w:p>
      <w:pPr>
        <w:spacing w:after="0" w:line="59"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auto"/>
        </w:rPr>
        <w:t>If each Director nominee is elected to the Board, after the 2025 Annual Shareholders’ Meeting, our incumbent Directors will have served an average of 3.0 years on the Board. The Board generally believes that a mix of short-, medium-, and long-tenured directors promotes an appropriate balance of views and insights and allows the Board as a whole to benefit from the balance of fresh perspectives and deep institutional knowledge. The Board has recently undergone significant refreshment with five Director nominees having tenure of two years or less. With the number of new Directors, the Board has prioritized robust onboarding as well as creating opportunities for Directors to interact outside the boardroom.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Board Leadership</w:t>
      </w:r>
    </w:p>
    <w:p>
      <w:pPr>
        <w:spacing w:after="0" w:line="122"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Exelon’s bylaws permit the independent members of the Board to determine the leadership structure of the Board including whether the roles of Board Chair and Chief Executive Officer should be performed by the same individual or whether the roles should be performed by separate individuals. The Board believes that separation of these functions is not required as a matter of policy, and whether to combine the roles or not is a matter for the Board’s sole discretion, taking into consideration the current and anticipated circumstances of the Company, the skills, and experiences of the individual or individuals in question, and the leadership composition of the Board.</w:t>
      </w:r>
    </w:p>
    <w:p>
      <w:pPr>
        <w:spacing w:after="0" w:line="80"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The Board separated the roles of Board Chair and Chief Executive Officer in 2012 and continues to find that this leadership structure ensures independent oversight and promotes the Board’s ability to effectively represent the best interests of all shareholders. This structure gives primary responsibility for the operational leadership and strategic direction of the Company to our CEO, while the Board Chair facilitates our Board’s independent oversight of management, serves as principal liaison between the Board and senior management, and leads our Board’s consideration of key governance matters.</w:t>
      </w:r>
    </w:p>
    <w:p>
      <w:pPr>
        <w:spacing w:after="0" w:line="59"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color w:val="auto"/>
        </w:rPr>
        <w:t>The Board recognizes that no single leadership model is right for all companies at all times. Accordingly, the Board periodically reviews its leadership structure as circumstances warrant. The Board is committed to continued independent oversight at all times, and our Corporate Governance Principles provide that the independent members of the Board shall select and elect a Lead Independent Director in the event the Board Chair and Chief Executive Officer roles are held by the same individual, or the person holding the role of Board Chair is not independent under Exelon’s Independence Standards for Directors.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Selection of a New Independent Board Chair</w:t>
      </w:r>
    </w:p>
    <w:p>
      <w:pPr>
        <w:spacing w:after="0" w:line="12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John Young will not be standing for re-election at the 2025 annual meeting of shareholders. In connection with Mr. Young stepping down as Board Chair following the 2025 annual meeting, the Board facilitated a formalized, robust selection process to identify and select the next independent Board Chair. After the completion of the selection process, in which all current Directors (except Mr. DeWalt, who joined the Board in March 2025) participated, the Board selected Paul Bowers as Mr. Young’s successor. Following the 2025 annual meeting and assuming his election, Mr. Bowers will serve as the new independent Board Chair. The Board is grateful for Mr. Young’s service and contributions to the Company.</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780"/>
              <w:spacing w:after="0"/>
              <w:rPr>
                <w:sz w:val="20"/>
                <w:szCs w:val="20"/>
                <w:color w:val="auto"/>
              </w:rPr>
            </w:pPr>
            <w:r>
              <w:rPr>
                <w:rFonts w:ascii="Arial" w:cs="Arial" w:eastAsia="Arial" w:hAnsi="Arial"/>
                <w:sz w:val="14"/>
                <w:szCs w:val="14"/>
                <w:color w:val="auto"/>
              </w:rPr>
              <w:t>2025 ׀ Exelon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29</w:t>
            </w:r>
          </w:p>
        </w:tc>
      </w:tr>
      <w:tr>
        <w:trPr>
          <w:trHeight w:val="225"/>
        </w:trPr>
        <w:tc>
          <w:tcPr>
            <w:tcW w:w="1092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color w:val="auto"/>
        </w:rPr>
        <w:t>Board and Corporate Governance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Director Onboarding and Continuing Education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Director Onboarding</w:t>
      </w:r>
    </w:p>
    <w:p>
      <w:pPr>
        <w:spacing w:after="0" w:line="122"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The Board has an orientation and onboarding program for new Directors and provides continuing education for all Directors that is overseen by the CGC. The orientation program is tailored to the needs of each new Director depending on his or her level of experience serving on other boards and knowledge of the Company or industry. Materials provided to new Directors include information on the Company’s vision and strategic direction, financial matters, principal operating businesses, corporate governance practices, Code of Business Conduct, risk management framework, and other key policies and practices, including each of the Company’s policies related to interactions with public officials. The orientation process includes a series of one-on-one meetings with members of senior management for deep-dive briefings on business units and corporate functions.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Continuing Education</w:t>
      </w:r>
    </w:p>
    <w:p>
      <w:pPr>
        <w:spacing w:after="0" w:line="12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Continuing director education is provided during portions of Board and Committee meetings, as needed, and is focused on topics necessary to enable the Board to effectively consider issues before them at that time (such as new regulatory or accounting standards). Education may take the form of presentations from senior leadership or other subject matter experts within the Company, cybersecurity workshops or tabletop exercises, presentations from external advisors, or “white papers” which are deep dives into timely subjects or topics. The ARC periodically holds sessions devoted to education on new accounting rules and standards and/or topics deemed to be helpful to having a good understanding of our accounting practices and financial statements.</w:t>
      </w:r>
    </w:p>
    <w:p>
      <w:pPr>
        <w:spacing w:after="0" w:line="61"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Additionally, Directors may attend educational seminars and programs sponsored by external organizations. Directors may self-identify programs or choose from a curated list of external educational opportunities, including programs related to board governance and related matters as well as utility industry educational programs.</w:t>
      </w:r>
    </w:p>
    <w:p>
      <w:pPr>
        <w:spacing w:after="0" w:line="23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Board and Committee Engagement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Board Engagement</w:t>
      </w:r>
    </w:p>
    <w:p>
      <w:pPr>
        <w:spacing w:after="0" w:line="12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Board and its Committees met throughout the year on a set schedule, held special meetings, and acted by written consent from time to time as necessary. We expect each Director to attend every meeting of the Board and the Committees on which the Director serves. The Board of Directors held six meetings during 2024, including a strategy retreat with senior officers of Exelon and its subsidiary companies. Each Director attended at least 75% of the meetings of the Board and each Committee on which the Director served in 2024 (held during the period in which the director served), and on average Directors attended 98% of their respective Board and Committee meetings.</w:t>
      </w:r>
    </w:p>
    <w:p>
      <w:pPr>
        <w:spacing w:after="0" w:line="61" w:lineRule="exact"/>
        <w:rPr>
          <w:sz w:val="20"/>
          <w:szCs w:val="20"/>
          <w:color w:val="auto"/>
        </w:rPr>
      </w:pPr>
    </w:p>
    <w:p>
      <w:pPr>
        <w:ind w:right="620"/>
        <w:spacing w:after="0" w:line="321" w:lineRule="auto"/>
        <w:rPr>
          <w:sz w:val="20"/>
          <w:szCs w:val="20"/>
          <w:color w:val="auto"/>
        </w:rPr>
      </w:pPr>
      <w:r>
        <w:rPr>
          <w:rFonts w:ascii="Arial" w:cs="Arial" w:eastAsia="Arial" w:hAnsi="Arial"/>
          <w:sz w:val="16"/>
          <w:szCs w:val="16"/>
          <w:color w:val="auto"/>
        </w:rPr>
        <w:t>All Director nominees are expected to participate in the annual meeting of shareholders, and all nominees for Director at the 2024 annual meeting of shareholders attended the meeting.</w:t>
      </w:r>
    </w:p>
    <w:p>
      <w:pPr>
        <w:spacing w:after="0" w:line="34"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At each regular Board meeting, time is reserved for the independent Directors to meet in executive session without the CEO present. The executive leadership team regularly attends Board meetings to present information on our business and strategy, and Board members have access to our employees outside of Board meetings.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Committee Engagement</w:t>
      </w:r>
    </w:p>
    <w:p>
      <w:pPr>
        <w:spacing w:after="0" w:line="12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Board assigns responsibilities and delegates authority to its Committees, and the Committees regularly report on their activities and actions to the full Board. During 2024, there were four standing Committees of the Board: Audit and Risk (ARC), Corporate Governance (CGC), Operations, Safety, and Customer Experience (OSCC), and Talent Management and Compensation (TMCC). Each Committee has the authority to engage outside experts, advisors, and counsel to assist the Committee in its work.</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Board Chair and CEO generally attend all Committee meetings and all Committees meet regularly in executive session without management present.</w:t>
      </w:r>
    </w:p>
    <w:p>
      <w:pPr>
        <w:spacing w:after="0" w:line="140"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 xml:space="preserve">Each Committee is governed by a Board-approved charter stating its responsibilities, which is reviewed annually and updated as appropriate. The charters are available on the Governance Overview section of Exelon website at </w:t>
      </w:r>
      <w:r>
        <w:rPr>
          <w:rFonts w:ascii="Arial" w:cs="Arial" w:eastAsia="Arial" w:hAnsi="Arial"/>
          <w:sz w:val="16"/>
          <w:szCs w:val="16"/>
          <w:b w:val="1"/>
          <w:bCs w:val="1"/>
          <w:color w:val="auto"/>
        </w:rPr>
        <w:t>www.exeloncorp.com</w:t>
      </w:r>
      <w:r>
        <w:rPr>
          <w:rFonts w:ascii="Arial" w:cs="Arial" w:eastAsia="Arial" w:hAnsi="Arial"/>
          <w:sz w:val="16"/>
          <w:szCs w:val="16"/>
          <w:color w:val="auto"/>
        </w:rPr>
        <w:t xml:space="preserve"> and in print to any shareholder who requests a copy from Exelon’s Corporate Secretary.</w:t>
      </w:r>
    </w:p>
    <w:p>
      <w:pPr>
        <w:spacing w:after="0" w:line="200" w:lineRule="exact"/>
        <w:rPr>
          <w:sz w:val="20"/>
          <w:szCs w:val="20"/>
          <w:color w:val="auto"/>
        </w:rPr>
      </w:pPr>
    </w:p>
    <w:p>
      <w:pPr>
        <w:spacing w:after="0" w:line="389" w:lineRule="exact"/>
        <w:rPr>
          <w:sz w:val="20"/>
          <w:szCs w:val="20"/>
          <w:color w:val="auto"/>
        </w:rPr>
      </w:pPr>
    </w:p>
    <w:p>
      <w:pPr>
        <w:ind w:left="480" w:hanging="454"/>
        <w:spacing w:after="0"/>
        <w:tabs>
          <w:tab w:leader="none" w:pos="480" w:val="left"/>
        </w:tabs>
        <w:numPr>
          <w:ilvl w:val="0"/>
          <w:numId w:val="7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jc w:val="right"/>
        <w:spacing w:after="0"/>
        <w:rPr>
          <w:sz w:val="20"/>
          <w:szCs w:val="20"/>
          <w:color w:val="auto"/>
        </w:rPr>
      </w:pPr>
      <w:r>
        <w:rPr>
          <w:rFonts w:ascii="Arial" w:cs="Arial" w:eastAsia="Arial" w:hAnsi="Arial"/>
          <w:sz w:val="13"/>
          <w:szCs w:val="13"/>
          <w:b w:val="1"/>
          <w:bCs w:val="1"/>
          <w:color w:val="auto"/>
        </w:rPr>
        <w:t>Board and Corporate Governance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Committee Assignments and Rotation</w:t>
      </w:r>
    </w:p>
    <w:p>
      <w:pPr>
        <w:spacing w:after="0" w:line="122"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The CGC and the Board understand the importance of bringing fresh and varied perspectives to the Board and its Committees, whose composition the CGC evaluates at least annually.</w:t>
      </w:r>
    </w:p>
    <w:p>
      <w:pPr>
        <w:spacing w:after="0" w:line="48"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composition of each Committee as set forth below on the following pages reflects the Committee’s composition during 2024; however, the Board has approved the following Committee assignment changes that will take effect as of April 27, 2025: Paul Bowers will step down as ARC Chair and Bryan Segedi will assume the ARC Chair role; Paul Bowers will step off of OSCC and join TMCC; and Linda Jojo will join CGC. If re-elected, Ms. Jojo will assume the role of Chair of CGC, effective April 29, 2025.</w:t>
      </w:r>
    </w:p>
    <w:p>
      <w:pPr>
        <w:spacing w:after="0" w:line="7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When new Directors are appointed to the Board, the CGC uses the opportunity to reevaluate whether the composition of the Board Committees should evolve as well to ensure the appropriate depth of skills and experiences. As part of the onboarding process, new Directors are generally invited to attend all Committee meetings for at least two regular meeting cycles before the Board determines their Committee assignments. As Mr. DeWalt joined the Board in March 2025, he has not yet been assigned to any Committees.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Board Committees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Audit and Risk Committee (ARC)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23430"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23430" cy="34290"/>
                    </a:xfrm>
                    <a:prstGeom prst="rect">
                      <a:avLst/>
                    </a:prstGeom>
                    <a:noFill/>
                  </pic:spPr>
                </pic:pic>
              </a:graphicData>
            </a:graphic>
          </wp:anchor>
        </w:drawing>
      </w:r>
    </w:p>
    <w:p>
      <w:pPr>
        <w:spacing w:after="0" w:line="301" w:lineRule="exact"/>
        <w:rPr>
          <w:sz w:val="20"/>
          <w:szCs w:val="20"/>
          <w:color w:val="auto"/>
        </w:rPr>
      </w:pPr>
    </w:p>
    <w:p>
      <w:pPr>
        <w:ind w:left="3120"/>
        <w:spacing w:after="0"/>
        <w:rPr>
          <w:sz w:val="20"/>
          <w:szCs w:val="20"/>
          <w:color w:val="auto"/>
        </w:rPr>
      </w:pPr>
      <w:r>
        <w:rPr>
          <w:rFonts w:ascii="Arial" w:cs="Arial" w:eastAsia="Arial" w:hAnsi="Arial"/>
          <w:sz w:val="15"/>
          <w:szCs w:val="15"/>
          <w:color w:val="auto"/>
        </w:rPr>
        <w:t xml:space="preserve">Members: </w:t>
      </w:r>
      <w:r>
        <w:rPr>
          <w:rFonts w:ascii="Arial" w:cs="Arial" w:eastAsia="Arial" w:hAnsi="Arial"/>
          <w:sz w:val="15"/>
          <w:szCs w:val="15"/>
          <w:color w:val="170D67"/>
        </w:rPr>
        <w:t>Jojo, Richo, Rogers, Segedi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-89535</wp:posOffset>
            </wp:positionV>
            <wp:extent cx="4174490" cy="7626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17449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120"/>
        <w:spacing w:after="0"/>
        <w:rPr>
          <w:sz w:val="20"/>
          <w:szCs w:val="20"/>
          <w:color w:val="auto"/>
        </w:rPr>
      </w:pPr>
      <w:r>
        <w:rPr>
          <w:rFonts w:ascii="Arial" w:cs="Arial" w:eastAsia="Arial" w:hAnsi="Arial"/>
          <w:sz w:val="15"/>
          <w:szCs w:val="15"/>
          <w:color w:val="auto"/>
        </w:rPr>
        <w:t>Committee is 100% Independent</w:t>
      </w:r>
    </w:p>
    <w:p>
      <w:pPr>
        <w:spacing w:after="0" w:line="209" w:lineRule="exact"/>
        <w:rPr>
          <w:sz w:val="20"/>
          <w:szCs w:val="20"/>
          <w:color w:val="auto"/>
        </w:rPr>
      </w:pPr>
    </w:p>
    <w:p>
      <w:pPr>
        <w:ind w:left="20"/>
        <w:spacing w:after="0"/>
        <w:tabs>
          <w:tab w:leader="none" w:pos="3100" w:val="left"/>
        </w:tabs>
        <w:rPr>
          <w:sz w:val="20"/>
          <w:szCs w:val="20"/>
          <w:color w:val="auto"/>
        </w:rPr>
      </w:pPr>
      <w:r>
        <w:rPr>
          <w:rFonts w:ascii="Arial" w:cs="Arial" w:eastAsia="Arial" w:hAnsi="Arial"/>
          <w:sz w:val="16"/>
          <w:szCs w:val="16"/>
          <w:b w:val="1"/>
          <w:bCs w:val="1"/>
          <w:color w:val="170D67"/>
        </w:rPr>
        <w:t>Chair: Paul Bowers</w:t>
      </w:r>
      <w:r>
        <w:rPr>
          <w:sz w:val="20"/>
          <w:szCs w:val="20"/>
          <w:color w:val="auto"/>
        </w:rPr>
        <w:tab/>
      </w:r>
      <w:r>
        <w:rPr>
          <w:rFonts w:ascii="Arial" w:cs="Arial" w:eastAsia="Arial" w:hAnsi="Arial"/>
          <w:sz w:val="15"/>
          <w:szCs w:val="15"/>
          <w:b w:val="1"/>
          <w:bCs w:val="1"/>
          <w:color w:val="auto"/>
        </w:rPr>
        <w:t>Meetings in 2024: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2343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3A5CFF"/>
        </w:rPr>
        <w:t>The ARC’s duties and responsibilities include the following:</w:t>
      </w:r>
    </w:p>
    <w:p>
      <w:pPr>
        <w:spacing w:after="0" w:line="113" w:lineRule="exact"/>
        <w:rPr>
          <w:sz w:val="20"/>
          <w:szCs w:val="20"/>
          <w:color w:val="auto"/>
        </w:rPr>
      </w:pPr>
    </w:p>
    <w:p>
      <w:pPr>
        <w:ind w:left="220" w:hanging="160"/>
        <w:spacing w:after="0"/>
        <w:tabs>
          <w:tab w:leader="none" w:pos="220" w:val="left"/>
        </w:tabs>
        <w:numPr>
          <w:ilvl w:val="0"/>
          <w:numId w:val="79"/>
        </w:numPr>
        <w:rPr>
          <w:rFonts w:ascii="Arial" w:cs="Arial" w:eastAsia="Arial" w:hAnsi="Arial"/>
          <w:sz w:val="16"/>
          <w:szCs w:val="16"/>
          <w:b w:val="1"/>
          <w:bCs w:val="1"/>
          <w:color w:val="170D67"/>
        </w:rPr>
      </w:pPr>
      <w:r>
        <w:rPr>
          <w:rFonts w:ascii="Arial" w:cs="Arial" w:eastAsia="Arial" w:hAnsi="Arial"/>
          <w:sz w:val="16"/>
          <w:szCs w:val="16"/>
          <w:color w:val="auto"/>
        </w:rPr>
        <w:t>Assists Board in the oversight and review of the quality and integrity of the Company’s financial statements and internal controls over financial reporting</w:t>
      </w:r>
    </w:p>
    <w:p>
      <w:pPr>
        <w:spacing w:after="0" w:line="99" w:lineRule="exact"/>
        <w:rPr>
          <w:rFonts w:ascii="Arial" w:cs="Arial" w:eastAsia="Arial" w:hAnsi="Arial"/>
          <w:sz w:val="16"/>
          <w:szCs w:val="16"/>
          <w:b w:val="1"/>
          <w:bCs w:val="1"/>
          <w:color w:val="170D67"/>
        </w:rPr>
      </w:pPr>
    </w:p>
    <w:p>
      <w:pPr>
        <w:ind w:left="220" w:hanging="160"/>
        <w:spacing w:after="0"/>
        <w:tabs>
          <w:tab w:leader="none" w:pos="220" w:val="left"/>
        </w:tabs>
        <w:numPr>
          <w:ilvl w:val="0"/>
          <w:numId w:val="79"/>
        </w:numPr>
        <w:rPr>
          <w:rFonts w:ascii="Arial" w:cs="Arial" w:eastAsia="Arial" w:hAnsi="Arial"/>
          <w:sz w:val="16"/>
          <w:szCs w:val="16"/>
          <w:b w:val="1"/>
          <w:bCs w:val="1"/>
          <w:color w:val="170D67"/>
        </w:rPr>
      </w:pPr>
      <w:r>
        <w:rPr>
          <w:rFonts w:ascii="Arial" w:cs="Arial" w:eastAsia="Arial" w:hAnsi="Arial"/>
          <w:sz w:val="16"/>
          <w:szCs w:val="16"/>
          <w:color w:val="auto"/>
        </w:rPr>
        <w:t>Appoints, retains, and oversees the independent auditor and evaluates its qualifications, performance, independence, and fees</w:t>
      </w:r>
    </w:p>
    <w:p>
      <w:pPr>
        <w:spacing w:after="0" w:line="99" w:lineRule="exact"/>
        <w:rPr>
          <w:rFonts w:ascii="Arial" w:cs="Arial" w:eastAsia="Arial" w:hAnsi="Arial"/>
          <w:sz w:val="16"/>
          <w:szCs w:val="16"/>
          <w:b w:val="1"/>
          <w:bCs w:val="1"/>
          <w:color w:val="170D67"/>
        </w:rPr>
      </w:pPr>
    </w:p>
    <w:p>
      <w:pPr>
        <w:ind w:left="220" w:hanging="160"/>
        <w:spacing w:after="0"/>
        <w:tabs>
          <w:tab w:leader="none" w:pos="220" w:val="left"/>
        </w:tabs>
        <w:numPr>
          <w:ilvl w:val="0"/>
          <w:numId w:val="79"/>
        </w:numPr>
        <w:rPr>
          <w:rFonts w:ascii="Arial" w:cs="Arial" w:eastAsia="Arial" w:hAnsi="Arial"/>
          <w:sz w:val="16"/>
          <w:szCs w:val="16"/>
          <w:b w:val="1"/>
          <w:bCs w:val="1"/>
          <w:color w:val="170D67"/>
        </w:rPr>
      </w:pPr>
      <w:r>
        <w:rPr>
          <w:rFonts w:ascii="Arial" w:cs="Arial" w:eastAsia="Arial" w:hAnsi="Arial"/>
          <w:sz w:val="16"/>
          <w:szCs w:val="16"/>
          <w:color w:val="auto"/>
        </w:rPr>
        <w:t>Oversees the Company’s internal audit function</w:t>
      </w:r>
    </w:p>
    <w:p>
      <w:pPr>
        <w:spacing w:after="0" w:line="99" w:lineRule="exact"/>
        <w:rPr>
          <w:rFonts w:ascii="Arial" w:cs="Arial" w:eastAsia="Arial" w:hAnsi="Arial"/>
          <w:sz w:val="16"/>
          <w:szCs w:val="16"/>
          <w:b w:val="1"/>
          <w:bCs w:val="1"/>
          <w:color w:val="170D67"/>
        </w:rPr>
      </w:pPr>
    </w:p>
    <w:p>
      <w:pPr>
        <w:ind w:left="260" w:right="60" w:hanging="200"/>
        <w:spacing w:after="0" w:line="316" w:lineRule="auto"/>
        <w:tabs>
          <w:tab w:leader="none" w:pos="230" w:val="left"/>
        </w:tabs>
        <w:numPr>
          <w:ilvl w:val="0"/>
          <w:numId w:val="79"/>
        </w:numPr>
        <w:rPr>
          <w:rFonts w:ascii="Arial" w:cs="Arial" w:eastAsia="Arial" w:hAnsi="Arial"/>
          <w:sz w:val="16"/>
          <w:szCs w:val="16"/>
          <w:b w:val="1"/>
          <w:bCs w:val="1"/>
          <w:color w:val="170D67"/>
        </w:rPr>
      </w:pPr>
      <w:r>
        <w:rPr>
          <w:rFonts w:ascii="Arial" w:cs="Arial" w:eastAsia="Arial" w:hAnsi="Arial"/>
          <w:sz w:val="16"/>
          <w:szCs w:val="16"/>
          <w:color w:val="auto"/>
        </w:rPr>
        <w:t>Oversees risk management functions and strategies, including compliance with risk management program, but excluding cyber, which is managed by the full Board</w:t>
      </w:r>
    </w:p>
    <w:p>
      <w:pPr>
        <w:spacing w:after="0" w:line="1" w:lineRule="exact"/>
        <w:rPr>
          <w:rFonts w:ascii="Arial" w:cs="Arial" w:eastAsia="Arial" w:hAnsi="Arial"/>
          <w:sz w:val="16"/>
          <w:szCs w:val="16"/>
          <w:b w:val="1"/>
          <w:bCs w:val="1"/>
          <w:color w:val="170D67"/>
        </w:rPr>
      </w:pPr>
    </w:p>
    <w:p>
      <w:pPr>
        <w:ind w:left="260" w:right="20" w:hanging="200"/>
        <w:spacing w:after="0" w:line="321" w:lineRule="auto"/>
        <w:tabs>
          <w:tab w:leader="none" w:pos="230" w:val="left"/>
        </w:tabs>
        <w:numPr>
          <w:ilvl w:val="0"/>
          <w:numId w:val="79"/>
        </w:numPr>
        <w:rPr>
          <w:rFonts w:ascii="Arial" w:cs="Arial" w:eastAsia="Arial" w:hAnsi="Arial"/>
          <w:sz w:val="16"/>
          <w:szCs w:val="16"/>
          <w:b w:val="1"/>
          <w:bCs w:val="1"/>
          <w:color w:val="170D67"/>
        </w:rPr>
      </w:pPr>
      <w:r>
        <w:rPr>
          <w:rFonts w:ascii="Arial" w:cs="Arial" w:eastAsia="Arial" w:hAnsi="Arial"/>
          <w:sz w:val="16"/>
          <w:szCs w:val="16"/>
          <w:color w:val="auto"/>
        </w:rPr>
        <w:t>Oversees compliance with Exelon’s Code of Business Conduct, and the process for the receipt and response to complaints regarding accounting, internal controls, ethics, or audit matters</w:t>
      </w:r>
    </w:p>
    <w:p>
      <w:pPr>
        <w:spacing w:after="0" w:line="48"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The Board has determined that Messrs. Bowers, Rogers, and Segedi are “Audit Committee Financial Experts” as defined by SEC rules. The Board has also determined that each member of the ARC is independent as defined by SEC rules. See page 42 for the Audit and Risk Committee Report.</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780"/>
              <w:spacing w:after="0"/>
              <w:rPr>
                <w:sz w:val="20"/>
                <w:szCs w:val="20"/>
                <w:color w:val="auto"/>
              </w:rPr>
            </w:pPr>
            <w:r>
              <w:rPr>
                <w:rFonts w:ascii="Arial" w:cs="Arial" w:eastAsia="Arial" w:hAnsi="Arial"/>
                <w:sz w:val="14"/>
                <w:szCs w:val="14"/>
                <w:color w:val="auto"/>
              </w:rPr>
              <w:t>2025 ׀ Exelon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31</w:t>
            </w:r>
          </w:p>
        </w:tc>
      </w:tr>
      <w:tr>
        <w:trPr>
          <w:trHeight w:val="211"/>
        </w:trPr>
        <w:tc>
          <w:tcPr>
            <w:tcW w:w="109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color w:val="auto"/>
        </w:rPr>
        <w:t>Board and Corporate Governance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Corporate Governance Committee (CGC)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23430" cy="342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23430" cy="34290"/>
                    </a:xfrm>
                    <a:prstGeom prst="rect">
                      <a:avLst/>
                    </a:prstGeom>
                    <a:noFill/>
                  </pic:spPr>
                </pic:pic>
              </a:graphicData>
            </a:graphic>
          </wp:anchor>
        </w:drawing>
      </w:r>
    </w:p>
    <w:p>
      <w:pPr>
        <w:spacing w:after="0" w:line="299" w:lineRule="exact"/>
        <w:rPr>
          <w:sz w:val="20"/>
          <w:szCs w:val="20"/>
          <w:color w:val="auto"/>
        </w:rPr>
      </w:pPr>
    </w:p>
    <w:p>
      <w:pPr>
        <w:ind w:left="3120"/>
        <w:spacing w:after="0"/>
        <w:rPr>
          <w:sz w:val="20"/>
          <w:szCs w:val="20"/>
          <w:color w:val="auto"/>
        </w:rPr>
      </w:pPr>
      <w:r>
        <w:rPr>
          <w:rFonts w:ascii="Arial" w:cs="Arial" w:eastAsia="Arial" w:hAnsi="Arial"/>
          <w:sz w:val="15"/>
          <w:szCs w:val="15"/>
          <w:color w:val="auto"/>
        </w:rPr>
        <w:t xml:space="preserve">Members: </w:t>
      </w:r>
      <w:r>
        <w:rPr>
          <w:rFonts w:ascii="Arial" w:cs="Arial" w:eastAsia="Arial" w:hAnsi="Arial"/>
          <w:sz w:val="15"/>
          <w:szCs w:val="15"/>
          <w:b w:val="1"/>
          <w:bCs w:val="1"/>
          <w:color w:val="170D67"/>
        </w:rPr>
        <w:t>Bowers, Rodgers Cheshire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-36830</wp:posOffset>
            </wp:positionV>
            <wp:extent cx="3042920" cy="7886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04292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120"/>
        <w:spacing w:after="0"/>
        <w:rPr>
          <w:sz w:val="20"/>
          <w:szCs w:val="20"/>
          <w:color w:val="auto"/>
        </w:rPr>
      </w:pPr>
      <w:r>
        <w:rPr>
          <w:rFonts w:ascii="Arial" w:cs="Arial" w:eastAsia="Arial" w:hAnsi="Arial"/>
          <w:sz w:val="15"/>
          <w:szCs w:val="15"/>
          <w:color w:val="auto"/>
        </w:rPr>
        <w:t>Committee is 100% Independent</w:t>
      </w:r>
    </w:p>
    <w:p>
      <w:pPr>
        <w:spacing w:after="0" w:line="195" w:lineRule="exact"/>
        <w:rPr>
          <w:sz w:val="20"/>
          <w:szCs w:val="20"/>
          <w:color w:val="auto"/>
        </w:rPr>
      </w:pPr>
    </w:p>
    <w:p>
      <w:pPr>
        <w:ind w:left="20"/>
        <w:spacing w:after="0"/>
        <w:tabs>
          <w:tab w:leader="none" w:pos="3100" w:val="left"/>
        </w:tabs>
        <w:rPr>
          <w:sz w:val="20"/>
          <w:szCs w:val="20"/>
          <w:color w:val="auto"/>
        </w:rPr>
      </w:pPr>
      <w:r>
        <w:rPr>
          <w:rFonts w:ascii="Arial" w:cs="Arial" w:eastAsia="Arial" w:hAnsi="Arial"/>
          <w:sz w:val="32"/>
          <w:szCs w:val="32"/>
          <w:color w:val="170D67"/>
          <w:vertAlign w:val="superscript"/>
        </w:rPr>
        <w:t>Chair: John Young</w:t>
      </w:r>
      <w:r>
        <w:rPr>
          <w:sz w:val="20"/>
          <w:szCs w:val="20"/>
          <w:color w:val="auto"/>
        </w:rPr>
        <w:tab/>
      </w:r>
      <w:r>
        <w:rPr>
          <w:rFonts w:ascii="Arial" w:cs="Arial" w:eastAsia="Arial" w:hAnsi="Arial"/>
          <w:sz w:val="15"/>
          <w:szCs w:val="15"/>
          <w:b w:val="1"/>
          <w:bCs w:val="1"/>
          <w:color w:val="auto"/>
        </w:rPr>
        <w:t>Meetings in 2024: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2343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3A5CFF"/>
        </w:rPr>
        <w:t>The CGC’s duties and responsibilities include the following:</w:t>
      </w:r>
    </w:p>
    <w:p>
      <w:pPr>
        <w:spacing w:after="0" w:line="127" w:lineRule="exact"/>
        <w:rPr>
          <w:sz w:val="20"/>
          <w:szCs w:val="20"/>
          <w:color w:val="auto"/>
        </w:rPr>
      </w:pPr>
    </w:p>
    <w:p>
      <w:pPr>
        <w:ind w:left="260" w:right="780" w:hanging="200"/>
        <w:spacing w:after="0" w:line="304" w:lineRule="auto"/>
        <w:tabs>
          <w:tab w:leader="none" w:pos="230" w:val="left"/>
        </w:tabs>
        <w:numPr>
          <w:ilvl w:val="0"/>
          <w:numId w:val="80"/>
        </w:numPr>
        <w:rPr>
          <w:rFonts w:ascii="Arial" w:cs="Arial" w:eastAsia="Arial" w:hAnsi="Arial"/>
          <w:sz w:val="16"/>
          <w:szCs w:val="16"/>
          <w:b w:val="1"/>
          <w:bCs w:val="1"/>
          <w:color w:val="170D67"/>
        </w:rPr>
      </w:pPr>
      <w:r>
        <w:rPr>
          <w:rFonts w:ascii="Arial" w:cs="Arial" w:eastAsia="Arial" w:hAnsi="Arial"/>
          <w:sz w:val="16"/>
          <w:szCs w:val="16"/>
          <w:color w:val="auto"/>
        </w:rPr>
        <w:t>Identifies and recommends qualified candidates for election by the Board and shareholders and oversees Board and Committee structure and composition</w:t>
      </w:r>
    </w:p>
    <w:p>
      <w:pPr>
        <w:spacing w:after="0" w:line="19" w:lineRule="exact"/>
        <w:rPr>
          <w:rFonts w:ascii="Arial" w:cs="Arial" w:eastAsia="Arial" w:hAnsi="Arial"/>
          <w:sz w:val="16"/>
          <w:szCs w:val="16"/>
          <w:b w:val="1"/>
          <w:bCs w:val="1"/>
          <w:color w:val="170D67"/>
        </w:rPr>
      </w:pPr>
    </w:p>
    <w:p>
      <w:pPr>
        <w:ind w:left="260" w:hanging="200"/>
        <w:spacing w:after="0" w:line="321" w:lineRule="auto"/>
        <w:tabs>
          <w:tab w:leader="none" w:pos="230" w:val="left"/>
        </w:tabs>
        <w:numPr>
          <w:ilvl w:val="0"/>
          <w:numId w:val="80"/>
        </w:numPr>
        <w:rPr>
          <w:rFonts w:ascii="Arial" w:cs="Arial" w:eastAsia="Arial" w:hAnsi="Arial"/>
          <w:sz w:val="16"/>
          <w:szCs w:val="16"/>
          <w:b w:val="1"/>
          <w:bCs w:val="1"/>
          <w:color w:val="170D67"/>
        </w:rPr>
      </w:pPr>
      <w:r>
        <w:rPr>
          <w:rFonts w:ascii="Arial" w:cs="Arial" w:eastAsia="Arial" w:hAnsi="Arial"/>
          <w:sz w:val="16"/>
          <w:szCs w:val="16"/>
          <w:color w:val="auto"/>
        </w:rPr>
        <w:t>Recommends Corporate Governance Principles and advises on corporate governance issues including evaluation processes for the Board, Committees, each Director, the Board Chair, and the CEO</w:t>
      </w:r>
    </w:p>
    <w:p>
      <w:pPr>
        <w:spacing w:after="0" w:line="7" w:lineRule="exact"/>
        <w:rPr>
          <w:rFonts w:ascii="Arial" w:cs="Arial" w:eastAsia="Arial" w:hAnsi="Arial"/>
          <w:sz w:val="16"/>
          <w:szCs w:val="16"/>
          <w:b w:val="1"/>
          <w:bCs w:val="1"/>
          <w:color w:val="170D67"/>
        </w:rPr>
      </w:pPr>
    </w:p>
    <w:p>
      <w:pPr>
        <w:ind w:left="220" w:hanging="160"/>
        <w:spacing w:after="0"/>
        <w:tabs>
          <w:tab w:leader="none" w:pos="220" w:val="left"/>
        </w:tabs>
        <w:numPr>
          <w:ilvl w:val="0"/>
          <w:numId w:val="80"/>
        </w:numPr>
        <w:rPr>
          <w:rFonts w:ascii="Arial" w:cs="Arial" w:eastAsia="Arial" w:hAnsi="Arial"/>
          <w:sz w:val="16"/>
          <w:szCs w:val="16"/>
          <w:b w:val="1"/>
          <w:bCs w:val="1"/>
          <w:color w:val="170D67"/>
        </w:rPr>
      </w:pPr>
      <w:r>
        <w:rPr>
          <w:rFonts w:ascii="Arial" w:cs="Arial" w:eastAsia="Arial" w:hAnsi="Arial"/>
          <w:sz w:val="16"/>
          <w:szCs w:val="16"/>
          <w:color w:val="auto"/>
        </w:rPr>
        <w:t>Oversees Exelon’s environmental strategies, including climate change and sustainability policies</w:t>
      </w:r>
    </w:p>
    <w:p>
      <w:pPr>
        <w:spacing w:after="0" w:line="99" w:lineRule="exact"/>
        <w:rPr>
          <w:rFonts w:ascii="Arial" w:cs="Arial" w:eastAsia="Arial" w:hAnsi="Arial"/>
          <w:sz w:val="16"/>
          <w:szCs w:val="16"/>
          <w:b w:val="1"/>
          <w:bCs w:val="1"/>
          <w:color w:val="170D67"/>
        </w:rPr>
      </w:pPr>
    </w:p>
    <w:p>
      <w:pPr>
        <w:ind w:left="260" w:right="520" w:hanging="200"/>
        <w:spacing w:after="0" w:line="304" w:lineRule="auto"/>
        <w:tabs>
          <w:tab w:leader="none" w:pos="230" w:val="left"/>
        </w:tabs>
        <w:numPr>
          <w:ilvl w:val="0"/>
          <w:numId w:val="80"/>
        </w:numPr>
        <w:rPr>
          <w:rFonts w:ascii="Arial" w:cs="Arial" w:eastAsia="Arial" w:hAnsi="Arial"/>
          <w:sz w:val="16"/>
          <w:szCs w:val="16"/>
          <w:b w:val="1"/>
          <w:bCs w:val="1"/>
          <w:color w:val="170D67"/>
        </w:rPr>
      </w:pPr>
      <w:r>
        <w:rPr>
          <w:rFonts w:ascii="Arial" w:cs="Arial" w:eastAsia="Arial" w:hAnsi="Arial"/>
          <w:sz w:val="16"/>
          <w:szCs w:val="16"/>
          <w:color w:val="auto"/>
        </w:rPr>
        <w:t>Oversees utility board governance policies and practices, qualifications and election of Utility directors, and annual review of the utility boards and directors</w:t>
      </w:r>
    </w:p>
    <w:p>
      <w:pPr>
        <w:spacing w:after="0" w:line="19" w:lineRule="exact"/>
        <w:rPr>
          <w:rFonts w:ascii="Arial" w:cs="Arial" w:eastAsia="Arial" w:hAnsi="Arial"/>
          <w:sz w:val="16"/>
          <w:szCs w:val="16"/>
          <w:b w:val="1"/>
          <w:bCs w:val="1"/>
          <w:color w:val="170D67"/>
        </w:rPr>
      </w:pPr>
    </w:p>
    <w:p>
      <w:pPr>
        <w:ind w:left="220" w:hanging="160"/>
        <w:spacing w:after="0"/>
        <w:tabs>
          <w:tab w:leader="none" w:pos="220" w:val="left"/>
        </w:tabs>
        <w:numPr>
          <w:ilvl w:val="0"/>
          <w:numId w:val="80"/>
        </w:numPr>
        <w:rPr>
          <w:rFonts w:ascii="Arial" w:cs="Arial" w:eastAsia="Arial" w:hAnsi="Arial"/>
          <w:sz w:val="16"/>
          <w:szCs w:val="16"/>
          <w:b w:val="1"/>
          <w:bCs w:val="1"/>
          <w:color w:val="170D67"/>
        </w:rPr>
      </w:pPr>
      <w:r>
        <w:rPr>
          <w:rFonts w:ascii="Arial" w:cs="Arial" w:eastAsia="Arial" w:hAnsi="Arial"/>
          <w:sz w:val="16"/>
          <w:szCs w:val="16"/>
          <w:color w:val="auto"/>
        </w:rPr>
        <w:t>Reviews Exelon’s director compensation program and retains an independent compensation consultant</w:t>
      </w:r>
    </w:p>
    <w:p>
      <w:pPr>
        <w:spacing w:after="0" w:line="99" w:lineRule="exact"/>
        <w:rPr>
          <w:rFonts w:ascii="Arial" w:cs="Arial" w:eastAsia="Arial" w:hAnsi="Arial"/>
          <w:sz w:val="16"/>
          <w:szCs w:val="16"/>
          <w:b w:val="1"/>
          <w:bCs w:val="1"/>
          <w:color w:val="170D67"/>
        </w:rPr>
      </w:pPr>
    </w:p>
    <w:p>
      <w:pPr>
        <w:ind w:left="220" w:hanging="160"/>
        <w:spacing w:after="0"/>
        <w:tabs>
          <w:tab w:leader="none" w:pos="220" w:val="left"/>
        </w:tabs>
        <w:numPr>
          <w:ilvl w:val="0"/>
          <w:numId w:val="80"/>
        </w:numPr>
        <w:rPr>
          <w:rFonts w:ascii="Arial" w:cs="Arial" w:eastAsia="Arial" w:hAnsi="Arial"/>
          <w:sz w:val="16"/>
          <w:szCs w:val="16"/>
          <w:b w:val="1"/>
          <w:bCs w:val="1"/>
          <w:color w:val="170D67"/>
        </w:rPr>
      </w:pPr>
      <w:r>
        <w:rPr>
          <w:rFonts w:ascii="Arial" w:cs="Arial" w:eastAsia="Arial" w:hAnsi="Arial"/>
          <w:sz w:val="16"/>
          <w:szCs w:val="16"/>
          <w:color w:val="auto"/>
        </w:rPr>
        <w:t>Authorized to retain an independent search firm to identify Director candidates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Operations, Safety, and Customer Experience (OSCC)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23430" cy="342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23430" cy="34290"/>
                    </a:xfrm>
                    <a:prstGeom prst="rect">
                      <a:avLst/>
                    </a:prstGeom>
                    <a:noFill/>
                  </pic:spPr>
                </pic:pic>
              </a:graphicData>
            </a:graphic>
          </wp:anchor>
        </w:drawing>
      </w:r>
    </w:p>
    <w:p>
      <w:pPr>
        <w:spacing w:after="0" w:line="299" w:lineRule="exact"/>
        <w:rPr>
          <w:sz w:val="20"/>
          <w:szCs w:val="20"/>
          <w:color w:val="auto"/>
        </w:rPr>
      </w:pPr>
    </w:p>
    <w:p>
      <w:pPr>
        <w:ind w:left="3120"/>
        <w:spacing w:after="0"/>
        <w:rPr>
          <w:sz w:val="20"/>
          <w:szCs w:val="20"/>
          <w:color w:val="auto"/>
        </w:rPr>
      </w:pPr>
      <w:r>
        <w:rPr>
          <w:rFonts w:ascii="Arial" w:cs="Arial" w:eastAsia="Arial" w:hAnsi="Arial"/>
          <w:sz w:val="15"/>
          <w:szCs w:val="15"/>
          <w:color w:val="auto"/>
        </w:rPr>
        <w:t xml:space="preserve">Members: </w:t>
      </w:r>
      <w:r>
        <w:rPr>
          <w:rFonts w:ascii="Arial" w:cs="Arial" w:eastAsia="Arial" w:hAnsi="Arial"/>
          <w:sz w:val="15"/>
          <w:szCs w:val="15"/>
          <w:b w:val="1"/>
          <w:bCs w:val="1"/>
          <w:color w:val="170D67"/>
        </w:rPr>
        <w:t>Bowers, Rodgers Cheshire, Jojo, Lillie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-36830</wp:posOffset>
            </wp:positionV>
            <wp:extent cx="4191635" cy="7886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19163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120"/>
        <w:spacing w:after="0"/>
        <w:rPr>
          <w:sz w:val="20"/>
          <w:szCs w:val="20"/>
          <w:color w:val="auto"/>
        </w:rPr>
      </w:pPr>
      <w:r>
        <w:rPr>
          <w:rFonts w:ascii="Arial" w:cs="Arial" w:eastAsia="Arial" w:hAnsi="Arial"/>
          <w:sz w:val="15"/>
          <w:szCs w:val="15"/>
          <w:color w:val="auto"/>
        </w:rPr>
        <w:t>Committee is 100% Independent</w:t>
      </w:r>
    </w:p>
    <w:p>
      <w:pPr>
        <w:spacing w:after="0" w:line="209" w:lineRule="exact"/>
        <w:rPr>
          <w:sz w:val="20"/>
          <w:szCs w:val="20"/>
          <w:color w:val="auto"/>
        </w:rPr>
      </w:pPr>
    </w:p>
    <w:p>
      <w:pPr>
        <w:ind w:left="20"/>
        <w:spacing w:after="0"/>
        <w:tabs>
          <w:tab w:leader="none" w:pos="3100" w:val="left"/>
        </w:tabs>
        <w:rPr>
          <w:sz w:val="20"/>
          <w:szCs w:val="20"/>
          <w:color w:val="auto"/>
        </w:rPr>
      </w:pPr>
      <w:r>
        <w:rPr>
          <w:rFonts w:ascii="Arial" w:cs="Arial" w:eastAsia="Arial" w:hAnsi="Arial"/>
          <w:sz w:val="16"/>
          <w:szCs w:val="16"/>
          <w:color w:val="170D67"/>
        </w:rPr>
        <w:t>Chair: Matt Rogers</w:t>
      </w:r>
      <w:r>
        <w:rPr>
          <w:sz w:val="20"/>
          <w:szCs w:val="20"/>
          <w:color w:val="auto"/>
        </w:rPr>
        <w:tab/>
      </w:r>
      <w:r>
        <w:rPr>
          <w:rFonts w:ascii="Arial" w:cs="Arial" w:eastAsia="Arial" w:hAnsi="Arial"/>
          <w:sz w:val="15"/>
          <w:szCs w:val="15"/>
          <w:b w:val="1"/>
          <w:bCs w:val="1"/>
          <w:color w:val="auto"/>
        </w:rPr>
        <w:t>Meetings in 2024</w:t>
      </w:r>
      <w:r>
        <w:rPr>
          <w:rFonts w:ascii="Arial" w:cs="Arial" w:eastAsia="Arial" w:hAnsi="Arial"/>
          <w:sz w:val="19"/>
          <w:szCs w:val="19"/>
          <w:b w:val="1"/>
          <w:bCs w:val="1"/>
          <w:color w:val="auto"/>
          <w:vertAlign w:val="superscript"/>
        </w:rPr>
        <w:t>1</w:t>
      </w:r>
      <w:r>
        <w:rPr>
          <w:rFonts w:ascii="Arial" w:cs="Arial" w:eastAsia="Arial" w:hAnsi="Arial"/>
          <w:sz w:val="15"/>
          <w:szCs w:val="15"/>
          <w:b w:val="1"/>
          <w:bCs w:val="1"/>
          <w:color w:val="auto"/>
        </w:rPr>
        <w: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2343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260" w:hanging="252"/>
        <w:spacing w:after="0"/>
        <w:tabs>
          <w:tab w:leader="none" w:pos="260" w:val="left"/>
        </w:tabs>
        <w:numPr>
          <w:ilvl w:val="0"/>
          <w:numId w:val="81"/>
        </w:numPr>
        <w:rPr>
          <w:rFonts w:ascii="Arial" w:cs="Arial" w:eastAsia="Arial" w:hAnsi="Arial"/>
          <w:sz w:val="16"/>
          <w:szCs w:val="16"/>
          <w:color w:val="auto"/>
          <w:vertAlign w:val="superscript"/>
        </w:rPr>
      </w:pPr>
      <w:r>
        <w:rPr>
          <w:rFonts w:ascii="Arial" w:cs="Arial" w:eastAsia="Arial" w:hAnsi="Arial"/>
          <w:sz w:val="14"/>
          <w:szCs w:val="14"/>
          <w:color w:val="auto"/>
        </w:rPr>
        <w:t>The Board approved the formation of the OSCC in March 2024, and the first meeting of the OSCC occurred in the third quarter of 2024.</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3A5CFF"/>
        </w:rPr>
        <w:t>The OSCC’s duties and responsibilities include the following:</w:t>
      </w:r>
    </w:p>
    <w:p>
      <w:pPr>
        <w:spacing w:after="0" w:line="113" w:lineRule="exact"/>
        <w:rPr>
          <w:sz w:val="20"/>
          <w:szCs w:val="20"/>
          <w:color w:val="auto"/>
        </w:rPr>
      </w:pPr>
    </w:p>
    <w:p>
      <w:pPr>
        <w:ind w:left="220" w:hanging="160"/>
        <w:spacing w:after="0"/>
        <w:tabs>
          <w:tab w:leader="none" w:pos="220" w:val="left"/>
        </w:tabs>
        <w:numPr>
          <w:ilvl w:val="0"/>
          <w:numId w:val="82"/>
        </w:numPr>
        <w:rPr>
          <w:rFonts w:ascii="Arial" w:cs="Arial" w:eastAsia="Arial" w:hAnsi="Arial"/>
          <w:sz w:val="16"/>
          <w:szCs w:val="16"/>
          <w:b w:val="1"/>
          <w:bCs w:val="1"/>
          <w:color w:val="170D67"/>
        </w:rPr>
      </w:pPr>
      <w:r>
        <w:rPr>
          <w:rFonts w:ascii="Arial" w:cs="Arial" w:eastAsia="Arial" w:hAnsi="Arial"/>
          <w:sz w:val="16"/>
          <w:szCs w:val="16"/>
          <w:color w:val="auto"/>
        </w:rPr>
        <w:t>Oversees Exelon’s strategies, policies, and major activities related to operations, including transmission and distribution</w:t>
      </w:r>
    </w:p>
    <w:p>
      <w:pPr>
        <w:spacing w:after="0" w:line="99" w:lineRule="exact"/>
        <w:rPr>
          <w:rFonts w:ascii="Arial" w:cs="Arial" w:eastAsia="Arial" w:hAnsi="Arial"/>
          <w:sz w:val="16"/>
          <w:szCs w:val="16"/>
          <w:b w:val="1"/>
          <w:bCs w:val="1"/>
          <w:color w:val="170D67"/>
        </w:rPr>
      </w:pPr>
    </w:p>
    <w:p>
      <w:pPr>
        <w:ind w:left="260" w:right="140" w:hanging="200"/>
        <w:spacing w:after="0" w:line="321" w:lineRule="auto"/>
        <w:tabs>
          <w:tab w:leader="none" w:pos="230" w:val="left"/>
        </w:tabs>
        <w:numPr>
          <w:ilvl w:val="0"/>
          <w:numId w:val="82"/>
        </w:numPr>
        <w:rPr>
          <w:rFonts w:ascii="Arial" w:cs="Arial" w:eastAsia="Arial" w:hAnsi="Arial"/>
          <w:sz w:val="16"/>
          <w:szCs w:val="16"/>
          <w:b w:val="1"/>
          <w:bCs w:val="1"/>
          <w:color w:val="170D67"/>
        </w:rPr>
      </w:pPr>
      <w:r>
        <w:rPr>
          <w:rFonts w:ascii="Arial" w:cs="Arial" w:eastAsia="Arial" w:hAnsi="Arial"/>
          <w:sz w:val="16"/>
          <w:szCs w:val="16"/>
          <w:color w:val="auto"/>
        </w:rPr>
        <w:t>Oversees Exelon’s strategies, policies, and major activities relating to providing a healthy and safe environment for employees, customers, contractors, and the public</w:t>
      </w:r>
    </w:p>
    <w:p>
      <w:pPr>
        <w:spacing w:after="0" w:line="7" w:lineRule="exact"/>
        <w:rPr>
          <w:rFonts w:ascii="Arial" w:cs="Arial" w:eastAsia="Arial" w:hAnsi="Arial"/>
          <w:sz w:val="16"/>
          <w:szCs w:val="16"/>
          <w:b w:val="1"/>
          <w:bCs w:val="1"/>
          <w:color w:val="170D67"/>
        </w:rPr>
      </w:pPr>
    </w:p>
    <w:p>
      <w:pPr>
        <w:ind w:left="260" w:right="760" w:hanging="200"/>
        <w:spacing w:after="0" w:line="304" w:lineRule="auto"/>
        <w:tabs>
          <w:tab w:leader="none" w:pos="230" w:val="left"/>
        </w:tabs>
        <w:numPr>
          <w:ilvl w:val="0"/>
          <w:numId w:val="82"/>
        </w:numPr>
        <w:rPr>
          <w:rFonts w:ascii="Arial" w:cs="Arial" w:eastAsia="Arial" w:hAnsi="Arial"/>
          <w:sz w:val="16"/>
          <w:szCs w:val="16"/>
          <w:b w:val="1"/>
          <w:bCs w:val="1"/>
          <w:color w:val="170D67"/>
        </w:rPr>
      </w:pPr>
      <w:r>
        <w:rPr>
          <w:rFonts w:ascii="Arial" w:cs="Arial" w:eastAsia="Arial" w:hAnsi="Arial"/>
          <w:sz w:val="16"/>
          <w:szCs w:val="16"/>
          <w:color w:val="auto"/>
        </w:rPr>
        <w:t>Oversees Exelon’s strategies and major activities designed to support and enhance customer experience, including, but not limited to, service, technology, affordability, business development, and engagement</w:t>
      </w:r>
    </w:p>
    <w:p>
      <w:pPr>
        <w:spacing w:after="0" w:line="19" w:lineRule="exact"/>
        <w:rPr>
          <w:rFonts w:ascii="Arial" w:cs="Arial" w:eastAsia="Arial" w:hAnsi="Arial"/>
          <w:sz w:val="16"/>
          <w:szCs w:val="16"/>
          <w:b w:val="1"/>
          <w:bCs w:val="1"/>
          <w:color w:val="170D67"/>
        </w:rPr>
      </w:pPr>
    </w:p>
    <w:p>
      <w:pPr>
        <w:ind w:left="220" w:hanging="160"/>
        <w:spacing w:after="0"/>
        <w:tabs>
          <w:tab w:leader="none" w:pos="220" w:val="left"/>
        </w:tabs>
        <w:numPr>
          <w:ilvl w:val="0"/>
          <w:numId w:val="82"/>
        </w:numPr>
        <w:rPr>
          <w:rFonts w:ascii="Arial" w:cs="Arial" w:eastAsia="Arial" w:hAnsi="Arial"/>
          <w:sz w:val="16"/>
          <w:szCs w:val="16"/>
          <w:b w:val="1"/>
          <w:bCs w:val="1"/>
          <w:color w:val="170D67"/>
        </w:rPr>
      </w:pPr>
      <w:r>
        <w:rPr>
          <w:rFonts w:ascii="Arial" w:cs="Arial" w:eastAsia="Arial" w:hAnsi="Arial"/>
          <w:sz w:val="16"/>
          <w:szCs w:val="16"/>
          <w:color w:val="auto"/>
        </w:rPr>
        <w:t>Reviews and monitors Exelon’s operational performance and execution of major capital projects related to operations</w:t>
      </w:r>
    </w:p>
    <w:p>
      <w:pPr>
        <w:spacing w:after="0" w:line="99" w:lineRule="exact"/>
        <w:rPr>
          <w:rFonts w:ascii="Arial" w:cs="Arial" w:eastAsia="Arial" w:hAnsi="Arial"/>
          <w:sz w:val="16"/>
          <w:szCs w:val="16"/>
          <w:b w:val="1"/>
          <w:bCs w:val="1"/>
          <w:color w:val="170D67"/>
        </w:rPr>
      </w:pPr>
    </w:p>
    <w:p>
      <w:pPr>
        <w:ind w:left="220" w:hanging="160"/>
        <w:spacing w:after="0"/>
        <w:tabs>
          <w:tab w:leader="none" w:pos="220" w:val="left"/>
        </w:tabs>
        <w:numPr>
          <w:ilvl w:val="0"/>
          <w:numId w:val="82"/>
        </w:numPr>
        <w:rPr>
          <w:rFonts w:ascii="Arial" w:cs="Arial" w:eastAsia="Arial" w:hAnsi="Arial"/>
          <w:sz w:val="16"/>
          <w:szCs w:val="16"/>
          <w:b w:val="1"/>
          <w:bCs w:val="1"/>
          <w:color w:val="170D67"/>
        </w:rPr>
      </w:pPr>
      <w:r>
        <w:rPr>
          <w:rFonts w:ascii="Arial" w:cs="Arial" w:eastAsia="Arial" w:hAnsi="Arial"/>
          <w:sz w:val="16"/>
          <w:szCs w:val="16"/>
          <w:color w:val="auto"/>
        </w:rPr>
        <w:t>Reviews and monitors Exelon’s health, safety, and customer experience performance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80" w:hanging="454"/>
        <w:spacing w:after="0"/>
        <w:tabs>
          <w:tab w:leader="none" w:pos="480" w:val="left"/>
        </w:tabs>
        <w:numPr>
          <w:ilvl w:val="0"/>
          <w:numId w:val="8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6" w:name="page37"/>
    <w:bookmarkEnd w:id="36"/>
    <w:p>
      <w:pPr>
        <w:jc w:val="right"/>
        <w:spacing w:after="0"/>
        <w:rPr>
          <w:sz w:val="20"/>
          <w:szCs w:val="20"/>
          <w:color w:val="auto"/>
        </w:rPr>
      </w:pPr>
      <w:r>
        <w:rPr>
          <w:rFonts w:ascii="Arial" w:cs="Arial" w:eastAsia="Arial" w:hAnsi="Arial"/>
          <w:sz w:val="13"/>
          <w:szCs w:val="13"/>
          <w:b w:val="1"/>
          <w:bCs w:val="1"/>
          <w:color w:val="auto"/>
        </w:rPr>
        <w:t>Board and Corporate Governance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Talent Management and Compensation Committee (TMCC)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23430" cy="342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23430" cy="34290"/>
                    </a:xfrm>
                    <a:prstGeom prst="rect">
                      <a:avLst/>
                    </a:prstGeom>
                    <a:noFill/>
                  </pic:spPr>
                </pic:pic>
              </a:graphicData>
            </a:graphic>
          </wp:anchor>
        </w:drawing>
      </w:r>
    </w:p>
    <w:p>
      <w:pPr>
        <w:spacing w:after="0" w:line="299" w:lineRule="exact"/>
        <w:rPr>
          <w:sz w:val="20"/>
          <w:szCs w:val="20"/>
          <w:color w:val="auto"/>
        </w:rPr>
      </w:pPr>
    </w:p>
    <w:p>
      <w:pPr>
        <w:ind w:left="3120"/>
        <w:spacing w:after="0"/>
        <w:rPr>
          <w:sz w:val="20"/>
          <w:szCs w:val="20"/>
          <w:color w:val="auto"/>
        </w:rPr>
      </w:pPr>
      <w:r>
        <w:rPr>
          <w:rFonts w:ascii="Arial" w:cs="Arial" w:eastAsia="Arial" w:hAnsi="Arial"/>
          <w:sz w:val="15"/>
          <w:szCs w:val="15"/>
          <w:color w:val="auto"/>
        </w:rPr>
        <w:t xml:space="preserve">Members: </w:t>
      </w:r>
      <w:r>
        <w:rPr>
          <w:rFonts w:ascii="Arial" w:cs="Arial" w:eastAsia="Arial" w:hAnsi="Arial"/>
          <w:sz w:val="15"/>
          <w:szCs w:val="15"/>
          <w:b w:val="1"/>
          <w:bCs w:val="1"/>
          <w:color w:val="170D67"/>
        </w:rPr>
        <w:t>Lillie, Richo,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-27940</wp:posOffset>
            </wp:positionV>
            <wp:extent cx="3617595" cy="7797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61759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120"/>
        <w:spacing w:after="0"/>
        <w:rPr>
          <w:sz w:val="20"/>
          <w:szCs w:val="20"/>
          <w:color w:val="auto"/>
        </w:rPr>
      </w:pPr>
      <w:r>
        <w:rPr>
          <w:rFonts w:ascii="Arial" w:cs="Arial" w:eastAsia="Arial" w:hAnsi="Arial"/>
          <w:sz w:val="15"/>
          <w:szCs w:val="15"/>
          <w:color w:val="auto"/>
        </w:rPr>
        <w:t>Committee is 100% Independent</w:t>
      </w:r>
    </w:p>
    <w:p>
      <w:pPr>
        <w:spacing w:after="0" w:line="36" w:lineRule="exact"/>
        <w:rPr>
          <w:sz w:val="20"/>
          <w:szCs w:val="20"/>
          <w:color w:val="auto"/>
        </w:rPr>
      </w:pPr>
    </w:p>
    <w:p>
      <w:pPr>
        <w:ind w:left="20"/>
        <w:spacing w:after="0"/>
        <w:tabs>
          <w:tab w:leader="none" w:pos="3100" w:val="left"/>
        </w:tabs>
        <w:rPr>
          <w:sz w:val="20"/>
          <w:szCs w:val="20"/>
          <w:color w:val="auto"/>
        </w:rPr>
      </w:pPr>
      <w:r>
        <w:rPr>
          <w:rFonts w:ascii="Arial" w:cs="Arial" w:eastAsia="Arial" w:hAnsi="Arial"/>
          <w:sz w:val="16"/>
          <w:szCs w:val="16"/>
          <w:color w:val="170D67"/>
        </w:rPr>
        <w:t>Chair: Marjorie Rogers Cheshire</w:t>
      </w:r>
      <w:r>
        <w:rPr>
          <w:sz w:val="20"/>
          <w:szCs w:val="20"/>
          <w:color w:val="auto"/>
        </w:rPr>
        <w:tab/>
      </w:r>
      <w:r>
        <w:rPr>
          <w:rFonts w:ascii="Arial" w:cs="Arial" w:eastAsia="Arial" w:hAnsi="Arial"/>
          <w:sz w:val="22"/>
          <w:szCs w:val="22"/>
          <w:b w:val="1"/>
          <w:bCs w:val="1"/>
          <w:color w:val="auto"/>
          <w:vertAlign w:val="subscript"/>
        </w:rPr>
        <w:t>Meetings in 2024: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2343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3A5CFF"/>
        </w:rPr>
        <w:t>The TMCC’s duties and responsibilities include the following:</w:t>
      </w:r>
    </w:p>
    <w:p>
      <w:pPr>
        <w:spacing w:after="0" w:line="127" w:lineRule="exact"/>
        <w:rPr>
          <w:sz w:val="20"/>
          <w:szCs w:val="20"/>
          <w:color w:val="auto"/>
        </w:rPr>
      </w:pPr>
    </w:p>
    <w:p>
      <w:pPr>
        <w:ind w:left="260" w:right="1040" w:hanging="200"/>
        <w:spacing w:after="0" w:line="304" w:lineRule="auto"/>
        <w:tabs>
          <w:tab w:leader="none" w:pos="230" w:val="left"/>
        </w:tabs>
        <w:numPr>
          <w:ilvl w:val="0"/>
          <w:numId w:val="84"/>
        </w:numPr>
        <w:rPr>
          <w:rFonts w:ascii="Arial" w:cs="Arial" w:eastAsia="Arial" w:hAnsi="Arial"/>
          <w:sz w:val="16"/>
          <w:szCs w:val="16"/>
          <w:b w:val="1"/>
          <w:bCs w:val="1"/>
          <w:color w:val="170D67"/>
        </w:rPr>
      </w:pPr>
      <w:r>
        <w:rPr>
          <w:rFonts w:ascii="Arial" w:cs="Arial" w:eastAsia="Arial" w:hAnsi="Arial"/>
          <w:sz w:val="16"/>
          <w:szCs w:val="16"/>
          <w:color w:val="auto"/>
        </w:rPr>
        <w:t>Evaluates the performance of the CEO at least annually, review the evaluation with the independent Directors of the Board and approve the compensation level of the CEO for ratification by the independent Directors of the Board based on this evaluation.</w:t>
      </w:r>
    </w:p>
    <w:p>
      <w:pPr>
        <w:spacing w:after="0" w:line="19" w:lineRule="exact"/>
        <w:rPr>
          <w:rFonts w:ascii="Arial" w:cs="Arial" w:eastAsia="Arial" w:hAnsi="Arial"/>
          <w:sz w:val="16"/>
          <w:szCs w:val="16"/>
          <w:b w:val="1"/>
          <w:bCs w:val="1"/>
          <w:color w:val="170D67"/>
        </w:rPr>
      </w:pPr>
    </w:p>
    <w:p>
      <w:pPr>
        <w:ind w:left="220" w:hanging="160"/>
        <w:spacing w:after="0"/>
        <w:tabs>
          <w:tab w:leader="none" w:pos="220" w:val="left"/>
        </w:tabs>
        <w:numPr>
          <w:ilvl w:val="0"/>
          <w:numId w:val="84"/>
        </w:numPr>
        <w:rPr>
          <w:rFonts w:ascii="Arial" w:cs="Arial" w:eastAsia="Arial" w:hAnsi="Arial"/>
          <w:sz w:val="16"/>
          <w:szCs w:val="16"/>
          <w:b w:val="1"/>
          <w:bCs w:val="1"/>
          <w:color w:val="170D67"/>
        </w:rPr>
      </w:pPr>
      <w:r>
        <w:rPr>
          <w:rFonts w:ascii="Arial" w:cs="Arial" w:eastAsia="Arial" w:hAnsi="Arial"/>
          <w:sz w:val="16"/>
          <w:szCs w:val="16"/>
          <w:color w:val="auto"/>
        </w:rPr>
        <w:t>Oversees the evaluation of, and review and approve the compensation level of, the other executive officers.</w:t>
      </w:r>
    </w:p>
    <w:p>
      <w:pPr>
        <w:spacing w:after="0" w:line="99" w:lineRule="exact"/>
        <w:rPr>
          <w:rFonts w:ascii="Arial" w:cs="Arial" w:eastAsia="Arial" w:hAnsi="Arial"/>
          <w:sz w:val="16"/>
          <w:szCs w:val="16"/>
          <w:b w:val="1"/>
          <w:bCs w:val="1"/>
          <w:color w:val="170D67"/>
        </w:rPr>
      </w:pPr>
    </w:p>
    <w:p>
      <w:pPr>
        <w:ind w:left="260" w:right="500" w:hanging="200"/>
        <w:spacing w:after="0" w:line="321" w:lineRule="auto"/>
        <w:tabs>
          <w:tab w:leader="none" w:pos="230" w:val="left"/>
        </w:tabs>
        <w:numPr>
          <w:ilvl w:val="0"/>
          <w:numId w:val="84"/>
        </w:numPr>
        <w:rPr>
          <w:rFonts w:ascii="Arial" w:cs="Arial" w:eastAsia="Arial" w:hAnsi="Arial"/>
          <w:sz w:val="16"/>
          <w:szCs w:val="16"/>
          <w:b w:val="1"/>
          <w:bCs w:val="1"/>
          <w:color w:val="170D67"/>
        </w:rPr>
      </w:pPr>
      <w:r>
        <w:rPr>
          <w:rFonts w:ascii="Arial" w:cs="Arial" w:eastAsia="Arial" w:hAnsi="Arial"/>
          <w:sz w:val="16"/>
          <w:szCs w:val="16"/>
          <w:color w:val="auto"/>
        </w:rPr>
        <w:t>Reviews and approves compensation plans and programs, including performance-based compensation, equity-based compensation programs and perquisites.</w:t>
      </w:r>
    </w:p>
    <w:p>
      <w:pPr>
        <w:spacing w:after="0" w:line="7" w:lineRule="exact"/>
        <w:rPr>
          <w:rFonts w:ascii="Arial" w:cs="Arial" w:eastAsia="Arial" w:hAnsi="Arial"/>
          <w:sz w:val="16"/>
          <w:szCs w:val="16"/>
          <w:b w:val="1"/>
          <w:bCs w:val="1"/>
          <w:color w:val="170D67"/>
        </w:rPr>
      </w:pPr>
    </w:p>
    <w:p>
      <w:pPr>
        <w:ind w:left="220" w:hanging="160"/>
        <w:spacing w:after="0"/>
        <w:tabs>
          <w:tab w:leader="none" w:pos="220" w:val="left"/>
        </w:tabs>
        <w:numPr>
          <w:ilvl w:val="0"/>
          <w:numId w:val="84"/>
        </w:numPr>
        <w:rPr>
          <w:rFonts w:ascii="Arial" w:cs="Arial" w:eastAsia="Arial" w:hAnsi="Arial"/>
          <w:sz w:val="16"/>
          <w:szCs w:val="16"/>
          <w:b w:val="1"/>
          <w:bCs w:val="1"/>
          <w:color w:val="170D67"/>
        </w:rPr>
      </w:pPr>
      <w:r>
        <w:rPr>
          <w:rFonts w:ascii="Arial" w:cs="Arial" w:eastAsia="Arial" w:hAnsi="Arial"/>
          <w:sz w:val="16"/>
          <w:szCs w:val="16"/>
          <w:color w:val="auto"/>
        </w:rPr>
        <w:t>Reviews CEO and other management succession plans with the CEO and the full Board.</w:t>
      </w:r>
    </w:p>
    <w:p>
      <w:pPr>
        <w:spacing w:after="0" w:line="99" w:lineRule="exact"/>
        <w:rPr>
          <w:rFonts w:ascii="Arial" w:cs="Arial" w:eastAsia="Arial" w:hAnsi="Arial"/>
          <w:sz w:val="16"/>
          <w:szCs w:val="16"/>
          <w:b w:val="1"/>
          <w:bCs w:val="1"/>
          <w:color w:val="170D67"/>
        </w:rPr>
      </w:pPr>
    </w:p>
    <w:p>
      <w:pPr>
        <w:ind w:left="260" w:right="160" w:hanging="200"/>
        <w:spacing w:after="0" w:line="304" w:lineRule="auto"/>
        <w:tabs>
          <w:tab w:leader="none" w:pos="230" w:val="left"/>
        </w:tabs>
        <w:numPr>
          <w:ilvl w:val="0"/>
          <w:numId w:val="84"/>
        </w:numPr>
        <w:rPr>
          <w:rFonts w:ascii="Arial" w:cs="Arial" w:eastAsia="Arial" w:hAnsi="Arial"/>
          <w:sz w:val="16"/>
          <w:szCs w:val="16"/>
          <w:b w:val="1"/>
          <w:bCs w:val="1"/>
          <w:color w:val="170D67"/>
        </w:rPr>
      </w:pPr>
      <w:r>
        <w:rPr>
          <w:rFonts w:ascii="Arial" w:cs="Arial" w:eastAsia="Arial" w:hAnsi="Arial"/>
          <w:sz w:val="16"/>
          <w:szCs w:val="16"/>
          <w:color w:val="auto"/>
        </w:rPr>
        <w:t>Reviews risks and associated risk management activities related to human capital, including talent management, development, and retention; employee engagement and well-being; and performance management.</w:t>
      </w:r>
    </w:p>
    <w:p>
      <w:pPr>
        <w:spacing w:after="0" w:line="19" w:lineRule="exact"/>
        <w:rPr>
          <w:rFonts w:ascii="Arial" w:cs="Arial" w:eastAsia="Arial" w:hAnsi="Arial"/>
          <w:sz w:val="16"/>
          <w:szCs w:val="16"/>
          <w:b w:val="1"/>
          <w:bCs w:val="1"/>
          <w:color w:val="170D67"/>
        </w:rPr>
      </w:pPr>
    </w:p>
    <w:p>
      <w:pPr>
        <w:ind w:left="220" w:hanging="160"/>
        <w:spacing w:after="0"/>
        <w:tabs>
          <w:tab w:leader="none" w:pos="220" w:val="left"/>
        </w:tabs>
        <w:numPr>
          <w:ilvl w:val="0"/>
          <w:numId w:val="84"/>
        </w:numPr>
        <w:rPr>
          <w:rFonts w:ascii="Arial" w:cs="Arial" w:eastAsia="Arial" w:hAnsi="Arial"/>
          <w:sz w:val="16"/>
          <w:szCs w:val="16"/>
          <w:b w:val="1"/>
          <w:bCs w:val="1"/>
          <w:color w:val="170D67"/>
        </w:rPr>
      </w:pPr>
      <w:r>
        <w:rPr>
          <w:rFonts w:ascii="Arial" w:cs="Arial" w:eastAsia="Arial" w:hAnsi="Arial"/>
          <w:sz w:val="16"/>
          <w:szCs w:val="16"/>
          <w:color w:val="auto"/>
        </w:rPr>
        <w:t>Reviews and discusses the CD&amp;A with management.</w:t>
      </w:r>
    </w:p>
    <w:p>
      <w:pPr>
        <w:spacing w:after="0" w:line="140"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During 2024, none of Exelon’s executive officers served on the board of directors of any entities whose executive officers serve on the TMCC or our Board. No current member of the TMCC was an executive officer or employee of Exelon during 2024 or at any time, and no member had any relationship with Exelon that would require disclosure under the SEC rules.</w:t>
      </w:r>
    </w:p>
    <w:p>
      <w:pPr>
        <w:spacing w:after="0" w:line="57"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The Board has determined that each member of the TMCC is independent as defined by SEC rules and the Nasdaq corporate governance rules within its listing standards.</w:t>
      </w:r>
    </w:p>
    <w:p>
      <w:pPr>
        <w:spacing w:after="0" w:line="4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TMCC engages Willis Towers Watson (WTW), a third-party consultant, to provide an independent assessment of the current executive compensation program and any management-recommended changes to that program and to work with management to ensure that the executive compensation program is designed and administered consistent with the TMCC’s requirements. WTW is engaged directly by the Committee. The TMCC reviewed WTW’s independence and determined that WTW is independent and the engagement did not present any conflicts of interest. See page 58 for additional information.</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See page 58 for the Talent Management and Compensation Committee Report.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780"/>
              <w:spacing w:after="0"/>
              <w:rPr>
                <w:sz w:val="20"/>
                <w:szCs w:val="20"/>
                <w:color w:val="auto"/>
              </w:rPr>
            </w:pPr>
            <w:r>
              <w:rPr>
                <w:rFonts w:ascii="Arial" w:cs="Arial" w:eastAsia="Arial" w:hAnsi="Arial"/>
                <w:sz w:val="14"/>
                <w:szCs w:val="14"/>
                <w:color w:val="auto"/>
              </w:rPr>
              <w:t>2025 ׀ Exelon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33</w:t>
            </w:r>
          </w:p>
        </w:tc>
      </w:tr>
      <w:tr>
        <w:trPr>
          <w:trHeight w:val="225"/>
        </w:trPr>
        <w:tc>
          <w:tcPr>
            <w:tcW w:w="1092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color w:val="auto"/>
        </w:rPr>
        <w:t>Board and Corporate Governance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Board, Committee, and Individual Director Assessment and Feedback</w:t>
      </w:r>
    </w:p>
    <w:p>
      <w:pPr>
        <w:spacing w:after="0" w:line="112"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Our Board seeks to operate with the highest degree of effectiveness, supporting a dynamic boardroom culture of independent thought. Exelon has strong evaluation processes for its Board, Board Committees, and individual Directors.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Board Evaluation (Annual)</w:t>
      </w:r>
    </w:p>
    <w:p>
      <w:pPr>
        <w:spacing w:after="0" w:line="122"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The Board conducts an annual assessment of its performance and effectiveness. The process is coordinated by the Board Chair and the Chair of the CGC and considers recommendations from the CGC on the process and criteria to be used for Board, Committee, and individual Director evaluations. The CGC oversees and approves the annual formal Board evaluation process.</w:t>
      </w:r>
    </w:p>
    <w:p>
      <w:pPr>
        <w:spacing w:after="0" w:line="50"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The Chair of the CGC facilitates a discussion with the Board in executive session regarding the Board’s performance. As part of this discussion, the Board Chair steps out of the meeting to allow the other Directors to discuss the Chair’s performance. Directors are provided a list of questions and discussion topics to review prior to the discussion, focusing on what the Board is doing well and opportunities for improvement. Discussion topics include the following:</w:t>
      </w:r>
    </w:p>
    <w:p>
      <w:pPr>
        <w:sectPr>
          <w:pgSz w:w="11900" w:h="16838" w:orient="portrait"/>
          <w:cols w:equalWidth="0" w:num="1">
            <w:col w:w="11220"/>
          </w:cols>
          <w:pgMar w:left="320" w:top="121" w:right="359" w:bottom="1440" w:gutter="0" w:footer="0" w:header="0"/>
        </w:sectPr>
      </w:pPr>
    </w:p>
    <w:p>
      <w:pPr>
        <w:spacing w:after="0" w:line="179" w:lineRule="exact"/>
        <w:rPr>
          <w:sz w:val="20"/>
          <w:szCs w:val="20"/>
          <w:color w:val="auto"/>
        </w:rPr>
      </w:pPr>
    </w:p>
    <w:p>
      <w:pPr>
        <w:ind w:left="280" w:hanging="202"/>
        <w:spacing w:after="0" w:line="308" w:lineRule="auto"/>
        <w:tabs>
          <w:tab w:leader="none" w:pos="250" w:val="left"/>
        </w:tabs>
        <w:numPr>
          <w:ilvl w:val="0"/>
          <w:numId w:val="85"/>
        </w:numPr>
        <w:rPr>
          <w:rFonts w:ascii="Arial" w:cs="Arial" w:eastAsia="Arial" w:hAnsi="Arial"/>
          <w:sz w:val="16"/>
          <w:szCs w:val="16"/>
          <w:b w:val="1"/>
          <w:bCs w:val="1"/>
          <w:color w:val="170D67"/>
        </w:rPr>
      </w:pPr>
      <w:r>
        <w:rPr>
          <w:rFonts w:ascii="Arial" w:cs="Arial" w:eastAsia="Arial" w:hAnsi="Arial"/>
          <w:sz w:val="16"/>
          <w:szCs w:val="16"/>
          <w:color w:val="auto"/>
        </w:rPr>
        <w:t>Overall Board performance and areas of focus including oversight of Company operations, strategy, and financial performance</w:t>
      </w:r>
    </w:p>
    <w:p>
      <w:pPr>
        <w:ind w:left="280" w:right="60" w:hanging="202"/>
        <w:spacing w:after="0" w:line="321" w:lineRule="auto"/>
        <w:tabs>
          <w:tab w:leader="none" w:pos="250" w:val="left"/>
        </w:tabs>
        <w:numPr>
          <w:ilvl w:val="0"/>
          <w:numId w:val="85"/>
        </w:numPr>
        <w:rPr>
          <w:rFonts w:ascii="Arial" w:cs="Arial" w:eastAsia="Arial" w:hAnsi="Arial"/>
          <w:sz w:val="16"/>
          <w:szCs w:val="16"/>
          <w:b w:val="1"/>
          <w:bCs w:val="1"/>
          <w:color w:val="170D67"/>
        </w:rPr>
      </w:pPr>
      <w:r>
        <w:rPr>
          <w:rFonts w:ascii="Arial" w:cs="Arial" w:eastAsia="Arial" w:hAnsi="Arial"/>
          <w:sz w:val="16"/>
          <w:szCs w:val="16"/>
          <w:color w:val="auto"/>
        </w:rPr>
        <w:t>Board composition, including whether the Board has an appropriate balance of diversity, skills, experience, and backgrounds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160" w:hanging="160"/>
        <w:spacing w:after="0"/>
        <w:tabs>
          <w:tab w:leader="none" w:pos="160" w:val="left"/>
        </w:tabs>
        <w:numPr>
          <w:ilvl w:val="0"/>
          <w:numId w:val="86"/>
        </w:numPr>
        <w:rPr>
          <w:rFonts w:ascii="Arial" w:cs="Arial" w:eastAsia="Arial" w:hAnsi="Arial"/>
          <w:sz w:val="16"/>
          <w:szCs w:val="16"/>
          <w:b w:val="1"/>
          <w:bCs w:val="1"/>
          <w:color w:val="170D67"/>
        </w:rPr>
      </w:pPr>
      <w:r>
        <w:rPr>
          <w:rFonts w:ascii="Arial" w:cs="Arial" w:eastAsia="Arial" w:hAnsi="Arial"/>
          <w:sz w:val="16"/>
          <w:szCs w:val="16"/>
          <w:color w:val="auto"/>
        </w:rPr>
        <w:t>Board and Company culture</w:t>
      </w:r>
    </w:p>
    <w:p>
      <w:pPr>
        <w:spacing w:after="0" w:line="86" w:lineRule="exact"/>
        <w:rPr>
          <w:rFonts w:ascii="Arial" w:cs="Arial" w:eastAsia="Arial" w:hAnsi="Arial"/>
          <w:sz w:val="16"/>
          <w:szCs w:val="16"/>
          <w:b w:val="1"/>
          <w:bCs w:val="1"/>
          <w:color w:val="170D67"/>
        </w:rPr>
      </w:pPr>
    </w:p>
    <w:p>
      <w:pPr>
        <w:ind w:left="160" w:hanging="160"/>
        <w:spacing w:after="0"/>
        <w:tabs>
          <w:tab w:leader="none" w:pos="160" w:val="left"/>
        </w:tabs>
        <w:numPr>
          <w:ilvl w:val="0"/>
          <w:numId w:val="86"/>
        </w:numPr>
        <w:rPr>
          <w:rFonts w:ascii="Arial" w:cs="Arial" w:eastAsia="Arial" w:hAnsi="Arial"/>
          <w:sz w:val="16"/>
          <w:szCs w:val="16"/>
          <w:b w:val="1"/>
          <w:bCs w:val="1"/>
          <w:color w:val="170D67"/>
        </w:rPr>
      </w:pPr>
      <w:r>
        <w:rPr>
          <w:rFonts w:ascii="Arial" w:cs="Arial" w:eastAsia="Arial" w:hAnsi="Arial"/>
          <w:sz w:val="16"/>
          <w:szCs w:val="16"/>
          <w:color w:val="auto"/>
        </w:rPr>
        <w:t>Management engagement with the Board and Committees</w:t>
      </w:r>
    </w:p>
    <w:p>
      <w:pPr>
        <w:spacing w:after="0" w:line="72" w:lineRule="exact"/>
        <w:rPr>
          <w:rFonts w:ascii="Arial" w:cs="Arial" w:eastAsia="Arial" w:hAnsi="Arial"/>
          <w:sz w:val="16"/>
          <w:szCs w:val="16"/>
          <w:b w:val="1"/>
          <w:bCs w:val="1"/>
          <w:color w:val="170D67"/>
        </w:rPr>
      </w:pPr>
    </w:p>
    <w:p>
      <w:pPr>
        <w:ind w:left="160" w:hanging="160"/>
        <w:spacing w:after="0"/>
        <w:tabs>
          <w:tab w:leader="none" w:pos="160" w:val="left"/>
        </w:tabs>
        <w:numPr>
          <w:ilvl w:val="0"/>
          <w:numId w:val="86"/>
        </w:numPr>
        <w:rPr>
          <w:rFonts w:ascii="Arial" w:cs="Arial" w:eastAsia="Arial" w:hAnsi="Arial"/>
          <w:sz w:val="16"/>
          <w:szCs w:val="16"/>
          <w:b w:val="1"/>
          <w:bCs w:val="1"/>
          <w:color w:val="170D67"/>
        </w:rPr>
      </w:pPr>
      <w:r>
        <w:rPr>
          <w:rFonts w:ascii="Arial" w:cs="Arial" w:eastAsia="Arial" w:hAnsi="Arial"/>
          <w:sz w:val="16"/>
          <w:szCs w:val="16"/>
          <w:color w:val="auto"/>
        </w:rPr>
        <w:t>Quality of information and materials provided to the Directors</w:t>
      </w:r>
    </w:p>
    <w:p>
      <w:pPr>
        <w:spacing w:after="0" w:line="86" w:lineRule="exact"/>
        <w:rPr>
          <w:rFonts w:ascii="Arial" w:cs="Arial" w:eastAsia="Arial" w:hAnsi="Arial"/>
          <w:sz w:val="16"/>
          <w:szCs w:val="16"/>
          <w:b w:val="1"/>
          <w:bCs w:val="1"/>
          <w:color w:val="170D67"/>
        </w:rPr>
      </w:pPr>
    </w:p>
    <w:p>
      <w:pPr>
        <w:ind w:left="160" w:hanging="160"/>
        <w:spacing w:after="0"/>
        <w:tabs>
          <w:tab w:leader="none" w:pos="160" w:val="left"/>
        </w:tabs>
        <w:numPr>
          <w:ilvl w:val="0"/>
          <w:numId w:val="86"/>
        </w:numPr>
        <w:rPr>
          <w:rFonts w:ascii="Arial" w:cs="Arial" w:eastAsia="Arial" w:hAnsi="Arial"/>
          <w:sz w:val="16"/>
          <w:szCs w:val="16"/>
          <w:b w:val="1"/>
          <w:bCs w:val="1"/>
          <w:color w:val="170D67"/>
        </w:rPr>
      </w:pPr>
      <w:r>
        <w:rPr>
          <w:rFonts w:ascii="Arial" w:cs="Arial" w:eastAsia="Arial" w:hAnsi="Arial"/>
          <w:sz w:val="16"/>
          <w:szCs w:val="16"/>
          <w:color w:val="auto"/>
        </w:rPr>
        <w:t>Board meeting logistics</w:t>
      </w:r>
    </w:p>
    <w:p>
      <w:pPr>
        <w:spacing w:after="0" w:line="200" w:lineRule="exact"/>
        <w:rPr>
          <w:sz w:val="20"/>
          <w:szCs w:val="20"/>
          <w:color w:val="auto"/>
        </w:rPr>
      </w:pPr>
    </w:p>
    <w:p>
      <w:pPr>
        <w:sectPr>
          <w:pgSz w:w="11900" w:h="16838" w:orient="portrait"/>
          <w:cols w:equalWidth="0" w:num="2">
            <w:col w:w="5140" w:space="500"/>
            <w:col w:w="5580"/>
          </w:cols>
          <w:pgMar w:left="320" w:top="121" w:right="359" w:bottom="1440" w:gutter="0" w:footer="0" w:header="0"/>
          <w:type w:val="continuous"/>
        </w:sectPr>
      </w:pPr>
    </w:p>
    <w:p>
      <w:pPr>
        <w:spacing w:after="0" w:line="102" w:lineRule="exact"/>
        <w:rPr>
          <w:sz w:val="20"/>
          <w:szCs w:val="20"/>
          <w:color w:val="auto"/>
        </w:rPr>
      </w:pPr>
    </w:p>
    <w:p>
      <w:pPr>
        <w:jc w:val="both"/>
        <w:ind w:right="420"/>
        <w:spacing w:after="0" w:line="292" w:lineRule="auto"/>
        <w:rPr>
          <w:sz w:val="20"/>
          <w:szCs w:val="20"/>
          <w:color w:val="auto"/>
        </w:rPr>
      </w:pPr>
      <w:r>
        <w:rPr>
          <w:rFonts w:ascii="Arial" w:cs="Arial" w:eastAsia="Arial" w:hAnsi="Arial"/>
          <w:sz w:val="16"/>
          <w:szCs w:val="16"/>
          <w:color w:val="auto"/>
        </w:rPr>
        <w:t>Following the completion of the session, the Board Chair and CGC Chair review the assessment with the Board, and the Board develops plans to take actions based on the results, as appropriate. The CGC Chair separately provides the Board Chair with feedback based on the discussion of the Chair’s performance.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Committee Evaluation (Annual)</w:t>
      </w:r>
    </w:p>
    <w:p>
      <w:pPr>
        <w:spacing w:after="0" w:line="122"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All of the Board’s standing Committees conduct annual assessments of their performance. The Chair of the CGC facilitates a discussion with the members of each Committee in executive session focusing on the performance of each Committee. As part of this discussion, the Committee Chair steps out of the meeting to allow the other Directors to discuss the Chair’s performance. Discussion topics include whether Committee members possess the right skills, experiences, and background to fulfill the Committee’s role, whether the Committee is receiving sufficient information, whether meeting materials and presenters are effective, and other matters. The CGC Chair and Board review the results of each Committee assessment, and the Board and Committees develop action plans based on the results, as appropriate. The CGC Chair (or the Board Chair or other CGC member, in the case of the CGC) provides each Committee Chair with feedback based on the Committee members discussion of the Chair’s performance.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Individual Director Evaluations (Biennial)</w:t>
      </w:r>
    </w:p>
    <w:p>
      <w:pPr>
        <w:spacing w:after="0" w:line="122"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Individual Director performance assessments include peer review by all members of the Board on the contributions and performance of each Director. Each Director is evaluated every other year, and newer Directors generally are not reviewed until they’ve completed at least one full year on the Board. The Chair of the CGC requests input from all Directors with regard to each Director undergoing assessment, including what each Director does well, should continue to do, and should refrain from doing. After reviewing the input received, the CGC Chair collaborates with the Board Chair to provide constructive feedback separately to individual Directors undergoing assessment for developmental opportunities.</w:t>
      </w:r>
    </w:p>
    <w:p>
      <w:pPr>
        <w:spacing w:after="0" w:line="200" w:lineRule="exact"/>
        <w:rPr>
          <w:sz w:val="20"/>
          <w:szCs w:val="20"/>
          <w:color w:val="auto"/>
        </w:rPr>
      </w:pPr>
    </w:p>
    <w:p>
      <w:pPr>
        <w:spacing w:after="0" w:line="398" w:lineRule="exact"/>
        <w:rPr>
          <w:sz w:val="20"/>
          <w:szCs w:val="20"/>
          <w:color w:val="auto"/>
        </w:rPr>
      </w:pPr>
    </w:p>
    <w:p>
      <w:pPr>
        <w:ind w:left="480" w:hanging="454"/>
        <w:spacing w:after="0"/>
        <w:tabs>
          <w:tab w:leader="none" w:pos="480" w:val="left"/>
        </w:tabs>
        <w:numPr>
          <w:ilvl w:val="0"/>
          <w:numId w:val="8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13"/>
          <w:szCs w:val="13"/>
          <w:b w:val="1"/>
          <w:bCs w:val="1"/>
          <w:color w:val="auto"/>
        </w:rPr>
        <w:t>Board and Corporate Governance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Director Compensation</w:t>
      </w:r>
    </w:p>
    <w:p>
      <w:pPr>
        <w:spacing w:after="0" w:line="12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CGC is responsible for reviewing and making recommendations to the Board regarding its non-employee Director compensation program. The Committee is authorized to engage outside advisors and consultants in connection with its review and analysis of Director compensation. The Committee takes various factors into consideration, including responsibilities of Directors generally, Board and Committee leadership roles such as the Board Chair and Committee Chairs, and the form and amount of compensation paid to directors at comparable companies.</w:t>
      </w:r>
    </w:p>
    <w:p>
      <w:pPr>
        <w:sectPr>
          <w:pgSz w:w="11900" w:h="16838" w:orient="portrait"/>
          <w:cols w:equalWidth="0" w:num="1">
            <w:col w:w="11240"/>
          </w:cols>
          <w:pgMar w:left="320" w:top="122" w:right="339" w:bottom="1440" w:gutter="0" w:footer="0" w:header="0"/>
        </w:sectPr>
      </w:pPr>
    </w:p>
    <w:p>
      <w:pPr>
        <w:spacing w:after="0" w:line="369" w:lineRule="exact"/>
        <w:rPr>
          <w:sz w:val="20"/>
          <w:szCs w:val="20"/>
          <w:color w:val="auto"/>
        </w:rPr>
      </w:pPr>
    </w:p>
    <w:p>
      <w:pPr>
        <w:ind w:left="20"/>
        <w:spacing w:after="0" w:line="282" w:lineRule="auto"/>
        <w:rPr>
          <w:sz w:val="20"/>
          <w:szCs w:val="20"/>
          <w:color w:val="auto"/>
        </w:rPr>
      </w:pPr>
      <w:r>
        <w:rPr>
          <w:rFonts w:ascii="Arial" w:cs="Arial" w:eastAsia="Arial" w:hAnsi="Arial"/>
          <w:sz w:val="16"/>
          <w:szCs w:val="16"/>
          <w:color w:val="auto"/>
        </w:rPr>
        <w:t>The non-employee Director compensation program comprises cash and equity components. The Board targets total compensation to be at the median level of compensation paid to directors at the peer group of companies used to benchmark executive compensation. The chart to the right reflects the amount and relative percentage of each component of the compensation program, excluding the additional fees for Board and Committee Chairs described below.</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Cash Fees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57"/>
        </w:trPr>
        <w:tc>
          <w:tcPr>
            <w:tcW w:w="2240" w:type="dxa"/>
            <w:vAlign w:val="bottom"/>
            <w:shd w:val="clear" w:color="auto" w:fill="170D67"/>
          </w:tcPr>
          <w:p>
            <w:pPr>
              <w:jc w:val="right"/>
              <w:ind w:right="732"/>
              <w:spacing w:after="0"/>
              <w:rPr>
                <w:sz w:val="20"/>
                <w:szCs w:val="20"/>
                <w:color w:val="auto"/>
              </w:rPr>
            </w:pPr>
            <w:r>
              <w:rPr>
                <w:rFonts w:ascii="Arial" w:cs="Arial" w:eastAsia="Arial" w:hAnsi="Arial"/>
                <w:sz w:val="29"/>
                <w:szCs w:val="29"/>
                <w:b w:val="1"/>
                <w:bCs w:val="1"/>
                <w:color w:val="FFFFFF"/>
              </w:rPr>
              <w:t>43%</w:t>
            </w:r>
          </w:p>
        </w:tc>
        <w:tc>
          <w:tcPr>
            <w:tcW w:w="140" w:type="dxa"/>
            <w:vAlign w:val="bottom"/>
          </w:tcPr>
          <w:p>
            <w:pPr>
              <w:spacing w:after="0"/>
              <w:rPr>
                <w:sz w:val="24"/>
                <w:szCs w:val="24"/>
                <w:color w:val="auto"/>
              </w:rPr>
            </w:pPr>
          </w:p>
        </w:tc>
        <w:tc>
          <w:tcPr>
            <w:tcW w:w="2680" w:type="dxa"/>
            <w:vAlign w:val="bottom"/>
            <w:shd w:val="clear" w:color="auto" w:fill="6E06C1"/>
          </w:tcPr>
          <w:p>
            <w:pPr>
              <w:jc w:val="right"/>
              <w:ind w:right="923"/>
              <w:spacing w:after="0"/>
              <w:rPr>
                <w:sz w:val="20"/>
                <w:szCs w:val="20"/>
                <w:color w:val="auto"/>
              </w:rPr>
            </w:pPr>
            <w:r>
              <w:rPr>
                <w:rFonts w:ascii="Arial" w:cs="Arial" w:eastAsia="Arial" w:hAnsi="Arial"/>
                <w:sz w:val="29"/>
                <w:szCs w:val="29"/>
                <w:b w:val="1"/>
                <w:bCs w:val="1"/>
                <w:color w:val="FFFFFF"/>
              </w:rPr>
              <w:t>57%</w:t>
            </w:r>
          </w:p>
        </w:tc>
      </w:tr>
      <w:tr>
        <w:trPr>
          <w:trHeight w:val="83"/>
        </w:trPr>
        <w:tc>
          <w:tcPr>
            <w:tcW w:w="2240" w:type="dxa"/>
            <w:vAlign w:val="bottom"/>
            <w:shd w:val="clear" w:color="auto" w:fill="170D67"/>
          </w:tcPr>
          <w:p>
            <w:pPr>
              <w:spacing w:after="0"/>
              <w:rPr>
                <w:sz w:val="7"/>
                <w:szCs w:val="7"/>
                <w:color w:val="auto"/>
              </w:rPr>
            </w:pPr>
          </w:p>
        </w:tc>
        <w:tc>
          <w:tcPr>
            <w:tcW w:w="140" w:type="dxa"/>
            <w:vAlign w:val="bottom"/>
          </w:tcPr>
          <w:p>
            <w:pPr>
              <w:spacing w:after="0"/>
              <w:rPr>
                <w:sz w:val="7"/>
                <w:szCs w:val="7"/>
                <w:color w:val="auto"/>
              </w:rPr>
            </w:pPr>
          </w:p>
        </w:tc>
        <w:tc>
          <w:tcPr>
            <w:tcW w:w="2680" w:type="dxa"/>
            <w:vAlign w:val="bottom"/>
            <w:shd w:val="clear" w:color="auto" w:fill="6E06C1"/>
          </w:tcPr>
          <w:p>
            <w:pPr>
              <w:spacing w:after="0"/>
              <w:rPr>
                <w:sz w:val="7"/>
                <w:szCs w:val="7"/>
                <w:color w:val="auto"/>
              </w:rPr>
            </w:pPr>
          </w:p>
        </w:tc>
      </w:tr>
      <w:tr>
        <w:trPr>
          <w:trHeight w:val="571"/>
        </w:trPr>
        <w:tc>
          <w:tcPr>
            <w:tcW w:w="2240" w:type="dxa"/>
            <w:vAlign w:val="bottom"/>
          </w:tcPr>
          <w:p>
            <w:pPr>
              <w:ind w:left="240"/>
              <w:spacing w:after="0"/>
              <w:rPr>
                <w:sz w:val="20"/>
                <w:szCs w:val="20"/>
                <w:color w:val="auto"/>
              </w:rPr>
            </w:pPr>
            <w:r>
              <w:rPr>
                <w:rFonts w:ascii="Arial" w:cs="Arial" w:eastAsia="Arial" w:hAnsi="Arial"/>
                <w:sz w:val="18"/>
                <w:szCs w:val="18"/>
                <w:color w:val="170D67"/>
              </w:rPr>
              <w:t>Annual Cash Retainer</w:t>
            </w:r>
          </w:p>
        </w:tc>
        <w:tc>
          <w:tcPr>
            <w:tcW w:w="140" w:type="dxa"/>
            <w:vAlign w:val="bottom"/>
          </w:tcPr>
          <w:p>
            <w:pPr>
              <w:spacing w:after="0"/>
              <w:rPr>
                <w:sz w:val="24"/>
                <w:szCs w:val="24"/>
                <w:color w:val="auto"/>
              </w:rPr>
            </w:pPr>
          </w:p>
        </w:tc>
        <w:tc>
          <w:tcPr>
            <w:tcW w:w="2680" w:type="dxa"/>
            <w:vAlign w:val="bottom"/>
          </w:tcPr>
          <w:p>
            <w:pPr>
              <w:ind w:left="500"/>
              <w:spacing w:after="0"/>
              <w:rPr>
                <w:sz w:val="20"/>
                <w:szCs w:val="20"/>
                <w:color w:val="auto"/>
              </w:rPr>
            </w:pPr>
            <w:r>
              <w:rPr>
                <w:rFonts w:ascii="Arial" w:cs="Arial" w:eastAsia="Arial" w:hAnsi="Arial"/>
                <w:sz w:val="18"/>
                <w:szCs w:val="18"/>
                <w:color w:val="170D67"/>
              </w:rPr>
              <w:t>Annual Equity Award</w:t>
            </w:r>
          </w:p>
        </w:tc>
      </w:tr>
      <w:tr>
        <w:trPr>
          <w:trHeight w:val="243"/>
        </w:trPr>
        <w:tc>
          <w:tcPr>
            <w:tcW w:w="2240" w:type="dxa"/>
            <w:vAlign w:val="bottom"/>
          </w:tcPr>
          <w:p>
            <w:pPr>
              <w:jc w:val="right"/>
              <w:ind w:right="632"/>
              <w:spacing w:after="0"/>
              <w:rPr>
                <w:sz w:val="20"/>
                <w:szCs w:val="20"/>
                <w:color w:val="auto"/>
              </w:rPr>
            </w:pPr>
            <w:r>
              <w:rPr>
                <w:rFonts w:ascii="Arial" w:cs="Arial" w:eastAsia="Arial" w:hAnsi="Arial"/>
                <w:sz w:val="18"/>
                <w:szCs w:val="18"/>
                <w:color w:val="170D67"/>
              </w:rPr>
              <w:t>$125,000</w:t>
            </w:r>
          </w:p>
        </w:tc>
        <w:tc>
          <w:tcPr>
            <w:tcW w:w="2820" w:type="dxa"/>
            <w:vAlign w:val="bottom"/>
            <w:gridSpan w:val="2"/>
          </w:tcPr>
          <w:p>
            <w:pPr>
              <w:jc w:val="right"/>
              <w:ind w:right="843"/>
              <w:spacing w:after="0"/>
              <w:rPr>
                <w:sz w:val="20"/>
                <w:szCs w:val="20"/>
                <w:color w:val="auto"/>
              </w:rPr>
            </w:pPr>
            <w:r>
              <w:rPr>
                <w:rFonts w:ascii="Arial" w:cs="Arial" w:eastAsia="Arial" w:hAnsi="Arial"/>
                <w:sz w:val="18"/>
                <w:szCs w:val="18"/>
                <w:color w:val="170D67"/>
              </w:rPr>
              <w:t>$165,000</w:t>
            </w:r>
          </w:p>
        </w:tc>
      </w:tr>
    </w:tbl>
    <w:p>
      <w:pPr>
        <w:spacing w:after="0" w:line="1197" w:lineRule="exact"/>
        <w:rPr>
          <w:sz w:val="20"/>
          <w:szCs w:val="20"/>
          <w:color w:val="auto"/>
        </w:rPr>
      </w:pPr>
    </w:p>
    <w:p>
      <w:pPr>
        <w:sectPr>
          <w:pgSz w:w="11900" w:h="16838" w:orient="portrait"/>
          <w:cols w:equalWidth="0" w:num="2">
            <w:col w:w="5600" w:space="560"/>
            <w:col w:w="5080"/>
          </w:cols>
          <w:pgMar w:left="320" w:top="122" w:right="339" w:bottom="1440" w:gutter="0" w:footer="0" w:header="0"/>
          <w:type w:val="continuous"/>
        </w:sectPr>
      </w:pPr>
    </w:p>
    <w:p>
      <w:pPr>
        <w:spacing w:after="0"/>
        <w:rPr>
          <w:sz w:val="20"/>
          <w:szCs w:val="20"/>
          <w:color w:val="auto"/>
        </w:rPr>
      </w:pPr>
      <w:r>
        <w:rPr>
          <w:rFonts w:ascii="Arial" w:cs="Arial" w:eastAsia="Arial" w:hAnsi="Arial"/>
          <w:sz w:val="16"/>
          <w:szCs w:val="16"/>
          <w:color w:val="auto"/>
        </w:rPr>
        <w:t>The table below sets forth the annual cash compensation paid in 2024 to Exelon’s non-employee Directors.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00" w:type="dxa"/>
            <w:vAlign w:val="bottom"/>
          </w:tcPr>
          <w:p>
            <w:pPr>
              <w:spacing w:after="0"/>
              <w:rPr>
                <w:sz w:val="15"/>
                <w:szCs w:val="15"/>
                <w:color w:val="auto"/>
              </w:rPr>
            </w:pPr>
          </w:p>
        </w:tc>
        <w:tc>
          <w:tcPr>
            <w:tcW w:w="4320" w:type="dxa"/>
            <w:vAlign w:val="bottom"/>
          </w:tcPr>
          <w:p>
            <w:pPr>
              <w:jc w:val="right"/>
              <w:spacing w:after="0"/>
              <w:rPr>
                <w:sz w:val="20"/>
                <w:szCs w:val="20"/>
                <w:color w:val="auto"/>
              </w:rPr>
            </w:pPr>
            <w:r>
              <w:rPr>
                <w:rFonts w:ascii="Arial" w:cs="Arial" w:eastAsia="Arial" w:hAnsi="Arial"/>
                <w:sz w:val="14"/>
                <w:szCs w:val="14"/>
                <w:b w:val="1"/>
                <w:bCs w:val="1"/>
                <w:color w:val="170D67"/>
              </w:rPr>
              <w:t>Annual Cash</w:t>
            </w:r>
          </w:p>
        </w:tc>
        <w:tc>
          <w:tcPr>
            <w:tcW w:w="0" w:type="dxa"/>
            <w:vAlign w:val="bottom"/>
          </w:tcPr>
          <w:p>
            <w:pPr>
              <w:spacing w:after="0"/>
              <w:rPr>
                <w:sz w:val="1"/>
                <w:szCs w:val="1"/>
                <w:color w:val="auto"/>
              </w:rPr>
            </w:pPr>
          </w:p>
        </w:tc>
      </w:tr>
      <w:tr>
        <w:trPr>
          <w:trHeight w:val="175"/>
        </w:trPr>
        <w:tc>
          <w:tcPr>
            <w:tcW w:w="6900" w:type="dxa"/>
            <w:vAlign w:val="bottom"/>
            <w:vMerge w:val="restart"/>
          </w:tcPr>
          <w:p>
            <w:pPr>
              <w:ind w:left="20"/>
              <w:spacing w:after="0"/>
              <w:rPr>
                <w:sz w:val="20"/>
                <w:szCs w:val="20"/>
                <w:color w:val="auto"/>
              </w:rPr>
            </w:pPr>
            <w:r>
              <w:rPr>
                <w:rFonts w:ascii="Arial" w:cs="Arial" w:eastAsia="Arial" w:hAnsi="Arial"/>
                <w:sz w:val="14"/>
                <w:szCs w:val="14"/>
                <w:b w:val="1"/>
                <w:bCs w:val="1"/>
                <w:color w:val="170D67"/>
              </w:rPr>
              <w:t>Role</w:t>
            </w:r>
          </w:p>
        </w:tc>
        <w:tc>
          <w:tcPr>
            <w:tcW w:w="4320" w:type="dxa"/>
            <w:vAlign w:val="bottom"/>
          </w:tcPr>
          <w:p>
            <w:pPr>
              <w:jc w:val="right"/>
              <w:spacing w:after="0"/>
              <w:rPr>
                <w:sz w:val="20"/>
                <w:szCs w:val="20"/>
                <w:color w:val="auto"/>
              </w:rPr>
            </w:pPr>
            <w:r>
              <w:rPr>
                <w:rFonts w:ascii="Arial" w:cs="Arial" w:eastAsia="Arial" w:hAnsi="Arial"/>
                <w:sz w:val="14"/>
                <w:szCs w:val="14"/>
                <w:b w:val="1"/>
                <w:bCs w:val="1"/>
                <w:color w:val="170D67"/>
              </w:rPr>
              <w:t>Retainer</w:t>
            </w:r>
          </w:p>
        </w:tc>
        <w:tc>
          <w:tcPr>
            <w:tcW w:w="0" w:type="dxa"/>
            <w:vAlign w:val="bottom"/>
          </w:tcPr>
          <w:p>
            <w:pPr>
              <w:spacing w:after="0"/>
              <w:rPr>
                <w:sz w:val="1"/>
                <w:szCs w:val="1"/>
                <w:color w:val="auto"/>
              </w:rPr>
            </w:pPr>
          </w:p>
        </w:tc>
      </w:tr>
      <w:tr>
        <w:trPr>
          <w:trHeight w:val="197"/>
        </w:trPr>
        <w:tc>
          <w:tcPr>
            <w:tcW w:w="6900" w:type="dxa"/>
            <w:vAlign w:val="bottom"/>
            <w:tcBorders>
              <w:bottom w:val="single" w:sz="8" w:color="170D67"/>
            </w:tcBorders>
            <w:vMerge w:val="continue"/>
          </w:tcPr>
          <w:p>
            <w:pPr>
              <w:spacing w:after="0"/>
              <w:rPr>
                <w:sz w:val="17"/>
                <w:szCs w:val="17"/>
                <w:color w:val="auto"/>
              </w:rPr>
            </w:pPr>
          </w:p>
        </w:tc>
        <w:tc>
          <w:tcPr>
            <w:tcW w:w="4320" w:type="dxa"/>
            <w:vAlign w:val="bottom"/>
            <w:tcBorders>
              <w:bottom w:val="single" w:sz="8" w:color="170D67"/>
            </w:tcBorders>
          </w:tcPr>
          <w:p>
            <w:pPr>
              <w:jc w:val="right"/>
              <w:spacing w:after="0"/>
              <w:rPr>
                <w:sz w:val="20"/>
                <w:szCs w:val="20"/>
                <w:color w:val="auto"/>
              </w:rPr>
            </w:pPr>
            <w:r>
              <w:rPr>
                <w:rFonts w:ascii="Arial" w:cs="Arial" w:eastAsia="Arial" w:hAnsi="Arial"/>
                <w:sz w:val="14"/>
                <w:szCs w:val="14"/>
                <w:b w:val="1"/>
                <w:bCs w:val="1"/>
                <w:color w:val="170D67"/>
              </w:rPr>
              <w:t>($)</w:t>
            </w:r>
          </w:p>
        </w:tc>
        <w:tc>
          <w:tcPr>
            <w:tcW w:w="0" w:type="dxa"/>
            <w:vAlign w:val="bottom"/>
          </w:tcPr>
          <w:p>
            <w:pPr>
              <w:spacing w:after="0"/>
              <w:rPr>
                <w:sz w:val="1"/>
                <w:szCs w:val="1"/>
                <w:color w:val="auto"/>
              </w:rPr>
            </w:pPr>
          </w:p>
        </w:tc>
      </w:tr>
      <w:tr>
        <w:trPr>
          <w:trHeight w:val="205"/>
        </w:trPr>
        <w:tc>
          <w:tcPr>
            <w:tcW w:w="6900" w:type="dxa"/>
            <w:vAlign w:val="bottom"/>
          </w:tcPr>
          <w:p>
            <w:pPr>
              <w:ind w:left="20"/>
              <w:spacing w:after="0"/>
              <w:rPr>
                <w:sz w:val="20"/>
                <w:szCs w:val="20"/>
                <w:color w:val="auto"/>
              </w:rPr>
            </w:pPr>
            <w:r>
              <w:rPr>
                <w:rFonts w:ascii="Arial" w:cs="Arial" w:eastAsia="Arial" w:hAnsi="Arial"/>
                <w:sz w:val="15"/>
                <w:szCs w:val="15"/>
                <w:color w:val="auto"/>
              </w:rPr>
              <w:t>Non-Employee Director</w:t>
            </w:r>
          </w:p>
        </w:tc>
        <w:tc>
          <w:tcPr>
            <w:tcW w:w="4320" w:type="dxa"/>
            <w:vAlign w:val="bottom"/>
          </w:tcPr>
          <w:p>
            <w:pPr>
              <w:jc w:val="right"/>
              <w:spacing w:after="0"/>
              <w:rPr>
                <w:sz w:val="20"/>
                <w:szCs w:val="20"/>
                <w:color w:val="auto"/>
              </w:rPr>
            </w:pPr>
            <w:r>
              <w:rPr>
                <w:rFonts w:ascii="Arial" w:cs="Arial" w:eastAsia="Arial" w:hAnsi="Arial"/>
                <w:sz w:val="15"/>
                <w:szCs w:val="15"/>
                <w:color w:val="auto"/>
              </w:rPr>
              <w:t>125,000</w:t>
            </w:r>
          </w:p>
        </w:tc>
        <w:tc>
          <w:tcPr>
            <w:tcW w:w="0" w:type="dxa"/>
            <w:vAlign w:val="bottom"/>
          </w:tcPr>
          <w:p>
            <w:pPr>
              <w:spacing w:after="0"/>
              <w:rPr>
                <w:sz w:val="1"/>
                <w:szCs w:val="1"/>
                <w:color w:val="auto"/>
              </w:rPr>
            </w:pPr>
          </w:p>
        </w:tc>
      </w:tr>
      <w:tr>
        <w:trPr>
          <w:trHeight w:val="33"/>
        </w:trPr>
        <w:tc>
          <w:tcPr>
            <w:tcW w:w="6900" w:type="dxa"/>
            <w:vAlign w:val="bottom"/>
            <w:tcBorders>
              <w:bottom w:val="single" w:sz="8" w:color="808080"/>
            </w:tcBorders>
          </w:tcPr>
          <w:p>
            <w:pPr>
              <w:spacing w:after="0"/>
              <w:rPr>
                <w:sz w:val="2"/>
                <w:szCs w:val="2"/>
                <w:color w:val="auto"/>
              </w:rPr>
            </w:pPr>
          </w:p>
        </w:tc>
        <w:tc>
          <w:tcPr>
            <w:tcW w:w="43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20"/>
              <w:spacing w:after="0"/>
              <w:rPr>
                <w:sz w:val="20"/>
                <w:szCs w:val="20"/>
                <w:color w:val="auto"/>
              </w:rPr>
            </w:pPr>
            <w:r>
              <w:rPr>
                <w:rFonts w:ascii="Arial" w:cs="Arial" w:eastAsia="Arial" w:hAnsi="Arial"/>
                <w:sz w:val="15"/>
                <w:szCs w:val="15"/>
                <w:color w:val="auto"/>
              </w:rPr>
              <w:t>Board Chair</w:t>
            </w:r>
          </w:p>
        </w:tc>
        <w:tc>
          <w:tcPr>
            <w:tcW w:w="4320" w:type="dxa"/>
            <w:vAlign w:val="bottom"/>
          </w:tcPr>
          <w:p>
            <w:pPr>
              <w:jc w:val="right"/>
              <w:spacing w:after="0"/>
              <w:rPr>
                <w:sz w:val="20"/>
                <w:szCs w:val="20"/>
                <w:color w:val="auto"/>
              </w:rPr>
            </w:pPr>
            <w:r>
              <w:rPr>
                <w:rFonts w:ascii="Arial" w:cs="Arial" w:eastAsia="Arial" w:hAnsi="Arial"/>
                <w:sz w:val="15"/>
                <w:szCs w:val="15"/>
                <w:color w:val="auto"/>
              </w:rPr>
              <w:t>180,000</w:t>
            </w:r>
          </w:p>
        </w:tc>
        <w:tc>
          <w:tcPr>
            <w:tcW w:w="0" w:type="dxa"/>
            <w:vAlign w:val="bottom"/>
          </w:tcPr>
          <w:p>
            <w:pPr>
              <w:spacing w:after="0"/>
              <w:rPr>
                <w:sz w:val="1"/>
                <w:szCs w:val="1"/>
                <w:color w:val="auto"/>
              </w:rPr>
            </w:pPr>
          </w:p>
        </w:tc>
      </w:tr>
      <w:tr>
        <w:trPr>
          <w:trHeight w:val="33"/>
        </w:trPr>
        <w:tc>
          <w:tcPr>
            <w:tcW w:w="6900" w:type="dxa"/>
            <w:vAlign w:val="bottom"/>
            <w:tcBorders>
              <w:bottom w:val="single" w:sz="8" w:color="808080"/>
            </w:tcBorders>
          </w:tcPr>
          <w:p>
            <w:pPr>
              <w:spacing w:after="0"/>
              <w:rPr>
                <w:sz w:val="2"/>
                <w:szCs w:val="2"/>
                <w:color w:val="auto"/>
              </w:rPr>
            </w:pPr>
          </w:p>
        </w:tc>
        <w:tc>
          <w:tcPr>
            <w:tcW w:w="43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6900" w:type="dxa"/>
            <w:vAlign w:val="bottom"/>
            <w:tcBorders>
              <w:bottom w:val="single" w:sz="8" w:color="E8E7EA"/>
            </w:tcBorders>
            <w:shd w:val="clear" w:color="auto" w:fill="E8E7EA"/>
          </w:tcPr>
          <w:p>
            <w:pPr>
              <w:ind w:left="20"/>
              <w:spacing w:after="0"/>
              <w:rPr>
                <w:sz w:val="20"/>
                <w:szCs w:val="20"/>
                <w:color w:val="auto"/>
              </w:rPr>
            </w:pPr>
            <w:r>
              <w:rPr>
                <w:rFonts w:ascii="Arial" w:cs="Arial" w:eastAsia="Arial" w:hAnsi="Arial"/>
                <w:sz w:val="15"/>
                <w:szCs w:val="15"/>
                <w:b w:val="1"/>
                <w:bCs w:val="1"/>
                <w:color w:val="auto"/>
              </w:rPr>
              <w:t>Committee Chairs:</w:t>
            </w:r>
          </w:p>
        </w:tc>
        <w:tc>
          <w:tcPr>
            <w:tcW w:w="4320" w:type="dxa"/>
            <w:vAlign w:val="bottom"/>
            <w:tcBorders>
              <w:bottom w:val="single" w:sz="8" w:color="E8E7EA"/>
            </w:tcBorders>
            <w:shd w:val="clear" w:color="auto" w:fill="E8E7EA"/>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6900" w:type="dxa"/>
            <w:vAlign w:val="bottom"/>
            <w:tcBorders>
              <w:top w:val="single" w:sz="8" w:color="808080"/>
            </w:tcBorders>
          </w:tcPr>
          <w:p>
            <w:pPr>
              <w:ind w:left="20"/>
              <w:spacing w:after="0"/>
              <w:rPr>
                <w:sz w:val="20"/>
                <w:szCs w:val="20"/>
                <w:color w:val="auto"/>
              </w:rPr>
            </w:pPr>
            <w:r>
              <w:rPr>
                <w:rFonts w:ascii="Arial" w:cs="Arial" w:eastAsia="Arial" w:hAnsi="Arial"/>
                <w:sz w:val="15"/>
                <w:szCs w:val="15"/>
                <w:color w:val="auto"/>
              </w:rPr>
              <w:t>Audit and Risk Committee</w:t>
            </w:r>
          </w:p>
        </w:tc>
        <w:tc>
          <w:tcPr>
            <w:tcW w:w="4320" w:type="dxa"/>
            <w:vAlign w:val="bottom"/>
            <w:tcBorders>
              <w:top w:val="single" w:sz="8" w:color="808080"/>
            </w:tcBorders>
          </w:tcPr>
          <w:p>
            <w:pPr>
              <w:jc w:val="right"/>
              <w:spacing w:after="0"/>
              <w:rPr>
                <w:sz w:val="20"/>
                <w:szCs w:val="20"/>
                <w:color w:val="auto"/>
              </w:rPr>
            </w:pPr>
            <w:r>
              <w:rPr>
                <w:rFonts w:ascii="Arial" w:cs="Arial" w:eastAsia="Arial" w:hAnsi="Arial"/>
                <w:sz w:val="15"/>
                <w:szCs w:val="15"/>
                <w:color w:val="auto"/>
              </w:rPr>
              <w:t>25,000</w:t>
            </w:r>
          </w:p>
        </w:tc>
        <w:tc>
          <w:tcPr>
            <w:tcW w:w="0" w:type="dxa"/>
            <w:vAlign w:val="bottom"/>
          </w:tcPr>
          <w:p>
            <w:pPr>
              <w:spacing w:after="0"/>
              <w:rPr>
                <w:sz w:val="1"/>
                <w:szCs w:val="1"/>
                <w:color w:val="auto"/>
              </w:rPr>
            </w:pPr>
          </w:p>
        </w:tc>
      </w:tr>
      <w:tr>
        <w:trPr>
          <w:trHeight w:val="33"/>
        </w:trPr>
        <w:tc>
          <w:tcPr>
            <w:tcW w:w="6900" w:type="dxa"/>
            <w:vAlign w:val="bottom"/>
            <w:tcBorders>
              <w:bottom w:val="single" w:sz="8" w:color="808080"/>
            </w:tcBorders>
          </w:tcPr>
          <w:p>
            <w:pPr>
              <w:spacing w:after="0"/>
              <w:rPr>
                <w:sz w:val="2"/>
                <w:szCs w:val="2"/>
                <w:color w:val="auto"/>
              </w:rPr>
            </w:pPr>
          </w:p>
        </w:tc>
        <w:tc>
          <w:tcPr>
            <w:tcW w:w="43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20"/>
              <w:spacing w:after="0"/>
              <w:rPr>
                <w:sz w:val="20"/>
                <w:szCs w:val="20"/>
                <w:color w:val="auto"/>
              </w:rPr>
            </w:pPr>
            <w:r>
              <w:rPr>
                <w:rFonts w:ascii="Arial" w:cs="Arial" w:eastAsia="Arial" w:hAnsi="Arial"/>
                <w:sz w:val="15"/>
                <w:szCs w:val="15"/>
                <w:color w:val="auto"/>
              </w:rPr>
              <w:t>Talent Management and Compensation Committee</w:t>
            </w:r>
          </w:p>
        </w:tc>
        <w:tc>
          <w:tcPr>
            <w:tcW w:w="4320" w:type="dxa"/>
            <w:vAlign w:val="bottom"/>
          </w:tcPr>
          <w:p>
            <w:pPr>
              <w:jc w:val="right"/>
              <w:spacing w:after="0"/>
              <w:rPr>
                <w:sz w:val="20"/>
                <w:szCs w:val="20"/>
                <w:color w:val="auto"/>
              </w:rPr>
            </w:pPr>
            <w:r>
              <w:rPr>
                <w:rFonts w:ascii="Arial" w:cs="Arial" w:eastAsia="Arial" w:hAnsi="Arial"/>
                <w:sz w:val="15"/>
                <w:szCs w:val="15"/>
                <w:color w:val="auto"/>
              </w:rPr>
              <w:t>20,000</w:t>
            </w:r>
          </w:p>
        </w:tc>
        <w:tc>
          <w:tcPr>
            <w:tcW w:w="0" w:type="dxa"/>
            <w:vAlign w:val="bottom"/>
          </w:tcPr>
          <w:p>
            <w:pPr>
              <w:spacing w:after="0"/>
              <w:rPr>
                <w:sz w:val="1"/>
                <w:szCs w:val="1"/>
                <w:color w:val="auto"/>
              </w:rPr>
            </w:pPr>
          </w:p>
        </w:tc>
      </w:tr>
      <w:tr>
        <w:trPr>
          <w:trHeight w:val="33"/>
        </w:trPr>
        <w:tc>
          <w:tcPr>
            <w:tcW w:w="6900" w:type="dxa"/>
            <w:vAlign w:val="bottom"/>
            <w:tcBorders>
              <w:bottom w:val="single" w:sz="8" w:color="808080"/>
            </w:tcBorders>
          </w:tcPr>
          <w:p>
            <w:pPr>
              <w:spacing w:after="0"/>
              <w:rPr>
                <w:sz w:val="2"/>
                <w:szCs w:val="2"/>
                <w:color w:val="auto"/>
              </w:rPr>
            </w:pPr>
          </w:p>
        </w:tc>
        <w:tc>
          <w:tcPr>
            <w:tcW w:w="43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900" w:type="dxa"/>
            <w:vAlign w:val="bottom"/>
          </w:tcPr>
          <w:p>
            <w:pPr>
              <w:ind w:left="20"/>
              <w:spacing w:after="0"/>
              <w:rPr>
                <w:sz w:val="20"/>
                <w:szCs w:val="20"/>
                <w:color w:val="auto"/>
              </w:rPr>
            </w:pPr>
            <w:r>
              <w:rPr>
                <w:rFonts w:ascii="Arial" w:cs="Arial" w:eastAsia="Arial" w:hAnsi="Arial"/>
                <w:sz w:val="15"/>
                <w:szCs w:val="15"/>
                <w:color w:val="auto"/>
              </w:rPr>
              <w:t>Corporate Governance Committee</w:t>
            </w:r>
          </w:p>
        </w:tc>
        <w:tc>
          <w:tcPr>
            <w:tcW w:w="4320" w:type="dxa"/>
            <w:vAlign w:val="bottom"/>
          </w:tcPr>
          <w:p>
            <w:pPr>
              <w:jc w:val="right"/>
              <w:spacing w:after="0"/>
              <w:rPr>
                <w:sz w:val="20"/>
                <w:szCs w:val="20"/>
                <w:color w:val="auto"/>
              </w:rPr>
            </w:pPr>
            <w:r>
              <w:rPr>
                <w:rFonts w:ascii="Arial" w:cs="Arial" w:eastAsia="Arial" w:hAnsi="Arial"/>
                <w:sz w:val="15"/>
                <w:szCs w:val="15"/>
                <w:color w:val="auto"/>
              </w:rPr>
              <w:t>20,000</w:t>
            </w:r>
          </w:p>
        </w:tc>
        <w:tc>
          <w:tcPr>
            <w:tcW w:w="0" w:type="dxa"/>
            <w:vAlign w:val="bottom"/>
          </w:tcPr>
          <w:p>
            <w:pPr>
              <w:spacing w:after="0"/>
              <w:rPr>
                <w:sz w:val="1"/>
                <w:szCs w:val="1"/>
                <w:color w:val="auto"/>
              </w:rPr>
            </w:pPr>
          </w:p>
        </w:tc>
      </w:tr>
      <w:tr>
        <w:trPr>
          <w:trHeight w:val="33"/>
        </w:trPr>
        <w:tc>
          <w:tcPr>
            <w:tcW w:w="6900" w:type="dxa"/>
            <w:vAlign w:val="bottom"/>
            <w:tcBorders>
              <w:bottom w:val="single" w:sz="8" w:color="808080"/>
            </w:tcBorders>
          </w:tcPr>
          <w:p>
            <w:pPr>
              <w:spacing w:after="0"/>
              <w:rPr>
                <w:sz w:val="2"/>
                <w:szCs w:val="2"/>
                <w:color w:val="auto"/>
              </w:rPr>
            </w:pPr>
          </w:p>
        </w:tc>
        <w:tc>
          <w:tcPr>
            <w:tcW w:w="43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20"/>
              <w:spacing w:after="0"/>
              <w:rPr>
                <w:sz w:val="20"/>
                <w:szCs w:val="20"/>
                <w:color w:val="auto"/>
              </w:rPr>
            </w:pPr>
            <w:r>
              <w:rPr>
                <w:rFonts w:ascii="Arial" w:cs="Arial" w:eastAsia="Arial" w:hAnsi="Arial"/>
                <w:sz w:val="15"/>
                <w:szCs w:val="15"/>
                <w:color w:val="auto"/>
              </w:rPr>
              <w:t>Operations, Safety and Customer Experience</w:t>
            </w:r>
          </w:p>
        </w:tc>
        <w:tc>
          <w:tcPr>
            <w:tcW w:w="4320" w:type="dxa"/>
            <w:vAlign w:val="bottom"/>
          </w:tcPr>
          <w:p>
            <w:pPr>
              <w:jc w:val="right"/>
              <w:spacing w:after="0"/>
              <w:rPr>
                <w:sz w:val="20"/>
                <w:szCs w:val="20"/>
                <w:color w:val="auto"/>
              </w:rPr>
            </w:pPr>
            <w:r>
              <w:rPr>
                <w:rFonts w:ascii="Arial" w:cs="Arial" w:eastAsia="Arial" w:hAnsi="Arial"/>
                <w:sz w:val="15"/>
                <w:szCs w:val="15"/>
                <w:color w:val="auto"/>
              </w:rPr>
              <w:t>20,000</w:t>
            </w:r>
          </w:p>
        </w:tc>
        <w:tc>
          <w:tcPr>
            <w:tcW w:w="0" w:type="dxa"/>
            <w:vAlign w:val="bottom"/>
          </w:tcPr>
          <w:p>
            <w:pPr>
              <w:spacing w:after="0"/>
              <w:rPr>
                <w:sz w:val="1"/>
                <w:szCs w:val="1"/>
                <w:color w:val="auto"/>
              </w:rPr>
            </w:pPr>
          </w:p>
        </w:tc>
      </w:tr>
      <w:tr>
        <w:trPr>
          <w:trHeight w:val="33"/>
        </w:trPr>
        <w:tc>
          <w:tcPr>
            <w:tcW w:w="6900" w:type="dxa"/>
            <w:vAlign w:val="bottom"/>
            <w:tcBorders>
              <w:bottom w:val="single" w:sz="8" w:color="808080"/>
            </w:tcBorders>
          </w:tcPr>
          <w:p>
            <w:pPr>
              <w:spacing w:after="0"/>
              <w:rPr>
                <w:sz w:val="2"/>
                <w:szCs w:val="2"/>
                <w:color w:val="auto"/>
              </w:rPr>
            </w:pPr>
          </w:p>
        </w:tc>
        <w:tc>
          <w:tcPr>
            <w:tcW w:w="43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Directors may elect to defer any portion of cash compensation into a non-qualified multi-fund deferred compensation plan. Under the plan, each Director has an unfunded account where the dollar balance can be invested in one or more of several mutual funds, including one fund composed entirely of Exelon common stock. Fund balances (including amounts invested in the Exelon common stock fund) are settled in cash and may be distributed in a lump sum or in annual installment payments upon a Director reaching age 65, age 72, or upon departure from the Board. These funds are identical to those that are available to Company employees who participate in the Exelon Employee Savings Plan.</w:t>
      </w:r>
    </w:p>
    <w:p>
      <w:pPr>
        <w:spacing w:after="0" w:line="80"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Directors who serve as members of special committees that may be formed from time to time receive fees of $5,000 per quarter for as long as the Committee remains needed, provided that the Board may determine that additional fees are appropriate depending on the nature and scope of the special committee. In 2024, the Board approved one-time payments to Mr. Bowers and Ms. Rogers Cheshire for their extraordinary service on a special committee between July 2022 and December 2023 in the amounts shown in the “2024 Director Compensation” table.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Equity Compensation</w:t>
      </w:r>
    </w:p>
    <w:p>
      <w:pPr>
        <w:spacing w:after="0" w:line="122" w:lineRule="exact"/>
        <w:rPr>
          <w:sz w:val="20"/>
          <w:szCs w:val="20"/>
          <w:color w:val="auto"/>
        </w:rPr>
      </w:pPr>
    </w:p>
    <w:p>
      <w:pPr>
        <w:jc w:val="both"/>
        <w:ind w:right="180"/>
        <w:spacing w:after="0" w:line="301" w:lineRule="auto"/>
        <w:rPr>
          <w:sz w:val="20"/>
          <w:szCs w:val="20"/>
          <w:color w:val="auto"/>
        </w:rPr>
      </w:pPr>
      <w:r>
        <w:rPr>
          <w:rFonts w:ascii="Arial" w:cs="Arial" w:eastAsia="Arial" w:hAnsi="Arial"/>
          <w:sz w:val="16"/>
          <w:szCs w:val="16"/>
          <w:color w:val="auto"/>
        </w:rPr>
        <w:t>A significant portion of Director compensation is provided in the form of equity, to align the interests of Directors with the interests of shareholders. In 2024, Exelon’s non-employee Directors received deferred stock units (DSUs) with a total value of $165,000. The table below sets forth the amount of DSUs held by each non-employee Director as of December 31, 2024. The balances reported include additional DSUs accumulated as dividend equivalents.</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780"/>
              <w:spacing w:after="0"/>
              <w:rPr>
                <w:sz w:val="20"/>
                <w:szCs w:val="20"/>
                <w:color w:val="auto"/>
              </w:rPr>
            </w:pPr>
            <w:r>
              <w:rPr>
                <w:rFonts w:ascii="Arial" w:cs="Arial" w:eastAsia="Arial" w:hAnsi="Arial"/>
                <w:sz w:val="14"/>
                <w:szCs w:val="14"/>
                <w:color w:val="auto"/>
              </w:rPr>
              <w:t>2025 ׀ Exelon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35</w:t>
            </w:r>
          </w:p>
        </w:tc>
      </w:tr>
      <w:tr>
        <w:trPr>
          <w:trHeight w:val="225"/>
        </w:trPr>
        <w:tc>
          <w:tcPr>
            <w:tcW w:w="1092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3"/>
          <w:szCs w:val="13"/>
          <w:b w:val="1"/>
          <w:bCs w:val="1"/>
          <w:color w:val="auto"/>
        </w:rPr>
        <w:t>Board and Corporate Governance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40" w:type="dxa"/>
            <w:vAlign w:val="bottom"/>
          </w:tcPr>
          <w:p>
            <w:pPr>
              <w:spacing w:after="0"/>
              <w:rPr>
                <w:sz w:val="15"/>
                <w:szCs w:val="15"/>
                <w:color w:val="auto"/>
              </w:rPr>
            </w:pPr>
          </w:p>
        </w:tc>
        <w:tc>
          <w:tcPr>
            <w:tcW w:w="6180" w:type="dxa"/>
            <w:vAlign w:val="bottom"/>
          </w:tcPr>
          <w:p>
            <w:pPr>
              <w:jc w:val="right"/>
              <w:spacing w:after="0"/>
              <w:rPr>
                <w:sz w:val="20"/>
                <w:szCs w:val="20"/>
                <w:color w:val="auto"/>
              </w:rPr>
            </w:pPr>
            <w:r>
              <w:rPr>
                <w:rFonts w:ascii="Arial" w:cs="Arial" w:eastAsia="Arial" w:hAnsi="Arial"/>
                <w:sz w:val="14"/>
                <w:szCs w:val="14"/>
                <w:b w:val="1"/>
                <w:bCs w:val="1"/>
                <w:color w:val="170D67"/>
              </w:rPr>
              <w:t>Total Deferred Stock Units</w:t>
            </w:r>
          </w:p>
        </w:tc>
      </w:tr>
      <w:tr>
        <w:trPr>
          <w:trHeight w:val="205"/>
        </w:trPr>
        <w:tc>
          <w:tcPr>
            <w:tcW w:w="5040" w:type="dxa"/>
            <w:vAlign w:val="bottom"/>
            <w:tcBorders>
              <w:bottom w:val="single" w:sz="8" w:color="170D67"/>
            </w:tcBorders>
          </w:tcPr>
          <w:p>
            <w:pPr>
              <w:ind w:left="20"/>
              <w:spacing w:after="0"/>
              <w:rPr>
                <w:sz w:val="20"/>
                <w:szCs w:val="20"/>
                <w:color w:val="auto"/>
              </w:rPr>
            </w:pPr>
            <w:r>
              <w:rPr>
                <w:rFonts w:ascii="Arial" w:cs="Arial" w:eastAsia="Arial" w:hAnsi="Arial"/>
                <w:sz w:val="14"/>
                <w:szCs w:val="14"/>
                <w:b w:val="1"/>
                <w:bCs w:val="1"/>
                <w:color w:val="170D67"/>
              </w:rPr>
              <w:t>Name</w:t>
            </w:r>
          </w:p>
        </w:tc>
        <w:tc>
          <w:tcPr>
            <w:tcW w:w="6180" w:type="dxa"/>
            <w:vAlign w:val="bottom"/>
            <w:tcBorders>
              <w:bottom w:val="single" w:sz="8" w:color="170D67"/>
            </w:tcBorders>
          </w:tcPr>
          <w:p>
            <w:pPr>
              <w:jc w:val="right"/>
              <w:spacing w:after="0"/>
              <w:rPr>
                <w:sz w:val="20"/>
                <w:szCs w:val="20"/>
                <w:color w:val="auto"/>
              </w:rPr>
            </w:pPr>
            <w:r>
              <w:rPr>
                <w:rFonts w:ascii="Arial" w:cs="Arial" w:eastAsia="Arial" w:hAnsi="Arial"/>
                <w:sz w:val="14"/>
                <w:szCs w:val="14"/>
                <w:b w:val="1"/>
                <w:bCs w:val="1"/>
                <w:color w:val="170D67"/>
              </w:rPr>
              <w:t>(#)</w:t>
            </w:r>
          </w:p>
        </w:tc>
      </w:tr>
      <w:tr>
        <w:trPr>
          <w:trHeight w:val="237"/>
        </w:trPr>
        <w:tc>
          <w:tcPr>
            <w:tcW w:w="5040" w:type="dxa"/>
            <w:vAlign w:val="bottom"/>
            <w:tcBorders>
              <w:bottom w:val="single" w:sz="8" w:color="808080"/>
            </w:tcBorders>
          </w:tcPr>
          <w:p>
            <w:pPr>
              <w:ind w:left="20"/>
              <w:spacing w:after="0"/>
              <w:rPr>
                <w:sz w:val="20"/>
                <w:szCs w:val="20"/>
                <w:color w:val="auto"/>
              </w:rPr>
            </w:pPr>
            <w:r>
              <w:rPr>
                <w:rFonts w:ascii="Arial" w:cs="Arial" w:eastAsia="Arial" w:hAnsi="Arial"/>
                <w:sz w:val="16"/>
                <w:szCs w:val="16"/>
                <w:color w:val="auto"/>
              </w:rPr>
              <w:t>Bowers</w:t>
            </w:r>
          </w:p>
        </w:tc>
        <w:tc>
          <w:tcPr>
            <w:tcW w:w="618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14,570</w:t>
            </w:r>
          </w:p>
        </w:tc>
      </w:tr>
      <w:tr>
        <w:trPr>
          <w:trHeight w:val="236"/>
        </w:trPr>
        <w:tc>
          <w:tcPr>
            <w:tcW w:w="5040" w:type="dxa"/>
            <w:vAlign w:val="bottom"/>
            <w:tcBorders>
              <w:bottom w:val="single" w:sz="8" w:color="808080"/>
            </w:tcBorders>
          </w:tcPr>
          <w:p>
            <w:pPr>
              <w:ind w:left="20"/>
              <w:spacing w:after="0"/>
              <w:rPr>
                <w:sz w:val="20"/>
                <w:szCs w:val="20"/>
                <w:color w:val="auto"/>
              </w:rPr>
            </w:pPr>
            <w:r>
              <w:rPr>
                <w:rFonts w:ascii="Arial" w:cs="Arial" w:eastAsia="Arial" w:hAnsi="Arial"/>
                <w:sz w:val="16"/>
                <w:szCs w:val="16"/>
                <w:color w:val="auto"/>
              </w:rPr>
              <w:t>Cheshire</w:t>
            </w:r>
          </w:p>
        </w:tc>
        <w:tc>
          <w:tcPr>
            <w:tcW w:w="618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20,063</w:t>
            </w:r>
          </w:p>
        </w:tc>
      </w:tr>
      <w:tr>
        <w:trPr>
          <w:trHeight w:val="237"/>
        </w:trPr>
        <w:tc>
          <w:tcPr>
            <w:tcW w:w="5040" w:type="dxa"/>
            <w:vAlign w:val="bottom"/>
            <w:tcBorders>
              <w:bottom w:val="single" w:sz="8" w:color="808080"/>
            </w:tcBorders>
          </w:tcPr>
          <w:p>
            <w:pPr>
              <w:ind w:left="20"/>
              <w:spacing w:after="0"/>
              <w:rPr>
                <w:sz w:val="20"/>
                <w:szCs w:val="20"/>
                <w:color w:val="auto"/>
              </w:rPr>
            </w:pPr>
            <w:r>
              <w:rPr>
                <w:rFonts w:ascii="Arial" w:cs="Arial" w:eastAsia="Arial" w:hAnsi="Arial"/>
                <w:sz w:val="16"/>
                <w:szCs w:val="16"/>
                <w:color w:val="auto"/>
              </w:rPr>
              <w:t>Jojo</w:t>
            </w:r>
          </w:p>
        </w:tc>
        <w:tc>
          <w:tcPr>
            <w:tcW w:w="618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49,046</w:t>
            </w:r>
          </w:p>
        </w:tc>
      </w:tr>
      <w:tr>
        <w:trPr>
          <w:trHeight w:val="237"/>
        </w:trPr>
        <w:tc>
          <w:tcPr>
            <w:tcW w:w="5040" w:type="dxa"/>
            <w:vAlign w:val="bottom"/>
            <w:tcBorders>
              <w:bottom w:val="single" w:sz="8" w:color="808080"/>
            </w:tcBorders>
          </w:tcPr>
          <w:p>
            <w:pPr>
              <w:ind w:left="20"/>
              <w:spacing w:after="0"/>
              <w:rPr>
                <w:sz w:val="20"/>
                <w:szCs w:val="20"/>
                <w:color w:val="auto"/>
              </w:rPr>
            </w:pPr>
            <w:r>
              <w:rPr>
                <w:rFonts w:ascii="Arial" w:cs="Arial" w:eastAsia="Arial" w:hAnsi="Arial"/>
                <w:sz w:val="16"/>
                <w:szCs w:val="16"/>
                <w:color w:val="auto"/>
              </w:rPr>
              <w:t>Lillie</w:t>
            </w:r>
          </w:p>
        </w:tc>
        <w:tc>
          <w:tcPr>
            <w:tcW w:w="618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7,472</w:t>
            </w:r>
          </w:p>
        </w:tc>
      </w:tr>
      <w:tr>
        <w:trPr>
          <w:trHeight w:val="237"/>
        </w:trPr>
        <w:tc>
          <w:tcPr>
            <w:tcW w:w="5040" w:type="dxa"/>
            <w:vAlign w:val="bottom"/>
            <w:tcBorders>
              <w:bottom w:val="single" w:sz="8" w:color="808080"/>
            </w:tcBorders>
          </w:tcPr>
          <w:p>
            <w:pPr>
              <w:ind w:left="20"/>
              <w:spacing w:after="0"/>
              <w:rPr>
                <w:sz w:val="20"/>
                <w:szCs w:val="20"/>
                <w:color w:val="auto"/>
              </w:rPr>
            </w:pPr>
            <w:r>
              <w:rPr>
                <w:rFonts w:ascii="Arial" w:cs="Arial" w:eastAsia="Arial" w:hAnsi="Arial"/>
                <w:sz w:val="16"/>
                <w:szCs w:val="16"/>
                <w:color w:val="auto"/>
              </w:rPr>
              <w:t>Richo</w:t>
            </w:r>
          </w:p>
        </w:tc>
        <w:tc>
          <w:tcPr>
            <w:tcW w:w="618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6,308</w:t>
            </w:r>
          </w:p>
        </w:tc>
      </w:tr>
      <w:tr>
        <w:trPr>
          <w:trHeight w:val="236"/>
        </w:trPr>
        <w:tc>
          <w:tcPr>
            <w:tcW w:w="5040" w:type="dxa"/>
            <w:vAlign w:val="bottom"/>
            <w:tcBorders>
              <w:bottom w:val="single" w:sz="8" w:color="808080"/>
            </w:tcBorders>
          </w:tcPr>
          <w:p>
            <w:pPr>
              <w:ind w:left="20"/>
              <w:spacing w:after="0"/>
              <w:rPr>
                <w:sz w:val="20"/>
                <w:szCs w:val="20"/>
                <w:color w:val="auto"/>
              </w:rPr>
            </w:pPr>
            <w:r>
              <w:rPr>
                <w:rFonts w:ascii="Arial" w:cs="Arial" w:eastAsia="Arial" w:hAnsi="Arial"/>
                <w:sz w:val="16"/>
                <w:szCs w:val="16"/>
                <w:color w:val="auto"/>
              </w:rPr>
              <w:t>Rogers</w:t>
            </w:r>
          </w:p>
        </w:tc>
        <w:tc>
          <w:tcPr>
            <w:tcW w:w="618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7,472</w:t>
            </w:r>
          </w:p>
        </w:tc>
      </w:tr>
      <w:tr>
        <w:trPr>
          <w:trHeight w:val="237"/>
        </w:trPr>
        <w:tc>
          <w:tcPr>
            <w:tcW w:w="5040" w:type="dxa"/>
            <w:vAlign w:val="bottom"/>
            <w:tcBorders>
              <w:bottom w:val="single" w:sz="8" w:color="808080"/>
            </w:tcBorders>
          </w:tcPr>
          <w:p>
            <w:pPr>
              <w:ind w:left="20"/>
              <w:spacing w:after="0"/>
              <w:rPr>
                <w:sz w:val="20"/>
                <w:szCs w:val="20"/>
                <w:color w:val="auto"/>
              </w:rPr>
            </w:pPr>
            <w:r>
              <w:rPr>
                <w:rFonts w:ascii="Arial" w:cs="Arial" w:eastAsia="Arial" w:hAnsi="Arial"/>
                <w:sz w:val="16"/>
                <w:szCs w:val="16"/>
                <w:color w:val="auto"/>
              </w:rPr>
              <w:t>Segedi</w:t>
            </w:r>
          </w:p>
        </w:tc>
        <w:tc>
          <w:tcPr>
            <w:tcW w:w="618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4,504</w:t>
            </w:r>
          </w:p>
        </w:tc>
      </w:tr>
      <w:tr>
        <w:trPr>
          <w:trHeight w:val="237"/>
        </w:trPr>
        <w:tc>
          <w:tcPr>
            <w:tcW w:w="5040" w:type="dxa"/>
            <w:vAlign w:val="bottom"/>
            <w:tcBorders>
              <w:bottom w:val="single" w:sz="8" w:color="808080"/>
            </w:tcBorders>
          </w:tcPr>
          <w:p>
            <w:pPr>
              <w:ind w:left="20"/>
              <w:spacing w:after="0"/>
              <w:rPr>
                <w:sz w:val="20"/>
                <w:szCs w:val="20"/>
                <w:color w:val="auto"/>
              </w:rPr>
            </w:pPr>
            <w:r>
              <w:rPr>
                <w:rFonts w:ascii="Arial" w:cs="Arial" w:eastAsia="Arial" w:hAnsi="Arial"/>
                <w:sz w:val="16"/>
                <w:szCs w:val="16"/>
                <w:color w:val="auto"/>
              </w:rPr>
              <w:t>Young</w:t>
            </w:r>
          </w:p>
        </w:tc>
        <w:tc>
          <w:tcPr>
            <w:tcW w:w="618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31,071</w:t>
            </w:r>
          </w:p>
        </w:tc>
      </w:tr>
    </w:tbl>
    <w:p>
      <w:pPr>
        <w:spacing w:after="0" w:line="18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DSUs are granted at the end of each calendar quarter in arrears and credited to a notional account based upon the closing price of Exelon common stock on the date the quarterly dividend is paid. DSUs earn dividend equivalents which are reinvested as additional stock units. Directors may opt to receive their DSUs upon reaching age 65, age 72, or upon their departure from the Board. DSUs will be settled in shares of Exelon common stock and will be distributed in either a lump sum or in annual installments based on each Director’s election.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Director Stock Ownership Requirement</w:t>
      </w:r>
    </w:p>
    <w:p>
      <w:pPr>
        <w:spacing w:after="0" w:line="122"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color w:val="auto"/>
        </w:rPr>
        <w:t>All Directors are required to meet the minimum stock ownership requirement within five years after their election to the Board. DSUs, share equivalents of the Exelon common stock fund within their deferred compensation plan account, as well as common shares beneficially owned directly or indirectly (including shares acquired in the open market) are counted towards meeting the stock ownership guidelines. For more information about each Director’s stock ownership, please refer to the “Stock Ownership of Directors and Executive Officers” table.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Other Benefits Provided</w:t>
      </w:r>
    </w:p>
    <w:p>
      <w:pPr>
        <w:spacing w:after="0" w:line="122"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From time to time, Exelon Directors are invited to bring spouses or guests to Exelon or industry related events. When such invitations are extended, Exelon covers the cost of spousal or guest travel, meals, lodging and related activities. For tax purposes, the value of spousal or guest related travel is calculated according to IRS regulations and imputed to the Director as additional taxable income. In 2024, Exelon revised its Director compensation, travel, and expense policy to eliminate tax gross-ups for additional taxable income imputed to Exelon Directors when spouses or guests are invited to Exelon or industry related events. For disclosure purposes and in accordance with SEC rules, the foregoing benefits related to spousal or guest related travel are valued on the basis of incremental cost to Exelon. However, in most cases there is no direct incremental cost to Exelon of providing transportation and lodging for a Director’s spouse or guest when he or she accompanies the Director, and the only additional costs are those for meals and activities.</w:t>
      </w:r>
    </w:p>
    <w:p>
      <w:pPr>
        <w:spacing w:after="0" w:line="82"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Additionally, under Exelon’s matching gift program, the Exelon Foundation matches Director donations to eligible non-profit organizations, dollar for dollar, up to $15,000 per calendar year.</w:t>
      </w:r>
    </w:p>
    <w:p>
      <w:pPr>
        <w:spacing w:after="0" w:line="200" w:lineRule="exact"/>
        <w:rPr>
          <w:sz w:val="20"/>
          <w:szCs w:val="20"/>
          <w:color w:val="auto"/>
        </w:rPr>
      </w:pPr>
    </w:p>
    <w:p>
      <w:pPr>
        <w:spacing w:after="0" w:line="392" w:lineRule="exact"/>
        <w:rPr>
          <w:sz w:val="20"/>
          <w:szCs w:val="20"/>
          <w:color w:val="auto"/>
        </w:rPr>
      </w:pPr>
    </w:p>
    <w:p>
      <w:pPr>
        <w:ind w:left="480" w:hanging="454"/>
        <w:spacing w:after="0"/>
        <w:tabs>
          <w:tab w:leader="none" w:pos="480" w:val="left"/>
        </w:tabs>
        <w:numPr>
          <w:ilvl w:val="0"/>
          <w:numId w:val="8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0" w:name="page41"/>
    <w:bookmarkEnd w:id="40"/>
    <w:p>
      <w:pPr>
        <w:jc w:val="right"/>
        <w:spacing w:after="0"/>
        <w:rPr>
          <w:sz w:val="20"/>
          <w:szCs w:val="20"/>
          <w:color w:val="auto"/>
        </w:rPr>
      </w:pPr>
      <w:r>
        <w:rPr>
          <w:rFonts w:ascii="Arial" w:cs="Arial" w:eastAsia="Arial" w:hAnsi="Arial"/>
          <w:sz w:val="13"/>
          <w:szCs w:val="13"/>
          <w:b w:val="1"/>
          <w:bCs w:val="1"/>
          <w:color w:val="auto"/>
        </w:rPr>
        <w:t>Board and Corporate Governance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2024 Director Compensation</w:t>
      </w:r>
    </w:p>
    <w:p>
      <w:pPr>
        <w:spacing w:after="0" w:line="122"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The following table summarizes the compensation paid for each of our non-employee Directors who served as a member of the Board and its Committees in 2024. Calvin Butler, Exelon’s CEO, did not receive any additional compensation in 2024 for his service on the Board. For information regarding his compensation as the CEO, refer to the CD&amp;A.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660" w:type="dxa"/>
            <w:vAlign w:val="bottom"/>
          </w:tcPr>
          <w:p>
            <w:pPr>
              <w:jc w:val="right"/>
              <w:ind w:right="262"/>
              <w:spacing w:after="0"/>
              <w:rPr>
                <w:sz w:val="20"/>
                <w:szCs w:val="20"/>
                <w:color w:val="auto"/>
              </w:rPr>
            </w:pPr>
            <w:r>
              <w:rPr>
                <w:rFonts w:ascii="Arial" w:cs="Arial" w:eastAsia="Arial" w:hAnsi="Arial"/>
                <w:sz w:val="14"/>
                <w:szCs w:val="14"/>
                <w:b w:val="1"/>
                <w:bCs w:val="1"/>
                <w:color w:val="170D67"/>
              </w:rPr>
              <w:t>Equity</w:t>
            </w:r>
          </w:p>
        </w:tc>
        <w:tc>
          <w:tcPr>
            <w:tcW w:w="1660" w:type="dxa"/>
            <w:vAlign w:val="bottom"/>
          </w:tcPr>
          <w:p>
            <w:pPr>
              <w:jc w:val="right"/>
              <w:ind w:right="262"/>
              <w:spacing w:after="0"/>
              <w:rPr>
                <w:sz w:val="20"/>
                <w:szCs w:val="20"/>
                <w:color w:val="auto"/>
              </w:rPr>
            </w:pPr>
            <w:r>
              <w:rPr>
                <w:rFonts w:ascii="Arial" w:cs="Arial" w:eastAsia="Arial" w:hAnsi="Arial"/>
                <w:sz w:val="14"/>
                <w:szCs w:val="14"/>
                <w:b w:val="1"/>
                <w:bCs w:val="1"/>
                <w:color w:val="170D67"/>
              </w:rPr>
              <w:t>All Other</w:t>
            </w:r>
          </w:p>
        </w:tc>
        <w:tc>
          <w:tcPr>
            <w:tcW w:w="1360" w:type="dxa"/>
            <w:vAlign w:val="bottom"/>
          </w:tcPr>
          <w:p>
            <w:pPr>
              <w:spacing w:after="0"/>
              <w:rPr>
                <w:sz w:val="15"/>
                <w:szCs w:val="15"/>
                <w:color w:val="auto"/>
              </w:rPr>
            </w:pPr>
          </w:p>
        </w:tc>
      </w:tr>
      <w:tr>
        <w:trPr>
          <w:trHeight w:val="162"/>
        </w:trPr>
        <w:tc>
          <w:tcPr>
            <w:tcW w:w="3420" w:type="dxa"/>
            <w:vAlign w:val="bottom"/>
          </w:tcPr>
          <w:p>
            <w:pPr>
              <w:spacing w:after="0"/>
              <w:rPr>
                <w:sz w:val="14"/>
                <w:szCs w:val="14"/>
                <w:color w:val="auto"/>
              </w:rPr>
            </w:pPr>
          </w:p>
        </w:tc>
        <w:tc>
          <w:tcPr>
            <w:tcW w:w="3120" w:type="dxa"/>
            <w:vAlign w:val="bottom"/>
          </w:tcPr>
          <w:p>
            <w:pPr>
              <w:jc w:val="right"/>
              <w:ind w:right="261"/>
              <w:spacing w:after="0"/>
              <w:rPr>
                <w:sz w:val="20"/>
                <w:szCs w:val="20"/>
                <w:color w:val="auto"/>
              </w:rPr>
            </w:pPr>
            <w:r>
              <w:rPr>
                <w:rFonts w:ascii="Arial" w:cs="Arial" w:eastAsia="Arial" w:hAnsi="Arial"/>
                <w:sz w:val="14"/>
                <w:szCs w:val="14"/>
                <w:b w:val="1"/>
                <w:bCs w:val="1"/>
                <w:color w:val="170D67"/>
              </w:rPr>
              <w:t>Cash Fees</w:t>
            </w:r>
          </w:p>
        </w:tc>
        <w:tc>
          <w:tcPr>
            <w:tcW w:w="1660" w:type="dxa"/>
            <w:vAlign w:val="bottom"/>
          </w:tcPr>
          <w:p>
            <w:pPr>
              <w:jc w:val="right"/>
              <w:ind w:right="262"/>
              <w:spacing w:after="0"/>
              <w:rPr>
                <w:sz w:val="20"/>
                <w:szCs w:val="20"/>
                <w:color w:val="auto"/>
              </w:rPr>
            </w:pPr>
            <w:r>
              <w:rPr>
                <w:rFonts w:ascii="Arial" w:cs="Arial" w:eastAsia="Arial" w:hAnsi="Arial"/>
                <w:sz w:val="14"/>
                <w:szCs w:val="14"/>
                <w:b w:val="1"/>
                <w:bCs w:val="1"/>
                <w:color w:val="170D67"/>
              </w:rPr>
              <w:t>Compensation</w:t>
            </w:r>
          </w:p>
        </w:tc>
        <w:tc>
          <w:tcPr>
            <w:tcW w:w="1660" w:type="dxa"/>
            <w:vAlign w:val="bottom"/>
          </w:tcPr>
          <w:p>
            <w:pPr>
              <w:jc w:val="right"/>
              <w:ind w:right="262"/>
              <w:spacing w:after="0"/>
              <w:rPr>
                <w:sz w:val="20"/>
                <w:szCs w:val="20"/>
                <w:color w:val="auto"/>
              </w:rPr>
            </w:pPr>
            <w:r>
              <w:rPr>
                <w:rFonts w:ascii="Arial" w:cs="Arial" w:eastAsia="Arial" w:hAnsi="Arial"/>
                <w:sz w:val="14"/>
                <w:szCs w:val="14"/>
                <w:b w:val="1"/>
                <w:bCs w:val="1"/>
                <w:color w:val="170D67"/>
              </w:rPr>
              <w:t>Compensation</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170D67"/>
              </w:rPr>
              <w:t>Total</w:t>
            </w:r>
          </w:p>
        </w:tc>
      </w:tr>
      <w:tr>
        <w:trPr>
          <w:trHeight w:val="176"/>
        </w:trPr>
        <w:tc>
          <w:tcPr>
            <w:tcW w:w="3420" w:type="dxa"/>
            <w:vAlign w:val="bottom"/>
          </w:tcPr>
          <w:p>
            <w:pPr>
              <w:spacing w:after="0"/>
              <w:rPr>
                <w:sz w:val="15"/>
                <w:szCs w:val="15"/>
                <w:color w:val="auto"/>
              </w:rPr>
            </w:pPr>
          </w:p>
        </w:tc>
        <w:tc>
          <w:tcPr>
            <w:tcW w:w="3120" w:type="dxa"/>
            <w:vAlign w:val="bottom"/>
          </w:tcPr>
          <w:p>
            <w:pPr>
              <w:jc w:val="right"/>
              <w:ind w:right="261"/>
              <w:spacing w:after="0"/>
              <w:rPr>
                <w:sz w:val="20"/>
                <w:szCs w:val="20"/>
                <w:color w:val="auto"/>
              </w:rPr>
            </w:pPr>
            <w:r>
              <w:rPr>
                <w:rFonts w:ascii="Arial" w:cs="Arial" w:eastAsia="Arial" w:hAnsi="Arial"/>
                <w:sz w:val="14"/>
                <w:szCs w:val="14"/>
                <w:b w:val="1"/>
                <w:bCs w:val="1"/>
                <w:color w:val="170D67"/>
              </w:rPr>
              <w:t>($)</w:t>
            </w:r>
          </w:p>
        </w:tc>
        <w:tc>
          <w:tcPr>
            <w:tcW w:w="1660" w:type="dxa"/>
            <w:vAlign w:val="bottom"/>
          </w:tcPr>
          <w:p>
            <w:pPr>
              <w:jc w:val="right"/>
              <w:ind w:right="262"/>
              <w:spacing w:after="0"/>
              <w:rPr>
                <w:sz w:val="20"/>
                <w:szCs w:val="20"/>
                <w:color w:val="auto"/>
              </w:rPr>
            </w:pPr>
            <w:r>
              <w:rPr>
                <w:rFonts w:ascii="Arial" w:cs="Arial" w:eastAsia="Arial" w:hAnsi="Arial"/>
                <w:sz w:val="14"/>
                <w:szCs w:val="14"/>
                <w:b w:val="1"/>
                <w:bCs w:val="1"/>
                <w:color w:val="170D67"/>
              </w:rPr>
              <w:t>($)</w:t>
            </w:r>
          </w:p>
        </w:tc>
        <w:tc>
          <w:tcPr>
            <w:tcW w:w="1660" w:type="dxa"/>
            <w:vAlign w:val="bottom"/>
          </w:tcPr>
          <w:p>
            <w:pPr>
              <w:jc w:val="right"/>
              <w:ind w:right="262"/>
              <w:spacing w:after="0"/>
              <w:rPr>
                <w:sz w:val="20"/>
                <w:szCs w:val="20"/>
                <w:color w:val="auto"/>
              </w:rPr>
            </w:pPr>
            <w:r>
              <w:rPr>
                <w:rFonts w:ascii="Arial" w:cs="Arial" w:eastAsia="Arial" w:hAnsi="Arial"/>
                <w:sz w:val="14"/>
                <w:szCs w:val="14"/>
                <w:b w:val="1"/>
                <w:bCs w:val="1"/>
                <w:color w:val="170D67"/>
              </w:rPr>
              <w:t>($)</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170D67"/>
              </w:rPr>
              <w:t>Compensation</w:t>
            </w:r>
          </w:p>
        </w:tc>
      </w:tr>
      <w:tr>
        <w:trPr>
          <w:trHeight w:val="205"/>
        </w:trPr>
        <w:tc>
          <w:tcPr>
            <w:tcW w:w="3420" w:type="dxa"/>
            <w:vAlign w:val="bottom"/>
            <w:tcBorders>
              <w:bottom w:val="single" w:sz="8" w:color="170D67"/>
            </w:tcBorders>
          </w:tcPr>
          <w:p>
            <w:pPr>
              <w:ind w:left="20"/>
              <w:spacing w:after="0"/>
              <w:rPr>
                <w:sz w:val="20"/>
                <w:szCs w:val="20"/>
                <w:color w:val="auto"/>
              </w:rPr>
            </w:pPr>
            <w:r>
              <w:rPr>
                <w:rFonts w:ascii="Arial" w:cs="Arial" w:eastAsia="Arial" w:hAnsi="Arial"/>
                <w:sz w:val="14"/>
                <w:szCs w:val="14"/>
                <w:b w:val="1"/>
                <w:bCs w:val="1"/>
                <w:color w:val="170D67"/>
              </w:rPr>
              <w:t>Director Name</w:t>
            </w:r>
          </w:p>
        </w:tc>
        <w:tc>
          <w:tcPr>
            <w:tcW w:w="3120" w:type="dxa"/>
            <w:vAlign w:val="bottom"/>
            <w:tcBorders>
              <w:bottom w:val="single" w:sz="8" w:color="170D67"/>
            </w:tcBorders>
          </w:tcPr>
          <w:p>
            <w:pPr>
              <w:jc w:val="right"/>
              <w:ind w:right="261"/>
              <w:spacing w:after="0"/>
              <w:rPr>
                <w:sz w:val="20"/>
                <w:szCs w:val="20"/>
                <w:color w:val="auto"/>
              </w:rPr>
            </w:pPr>
            <w:r>
              <w:rPr>
                <w:rFonts w:ascii="Arial" w:cs="Arial" w:eastAsia="Arial" w:hAnsi="Arial"/>
                <w:sz w:val="14"/>
                <w:szCs w:val="14"/>
                <w:b w:val="1"/>
                <w:bCs w:val="1"/>
                <w:color w:val="170D67"/>
              </w:rPr>
              <w:t>(Note 2)</w:t>
            </w:r>
          </w:p>
        </w:tc>
        <w:tc>
          <w:tcPr>
            <w:tcW w:w="1660" w:type="dxa"/>
            <w:vAlign w:val="bottom"/>
            <w:tcBorders>
              <w:bottom w:val="single" w:sz="8" w:color="170D67"/>
            </w:tcBorders>
          </w:tcPr>
          <w:p>
            <w:pPr>
              <w:jc w:val="right"/>
              <w:ind w:right="262"/>
              <w:spacing w:after="0"/>
              <w:rPr>
                <w:sz w:val="20"/>
                <w:szCs w:val="20"/>
                <w:color w:val="auto"/>
              </w:rPr>
            </w:pPr>
            <w:r>
              <w:rPr>
                <w:rFonts w:ascii="Arial" w:cs="Arial" w:eastAsia="Arial" w:hAnsi="Arial"/>
                <w:sz w:val="14"/>
                <w:szCs w:val="14"/>
                <w:b w:val="1"/>
                <w:bCs w:val="1"/>
                <w:color w:val="170D67"/>
              </w:rPr>
              <w:t>(Note 3)</w:t>
            </w:r>
          </w:p>
        </w:tc>
        <w:tc>
          <w:tcPr>
            <w:tcW w:w="1660" w:type="dxa"/>
            <w:vAlign w:val="bottom"/>
            <w:tcBorders>
              <w:bottom w:val="single" w:sz="8" w:color="170D67"/>
            </w:tcBorders>
          </w:tcPr>
          <w:p>
            <w:pPr>
              <w:jc w:val="right"/>
              <w:ind w:right="262"/>
              <w:spacing w:after="0"/>
              <w:rPr>
                <w:sz w:val="20"/>
                <w:szCs w:val="20"/>
                <w:color w:val="auto"/>
              </w:rPr>
            </w:pPr>
            <w:r>
              <w:rPr>
                <w:rFonts w:ascii="Arial" w:cs="Arial" w:eastAsia="Arial" w:hAnsi="Arial"/>
                <w:sz w:val="14"/>
                <w:szCs w:val="14"/>
                <w:b w:val="1"/>
                <w:bCs w:val="1"/>
                <w:color w:val="170D67"/>
              </w:rPr>
              <w:t>(Note 4)</w:t>
            </w:r>
          </w:p>
        </w:tc>
        <w:tc>
          <w:tcPr>
            <w:tcW w:w="1360" w:type="dxa"/>
            <w:vAlign w:val="bottom"/>
            <w:tcBorders>
              <w:bottom w:val="single" w:sz="8" w:color="170D67"/>
            </w:tcBorders>
          </w:tcPr>
          <w:p>
            <w:pPr>
              <w:jc w:val="right"/>
              <w:spacing w:after="0"/>
              <w:rPr>
                <w:sz w:val="20"/>
                <w:szCs w:val="20"/>
                <w:color w:val="auto"/>
              </w:rPr>
            </w:pPr>
            <w:r>
              <w:rPr>
                <w:rFonts w:ascii="Arial" w:cs="Arial" w:eastAsia="Arial" w:hAnsi="Arial"/>
                <w:sz w:val="14"/>
                <w:szCs w:val="14"/>
                <w:b w:val="1"/>
                <w:bCs w:val="1"/>
                <w:color w:val="170D67"/>
              </w:rPr>
              <w:t>($)</w:t>
            </w:r>
          </w:p>
        </w:tc>
      </w:tr>
      <w:tr>
        <w:trPr>
          <w:trHeight w:val="236"/>
        </w:trPr>
        <w:tc>
          <w:tcPr>
            <w:tcW w:w="3420" w:type="dxa"/>
            <w:vAlign w:val="bottom"/>
            <w:tcBorders>
              <w:bottom w:val="single" w:sz="8" w:color="808080"/>
            </w:tcBorders>
          </w:tcPr>
          <w:p>
            <w:pPr>
              <w:ind w:left="20"/>
              <w:spacing w:after="0"/>
              <w:rPr>
                <w:sz w:val="20"/>
                <w:szCs w:val="20"/>
                <w:color w:val="auto"/>
              </w:rPr>
            </w:pPr>
            <w:r>
              <w:rPr>
                <w:rFonts w:ascii="Arial" w:cs="Arial" w:eastAsia="Arial" w:hAnsi="Arial"/>
                <w:sz w:val="16"/>
                <w:szCs w:val="16"/>
                <w:color w:val="auto"/>
              </w:rPr>
              <w:t>Anderson (Note 1)</w:t>
            </w:r>
          </w:p>
        </w:tc>
        <w:tc>
          <w:tcPr>
            <w:tcW w:w="3120" w:type="dxa"/>
            <w:vAlign w:val="bottom"/>
            <w:tcBorders>
              <w:bottom w:val="single" w:sz="8" w:color="808080"/>
            </w:tcBorders>
          </w:tcPr>
          <w:p>
            <w:pPr>
              <w:jc w:val="right"/>
              <w:ind w:right="321"/>
              <w:spacing w:after="0"/>
              <w:rPr>
                <w:sz w:val="20"/>
                <w:szCs w:val="20"/>
                <w:color w:val="auto"/>
              </w:rPr>
            </w:pPr>
            <w:r>
              <w:rPr>
                <w:rFonts w:ascii="Arial" w:cs="Arial" w:eastAsia="Arial" w:hAnsi="Arial"/>
                <w:sz w:val="16"/>
                <w:szCs w:val="16"/>
                <w:color w:val="auto"/>
              </w:rPr>
              <w:t>54,849</w:t>
            </w:r>
          </w:p>
        </w:tc>
        <w:tc>
          <w:tcPr>
            <w:tcW w:w="1660" w:type="dxa"/>
            <w:vAlign w:val="bottom"/>
            <w:tcBorders>
              <w:bottom w:val="single" w:sz="8" w:color="808080"/>
            </w:tcBorders>
          </w:tcPr>
          <w:p>
            <w:pPr>
              <w:jc w:val="right"/>
              <w:ind w:right="322"/>
              <w:spacing w:after="0"/>
              <w:rPr>
                <w:sz w:val="20"/>
                <w:szCs w:val="20"/>
                <w:color w:val="auto"/>
              </w:rPr>
            </w:pPr>
            <w:r>
              <w:rPr>
                <w:rFonts w:ascii="Arial" w:cs="Arial" w:eastAsia="Arial" w:hAnsi="Arial"/>
                <w:sz w:val="16"/>
                <w:szCs w:val="16"/>
                <w:color w:val="auto"/>
              </w:rPr>
              <w:t>54,849</w:t>
            </w:r>
          </w:p>
        </w:tc>
        <w:tc>
          <w:tcPr>
            <w:tcW w:w="1660" w:type="dxa"/>
            <w:vAlign w:val="bottom"/>
            <w:tcBorders>
              <w:bottom w:val="single" w:sz="8" w:color="808080"/>
            </w:tcBorders>
          </w:tcPr>
          <w:p>
            <w:pPr>
              <w:jc w:val="right"/>
              <w:ind w:right="322"/>
              <w:spacing w:after="0"/>
              <w:rPr>
                <w:sz w:val="20"/>
                <w:szCs w:val="20"/>
                <w:color w:val="auto"/>
              </w:rPr>
            </w:pPr>
            <w:r>
              <w:rPr>
                <w:rFonts w:ascii="Arial" w:cs="Arial" w:eastAsia="Arial" w:hAnsi="Arial"/>
                <w:sz w:val="16"/>
                <w:szCs w:val="16"/>
                <w:color w:val="auto"/>
              </w:rPr>
              <w:t>500,000</w:t>
            </w:r>
          </w:p>
        </w:tc>
        <w:tc>
          <w:tcPr>
            <w:tcW w:w="136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609,698</w:t>
            </w:r>
          </w:p>
        </w:tc>
      </w:tr>
      <w:tr>
        <w:trPr>
          <w:trHeight w:val="237"/>
        </w:trPr>
        <w:tc>
          <w:tcPr>
            <w:tcW w:w="3420" w:type="dxa"/>
            <w:vAlign w:val="bottom"/>
            <w:tcBorders>
              <w:bottom w:val="single" w:sz="8" w:color="808080"/>
            </w:tcBorders>
          </w:tcPr>
          <w:p>
            <w:pPr>
              <w:ind w:left="20"/>
              <w:spacing w:after="0"/>
              <w:rPr>
                <w:sz w:val="20"/>
                <w:szCs w:val="20"/>
                <w:color w:val="auto"/>
              </w:rPr>
            </w:pPr>
            <w:r>
              <w:rPr>
                <w:rFonts w:ascii="Arial" w:cs="Arial" w:eastAsia="Arial" w:hAnsi="Arial"/>
                <w:sz w:val="16"/>
                <w:szCs w:val="16"/>
                <w:color w:val="auto"/>
              </w:rPr>
              <w:t>Bowers</w:t>
            </w:r>
          </w:p>
        </w:tc>
        <w:tc>
          <w:tcPr>
            <w:tcW w:w="3120" w:type="dxa"/>
            <w:vAlign w:val="bottom"/>
            <w:tcBorders>
              <w:bottom w:val="single" w:sz="8" w:color="808080"/>
            </w:tcBorders>
          </w:tcPr>
          <w:p>
            <w:pPr>
              <w:jc w:val="right"/>
              <w:ind w:right="321"/>
              <w:spacing w:after="0"/>
              <w:rPr>
                <w:sz w:val="20"/>
                <w:szCs w:val="20"/>
                <w:color w:val="auto"/>
              </w:rPr>
            </w:pPr>
            <w:r>
              <w:rPr>
                <w:rFonts w:ascii="Arial" w:cs="Arial" w:eastAsia="Arial" w:hAnsi="Arial"/>
                <w:sz w:val="16"/>
                <w:szCs w:val="16"/>
                <w:color w:val="auto"/>
              </w:rPr>
              <w:t>286,966</w:t>
            </w:r>
          </w:p>
        </w:tc>
        <w:tc>
          <w:tcPr>
            <w:tcW w:w="1660" w:type="dxa"/>
            <w:vAlign w:val="bottom"/>
            <w:tcBorders>
              <w:bottom w:val="single" w:sz="8" w:color="808080"/>
            </w:tcBorders>
          </w:tcPr>
          <w:p>
            <w:pPr>
              <w:jc w:val="right"/>
              <w:ind w:right="322"/>
              <w:spacing w:after="0"/>
              <w:rPr>
                <w:sz w:val="20"/>
                <w:szCs w:val="20"/>
                <w:color w:val="auto"/>
              </w:rPr>
            </w:pPr>
            <w:r>
              <w:rPr>
                <w:rFonts w:ascii="Arial" w:cs="Arial" w:eastAsia="Arial" w:hAnsi="Arial"/>
                <w:sz w:val="16"/>
                <w:szCs w:val="16"/>
                <w:color w:val="auto"/>
              </w:rPr>
              <w:t>165,000</w:t>
            </w:r>
          </w:p>
        </w:tc>
        <w:tc>
          <w:tcPr>
            <w:tcW w:w="1660" w:type="dxa"/>
            <w:vAlign w:val="bottom"/>
            <w:tcBorders>
              <w:bottom w:val="single" w:sz="8" w:color="808080"/>
            </w:tcBorders>
          </w:tcPr>
          <w:p>
            <w:pPr>
              <w:jc w:val="right"/>
              <w:ind w:right="32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451,966</w:t>
            </w:r>
          </w:p>
        </w:tc>
      </w:tr>
      <w:tr>
        <w:trPr>
          <w:trHeight w:val="237"/>
        </w:trPr>
        <w:tc>
          <w:tcPr>
            <w:tcW w:w="3420" w:type="dxa"/>
            <w:vAlign w:val="bottom"/>
            <w:tcBorders>
              <w:bottom w:val="single" w:sz="8" w:color="808080"/>
            </w:tcBorders>
          </w:tcPr>
          <w:p>
            <w:pPr>
              <w:ind w:left="20"/>
              <w:spacing w:after="0"/>
              <w:rPr>
                <w:sz w:val="20"/>
                <w:szCs w:val="20"/>
                <w:color w:val="auto"/>
              </w:rPr>
            </w:pPr>
            <w:r>
              <w:rPr>
                <w:rFonts w:ascii="Arial" w:cs="Arial" w:eastAsia="Arial" w:hAnsi="Arial"/>
                <w:sz w:val="16"/>
                <w:szCs w:val="16"/>
                <w:color w:val="auto"/>
              </w:rPr>
              <w:t>Cheshire</w:t>
            </w:r>
          </w:p>
        </w:tc>
        <w:tc>
          <w:tcPr>
            <w:tcW w:w="3120" w:type="dxa"/>
            <w:vAlign w:val="bottom"/>
            <w:tcBorders>
              <w:bottom w:val="single" w:sz="8" w:color="808080"/>
            </w:tcBorders>
          </w:tcPr>
          <w:p>
            <w:pPr>
              <w:jc w:val="right"/>
              <w:ind w:right="321"/>
              <w:spacing w:after="0"/>
              <w:rPr>
                <w:sz w:val="20"/>
                <w:szCs w:val="20"/>
                <w:color w:val="auto"/>
              </w:rPr>
            </w:pPr>
            <w:r>
              <w:rPr>
                <w:rFonts w:ascii="Arial" w:cs="Arial" w:eastAsia="Arial" w:hAnsi="Arial"/>
                <w:sz w:val="16"/>
                <w:szCs w:val="16"/>
                <w:color w:val="auto"/>
              </w:rPr>
              <w:t>287,966</w:t>
            </w:r>
          </w:p>
        </w:tc>
        <w:tc>
          <w:tcPr>
            <w:tcW w:w="1660" w:type="dxa"/>
            <w:vAlign w:val="bottom"/>
            <w:tcBorders>
              <w:bottom w:val="single" w:sz="8" w:color="808080"/>
            </w:tcBorders>
          </w:tcPr>
          <w:p>
            <w:pPr>
              <w:jc w:val="right"/>
              <w:ind w:right="322"/>
              <w:spacing w:after="0"/>
              <w:rPr>
                <w:sz w:val="20"/>
                <w:szCs w:val="20"/>
                <w:color w:val="auto"/>
              </w:rPr>
            </w:pPr>
            <w:r>
              <w:rPr>
                <w:rFonts w:ascii="Arial" w:cs="Arial" w:eastAsia="Arial" w:hAnsi="Arial"/>
                <w:sz w:val="16"/>
                <w:szCs w:val="16"/>
                <w:color w:val="auto"/>
              </w:rPr>
              <w:t>165,000</w:t>
            </w:r>
          </w:p>
        </w:tc>
        <w:tc>
          <w:tcPr>
            <w:tcW w:w="1660" w:type="dxa"/>
            <w:vAlign w:val="bottom"/>
            <w:tcBorders>
              <w:bottom w:val="single" w:sz="8" w:color="808080"/>
            </w:tcBorders>
          </w:tcPr>
          <w:p>
            <w:pPr>
              <w:jc w:val="right"/>
              <w:ind w:right="322"/>
              <w:spacing w:after="0"/>
              <w:rPr>
                <w:sz w:val="20"/>
                <w:szCs w:val="20"/>
                <w:color w:val="auto"/>
              </w:rPr>
            </w:pPr>
            <w:r>
              <w:rPr>
                <w:rFonts w:ascii="Arial" w:cs="Arial" w:eastAsia="Arial" w:hAnsi="Arial"/>
                <w:sz w:val="16"/>
                <w:szCs w:val="16"/>
                <w:color w:val="auto"/>
              </w:rPr>
              <w:t>15,000</w:t>
            </w:r>
          </w:p>
        </w:tc>
        <w:tc>
          <w:tcPr>
            <w:tcW w:w="136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467,966</w:t>
            </w:r>
          </w:p>
        </w:tc>
      </w:tr>
      <w:tr>
        <w:trPr>
          <w:trHeight w:val="237"/>
        </w:trPr>
        <w:tc>
          <w:tcPr>
            <w:tcW w:w="3420" w:type="dxa"/>
            <w:vAlign w:val="bottom"/>
            <w:tcBorders>
              <w:bottom w:val="single" w:sz="8" w:color="808080"/>
            </w:tcBorders>
          </w:tcPr>
          <w:p>
            <w:pPr>
              <w:ind w:left="20"/>
              <w:spacing w:after="0"/>
              <w:rPr>
                <w:sz w:val="20"/>
                <w:szCs w:val="20"/>
                <w:color w:val="auto"/>
              </w:rPr>
            </w:pPr>
            <w:r>
              <w:rPr>
                <w:rFonts w:ascii="Arial" w:cs="Arial" w:eastAsia="Arial" w:hAnsi="Arial"/>
                <w:sz w:val="16"/>
                <w:szCs w:val="16"/>
                <w:color w:val="auto"/>
              </w:rPr>
              <w:t>Jojo</w:t>
            </w:r>
          </w:p>
        </w:tc>
        <w:tc>
          <w:tcPr>
            <w:tcW w:w="3120" w:type="dxa"/>
            <w:vAlign w:val="bottom"/>
            <w:tcBorders>
              <w:bottom w:val="single" w:sz="8" w:color="808080"/>
            </w:tcBorders>
          </w:tcPr>
          <w:p>
            <w:pPr>
              <w:jc w:val="right"/>
              <w:ind w:right="321"/>
              <w:spacing w:after="0"/>
              <w:rPr>
                <w:sz w:val="20"/>
                <w:szCs w:val="20"/>
                <w:color w:val="auto"/>
              </w:rPr>
            </w:pPr>
            <w:r>
              <w:rPr>
                <w:rFonts w:ascii="Arial" w:cs="Arial" w:eastAsia="Arial" w:hAnsi="Arial"/>
                <w:sz w:val="16"/>
                <w:szCs w:val="16"/>
                <w:color w:val="auto"/>
              </w:rPr>
              <w:t>125,000</w:t>
            </w:r>
          </w:p>
        </w:tc>
        <w:tc>
          <w:tcPr>
            <w:tcW w:w="1660" w:type="dxa"/>
            <w:vAlign w:val="bottom"/>
            <w:tcBorders>
              <w:bottom w:val="single" w:sz="8" w:color="808080"/>
            </w:tcBorders>
          </w:tcPr>
          <w:p>
            <w:pPr>
              <w:jc w:val="right"/>
              <w:ind w:right="322"/>
              <w:spacing w:after="0"/>
              <w:rPr>
                <w:sz w:val="20"/>
                <w:szCs w:val="20"/>
                <w:color w:val="auto"/>
              </w:rPr>
            </w:pPr>
            <w:r>
              <w:rPr>
                <w:rFonts w:ascii="Arial" w:cs="Arial" w:eastAsia="Arial" w:hAnsi="Arial"/>
                <w:sz w:val="16"/>
                <w:szCs w:val="16"/>
                <w:color w:val="auto"/>
              </w:rPr>
              <w:t>165,000</w:t>
            </w:r>
          </w:p>
        </w:tc>
        <w:tc>
          <w:tcPr>
            <w:tcW w:w="1660" w:type="dxa"/>
            <w:vAlign w:val="bottom"/>
            <w:tcBorders>
              <w:bottom w:val="single" w:sz="8" w:color="808080"/>
            </w:tcBorders>
          </w:tcPr>
          <w:p>
            <w:pPr>
              <w:jc w:val="right"/>
              <w:ind w:right="322"/>
              <w:spacing w:after="0"/>
              <w:rPr>
                <w:sz w:val="20"/>
                <w:szCs w:val="20"/>
                <w:color w:val="auto"/>
              </w:rPr>
            </w:pPr>
            <w:r>
              <w:rPr>
                <w:rFonts w:ascii="Arial" w:cs="Arial" w:eastAsia="Arial" w:hAnsi="Arial"/>
                <w:sz w:val="16"/>
                <w:szCs w:val="16"/>
                <w:color w:val="auto"/>
              </w:rPr>
              <w:t>15,000</w:t>
            </w:r>
          </w:p>
        </w:tc>
        <w:tc>
          <w:tcPr>
            <w:tcW w:w="136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305,000</w:t>
            </w:r>
          </w:p>
        </w:tc>
      </w:tr>
      <w:tr>
        <w:trPr>
          <w:trHeight w:val="237"/>
        </w:trPr>
        <w:tc>
          <w:tcPr>
            <w:tcW w:w="3420" w:type="dxa"/>
            <w:vAlign w:val="bottom"/>
            <w:tcBorders>
              <w:bottom w:val="single" w:sz="8" w:color="808080"/>
            </w:tcBorders>
          </w:tcPr>
          <w:p>
            <w:pPr>
              <w:ind w:left="20"/>
              <w:spacing w:after="0"/>
              <w:rPr>
                <w:sz w:val="20"/>
                <w:szCs w:val="20"/>
                <w:color w:val="auto"/>
              </w:rPr>
            </w:pPr>
            <w:r>
              <w:rPr>
                <w:rFonts w:ascii="Arial" w:cs="Arial" w:eastAsia="Arial" w:hAnsi="Arial"/>
                <w:sz w:val="16"/>
                <w:szCs w:val="16"/>
                <w:color w:val="auto"/>
              </w:rPr>
              <w:t>Lillie</w:t>
            </w:r>
          </w:p>
        </w:tc>
        <w:tc>
          <w:tcPr>
            <w:tcW w:w="3120" w:type="dxa"/>
            <w:vAlign w:val="bottom"/>
            <w:tcBorders>
              <w:bottom w:val="single" w:sz="8" w:color="808080"/>
            </w:tcBorders>
          </w:tcPr>
          <w:p>
            <w:pPr>
              <w:jc w:val="right"/>
              <w:ind w:right="321"/>
              <w:spacing w:after="0"/>
              <w:rPr>
                <w:sz w:val="20"/>
                <w:szCs w:val="20"/>
                <w:color w:val="auto"/>
              </w:rPr>
            </w:pPr>
            <w:r>
              <w:rPr>
                <w:rFonts w:ascii="Arial" w:cs="Arial" w:eastAsia="Arial" w:hAnsi="Arial"/>
                <w:sz w:val="16"/>
                <w:szCs w:val="16"/>
                <w:color w:val="auto"/>
              </w:rPr>
              <w:t>125,000</w:t>
            </w:r>
          </w:p>
        </w:tc>
        <w:tc>
          <w:tcPr>
            <w:tcW w:w="1660" w:type="dxa"/>
            <w:vAlign w:val="bottom"/>
            <w:tcBorders>
              <w:bottom w:val="single" w:sz="8" w:color="808080"/>
            </w:tcBorders>
          </w:tcPr>
          <w:p>
            <w:pPr>
              <w:jc w:val="right"/>
              <w:ind w:right="322"/>
              <w:spacing w:after="0"/>
              <w:rPr>
                <w:sz w:val="20"/>
                <w:szCs w:val="20"/>
                <w:color w:val="auto"/>
              </w:rPr>
            </w:pPr>
            <w:r>
              <w:rPr>
                <w:rFonts w:ascii="Arial" w:cs="Arial" w:eastAsia="Arial" w:hAnsi="Arial"/>
                <w:sz w:val="16"/>
                <w:szCs w:val="16"/>
                <w:color w:val="auto"/>
              </w:rPr>
              <w:t>165,000</w:t>
            </w:r>
          </w:p>
        </w:tc>
        <w:tc>
          <w:tcPr>
            <w:tcW w:w="1660" w:type="dxa"/>
            <w:vAlign w:val="bottom"/>
            <w:tcBorders>
              <w:bottom w:val="single" w:sz="8" w:color="808080"/>
            </w:tcBorders>
          </w:tcPr>
          <w:p>
            <w:pPr>
              <w:jc w:val="right"/>
              <w:ind w:right="322"/>
              <w:spacing w:after="0"/>
              <w:rPr>
                <w:sz w:val="20"/>
                <w:szCs w:val="20"/>
                <w:color w:val="auto"/>
              </w:rPr>
            </w:pPr>
            <w:r>
              <w:rPr>
                <w:rFonts w:ascii="Arial" w:cs="Arial" w:eastAsia="Arial" w:hAnsi="Arial"/>
                <w:sz w:val="16"/>
                <w:szCs w:val="16"/>
                <w:color w:val="auto"/>
              </w:rPr>
              <w:t>15,000</w:t>
            </w:r>
          </w:p>
        </w:tc>
        <w:tc>
          <w:tcPr>
            <w:tcW w:w="136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305,000</w:t>
            </w:r>
          </w:p>
        </w:tc>
      </w:tr>
      <w:tr>
        <w:trPr>
          <w:trHeight w:val="236"/>
        </w:trPr>
        <w:tc>
          <w:tcPr>
            <w:tcW w:w="3420" w:type="dxa"/>
            <w:vAlign w:val="bottom"/>
            <w:tcBorders>
              <w:bottom w:val="single" w:sz="8" w:color="808080"/>
            </w:tcBorders>
          </w:tcPr>
          <w:p>
            <w:pPr>
              <w:ind w:left="20"/>
              <w:spacing w:after="0"/>
              <w:rPr>
                <w:sz w:val="20"/>
                <w:szCs w:val="20"/>
                <w:color w:val="auto"/>
              </w:rPr>
            </w:pPr>
            <w:r>
              <w:rPr>
                <w:rFonts w:ascii="Arial" w:cs="Arial" w:eastAsia="Arial" w:hAnsi="Arial"/>
                <w:sz w:val="16"/>
                <w:szCs w:val="16"/>
                <w:color w:val="auto"/>
              </w:rPr>
              <w:t>Richo</w:t>
            </w:r>
          </w:p>
        </w:tc>
        <w:tc>
          <w:tcPr>
            <w:tcW w:w="3120" w:type="dxa"/>
            <w:vAlign w:val="bottom"/>
            <w:tcBorders>
              <w:bottom w:val="single" w:sz="8" w:color="808080"/>
            </w:tcBorders>
          </w:tcPr>
          <w:p>
            <w:pPr>
              <w:jc w:val="right"/>
              <w:ind w:right="321"/>
              <w:spacing w:after="0"/>
              <w:rPr>
                <w:sz w:val="20"/>
                <w:szCs w:val="20"/>
                <w:color w:val="auto"/>
              </w:rPr>
            </w:pPr>
            <w:r>
              <w:rPr>
                <w:rFonts w:ascii="Arial" w:cs="Arial" w:eastAsia="Arial" w:hAnsi="Arial"/>
                <w:sz w:val="16"/>
                <w:szCs w:val="16"/>
                <w:color w:val="auto"/>
              </w:rPr>
              <w:t>125,000</w:t>
            </w:r>
          </w:p>
        </w:tc>
        <w:tc>
          <w:tcPr>
            <w:tcW w:w="1660" w:type="dxa"/>
            <w:vAlign w:val="bottom"/>
            <w:tcBorders>
              <w:bottom w:val="single" w:sz="8" w:color="808080"/>
            </w:tcBorders>
          </w:tcPr>
          <w:p>
            <w:pPr>
              <w:jc w:val="right"/>
              <w:ind w:right="322"/>
              <w:spacing w:after="0"/>
              <w:rPr>
                <w:sz w:val="20"/>
                <w:szCs w:val="20"/>
                <w:color w:val="auto"/>
              </w:rPr>
            </w:pPr>
            <w:r>
              <w:rPr>
                <w:rFonts w:ascii="Arial" w:cs="Arial" w:eastAsia="Arial" w:hAnsi="Arial"/>
                <w:sz w:val="16"/>
                <w:szCs w:val="16"/>
                <w:color w:val="auto"/>
              </w:rPr>
              <w:t>165,000</w:t>
            </w:r>
          </w:p>
        </w:tc>
        <w:tc>
          <w:tcPr>
            <w:tcW w:w="1660" w:type="dxa"/>
            <w:vAlign w:val="bottom"/>
            <w:tcBorders>
              <w:bottom w:val="single" w:sz="8" w:color="808080"/>
            </w:tcBorders>
          </w:tcPr>
          <w:p>
            <w:pPr>
              <w:jc w:val="right"/>
              <w:ind w:right="32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290,000</w:t>
            </w:r>
          </w:p>
        </w:tc>
      </w:tr>
      <w:tr>
        <w:trPr>
          <w:trHeight w:val="237"/>
        </w:trPr>
        <w:tc>
          <w:tcPr>
            <w:tcW w:w="3420" w:type="dxa"/>
            <w:vAlign w:val="bottom"/>
            <w:tcBorders>
              <w:bottom w:val="single" w:sz="8" w:color="808080"/>
            </w:tcBorders>
          </w:tcPr>
          <w:p>
            <w:pPr>
              <w:ind w:left="20"/>
              <w:spacing w:after="0"/>
              <w:rPr>
                <w:sz w:val="20"/>
                <w:szCs w:val="20"/>
                <w:color w:val="auto"/>
              </w:rPr>
            </w:pPr>
            <w:r>
              <w:rPr>
                <w:rFonts w:ascii="Arial" w:cs="Arial" w:eastAsia="Arial" w:hAnsi="Arial"/>
                <w:sz w:val="16"/>
                <w:szCs w:val="16"/>
                <w:color w:val="auto"/>
              </w:rPr>
              <w:t>Rogers</w:t>
            </w:r>
          </w:p>
        </w:tc>
        <w:tc>
          <w:tcPr>
            <w:tcW w:w="3120" w:type="dxa"/>
            <w:vAlign w:val="bottom"/>
            <w:tcBorders>
              <w:bottom w:val="single" w:sz="8" w:color="808080"/>
            </w:tcBorders>
          </w:tcPr>
          <w:p>
            <w:pPr>
              <w:jc w:val="right"/>
              <w:ind w:right="321"/>
              <w:spacing w:after="0"/>
              <w:rPr>
                <w:sz w:val="20"/>
                <w:szCs w:val="20"/>
                <w:color w:val="auto"/>
              </w:rPr>
            </w:pPr>
            <w:r>
              <w:rPr>
                <w:rFonts w:ascii="Arial" w:cs="Arial" w:eastAsia="Arial" w:hAnsi="Arial"/>
                <w:sz w:val="16"/>
                <w:szCs w:val="16"/>
                <w:color w:val="auto"/>
              </w:rPr>
              <w:t>138,407</w:t>
            </w:r>
          </w:p>
        </w:tc>
        <w:tc>
          <w:tcPr>
            <w:tcW w:w="1660" w:type="dxa"/>
            <w:vAlign w:val="bottom"/>
            <w:tcBorders>
              <w:bottom w:val="single" w:sz="8" w:color="808080"/>
            </w:tcBorders>
          </w:tcPr>
          <w:p>
            <w:pPr>
              <w:jc w:val="right"/>
              <w:ind w:right="322"/>
              <w:spacing w:after="0"/>
              <w:rPr>
                <w:sz w:val="20"/>
                <w:szCs w:val="20"/>
                <w:color w:val="auto"/>
              </w:rPr>
            </w:pPr>
            <w:r>
              <w:rPr>
                <w:rFonts w:ascii="Arial" w:cs="Arial" w:eastAsia="Arial" w:hAnsi="Arial"/>
                <w:sz w:val="16"/>
                <w:szCs w:val="16"/>
                <w:color w:val="auto"/>
              </w:rPr>
              <w:t>165,000</w:t>
            </w:r>
          </w:p>
        </w:tc>
        <w:tc>
          <w:tcPr>
            <w:tcW w:w="1660" w:type="dxa"/>
            <w:vAlign w:val="bottom"/>
            <w:tcBorders>
              <w:bottom w:val="single" w:sz="8" w:color="808080"/>
            </w:tcBorders>
          </w:tcPr>
          <w:p>
            <w:pPr>
              <w:jc w:val="right"/>
              <w:ind w:right="32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303,407</w:t>
            </w:r>
          </w:p>
        </w:tc>
      </w:tr>
      <w:tr>
        <w:trPr>
          <w:trHeight w:val="237"/>
        </w:trPr>
        <w:tc>
          <w:tcPr>
            <w:tcW w:w="3420" w:type="dxa"/>
            <w:vAlign w:val="bottom"/>
            <w:tcBorders>
              <w:bottom w:val="single" w:sz="8" w:color="808080"/>
            </w:tcBorders>
          </w:tcPr>
          <w:p>
            <w:pPr>
              <w:ind w:left="20"/>
              <w:spacing w:after="0"/>
              <w:rPr>
                <w:sz w:val="20"/>
                <w:szCs w:val="20"/>
                <w:color w:val="auto"/>
              </w:rPr>
            </w:pPr>
            <w:r>
              <w:rPr>
                <w:rFonts w:ascii="Arial" w:cs="Arial" w:eastAsia="Arial" w:hAnsi="Arial"/>
                <w:sz w:val="16"/>
                <w:szCs w:val="16"/>
                <w:color w:val="auto"/>
              </w:rPr>
              <w:t>Segedi</w:t>
            </w:r>
          </w:p>
        </w:tc>
        <w:tc>
          <w:tcPr>
            <w:tcW w:w="3120" w:type="dxa"/>
            <w:vAlign w:val="bottom"/>
            <w:tcBorders>
              <w:bottom w:val="single" w:sz="8" w:color="808080"/>
            </w:tcBorders>
          </w:tcPr>
          <w:p>
            <w:pPr>
              <w:jc w:val="right"/>
              <w:ind w:right="321"/>
              <w:spacing w:after="0"/>
              <w:rPr>
                <w:sz w:val="20"/>
                <w:szCs w:val="20"/>
                <w:color w:val="auto"/>
              </w:rPr>
            </w:pPr>
            <w:r>
              <w:rPr>
                <w:rFonts w:ascii="Arial" w:cs="Arial" w:eastAsia="Arial" w:hAnsi="Arial"/>
                <w:sz w:val="16"/>
                <w:szCs w:val="16"/>
                <w:color w:val="auto"/>
              </w:rPr>
              <w:t>125,000</w:t>
            </w:r>
          </w:p>
        </w:tc>
        <w:tc>
          <w:tcPr>
            <w:tcW w:w="1660" w:type="dxa"/>
            <w:vAlign w:val="bottom"/>
            <w:tcBorders>
              <w:bottom w:val="single" w:sz="8" w:color="808080"/>
            </w:tcBorders>
          </w:tcPr>
          <w:p>
            <w:pPr>
              <w:jc w:val="right"/>
              <w:ind w:right="322"/>
              <w:spacing w:after="0"/>
              <w:rPr>
                <w:sz w:val="20"/>
                <w:szCs w:val="20"/>
                <w:color w:val="auto"/>
              </w:rPr>
            </w:pPr>
            <w:r>
              <w:rPr>
                <w:rFonts w:ascii="Arial" w:cs="Arial" w:eastAsia="Arial" w:hAnsi="Arial"/>
                <w:sz w:val="16"/>
                <w:szCs w:val="16"/>
                <w:color w:val="auto"/>
              </w:rPr>
              <w:t>165,000</w:t>
            </w:r>
          </w:p>
        </w:tc>
        <w:tc>
          <w:tcPr>
            <w:tcW w:w="1660" w:type="dxa"/>
            <w:vAlign w:val="bottom"/>
            <w:tcBorders>
              <w:bottom w:val="single" w:sz="8" w:color="808080"/>
            </w:tcBorders>
          </w:tcPr>
          <w:p>
            <w:pPr>
              <w:jc w:val="right"/>
              <w:ind w:right="32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290,000</w:t>
            </w:r>
          </w:p>
        </w:tc>
      </w:tr>
      <w:tr>
        <w:trPr>
          <w:trHeight w:val="237"/>
        </w:trPr>
        <w:tc>
          <w:tcPr>
            <w:tcW w:w="3420" w:type="dxa"/>
            <w:vAlign w:val="bottom"/>
            <w:tcBorders>
              <w:bottom w:val="single" w:sz="8" w:color="808080"/>
            </w:tcBorders>
          </w:tcPr>
          <w:p>
            <w:pPr>
              <w:ind w:left="20"/>
              <w:spacing w:after="0"/>
              <w:rPr>
                <w:sz w:val="20"/>
                <w:szCs w:val="20"/>
                <w:color w:val="auto"/>
              </w:rPr>
            </w:pPr>
            <w:r>
              <w:rPr>
                <w:rFonts w:ascii="Arial" w:cs="Arial" w:eastAsia="Arial" w:hAnsi="Arial"/>
                <w:sz w:val="16"/>
                <w:szCs w:val="16"/>
                <w:color w:val="auto"/>
              </w:rPr>
              <w:t>Young</w:t>
            </w:r>
          </w:p>
        </w:tc>
        <w:tc>
          <w:tcPr>
            <w:tcW w:w="3120" w:type="dxa"/>
            <w:vAlign w:val="bottom"/>
            <w:tcBorders>
              <w:bottom w:val="single" w:sz="8" w:color="808080"/>
            </w:tcBorders>
          </w:tcPr>
          <w:p>
            <w:pPr>
              <w:jc w:val="right"/>
              <w:ind w:right="321"/>
              <w:spacing w:after="0"/>
              <w:rPr>
                <w:sz w:val="20"/>
                <w:szCs w:val="20"/>
                <w:color w:val="auto"/>
              </w:rPr>
            </w:pPr>
            <w:r>
              <w:rPr>
                <w:rFonts w:ascii="Arial" w:cs="Arial" w:eastAsia="Arial" w:hAnsi="Arial"/>
                <w:sz w:val="16"/>
                <w:szCs w:val="16"/>
                <w:color w:val="auto"/>
              </w:rPr>
              <w:t>318,407</w:t>
            </w:r>
          </w:p>
        </w:tc>
        <w:tc>
          <w:tcPr>
            <w:tcW w:w="1660" w:type="dxa"/>
            <w:vAlign w:val="bottom"/>
            <w:tcBorders>
              <w:bottom w:val="single" w:sz="8" w:color="808080"/>
            </w:tcBorders>
          </w:tcPr>
          <w:p>
            <w:pPr>
              <w:jc w:val="right"/>
              <w:ind w:right="322"/>
              <w:spacing w:after="0"/>
              <w:rPr>
                <w:sz w:val="20"/>
                <w:szCs w:val="20"/>
                <w:color w:val="auto"/>
              </w:rPr>
            </w:pPr>
            <w:r>
              <w:rPr>
                <w:rFonts w:ascii="Arial" w:cs="Arial" w:eastAsia="Arial" w:hAnsi="Arial"/>
                <w:sz w:val="16"/>
                <w:szCs w:val="16"/>
                <w:color w:val="auto"/>
              </w:rPr>
              <w:t>165,000</w:t>
            </w:r>
          </w:p>
        </w:tc>
        <w:tc>
          <w:tcPr>
            <w:tcW w:w="1660" w:type="dxa"/>
            <w:vAlign w:val="bottom"/>
            <w:tcBorders>
              <w:bottom w:val="single" w:sz="8" w:color="808080"/>
            </w:tcBorders>
          </w:tcPr>
          <w:p>
            <w:pPr>
              <w:jc w:val="right"/>
              <w:ind w:right="32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483,407</w:t>
            </w:r>
          </w:p>
        </w:tc>
      </w:tr>
      <w:tr>
        <w:trPr>
          <w:trHeight w:val="239"/>
        </w:trPr>
        <w:tc>
          <w:tcPr>
            <w:tcW w:w="3420" w:type="dxa"/>
            <w:vAlign w:val="bottom"/>
            <w:tcBorders>
              <w:bottom w:val="single" w:sz="8" w:color="808080"/>
            </w:tcBorders>
          </w:tcPr>
          <w:p>
            <w:pPr>
              <w:ind w:left="20"/>
              <w:spacing w:after="0"/>
              <w:rPr>
                <w:sz w:val="20"/>
                <w:szCs w:val="20"/>
                <w:color w:val="auto"/>
              </w:rPr>
            </w:pPr>
            <w:r>
              <w:rPr>
                <w:rFonts w:ascii="Arial" w:cs="Arial" w:eastAsia="Arial" w:hAnsi="Arial"/>
                <w:sz w:val="16"/>
                <w:szCs w:val="16"/>
                <w:b w:val="1"/>
                <w:bCs w:val="1"/>
                <w:color w:val="auto"/>
              </w:rPr>
              <w:t>Total All Directors</w:t>
            </w:r>
          </w:p>
        </w:tc>
        <w:tc>
          <w:tcPr>
            <w:tcW w:w="3120" w:type="dxa"/>
            <w:vAlign w:val="bottom"/>
            <w:tcBorders>
              <w:bottom w:val="single" w:sz="8" w:color="808080"/>
            </w:tcBorders>
          </w:tcPr>
          <w:p>
            <w:pPr>
              <w:jc w:val="right"/>
              <w:ind w:right="321"/>
              <w:spacing w:after="0"/>
              <w:rPr>
                <w:sz w:val="20"/>
                <w:szCs w:val="20"/>
                <w:color w:val="auto"/>
              </w:rPr>
            </w:pPr>
            <w:r>
              <w:rPr>
                <w:rFonts w:ascii="Arial" w:cs="Arial" w:eastAsia="Arial" w:hAnsi="Arial"/>
                <w:sz w:val="16"/>
                <w:szCs w:val="16"/>
                <w:b w:val="1"/>
                <w:bCs w:val="1"/>
                <w:color w:val="auto"/>
              </w:rPr>
              <w:t>1,586,595</w:t>
            </w:r>
          </w:p>
        </w:tc>
        <w:tc>
          <w:tcPr>
            <w:tcW w:w="1660" w:type="dxa"/>
            <w:vAlign w:val="bottom"/>
            <w:tcBorders>
              <w:bottom w:val="single" w:sz="8" w:color="808080"/>
            </w:tcBorders>
          </w:tcPr>
          <w:p>
            <w:pPr>
              <w:jc w:val="right"/>
              <w:ind w:right="322"/>
              <w:spacing w:after="0"/>
              <w:rPr>
                <w:sz w:val="20"/>
                <w:szCs w:val="20"/>
                <w:color w:val="auto"/>
              </w:rPr>
            </w:pPr>
            <w:r>
              <w:rPr>
                <w:rFonts w:ascii="Arial" w:cs="Arial" w:eastAsia="Arial" w:hAnsi="Arial"/>
                <w:sz w:val="16"/>
                <w:szCs w:val="16"/>
                <w:b w:val="1"/>
                <w:bCs w:val="1"/>
                <w:color w:val="auto"/>
              </w:rPr>
              <w:t>1,374,849</w:t>
            </w:r>
          </w:p>
        </w:tc>
        <w:tc>
          <w:tcPr>
            <w:tcW w:w="1660" w:type="dxa"/>
            <w:vAlign w:val="bottom"/>
            <w:tcBorders>
              <w:bottom w:val="single" w:sz="8" w:color="808080"/>
            </w:tcBorders>
          </w:tcPr>
          <w:p>
            <w:pPr>
              <w:jc w:val="right"/>
              <w:ind w:right="322"/>
              <w:spacing w:after="0"/>
              <w:rPr>
                <w:sz w:val="20"/>
                <w:szCs w:val="20"/>
                <w:color w:val="auto"/>
              </w:rPr>
            </w:pPr>
            <w:r>
              <w:rPr>
                <w:rFonts w:ascii="Arial" w:cs="Arial" w:eastAsia="Arial" w:hAnsi="Arial"/>
                <w:sz w:val="16"/>
                <w:szCs w:val="16"/>
                <w:b w:val="1"/>
                <w:bCs w:val="1"/>
                <w:color w:val="auto"/>
              </w:rPr>
              <w:t>545,000</w:t>
            </w:r>
          </w:p>
        </w:tc>
        <w:tc>
          <w:tcPr>
            <w:tcW w:w="136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3,506,444</w:t>
            </w:r>
          </w:p>
        </w:tc>
      </w:tr>
    </w:tbl>
    <w:p>
      <w:pPr>
        <w:spacing w:after="0" w:line="180" w:lineRule="exact"/>
        <w:rPr>
          <w:sz w:val="20"/>
          <w:szCs w:val="20"/>
          <w:color w:val="auto"/>
        </w:rPr>
      </w:pPr>
    </w:p>
    <w:p>
      <w:pPr>
        <w:ind w:left="280" w:hanging="272"/>
        <w:spacing w:after="0"/>
        <w:tabs>
          <w:tab w:leader="none" w:pos="280" w:val="left"/>
        </w:tabs>
        <w:numPr>
          <w:ilvl w:val="0"/>
          <w:numId w:val="89"/>
        </w:numPr>
        <w:rPr>
          <w:rFonts w:ascii="Arial" w:cs="Arial" w:eastAsia="Arial" w:hAnsi="Arial"/>
          <w:sz w:val="9"/>
          <w:szCs w:val="9"/>
          <w:color w:val="auto"/>
        </w:rPr>
      </w:pPr>
      <w:r>
        <w:rPr>
          <w:rFonts w:ascii="Arial" w:cs="Arial" w:eastAsia="Arial" w:hAnsi="Arial"/>
          <w:sz w:val="14"/>
          <w:szCs w:val="14"/>
          <w:color w:val="auto"/>
        </w:rPr>
        <w:t>Mr. Anderson retired from the Board effective April 29, 2024.</w:t>
      </w:r>
    </w:p>
    <w:p>
      <w:pPr>
        <w:spacing w:after="0" w:line="109" w:lineRule="exact"/>
        <w:rPr>
          <w:rFonts w:ascii="Arial" w:cs="Arial" w:eastAsia="Arial" w:hAnsi="Arial"/>
          <w:sz w:val="9"/>
          <w:szCs w:val="9"/>
          <w:color w:val="auto"/>
        </w:rPr>
      </w:pPr>
    </w:p>
    <w:p>
      <w:pPr>
        <w:ind w:left="260" w:right="120" w:hanging="252"/>
        <w:spacing w:after="0" w:line="258" w:lineRule="auto"/>
        <w:tabs>
          <w:tab w:leader="none" w:pos="250" w:val="left"/>
        </w:tabs>
        <w:numPr>
          <w:ilvl w:val="0"/>
          <w:numId w:val="89"/>
        </w:numPr>
        <w:rPr>
          <w:rFonts w:ascii="Arial" w:cs="Arial" w:eastAsia="Arial" w:hAnsi="Arial"/>
          <w:sz w:val="19"/>
          <w:szCs w:val="19"/>
          <w:color w:val="auto"/>
          <w:vertAlign w:val="superscript"/>
        </w:rPr>
      </w:pPr>
      <w:r>
        <w:rPr>
          <w:rFonts w:ascii="Arial" w:cs="Arial" w:eastAsia="Arial" w:hAnsi="Arial"/>
          <w:sz w:val="14"/>
          <w:szCs w:val="14"/>
          <w:color w:val="auto"/>
        </w:rPr>
        <w:t>Includes annual Board and Committee retainers including any amounts voluntarily deferred into the deferred compensation plan. Amounts reported for Mr. Bowers and Ms. Rogers Cheshire include fees for membership on one or more special committees, including a Board-approved one-time payment of $116,966 made to each of them for their extraordinary service on a special committee between July 2022 and December 2023. In addition, for Ms. Rogers Cheshire, the amount reported includes $6,000 for her service as a director of the Exelon Foundation during 2024.</w:t>
      </w:r>
    </w:p>
    <w:p>
      <w:pPr>
        <w:spacing w:after="0" w:line="55" w:lineRule="exact"/>
        <w:rPr>
          <w:rFonts w:ascii="Arial" w:cs="Arial" w:eastAsia="Arial" w:hAnsi="Arial"/>
          <w:sz w:val="19"/>
          <w:szCs w:val="19"/>
          <w:color w:val="auto"/>
          <w:vertAlign w:val="superscript"/>
        </w:rPr>
      </w:pPr>
    </w:p>
    <w:p>
      <w:pPr>
        <w:ind w:left="260" w:hanging="252"/>
        <w:spacing w:after="0"/>
        <w:tabs>
          <w:tab w:leader="none" w:pos="260" w:val="left"/>
        </w:tabs>
        <w:numPr>
          <w:ilvl w:val="0"/>
          <w:numId w:val="89"/>
        </w:numPr>
        <w:rPr>
          <w:rFonts w:ascii="Arial" w:cs="Arial" w:eastAsia="Arial" w:hAnsi="Arial"/>
          <w:sz w:val="9"/>
          <w:szCs w:val="9"/>
          <w:color w:val="auto"/>
        </w:rPr>
      </w:pPr>
      <w:r>
        <w:rPr>
          <w:rFonts w:ascii="Arial" w:cs="Arial" w:eastAsia="Arial" w:hAnsi="Arial"/>
          <w:sz w:val="14"/>
          <w:szCs w:val="14"/>
          <w:color w:val="auto"/>
        </w:rPr>
        <w:t>The grant date fair values of the directors’ deferred stock awards have been computed in accordance with FASB ASC Topic 718.</w:t>
      </w:r>
    </w:p>
    <w:p>
      <w:pPr>
        <w:spacing w:after="0" w:line="136" w:lineRule="exact"/>
        <w:rPr>
          <w:rFonts w:ascii="Arial" w:cs="Arial" w:eastAsia="Arial" w:hAnsi="Arial"/>
          <w:sz w:val="9"/>
          <w:szCs w:val="9"/>
          <w:color w:val="auto"/>
        </w:rPr>
      </w:pPr>
    </w:p>
    <w:p>
      <w:pPr>
        <w:ind w:left="260" w:right="40" w:hanging="252"/>
        <w:spacing w:after="0" w:line="325" w:lineRule="auto"/>
        <w:tabs>
          <w:tab w:leader="none" w:pos="237" w:val="left"/>
        </w:tabs>
        <w:numPr>
          <w:ilvl w:val="0"/>
          <w:numId w:val="89"/>
        </w:numPr>
        <w:rPr>
          <w:rFonts w:ascii="Arial" w:cs="Arial" w:eastAsia="Arial" w:hAnsi="Arial"/>
          <w:sz w:val="9"/>
          <w:szCs w:val="9"/>
          <w:color w:val="auto"/>
        </w:rPr>
      </w:pPr>
      <w:r>
        <w:rPr>
          <w:rFonts w:ascii="Arial" w:cs="Arial" w:eastAsia="Arial" w:hAnsi="Arial"/>
          <w:sz w:val="14"/>
          <w:szCs w:val="14"/>
          <w:color w:val="auto"/>
        </w:rPr>
        <w:t>Amounts reported in this column include $15,000 contributions made under Exelon’s matching gift program for Mses. Rogers Cheshire, Jojo and Lillie, and for Mr. Anderson, a one-time contribution of $500,000 made by Exelon to charitable organizations selected by Mr. Anderson, in honor of his years of service to the Board.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780"/>
              <w:spacing w:after="0"/>
              <w:rPr>
                <w:sz w:val="20"/>
                <w:szCs w:val="20"/>
                <w:color w:val="auto"/>
              </w:rPr>
            </w:pPr>
            <w:r>
              <w:rPr>
                <w:rFonts w:ascii="Arial" w:cs="Arial" w:eastAsia="Arial" w:hAnsi="Arial"/>
                <w:sz w:val="14"/>
                <w:szCs w:val="14"/>
                <w:color w:val="auto"/>
              </w:rPr>
              <w:t>2025 ׀ Exelon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37</w:t>
            </w:r>
          </w:p>
        </w:tc>
      </w:tr>
      <w:tr>
        <w:trPr>
          <w:trHeight w:val="211"/>
        </w:trPr>
        <w:tc>
          <w:tcPr>
            <w:tcW w:w="109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41"/>
          <w:szCs w:val="41"/>
          <w:color w:val="170D67"/>
        </w:rPr>
        <w:t xml:space="preserve">Audit </w:t>
      </w:r>
      <w:r>
        <w:rPr>
          <w:rFonts w:ascii="Arial" w:cs="Arial" w:eastAsia="Arial" w:hAnsi="Arial"/>
          <w:sz w:val="41"/>
          <w:szCs w:val="41"/>
          <w:b w:val="1"/>
          <w:bCs w:val="1"/>
          <w:color w:val="170D67"/>
        </w:rPr>
        <w:t>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23430" cy="6769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23430"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FFFFFF"/>
        </w:rPr>
        <w:t>PROPOSAL</w:t>
      </w:r>
    </w:p>
    <w:p>
      <w:pPr>
        <w:spacing w:after="0" w:line="39" w:lineRule="exact"/>
        <w:rPr>
          <w:sz w:val="20"/>
          <w:szCs w:val="20"/>
          <w:color w:val="auto"/>
        </w:rPr>
      </w:pPr>
    </w:p>
    <w:p>
      <w:pPr>
        <w:ind w:left="1320" w:right="5020" w:hanging="872"/>
        <w:spacing w:after="0" w:line="180" w:lineRule="auto"/>
        <w:tabs>
          <w:tab w:leader="none" w:pos="1320" w:val="left"/>
        </w:tabs>
        <w:numPr>
          <w:ilvl w:val="0"/>
          <w:numId w:val="90"/>
        </w:numPr>
        <w:rPr>
          <w:rFonts w:ascii="Arial" w:cs="Arial" w:eastAsia="Arial" w:hAnsi="Arial"/>
          <w:sz w:val="49"/>
          <w:szCs w:val="49"/>
          <w:b w:val="1"/>
          <w:bCs w:val="1"/>
          <w:color w:val="FFFFFF"/>
          <w:vertAlign w:val="subscript"/>
        </w:rPr>
      </w:pPr>
      <w:r>
        <w:rPr>
          <w:rFonts w:ascii="Arial" w:cs="Arial" w:eastAsia="Arial" w:hAnsi="Arial"/>
          <w:sz w:val="18"/>
          <w:szCs w:val="18"/>
          <w:b w:val="1"/>
          <w:bCs w:val="1"/>
          <w:color w:val="170D67"/>
        </w:rPr>
        <w:t>Ratification of PricewaterhouseCoopers LLP as Exelon’s Independent Auditor for 2025</w:t>
      </w:r>
    </w:p>
    <w:p>
      <w:pPr>
        <w:spacing w:after="0" w:line="98" w:lineRule="exact"/>
        <w:rPr>
          <w:sz w:val="20"/>
          <w:szCs w:val="20"/>
          <w:color w:val="auto"/>
        </w:rPr>
      </w:pPr>
    </w:p>
    <w:p>
      <w:pPr>
        <w:ind w:left="1320" w:right="260"/>
        <w:spacing w:after="0" w:line="292" w:lineRule="auto"/>
        <w:rPr>
          <w:sz w:val="20"/>
          <w:szCs w:val="20"/>
          <w:color w:val="auto"/>
        </w:rPr>
      </w:pPr>
      <w:r>
        <w:rPr>
          <w:rFonts w:ascii="Arial" w:cs="Arial" w:eastAsia="Arial" w:hAnsi="Arial"/>
          <w:sz w:val="16"/>
          <w:szCs w:val="16"/>
          <w:color w:val="auto"/>
        </w:rPr>
        <w:t>Based on the most recent evaluation and consideration of factors described below, the ARC and the Board have determined that the retention of PricewaterhouseCoopers LLP (PwC) as Exelon’s independent auditor remains in the best interests of the Company and its shareholders based on the Committee’s level of satisfaction with the quality of services provided by PwC.</w:t>
      </w:r>
    </w:p>
    <w:p>
      <w:pPr>
        <w:spacing w:after="0" w:line="71" w:lineRule="exact"/>
        <w:rPr>
          <w:sz w:val="20"/>
          <w:szCs w:val="20"/>
          <w:color w:val="auto"/>
        </w:rPr>
      </w:pPr>
    </w:p>
    <w:p>
      <w:pPr>
        <w:ind w:left="1320" w:right="260"/>
        <w:spacing w:after="0" w:line="282" w:lineRule="auto"/>
        <w:rPr>
          <w:sz w:val="20"/>
          <w:szCs w:val="20"/>
          <w:color w:val="auto"/>
        </w:rPr>
      </w:pPr>
      <w:r>
        <w:rPr>
          <w:rFonts w:ascii="Arial" w:cs="Arial" w:eastAsia="Arial" w:hAnsi="Arial"/>
          <w:sz w:val="16"/>
          <w:szCs w:val="16"/>
          <w:color w:val="auto"/>
        </w:rPr>
        <w:t>PwC has served as the Company’s independent auditor since 2000. The Committee believes PwC’s tenure as Exelon’s independent auditor is a benefit to audit quality given its experience with the Company and knowledge of Exelon’s business. Because of PwC’s familiarity with Exelon, the firm has demonstrated an ability to focus on risks significant to the Company and its industry and has developed and implemented efficient and innovative audit processes, which have enabled the provision of services for fees considered competitive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2343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ind w:left="720"/>
        <w:spacing w:after="0"/>
        <w:rPr>
          <w:sz w:val="20"/>
          <w:szCs w:val="20"/>
          <w:color w:val="auto"/>
        </w:rPr>
      </w:pPr>
      <w:r>
        <w:rPr>
          <w:rFonts w:ascii="Arial" w:cs="Arial" w:eastAsia="Arial" w:hAnsi="Arial"/>
          <w:sz w:val="15"/>
          <w:szCs w:val="15"/>
          <w:b w:val="1"/>
          <w:bCs w:val="1"/>
          <w:color w:val="170D67"/>
        </w:rPr>
        <w:t xml:space="preserve">The Board recommends a vote </w:t>
      </w:r>
      <w:r>
        <w:rPr>
          <w:rFonts w:ascii="Arial" w:cs="Arial" w:eastAsia="Arial" w:hAnsi="Arial"/>
          <w:sz w:val="15"/>
          <w:szCs w:val="15"/>
          <w:b w:val="1"/>
          <w:bCs w:val="1"/>
          <w:color w:val="00E4A5"/>
        </w:rPr>
        <w:t>“FOR”</w:t>
      </w:r>
      <w:r>
        <w:rPr>
          <w:rFonts w:ascii="Arial" w:cs="Arial" w:eastAsia="Arial" w:hAnsi="Arial"/>
          <w:sz w:val="15"/>
          <w:szCs w:val="15"/>
          <w:b w:val="1"/>
          <w:bCs w:val="1"/>
          <w:color w:val="170D67"/>
        </w:rPr>
        <w:t xml:space="preserve"> the ratification of PricewaterhouseCoopers LLP as Exelon’s Independent Auditor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2343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-105410</wp:posOffset>
            </wp:positionV>
            <wp:extent cx="257175" cy="2057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5717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Evaluation of the Independent Auditor</w:t>
      </w:r>
    </w:p>
    <w:p>
      <w:pPr>
        <w:spacing w:after="0" w:line="27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ARC regularly considers the independence, qualifications, compensation, and performance of its independent auditor. The ARC has approved an evaluation framework developed by management to assist with the ARC’s annual assessment of the independent audit firm, which includes the solicitation of feedback from management and the members of the ARC. Results of the full assessment were discussed by the ARC as part of its annual review process. Using the framework, the ARC assessed the following four areas in addition to a consideration of the independent audit firm’s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23430" cy="1714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234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wp:posOffset>
            </wp:positionV>
            <wp:extent cx="7123430" cy="342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23430" cy="34290"/>
                    </a:xfrm>
                    <a:prstGeom prst="rect">
                      <a:avLst/>
                    </a:prstGeom>
                    <a:noFill/>
                  </pic:spPr>
                </pic:pic>
              </a:graphicData>
            </a:graphic>
          </wp:anchor>
        </w:drawing>
      </w:r>
    </w:p>
    <w:p>
      <w:pPr>
        <w:sectPr>
          <w:pgSz w:w="11900" w:h="16838" w:orient="portrait"/>
          <w:cols w:equalWidth="0" w:num="1">
            <w:col w:w="11220"/>
          </w:cols>
          <w:pgMar w:left="320" w:top="1302" w:right="359" w:bottom="1440" w:gutter="0" w:footer="0" w:header="0"/>
        </w:sect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170D67"/>
        </w:rPr>
        <w:t>Focus Areas:</w:t>
      </w:r>
    </w:p>
    <w:p>
      <w:pPr>
        <w:spacing w:after="0" w:line="181" w:lineRule="exact"/>
        <w:rPr>
          <w:sz w:val="20"/>
          <w:szCs w:val="20"/>
          <w:color w:val="auto"/>
        </w:rPr>
      </w:pPr>
    </w:p>
    <w:p>
      <w:pPr>
        <w:ind w:left="20"/>
        <w:spacing w:after="0" w:line="277" w:lineRule="auto"/>
        <w:rPr>
          <w:sz w:val="20"/>
          <w:szCs w:val="20"/>
          <w:color w:val="auto"/>
        </w:rPr>
      </w:pPr>
      <w:r>
        <w:rPr>
          <w:rFonts w:ascii="Arial" w:cs="Arial" w:eastAsia="Arial" w:hAnsi="Arial"/>
          <w:sz w:val="16"/>
          <w:szCs w:val="16"/>
          <w:b w:val="1"/>
          <w:bCs w:val="1"/>
          <w:color w:val="6E06C1"/>
        </w:rPr>
        <w:t>Quality of the Independent Audit</w:t>
      </w:r>
    </w:p>
    <w:p>
      <w:pPr>
        <w:ind w:left="20" w:right="280"/>
        <w:spacing w:after="0" w:line="305" w:lineRule="auto"/>
        <w:rPr>
          <w:sz w:val="20"/>
          <w:szCs w:val="20"/>
          <w:color w:val="auto"/>
        </w:rPr>
      </w:pPr>
      <w:r>
        <w:rPr>
          <w:rFonts w:ascii="Arial" w:cs="Arial" w:eastAsia="Arial" w:hAnsi="Arial"/>
          <w:sz w:val="16"/>
          <w:szCs w:val="16"/>
          <w:b w:val="1"/>
          <w:bCs w:val="1"/>
          <w:color w:val="6E06C1"/>
        </w:rPr>
        <w:t>Firm and Audit Process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170D67"/>
        </w:rPr>
        <w:t>Considerations included:</w:t>
      </w:r>
    </w:p>
    <w:p>
      <w:pPr>
        <w:spacing w:after="0" w:line="248" w:lineRule="exact"/>
        <w:rPr>
          <w:sz w:val="20"/>
          <w:szCs w:val="20"/>
          <w:color w:val="auto"/>
        </w:rPr>
      </w:pPr>
    </w:p>
    <w:p>
      <w:pPr>
        <w:ind w:left="200" w:right="320" w:hanging="198"/>
        <w:spacing w:after="0" w:line="321" w:lineRule="auto"/>
        <w:tabs>
          <w:tab w:leader="none" w:pos="170" w:val="left"/>
        </w:tabs>
        <w:numPr>
          <w:ilvl w:val="0"/>
          <w:numId w:val="91"/>
        </w:numPr>
        <w:rPr>
          <w:rFonts w:ascii="Arial" w:cs="Arial" w:eastAsia="Arial" w:hAnsi="Arial"/>
          <w:sz w:val="16"/>
          <w:szCs w:val="16"/>
          <w:b w:val="1"/>
          <w:bCs w:val="1"/>
          <w:color w:val="170D67"/>
        </w:rPr>
      </w:pPr>
      <w:r>
        <w:rPr>
          <w:rFonts w:ascii="Arial" w:cs="Arial" w:eastAsia="Arial" w:hAnsi="Arial"/>
          <w:sz w:val="16"/>
          <w:szCs w:val="16"/>
          <w:color w:val="auto"/>
        </w:rPr>
        <w:t>The number of restatements, material weaknesses, and significant deficiencies to determine if any items reasonably should have been identified by the independent audit firm.</w:t>
      </w:r>
    </w:p>
    <w:p>
      <w:pPr>
        <w:spacing w:after="0" w:line="7" w:lineRule="exact"/>
        <w:rPr>
          <w:rFonts w:ascii="Arial" w:cs="Arial" w:eastAsia="Arial" w:hAnsi="Arial"/>
          <w:sz w:val="16"/>
          <w:szCs w:val="16"/>
          <w:b w:val="1"/>
          <w:bCs w:val="1"/>
          <w:color w:val="170D67"/>
        </w:rPr>
      </w:pPr>
    </w:p>
    <w:p>
      <w:pPr>
        <w:ind w:left="160" w:hanging="158"/>
        <w:spacing w:after="0"/>
        <w:tabs>
          <w:tab w:leader="none" w:pos="160" w:val="left"/>
        </w:tabs>
        <w:numPr>
          <w:ilvl w:val="0"/>
          <w:numId w:val="91"/>
        </w:numPr>
        <w:rPr>
          <w:rFonts w:ascii="Arial" w:cs="Arial" w:eastAsia="Arial" w:hAnsi="Arial"/>
          <w:sz w:val="16"/>
          <w:szCs w:val="16"/>
          <w:b w:val="1"/>
          <w:bCs w:val="1"/>
          <w:color w:val="170D67"/>
        </w:rPr>
      </w:pPr>
      <w:r>
        <w:rPr>
          <w:rFonts w:ascii="Arial" w:cs="Arial" w:eastAsia="Arial" w:hAnsi="Arial"/>
          <w:sz w:val="16"/>
          <w:szCs w:val="16"/>
          <w:color w:val="auto"/>
        </w:rPr>
        <w:t>Results of the 2023 Public Company Accounting Oversight Board (PCAOB) inspection report issued in May 2024.</w:t>
      </w:r>
    </w:p>
    <w:p>
      <w:pPr>
        <w:spacing w:after="0" w:line="72" w:lineRule="exact"/>
        <w:rPr>
          <w:rFonts w:ascii="Arial" w:cs="Arial" w:eastAsia="Arial" w:hAnsi="Arial"/>
          <w:sz w:val="16"/>
          <w:szCs w:val="16"/>
          <w:b w:val="1"/>
          <w:bCs w:val="1"/>
          <w:color w:val="170D67"/>
        </w:rPr>
      </w:pPr>
    </w:p>
    <w:p>
      <w:pPr>
        <w:ind w:left="200" w:right="400" w:hanging="198"/>
        <w:spacing w:after="0" w:line="321" w:lineRule="auto"/>
        <w:tabs>
          <w:tab w:leader="none" w:pos="170" w:val="left"/>
        </w:tabs>
        <w:numPr>
          <w:ilvl w:val="0"/>
          <w:numId w:val="91"/>
        </w:numPr>
        <w:rPr>
          <w:rFonts w:ascii="Arial" w:cs="Arial" w:eastAsia="Arial" w:hAnsi="Arial"/>
          <w:sz w:val="16"/>
          <w:szCs w:val="16"/>
          <w:b w:val="1"/>
          <w:bCs w:val="1"/>
          <w:color w:val="170D67"/>
        </w:rPr>
      </w:pPr>
      <w:r>
        <w:rPr>
          <w:rFonts w:ascii="Arial" w:cs="Arial" w:eastAsia="Arial" w:hAnsi="Arial"/>
          <w:sz w:val="16"/>
          <w:szCs w:val="16"/>
          <w:color w:val="auto"/>
        </w:rPr>
        <w:t>The risks associated with PwC based on its financial stability, compliance with applicable laws and professional standards, pending litigation or judgments against the firm, and results of applicable independent audit firm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-1200785</wp:posOffset>
            </wp:positionH>
            <wp:positionV relativeFrom="paragraph">
              <wp:posOffset>56515</wp:posOffset>
            </wp:positionV>
            <wp:extent cx="712343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1440" w:space="460"/>
            <w:col w:w="9320"/>
          </w:cols>
          <w:pgMar w:left="320" w:top="1302" w:right="359" w:bottom="1440" w:gutter="0" w:footer="0" w:header="0"/>
          <w:type w:val="continuous"/>
        </w:sectPr>
      </w:pPr>
    </w:p>
    <w:p>
      <w:pPr>
        <w:ind w:left="20"/>
        <w:spacing w:after="0" w:line="314" w:lineRule="auto"/>
        <w:rPr>
          <w:sz w:val="20"/>
          <w:szCs w:val="20"/>
          <w:color w:val="auto"/>
        </w:rPr>
      </w:pPr>
      <w:r>
        <w:rPr>
          <w:rFonts w:ascii="Arial" w:cs="Arial" w:eastAsia="Arial" w:hAnsi="Arial"/>
          <w:sz w:val="16"/>
          <w:szCs w:val="16"/>
          <w:b w:val="1"/>
          <w:bCs w:val="1"/>
          <w:color w:val="6E06C1"/>
        </w:rPr>
        <w:t>Alignment with Exelon’s Core Values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198" w:right="660" w:hanging="198"/>
        <w:spacing w:after="0" w:line="321" w:lineRule="auto"/>
        <w:tabs>
          <w:tab w:leader="none" w:pos="168" w:val="left"/>
        </w:tabs>
        <w:numPr>
          <w:ilvl w:val="0"/>
          <w:numId w:val="92"/>
        </w:numPr>
        <w:rPr>
          <w:rFonts w:ascii="Arial" w:cs="Arial" w:eastAsia="Arial" w:hAnsi="Arial"/>
          <w:sz w:val="16"/>
          <w:szCs w:val="16"/>
          <w:b w:val="1"/>
          <w:bCs w:val="1"/>
          <w:color w:val="170D67"/>
        </w:rPr>
      </w:pPr>
      <w:r>
        <w:rPr>
          <w:rFonts w:ascii="Arial" w:cs="Arial" w:eastAsia="Arial" w:hAnsi="Arial"/>
          <w:sz w:val="16"/>
          <w:szCs w:val="16"/>
          <w:color w:val="auto"/>
        </w:rPr>
        <w:t>Whether PwC and the onsite team demonstrate a commitment to diversity, equity, and inclusion (DEI) in alignment with Exelon’s values.</w:t>
      </w:r>
    </w:p>
    <w:p>
      <w:pPr>
        <w:spacing w:after="0" w:line="7" w:lineRule="exact"/>
        <w:rPr>
          <w:rFonts w:ascii="Arial" w:cs="Arial" w:eastAsia="Arial" w:hAnsi="Arial"/>
          <w:sz w:val="16"/>
          <w:szCs w:val="16"/>
          <w:b w:val="1"/>
          <w:bCs w:val="1"/>
          <w:color w:val="170D67"/>
        </w:rPr>
      </w:pPr>
    </w:p>
    <w:p>
      <w:pPr>
        <w:ind w:left="198" w:right="120" w:hanging="198"/>
        <w:spacing w:after="0" w:line="304" w:lineRule="auto"/>
        <w:tabs>
          <w:tab w:leader="none" w:pos="168" w:val="left"/>
        </w:tabs>
        <w:numPr>
          <w:ilvl w:val="0"/>
          <w:numId w:val="92"/>
        </w:numPr>
        <w:rPr>
          <w:rFonts w:ascii="Arial" w:cs="Arial" w:eastAsia="Arial" w:hAnsi="Arial"/>
          <w:sz w:val="16"/>
          <w:szCs w:val="16"/>
          <w:b w:val="1"/>
          <w:bCs w:val="1"/>
          <w:color w:val="170D67"/>
        </w:rPr>
      </w:pPr>
      <w:r>
        <w:rPr>
          <w:rFonts w:ascii="Arial" w:cs="Arial" w:eastAsia="Arial" w:hAnsi="Arial"/>
          <w:sz w:val="16"/>
          <w:szCs w:val="16"/>
          <w:color w:val="auto"/>
        </w:rPr>
        <w:t>The results of management’s annual DEI assessment of third-party finance vendors. (In 2024, PwC was appointed to Exelon’s DEI Honor Roll for the 13th consecutive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-1202055</wp:posOffset>
            </wp:positionH>
            <wp:positionV relativeFrom="paragraph">
              <wp:posOffset>64770</wp:posOffset>
            </wp:positionV>
            <wp:extent cx="712343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168" w:lineRule="exact"/>
        <w:rPr>
          <w:sz w:val="20"/>
          <w:szCs w:val="20"/>
          <w:color w:val="auto"/>
        </w:rPr>
      </w:pPr>
    </w:p>
    <w:p>
      <w:pPr>
        <w:sectPr>
          <w:pgSz w:w="11900" w:h="16838" w:orient="portrait"/>
          <w:cols w:equalWidth="0" w:num="2">
            <w:col w:w="1660" w:space="242"/>
            <w:col w:w="9318"/>
          </w:cols>
          <w:pgMar w:left="320" w:top="1302" w:right="35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1720" w:type="dxa"/>
            <w:vAlign w:val="bottom"/>
          </w:tcPr>
          <w:p>
            <w:pPr>
              <w:ind w:left="20"/>
              <w:spacing w:after="0"/>
              <w:rPr>
                <w:sz w:val="20"/>
                <w:szCs w:val="20"/>
                <w:color w:val="auto"/>
              </w:rPr>
            </w:pPr>
            <w:r>
              <w:rPr>
                <w:rFonts w:ascii="Arial" w:cs="Arial" w:eastAsia="Arial" w:hAnsi="Arial"/>
                <w:sz w:val="16"/>
                <w:szCs w:val="16"/>
                <w:b w:val="1"/>
                <w:bCs w:val="1"/>
                <w:color w:val="6E06C1"/>
              </w:rPr>
              <w:t>Level of Service</w:t>
            </w:r>
          </w:p>
        </w:tc>
        <w:tc>
          <w:tcPr>
            <w:tcW w:w="9500" w:type="dxa"/>
            <w:vAlign w:val="bottom"/>
            <w:vMerge w:val="restart"/>
          </w:tcPr>
          <w:p>
            <w:pPr>
              <w:ind w:left="180"/>
              <w:spacing w:after="0"/>
              <w:rPr>
                <w:sz w:val="20"/>
                <w:szCs w:val="20"/>
                <w:color w:val="auto"/>
              </w:rPr>
            </w:pPr>
            <w:r>
              <w:rPr>
                <w:rFonts w:ascii="Arial" w:cs="Arial" w:eastAsia="Arial" w:hAnsi="Arial"/>
                <w:sz w:val="16"/>
                <w:szCs w:val="16"/>
                <w:b w:val="1"/>
                <w:bCs w:val="1"/>
                <w:color w:val="170D67"/>
              </w:rPr>
              <w:t xml:space="preserve">• </w:t>
            </w:r>
            <w:r>
              <w:rPr>
                <w:rFonts w:ascii="Arial" w:cs="Arial" w:eastAsia="Arial" w:hAnsi="Arial"/>
                <w:sz w:val="16"/>
                <w:szCs w:val="16"/>
                <w:color w:val="000000"/>
              </w:rPr>
              <w:t>Results of an annual assessment completed by the ARC and members of management who frequently interact with PwC.</w:t>
            </w:r>
          </w:p>
        </w:tc>
        <w:tc>
          <w:tcPr>
            <w:tcW w:w="0" w:type="dxa"/>
            <w:vAlign w:val="bottom"/>
          </w:tcPr>
          <w:p>
            <w:pPr>
              <w:spacing w:after="0"/>
              <w:rPr>
                <w:sz w:val="1"/>
                <w:szCs w:val="1"/>
                <w:color w:val="auto"/>
              </w:rPr>
            </w:pPr>
          </w:p>
        </w:tc>
      </w:tr>
      <w:tr>
        <w:trPr>
          <w:trHeight w:val="216"/>
        </w:trPr>
        <w:tc>
          <w:tcPr>
            <w:tcW w:w="1720" w:type="dxa"/>
            <w:vAlign w:val="bottom"/>
          </w:tcPr>
          <w:p>
            <w:pPr>
              <w:ind w:left="20"/>
              <w:spacing w:after="0"/>
              <w:rPr>
                <w:sz w:val="20"/>
                <w:szCs w:val="20"/>
                <w:color w:val="auto"/>
              </w:rPr>
            </w:pPr>
            <w:r>
              <w:rPr>
                <w:rFonts w:ascii="Arial" w:cs="Arial" w:eastAsia="Arial" w:hAnsi="Arial"/>
                <w:sz w:val="16"/>
                <w:szCs w:val="16"/>
                <w:b w:val="1"/>
                <w:bCs w:val="1"/>
                <w:color w:val="6E06C1"/>
              </w:rPr>
              <w:t>Provided by the</w:t>
            </w:r>
          </w:p>
        </w:tc>
        <w:tc>
          <w:tcPr>
            <w:tcW w:w="9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0"/>
              <w:spacing w:after="0"/>
              <w:rPr>
                <w:sz w:val="20"/>
                <w:szCs w:val="20"/>
                <w:color w:val="auto"/>
              </w:rPr>
            </w:pPr>
            <w:r>
              <w:rPr>
                <w:rFonts w:ascii="Arial" w:cs="Arial" w:eastAsia="Arial" w:hAnsi="Arial"/>
                <w:sz w:val="16"/>
                <w:szCs w:val="16"/>
                <w:b w:val="1"/>
                <w:bCs w:val="1"/>
                <w:color w:val="6E06C1"/>
              </w:rPr>
              <w:t>Independent Audit</w:t>
            </w:r>
          </w:p>
        </w:tc>
        <w:tc>
          <w:tcPr>
            <w:tcW w:w="9500" w:type="dxa"/>
            <w:vAlign w:val="bottom"/>
          </w:tcPr>
          <w:p>
            <w:pPr>
              <w:ind w:left="180"/>
              <w:spacing w:after="0"/>
              <w:rPr>
                <w:sz w:val="20"/>
                <w:szCs w:val="20"/>
                <w:color w:val="auto"/>
              </w:rPr>
            </w:pPr>
            <w:r>
              <w:rPr>
                <w:rFonts w:ascii="Arial" w:cs="Arial" w:eastAsia="Arial" w:hAnsi="Arial"/>
                <w:sz w:val="16"/>
                <w:szCs w:val="16"/>
                <w:b w:val="1"/>
                <w:bCs w:val="1"/>
                <w:color w:val="170D67"/>
              </w:rPr>
              <w:t xml:space="preserve">• </w:t>
            </w:r>
            <w:r>
              <w:rPr>
                <w:rFonts w:ascii="Arial" w:cs="Arial" w:eastAsia="Arial" w:hAnsi="Arial"/>
                <w:sz w:val="16"/>
                <w:szCs w:val="16"/>
                <w:color w:val="000000"/>
              </w:rPr>
              <w:t>Open access to and engagement with PwC subject matter experts providing valuable insights on matters important to Exelon.</w:t>
            </w:r>
          </w:p>
        </w:tc>
        <w:tc>
          <w:tcPr>
            <w:tcW w:w="0" w:type="dxa"/>
            <w:vAlign w:val="bottom"/>
          </w:tcPr>
          <w:p>
            <w:pPr>
              <w:spacing w:after="0"/>
              <w:rPr>
                <w:sz w:val="1"/>
                <w:szCs w:val="1"/>
                <w:color w:val="auto"/>
              </w:rPr>
            </w:pPr>
          </w:p>
        </w:tc>
      </w:tr>
      <w:tr>
        <w:trPr>
          <w:trHeight w:val="223"/>
        </w:trPr>
        <w:tc>
          <w:tcPr>
            <w:tcW w:w="1720" w:type="dxa"/>
            <w:vAlign w:val="bottom"/>
          </w:tcPr>
          <w:p>
            <w:pPr>
              <w:ind w:left="20"/>
              <w:spacing w:after="0"/>
              <w:rPr>
                <w:sz w:val="20"/>
                <w:szCs w:val="20"/>
                <w:color w:val="auto"/>
              </w:rPr>
            </w:pPr>
            <w:r>
              <w:rPr>
                <w:rFonts w:ascii="Arial" w:cs="Arial" w:eastAsia="Arial" w:hAnsi="Arial"/>
                <w:sz w:val="16"/>
                <w:szCs w:val="16"/>
                <w:b w:val="1"/>
                <w:bCs w:val="1"/>
                <w:color w:val="6E06C1"/>
              </w:rPr>
              <w:t>Firm</w:t>
            </w:r>
          </w:p>
        </w:tc>
        <w:tc>
          <w:tcPr>
            <w:tcW w:w="9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1720" w:type="dxa"/>
            <w:vAlign w:val="bottom"/>
            <w:tcBorders>
              <w:bottom w:val="single" w:sz="8" w:color="808080"/>
            </w:tcBorders>
          </w:tcPr>
          <w:p>
            <w:pPr>
              <w:spacing w:after="0"/>
              <w:rPr>
                <w:sz w:val="7"/>
                <w:szCs w:val="7"/>
                <w:color w:val="auto"/>
              </w:rPr>
            </w:pPr>
          </w:p>
        </w:tc>
        <w:tc>
          <w:tcPr>
            <w:tcW w:w="95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720" w:type="dxa"/>
            <w:vAlign w:val="bottom"/>
          </w:tcPr>
          <w:p>
            <w:pPr>
              <w:ind w:left="20"/>
              <w:spacing w:after="0"/>
              <w:rPr>
                <w:sz w:val="20"/>
                <w:szCs w:val="20"/>
                <w:color w:val="auto"/>
              </w:rPr>
            </w:pPr>
            <w:r>
              <w:rPr>
                <w:rFonts w:ascii="Arial" w:cs="Arial" w:eastAsia="Arial" w:hAnsi="Arial"/>
                <w:sz w:val="16"/>
                <w:szCs w:val="16"/>
                <w:b w:val="1"/>
                <w:bCs w:val="1"/>
                <w:color w:val="6E06C1"/>
              </w:rPr>
              <w:t>Good Faith</w:t>
            </w:r>
          </w:p>
        </w:tc>
        <w:tc>
          <w:tcPr>
            <w:tcW w:w="9500" w:type="dxa"/>
            <w:vAlign w:val="bottom"/>
            <w:vMerge w:val="restart"/>
          </w:tcPr>
          <w:p>
            <w:pPr>
              <w:ind w:left="180"/>
              <w:spacing w:after="0"/>
              <w:rPr>
                <w:sz w:val="20"/>
                <w:szCs w:val="20"/>
                <w:color w:val="auto"/>
              </w:rPr>
            </w:pPr>
            <w:r>
              <w:rPr>
                <w:rFonts w:ascii="Arial" w:cs="Arial" w:eastAsia="Arial" w:hAnsi="Arial"/>
                <w:sz w:val="16"/>
                <w:szCs w:val="16"/>
                <w:b w:val="1"/>
                <w:bCs w:val="1"/>
                <w:color w:val="170D67"/>
              </w:rPr>
              <w:t xml:space="preserve">• </w:t>
            </w:r>
            <w:r>
              <w:rPr>
                <w:rFonts w:ascii="Arial" w:cs="Arial" w:eastAsia="Arial" w:hAnsi="Arial"/>
                <w:sz w:val="16"/>
                <w:szCs w:val="16"/>
                <w:color w:val="000000"/>
              </w:rPr>
              <w:t>Robust fee negotiation process.</w:t>
            </w:r>
          </w:p>
        </w:tc>
        <w:tc>
          <w:tcPr>
            <w:tcW w:w="0" w:type="dxa"/>
            <w:vAlign w:val="bottom"/>
          </w:tcPr>
          <w:p>
            <w:pPr>
              <w:spacing w:after="0"/>
              <w:rPr>
                <w:sz w:val="1"/>
                <w:szCs w:val="1"/>
                <w:color w:val="auto"/>
              </w:rPr>
            </w:pPr>
          </w:p>
        </w:tc>
      </w:tr>
      <w:tr>
        <w:trPr>
          <w:trHeight w:val="88"/>
        </w:trPr>
        <w:tc>
          <w:tcPr>
            <w:tcW w:w="1720" w:type="dxa"/>
            <w:vAlign w:val="bottom"/>
            <w:vMerge w:val="restart"/>
          </w:tcPr>
          <w:p>
            <w:pPr>
              <w:ind w:left="20"/>
              <w:spacing w:after="0"/>
              <w:rPr>
                <w:sz w:val="20"/>
                <w:szCs w:val="20"/>
                <w:color w:val="auto"/>
              </w:rPr>
            </w:pPr>
            <w:r>
              <w:rPr>
                <w:rFonts w:ascii="Arial" w:cs="Arial" w:eastAsia="Arial" w:hAnsi="Arial"/>
                <w:sz w:val="16"/>
                <w:szCs w:val="16"/>
                <w:b w:val="1"/>
                <w:bCs w:val="1"/>
                <w:color w:val="6E06C1"/>
              </w:rPr>
              <w:t>Negotiation of Fees</w:t>
            </w:r>
          </w:p>
        </w:tc>
        <w:tc>
          <w:tcPr>
            <w:tcW w:w="9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720" w:type="dxa"/>
            <w:vAlign w:val="bottom"/>
            <w:vMerge w:val="continue"/>
          </w:tcPr>
          <w:p>
            <w:pPr>
              <w:spacing w:after="0"/>
              <w:rPr>
                <w:sz w:val="11"/>
                <w:szCs w:val="11"/>
                <w:color w:val="auto"/>
              </w:rPr>
            </w:pPr>
          </w:p>
        </w:tc>
        <w:tc>
          <w:tcPr>
            <w:tcW w:w="9500" w:type="dxa"/>
            <w:vAlign w:val="bottom"/>
            <w:vMerge w:val="restart"/>
          </w:tcPr>
          <w:p>
            <w:pPr>
              <w:ind w:left="180"/>
              <w:spacing w:after="0"/>
              <w:rPr>
                <w:sz w:val="20"/>
                <w:szCs w:val="20"/>
                <w:color w:val="auto"/>
              </w:rPr>
            </w:pPr>
            <w:r>
              <w:rPr>
                <w:rFonts w:ascii="Arial" w:cs="Arial" w:eastAsia="Arial" w:hAnsi="Arial"/>
                <w:sz w:val="16"/>
                <w:szCs w:val="16"/>
                <w:b w:val="1"/>
                <w:bCs w:val="1"/>
                <w:color w:val="170D67"/>
              </w:rPr>
              <w:t xml:space="preserve">• </w:t>
            </w:r>
            <w:r>
              <w:rPr>
                <w:rFonts w:ascii="Arial" w:cs="Arial" w:eastAsia="Arial" w:hAnsi="Arial"/>
                <w:sz w:val="16"/>
                <w:szCs w:val="16"/>
                <w:color w:val="000000"/>
              </w:rPr>
              <w:t>Reasonableness of fees incurred against the annually approved fees and reported fee estimates provided to the ARC quarterly.</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9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720" w:type="dxa"/>
            <w:vAlign w:val="bottom"/>
            <w:tcBorders>
              <w:bottom w:val="single" w:sz="8" w:color="808080"/>
            </w:tcBorders>
          </w:tcPr>
          <w:p>
            <w:pPr>
              <w:spacing w:after="0"/>
              <w:rPr>
                <w:sz w:val="12"/>
                <w:szCs w:val="12"/>
                <w:color w:val="auto"/>
              </w:rPr>
            </w:pPr>
          </w:p>
        </w:tc>
        <w:tc>
          <w:tcPr>
            <w:tcW w:w="950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302" w:right="359" w:bottom="1440" w:gutter="0" w:footer="0" w:header="0"/>
          <w:type w:val="continuous"/>
        </w:sectPr>
      </w:pPr>
    </w:p>
    <w:p>
      <w:pPr>
        <w:spacing w:after="0" w:line="200" w:lineRule="exact"/>
        <w:rPr>
          <w:sz w:val="20"/>
          <w:szCs w:val="20"/>
          <w:color w:val="auto"/>
        </w:rPr>
      </w:pPr>
    </w:p>
    <w:p>
      <w:pPr>
        <w:spacing w:after="0" w:line="306" w:lineRule="exact"/>
        <w:rPr>
          <w:sz w:val="20"/>
          <w:szCs w:val="20"/>
          <w:color w:val="auto"/>
        </w:rPr>
      </w:pPr>
    </w:p>
    <w:p>
      <w:pPr>
        <w:ind w:left="480" w:hanging="454"/>
        <w:spacing w:after="0"/>
        <w:tabs>
          <w:tab w:leader="none" w:pos="480" w:val="left"/>
        </w:tabs>
        <w:numPr>
          <w:ilvl w:val="0"/>
          <w:numId w:val="9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2" w:right="359" w:bottom="1440"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13"/>
          <w:szCs w:val="13"/>
          <w:b w:val="1"/>
          <w:bCs w:val="1"/>
          <w:color w:val="auto"/>
        </w:rPr>
        <w:t>Audit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right="80"/>
        <w:spacing w:after="0" w:line="292" w:lineRule="auto"/>
        <w:rPr>
          <w:sz w:val="20"/>
          <w:szCs w:val="20"/>
          <w:color w:val="auto"/>
        </w:rPr>
      </w:pPr>
      <w:r>
        <w:rPr>
          <w:rFonts w:ascii="Arial" w:cs="Arial" w:eastAsia="Arial" w:hAnsi="Arial"/>
          <w:sz w:val="16"/>
          <w:szCs w:val="16"/>
          <w:color w:val="auto"/>
        </w:rPr>
        <w:t>In addition, the ARC assessed PwC’s independence based on review of PwC’s required communications and forthright, candid and prompt communications on related independence matters, when needed. Based on the results of its assessment, the ARC found PwC to be independent from the Company and its management and appointed PwC as its independent auditor for 2025.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Tenure</w:t>
      </w:r>
    </w:p>
    <w:p>
      <w:pPr>
        <w:spacing w:after="0" w:line="122" w:lineRule="exact"/>
        <w:rPr>
          <w:sz w:val="20"/>
          <w:szCs w:val="20"/>
          <w:color w:val="auto"/>
        </w:rPr>
      </w:pPr>
    </w:p>
    <w:p>
      <w:pPr>
        <w:ind w:right="660"/>
        <w:spacing w:after="0" w:line="304" w:lineRule="auto"/>
        <w:rPr>
          <w:sz w:val="20"/>
          <w:szCs w:val="20"/>
          <w:color w:val="auto"/>
        </w:rPr>
      </w:pPr>
      <w:r>
        <w:rPr>
          <w:rFonts w:ascii="Arial" w:cs="Arial" w:eastAsia="Arial" w:hAnsi="Arial"/>
          <w:sz w:val="16"/>
          <w:szCs w:val="16"/>
          <w:color w:val="auto"/>
        </w:rPr>
        <w:t>PwC has served as the Company’s independent auditor since 2000. In considering the tenure of PwC as our independent auditor, the ARC carefully considers the benefits of a long tenure in light of the robust controls in place to safeguard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23430" cy="2571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23430" cy="2571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6E06C1"/>
        </w:rPr>
        <w:t>Benefits of Tenure</w:t>
      </w:r>
    </w:p>
    <w:p>
      <w:pPr>
        <w:spacing w:after="0" w:line="297" w:lineRule="exact"/>
        <w:rPr>
          <w:sz w:val="20"/>
          <w:szCs w:val="20"/>
          <w:color w:val="auto"/>
        </w:rPr>
      </w:pPr>
    </w:p>
    <w:p>
      <w:pPr>
        <w:ind w:left="220" w:right="20" w:hanging="194"/>
        <w:spacing w:after="0" w:line="289" w:lineRule="auto"/>
        <w:tabs>
          <w:tab w:leader="none" w:pos="190" w:val="left"/>
        </w:tabs>
        <w:numPr>
          <w:ilvl w:val="0"/>
          <w:numId w:val="94"/>
        </w:numPr>
        <w:rPr>
          <w:rFonts w:ascii="Arial" w:cs="Arial" w:eastAsia="Arial" w:hAnsi="Arial"/>
          <w:sz w:val="16"/>
          <w:szCs w:val="16"/>
          <w:b w:val="1"/>
          <w:bCs w:val="1"/>
          <w:color w:val="170D67"/>
        </w:rPr>
      </w:pPr>
      <w:r>
        <w:rPr>
          <w:rFonts w:ascii="Arial" w:cs="Arial" w:eastAsia="Arial" w:hAnsi="Arial"/>
          <w:sz w:val="16"/>
          <w:szCs w:val="16"/>
          <w:b w:val="1"/>
          <w:bCs w:val="1"/>
          <w:color w:val="auto"/>
        </w:rPr>
        <w:t xml:space="preserve">Enhanced Audit Quality. </w:t>
      </w:r>
      <w:r>
        <w:rPr>
          <w:rFonts w:ascii="Arial" w:cs="Arial" w:eastAsia="Arial" w:hAnsi="Arial"/>
          <w:sz w:val="16"/>
          <w:szCs w:val="16"/>
          <w:color w:val="auto"/>
        </w:rPr>
        <w:t>PwC’s deep familiarity with the utilities industry</w:t>
      </w:r>
      <w:r>
        <w:rPr>
          <w:rFonts w:ascii="Arial" w:cs="Arial" w:eastAsia="Arial" w:hAnsi="Arial"/>
          <w:sz w:val="16"/>
          <w:szCs w:val="16"/>
          <w:b w:val="1"/>
          <w:bCs w:val="1"/>
          <w:color w:val="auto"/>
        </w:rPr>
        <w:t xml:space="preserve"> </w:t>
      </w:r>
      <w:r>
        <w:rPr>
          <w:rFonts w:ascii="Arial" w:cs="Arial" w:eastAsia="Arial" w:hAnsi="Arial"/>
          <w:sz w:val="16"/>
          <w:szCs w:val="16"/>
          <w:color w:val="auto"/>
        </w:rPr>
        <w:t>and Exelon’s businesses and operations, accounting policies and practices, and internal controls over financial reporting is valuable to the Company and its shareholders.</w:t>
      </w:r>
    </w:p>
    <w:p>
      <w:pPr>
        <w:spacing w:after="0" w:line="31" w:lineRule="exact"/>
        <w:rPr>
          <w:rFonts w:ascii="Arial" w:cs="Arial" w:eastAsia="Arial" w:hAnsi="Arial"/>
          <w:sz w:val="16"/>
          <w:szCs w:val="16"/>
          <w:b w:val="1"/>
          <w:bCs w:val="1"/>
          <w:color w:val="170D67"/>
        </w:rPr>
      </w:pPr>
    </w:p>
    <w:p>
      <w:pPr>
        <w:ind w:left="220" w:right="120" w:hanging="194"/>
        <w:spacing w:after="0" w:line="282" w:lineRule="auto"/>
        <w:tabs>
          <w:tab w:leader="none" w:pos="190" w:val="left"/>
        </w:tabs>
        <w:numPr>
          <w:ilvl w:val="0"/>
          <w:numId w:val="94"/>
        </w:numPr>
        <w:rPr>
          <w:rFonts w:ascii="Arial" w:cs="Arial" w:eastAsia="Arial" w:hAnsi="Arial"/>
          <w:sz w:val="16"/>
          <w:szCs w:val="16"/>
          <w:b w:val="1"/>
          <w:bCs w:val="1"/>
          <w:color w:val="170D67"/>
        </w:rPr>
      </w:pPr>
      <w:r>
        <w:rPr>
          <w:rFonts w:ascii="Arial" w:cs="Arial" w:eastAsia="Arial" w:hAnsi="Arial"/>
          <w:sz w:val="16"/>
          <w:szCs w:val="16"/>
          <w:b w:val="1"/>
          <w:bCs w:val="1"/>
          <w:color w:val="auto"/>
        </w:rPr>
        <w:t xml:space="preserve">Continuity Mitigates Disruption Risk. </w:t>
      </w:r>
      <w:r>
        <w:rPr>
          <w:rFonts w:ascii="Arial" w:cs="Arial" w:eastAsia="Arial" w:hAnsi="Arial"/>
          <w:sz w:val="16"/>
          <w:szCs w:val="16"/>
          <w:color w:val="auto"/>
        </w:rPr>
        <w:t>Onboarding a new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auditor would require extensive education and significant time and resources for the new auditor to obtain a comparable level of familiarity with our business and control framework. Such a disruption could potentially distract from management’s focus on other matters.</w:t>
      </w:r>
    </w:p>
    <w:p>
      <w:pPr>
        <w:spacing w:after="0" w:line="39" w:lineRule="exact"/>
        <w:rPr>
          <w:rFonts w:ascii="Arial" w:cs="Arial" w:eastAsia="Arial" w:hAnsi="Arial"/>
          <w:sz w:val="16"/>
          <w:szCs w:val="16"/>
          <w:b w:val="1"/>
          <w:bCs w:val="1"/>
          <w:color w:val="170D67"/>
        </w:rPr>
      </w:pPr>
    </w:p>
    <w:p>
      <w:pPr>
        <w:ind w:left="220" w:right="160" w:hanging="194"/>
        <w:spacing w:after="0" w:line="292" w:lineRule="auto"/>
        <w:tabs>
          <w:tab w:leader="none" w:pos="190" w:val="left"/>
        </w:tabs>
        <w:numPr>
          <w:ilvl w:val="0"/>
          <w:numId w:val="94"/>
        </w:numPr>
        <w:rPr>
          <w:rFonts w:ascii="Arial" w:cs="Arial" w:eastAsia="Arial" w:hAnsi="Arial"/>
          <w:sz w:val="16"/>
          <w:szCs w:val="16"/>
          <w:b w:val="1"/>
          <w:bCs w:val="1"/>
          <w:color w:val="170D67"/>
        </w:rPr>
      </w:pPr>
      <w:r>
        <w:rPr>
          <w:rFonts w:ascii="Arial" w:cs="Arial" w:eastAsia="Arial" w:hAnsi="Arial"/>
          <w:sz w:val="16"/>
          <w:szCs w:val="16"/>
          <w:b w:val="1"/>
          <w:bCs w:val="1"/>
          <w:color w:val="auto"/>
        </w:rPr>
        <w:t>Continuity of Non-Audit Work</w:t>
      </w:r>
      <w:r>
        <w:rPr>
          <w:rFonts w:ascii="Arial" w:cs="Arial" w:eastAsia="Arial" w:hAnsi="Arial"/>
          <w:sz w:val="16"/>
          <w:szCs w:val="16"/>
          <w:color w:val="auto"/>
        </w:rPr>
        <w:t>. A new independent auditor would also</w:t>
      </w:r>
      <w:r>
        <w:rPr>
          <w:rFonts w:ascii="Arial" w:cs="Arial" w:eastAsia="Arial" w:hAnsi="Arial"/>
          <w:sz w:val="16"/>
          <w:szCs w:val="16"/>
          <w:b w:val="1"/>
          <w:bCs w:val="1"/>
          <w:color w:val="auto"/>
        </w:rPr>
        <w:t xml:space="preserve"> </w:t>
      </w:r>
      <w:r>
        <w:rPr>
          <w:rFonts w:ascii="Arial" w:cs="Arial" w:eastAsia="Arial" w:hAnsi="Arial"/>
          <w:sz w:val="16"/>
          <w:szCs w:val="16"/>
          <w:color w:val="auto"/>
        </w:rPr>
        <w:t>disrupt non-audit workflows and could create conflicts related to consulting contracts on other matters.</w:t>
      </w:r>
    </w:p>
    <w:p>
      <w:pPr>
        <w:spacing w:after="0" w:line="30" w:lineRule="exact"/>
        <w:rPr>
          <w:rFonts w:ascii="Arial" w:cs="Arial" w:eastAsia="Arial" w:hAnsi="Arial"/>
          <w:sz w:val="16"/>
          <w:szCs w:val="16"/>
          <w:b w:val="1"/>
          <w:bCs w:val="1"/>
          <w:color w:val="170D67"/>
        </w:rPr>
      </w:pPr>
    </w:p>
    <w:p>
      <w:pPr>
        <w:ind w:left="220" w:hanging="194"/>
        <w:spacing w:after="0" w:line="289" w:lineRule="auto"/>
        <w:tabs>
          <w:tab w:leader="none" w:pos="190" w:val="left"/>
        </w:tabs>
        <w:numPr>
          <w:ilvl w:val="0"/>
          <w:numId w:val="94"/>
        </w:numPr>
        <w:rPr>
          <w:rFonts w:ascii="Arial" w:cs="Arial" w:eastAsia="Arial" w:hAnsi="Arial"/>
          <w:sz w:val="16"/>
          <w:szCs w:val="16"/>
          <w:b w:val="1"/>
          <w:bCs w:val="1"/>
          <w:color w:val="170D67"/>
        </w:rPr>
      </w:pPr>
      <w:r>
        <w:rPr>
          <w:rFonts w:ascii="Arial" w:cs="Arial" w:eastAsia="Arial" w:hAnsi="Arial"/>
          <w:sz w:val="16"/>
          <w:szCs w:val="16"/>
          <w:b w:val="1"/>
          <w:bCs w:val="1"/>
          <w:color w:val="auto"/>
        </w:rPr>
        <w:t xml:space="preserve">Efficient Audit Plans. </w:t>
      </w:r>
      <w:r>
        <w:rPr>
          <w:rFonts w:ascii="Arial" w:cs="Arial" w:eastAsia="Arial" w:hAnsi="Arial"/>
          <w:sz w:val="16"/>
          <w:szCs w:val="16"/>
          <w:color w:val="auto"/>
        </w:rPr>
        <w:t>PwC’s knowledge of Exelon’s business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control framework allows it to develop and implement efficient and innovative audit processes, enabling the provision of services for fees the ARC considers to be competitive.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Selection of Lead Engagement Partner</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6E06C1"/>
        </w:rPr>
        <w:t>Key Independence Controls</w:t>
      </w:r>
    </w:p>
    <w:p>
      <w:pPr>
        <w:spacing w:after="0" w:line="297" w:lineRule="exact"/>
        <w:rPr>
          <w:sz w:val="20"/>
          <w:szCs w:val="20"/>
          <w:color w:val="auto"/>
        </w:rPr>
      </w:pPr>
    </w:p>
    <w:p>
      <w:pPr>
        <w:ind w:left="200" w:right="100" w:hanging="191"/>
        <w:spacing w:after="0" w:line="289" w:lineRule="auto"/>
        <w:tabs>
          <w:tab w:leader="none" w:pos="170" w:val="left"/>
        </w:tabs>
        <w:numPr>
          <w:ilvl w:val="0"/>
          <w:numId w:val="95"/>
        </w:numPr>
        <w:rPr>
          <w:rFonts w:ascii="Arial" w:cs="Arial" w:eastAsia="Arial" w:hAnsi="Arial"/>
          <w:sz w:val="16"/>
          <w:szCs w:val="16"/>
          <w:b w:val="1"/>
          <w:bCs w:val="1"/>
          <w:color w:val="170D67"/>
        </w:rPr>
      </w:pPr>
      <w:r>
        <w:rPr>
          <w:rFonts w:ascii="Arial" w:cs="Arial" w:eastAsia="Arial" w:hAnsi="Arial"/>
          <w:sz w:val="16"/>
          <w:szCs w:val="16"/>
          <w:b w:val="1"/>
          <w:bCs w:val="1"/>
          <w:color w:val="auto"/>
        </w:rPr>
        <w:t xml:space="preserve">Committee Oversight. </w:t>
      </w:r>
      <w:r>
        <w:rPr>
          <w:rFonts w:ascii="Arial" w:cs="Arial" w:eastAsia="Arial" w:hAnsi="Arial"/>
          <w:sz w:val="16"/>
          <w:szCs w:val="16"/>
          <w:color w:val="auto"/>
        </w:rPr>
        <w:t>The ARC and its Chair hold regular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sessions with the independent auditor, during which the ARC discusses the scope of PwC’s audit, and any problems or difficulties encountered or observations made.</w:t>
      </w:r>
    </w:p>
    <w:p>
      <w:pPr>
        <w:spacing w:after="0" w:line="31" w:lineRule="exact"/>
        <w:rPr>
          <w:rFonts w:ascii="Arial" w:cs="Arial" w:eastAsia="Arial" w:hAnsi="Arial"/>
          <w:sz w:val="16"/>
          <w:szCs w:val="16"/>
          <w:b w:val="1"/>
          <w:bCs w:val="1"/>
          <w:color w:val="170D67"/>
        </w:rPr>
      </w:pPr>
    </w:p>
    <w:p>
      <w:pPr>
        <w:ind w:left="200" w:right="40" w:hanging="191"/>
        <w:spacing w:after="0" w:line="282" w:lineRule="auto"/>
        <w:tabs>
          <w:tab w:leader="none" w:pos="170" w:val="left"/>
        </w:tabs>
        <w:numPr>
          <w:ilvl w:val="0"/>
          <w:numId w:val="95"/>
        </w:numPr>
        <w:rPr>
          <w:rFonts w:ascii="Arial" w:cs="Arial" w:eastAsia="Arial" w:hAnsi="Arial"/>
          <w:sz w:val="16"/>
          <w:szCs w:val="16"/>
          <w:b w:val="1"/>
          <w:bCs w:val="1"/>
          <w:color w:val="170D67"/>
        </w:rPr>
      </w:pPr>
      <w:r>
        <w:rPr>
          <w:rFonts w:ascii="Arial" w:cs="Arial" w:eastAsia="Arial" w:hAnsi="Arial"/>
          <w:sz w:val="16"/>
          <w:szCs w:val="16"/>
          <w:b w:val="1"/>
          <w:bCs w:val="1"/>
          <w:color w:val="auto"/>
        </w:rPr>
        <w:t xml:space="preserve">Lead Partner Rotation. </w:t>
      </w:r>
      <w:r>
        <w:rPr>
          <w:rFonts w:ascii="Arial" w:cs="Arial" w:eastAsia="Arial" w:hAnsi="Arial"/>
          <w:sz w:val="16"/>
          <w:szCs w:val="16"/>
          <w:color w:val="auto"/>
        </w:rPr>
        <w:t>PwC’s institutional knowledge and experience is</w:t>
      </w:r>
      <w:r>
        <w:rPr>
          <w:rFonts w:ascii="Arial" w:cs="Arial" w:eastAsia="Arial" w:hAnsi="Arial"/>
          <w:sz w:val="16"/>
          <w:szCs w:val="16"/>
          <w:b w:val="1"/>
          <w:bCs w:val="1"/>
          <w:color w:val="auto"/>
        </w:rPr>
        <w:t xml:space="preserve"> </w:t>
      </w:r>
      <w:r>
        <w:rPr>
          <w:rFonts w:ascii="Arial" w:cs="Arial" w:eastAsia="Arial" w:hAnsi="Arial"/>
          <w:sz w:val="16"/>
          <w:szCs w:val="16"/>
          <w:color w:val="auto"/>
        </w:rPr>
        <w:t>balanced by the fresh perspective delivered by changes in the audit team resulting from mandatory lead engagement partner rotation and routine turnover within the team. The ARC is directly involved in the consideration and selection of its lead engagement partner.</w:t>
      </w:r>
    </w:p>
    <w:p>
      <w:pPr>
        <w:spacing w:after="0" w:line="39" w:lineRule="exact"/>
        <w:rPr>
          <w:rFonts w:ascii="Arial" w:cs="Arial" w:eastAsia="Arial" w:hAnsi="Arial"/>
          <w:sz w:val="16"/>
          <w:szCs w:val="16"/>
          <w:b w:val="1"/>
          <w:bCs w:val="1"/>
          <w:color w:val="170D67"/>
        </w:rPr>
      </w:pPr>
    </w:p>
    <w:p>
      <w:pPr>
        <w:ind w:left="200" w:right="220" w:hanging="191"/>
        <w:spacing w:after="0" w:line="292" w:lineRule="auto"/>
        <w:tabs>
          <w:tab w:leader="none" w:pos="170" w:val="left"/>
        </w:tabs>
        <w:numPr>
          <w:ilvl w:val="0"/>
          <w:numId w:val="95"/>
        </w:numPr>
        <w:rPr>
          <w:rFonts w:ascii="Arial" w:cs="Arial" w:eastAsia="Arial" w:hAnsi="Arial"/>
          <w:sz w:val="16"/>
          <w:szCs w:val="16"/>
          <w:b w:val="1"/>
          <w:bCs w:val="1"/>
          <w:color w:val="170D67"/>
        </w:rPr>
      </w:pPr>
      <w:r>
        <w:rPr>
          <w:rFonts w:ascii="Arial" w:cs="Arial" w:eastAsia="Arial" w:hAnsi="Arial"/>
          <w:sz w:val="16"/>
          <w:szCs w:val="16"/>
          <w:b w:val="1"/>
          <w:bCs w:val="1"/>
          <w:color w:val="auto"/>
        </w:rPr>
        <w:t xml:space="preserve">Limits on non-audit services. </w:t>
      </w:r>
      <w:r>
        <w:rPr>
          <w:rFonts w:ascii="Arial" w:cs="Arial" w:eastAsia="Arial" w:hAnsi="Arial"/>
          <w:sz w:val="16"/>
          <w:szCs w:val="16"/>
          <w:color w:val="auto"/>
        </w:rPr>
        <w:t>The ARC has exclusive authority to pre-approve non-audit services and determine whether such services are consistent with auditor independence.</w:t>
      </w:r>
    </w:p>
    <w:p>
      <w:pPr>
        <w:spacing w:after="0" w:line="30" w:lineRule="exact"/>
        <w:rPr>
          <w:rFonts w:ascii="Arial" w:cs="Arial" w:eastAsia="Arial" w:hAnsi="Arial"/>
          <w:sz w:val="16"/>
          <w:szCs w:val="16"/>
          <w:b w:val="1"/>
          <w:bCs w:val="1"/>
          <w:color w:val="170D67"/>
        </w:rPr>
      </w:pPr>
    </w:p>
    <w:p>
      <w:pPr>
        <w:ind w:left="200" w:right="160" w:hanging="191"/>
        <w:spacing w:after="0" w:line="287" w:lineRule="auto"/>
        <w:tabs>
          <w:tab w:leader="none" w:pos="170" w:val="left"/>
        </w:tabs>
        <w:numPr>
          <w:ilvl w:val="0"/>
          <w:numId w:val="95"/>
        </w:numPr>
        <w:rPr>
          <w:rFonts w:ascii="Arial" w:cs="Arial" w:eastAsia="Arial" w:hAnsi="Arial"/>
          <w:sz w:val="16"/>
          <w:szCs w:val="16"/>
          <w:b w:val="1"/>
          <w:bCs w:val="1"/>
          <w:color w:val="170D67"/>
        </w:rPr>
      </w:pPr>
      <w:r>
        <w:rPr>
          <w:rFonts w:ascii="Arial" w:cs="Arial" w:eastAsia="Arial" w:hAnsi="Arial"/>
          <w:sz w:val="16"/>
          <w:szCs w:val="16"/>
          <w:b w:val="1"/>
          <w:bCs w:val="1"/>
          <w:color w:val="auto"/>
        </w:rPr>
        <w:t xml:space="preserve">Independence assessment. </w:t>
      </w:r>
      <w:r>
        <w:rPr>
          <w:rFonts w:ascii="Arial" w:cs="Arial" w:eastAsia="Arial" w:hAnsi="Arial"/>
          <w:sz w:val="16"/>
          <w:szCs w:val="16"/>
          <w:color w:val="auto"/>
        </w:rPr>
        <w:t>On at least an annual basis, PwC provides</w:t>
      </w:r>
      <w:r>
        <w:rPr>
          <w:rFonts w:ascii="Arial" w:cs="Arial" w:eastAsia="Arial" w:hAnsi="Arial"/>
          <w:sz w:val="16"/>
          <w:szCs w:val="16"/>
          <w:b w:val="1"/>
          <w:bCs w:val="1"/>
          <w:color w:val="auto"/>
        </w:rPr>
        <w:t xml:space="preserve"> </w:t>
      </w:r>
      <w:r>
        <w:rPr>
          <w:rFonts w:ascii="Arial" w:cs="Arial" w:eastAsia="Arial" w:hAnsi="Arial"/>
          <w:sz w:val="16"/>
          <w:szCs w:val="16"/>
          <w:color w:val="auto"/>
        </w:rPr>
        <w:t>the ARC reports regarding independence; conducts periodic internal reviews of its audit and other work; and assesses the adequacy of partners and other staff serving the Company’s account consistent with independence requirements.</w:t>
      </w:r>
    </w:p>
    <w:p>
      <w:pPr>
        <w:spacing w:after="0" w:line="33" w:lineRule="exact"/>
        <w:rPr>
          <w:rFonts w:ascii="Arial" w:cs="Arial" w:eastAsia="Arial" w:hAnsi="Arial"/>
          <w:sz w:val="16"/>
          <w:szCs w:val="16"/>
          <w:b w:val="1"/>
          <w:bCs w:val="1"/>
          <w:color w:val="170D67"/>
        </w:rPr>
      </w:pPr>
    </w:p>
    <w:p>
      <w:pPr>
        <w:ind w:left="200" w:right="620" w:hanging="191"/>
        <w:spacing w:after="0" w:line="292" w:lineRule="auto"/>
        <w:tabs>
          <w:tab w:leader="none" w:pos="170" w:val="left"/>
        </w:tabs>
        <w:numPr>
          <w:ilvl w:val="0"/>
          <w:numId w:val="95"/>
        </w:numPr>
        <w:rPr>
          <w:rFonts w:ascii="Arial" w:cs="Arial" w:eastAsia="Arial" w:hAnsi="Arial"/>
          <w:sz w:val="16"/>
          <w:szCs w:val="16"/>
          <w:b w:val="1"/>
          <w:bCs w:val="1"/>
          <w:color w:val="170D67"/>
        </w:rPr>
      </w:pPr>
      <w:r>
        <w:rPr>
          <w:rFonts w:ascii="Arial" w:cs="Arial" w:eastAsia="Arial" w:hAnsi="Arial"/>
          <w:sz w:val="16"/>
          <w:szCs w:val="16"/>
          <w:b w:val="1"/>
          <w:bCs w:val="1"/>
          <w:color w:val="auto"/>
        </w:rPr>
        <w:t xml:space="preserve">Regulatory Controls. </w:t>
      </w:r>
      <w:r>
        <w:rPr>
          <w:rFonts w:ascii="Arial" w:cs="Arial" w:eastAsia="Arial" w:hAnsi="Arial"/>
          <w:sz w:val="16"/>
          <w:szCs w:val="16"/>
          <w:color w:val="auto"/>
        </w:rPr>
        <w:t>PwC is an independent registered public</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firm and is subject to PCAOB inspections, “Big 4” peer reviews and PCAOB and SEC oversight.</w:t>
      </w:r>
    </w:p>
    <w:p>
      <w:pPr>
        <w:spacing w:after="0" w:line="692" w:lineRule="exact"/>
        <w:rPr>
          <w:sz w:val="20"/>
          <w:szCs w:val="20"/>
          <w:color w:val="auto"/>
        </w:rPr>
      </w:pPr>
    </w:p>
    <w:p>
      <w:pPr>
        <w:sectPr>
          <w:pgSz w:w="11900" w:h="16838" w:orient="portrait"/>
          <w:cols w:equalWidth="0" w:num="2">
            <w:col w:w="5460" w:space="240"/>
            <w:col w:w="5540"/>
          </w:cols>
          <w:pgMar w:left="320" w:top="122" w:right="339" w:bottom="1440" w:gutter="0" w:footer="0" w:header="0"/>
          <w:type w:val="continuous"/>
        </w:sectPr>
      </w:pPr>
    </w:p>
    <w:p>
      <w:pPr>
        <w:ind w:right="160"/>
        <w:spacing w:after="0" w:line="279" w:lineRule="auto"/>
        <w:rPr>
          <w:sz w:val="20"/>
          <w:szCs w:val="20"/>
          <w:color w:val="auto"/>
        </w:rPr>
      </w:pPr>
      <w:r>
        <w:rPr>
          <w:rFonts w:ascii="Arial" w:cs="Arial" w:eastAsia="Arial" w:hAnsi="Arial"/>
          <w:sz w:val="16"/>
          <w:szCs w:val="16"/>
          <w:color w:val="auto"/>
        </w:rPr>
        <w:t>The ARC oversees the process for, and ultimately approves, the appointment of our independent auditor’s lead engagement partner. In evaluating and selecting a lead engagement partner, the ARC provides selection criteria to which PwC responds with a roster of qualified candidates, who will then be interviewed by members of the ARC and senior management including the Chief Financial Officer and Chief Accounting Officer. The ARC will then discuss the candidates with the current lead engagement partner and ultimately approve the selection of the new lead engagement partner. In 2023, the ARC approved a new lead engagement partner who shadowed the current lead engagement partner during 2024 and will commence service on the Company’s audit in 2025. The process for selecting a new lead engagement partner was fulsome and allowed for thoughtful consideration of multiple candidates, each of whom met a list of specified industry and personal criteria, including diversity of thought and background and experience with complex global clients.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780"/>
              <w:spacing w:after="0"/>
              <w:rPr>
                <w:sz w:val="20"/>
                <w:szCs w:val="20"/>
                <w:color w:val="auto"/>
              </w:rPr>
            </w:pPr>
            <w:r>
              <w:rPr>
                <w:rFonts w:ascii="Arial" w:cs="Arial" w:eastAsia="Arial" w:hAnsi="Arial"/>
                <w:sz w:val="14"/>
                <w:szCs w:val="14"/>
                <w:color w:val="auto"/>
              </w:rPr>
              <w:t>2025 ׀ Exelon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39</w:t>
            </w:r>
          </w:p>
        </w:tc>
      </w:tr>
      <w:tr>
        <w:trPr>
          <w:trHeight w:val="211"/>
        </w:trPr>
        <w:tc>
          <w:tcPr>
            <w:tcW w:w="109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3"/>
          <w:szCs w:val="13"/>
          <w:b w:val="1"/>
          <w:bCs w:val="1"/>
          <w:color w:val="auto"/>
        </w:rPr>
        <w:t>Audit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Request for Shareholder Ratification</w:t>
      </w:r>
    </w:p>
    <w:p>
      <w:pPr>
        <w:spacing w:after="0" w:line="12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As a matter of good corporate governance, the Board submits the selection of its independent audit firm to shareholders for ratification each year. If the selection of PwC is not ratified by shareholders, the ARC will reconsider its selection, but no assurance can be given that the Committee will change the appointment. Even if the selection of PwC is ratified, the ARC may appoint a different independent audit firm at any time if it determined that such a change would be appropriate.</w:t>
      </w:r>
    </w:p>
    <w:p>
      <w:pPr>
        <w:spacing w:after="0" w:line="59"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Representatives of PwC will participate in the annual meeting of shareholders to answer questions and will have the opportunity to make a statement if they desire to do so.</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Critical Audit Matters</w:t>
      </w:r>
    </w:p>
    <w:p>
      <w:pPr>
        <w:spacing w:after="0" w:line="122"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In conformance with PCAOB rules, the ARC reviewed and discussed with PwC one critical audit matter (CAM) arising from the current period audit of Exelon’s financial statements. CAMs are defined to be any matter arising from the audit of the financial statements that was communicated or required to be communicated to the ARC and that (1) relate to accounts or disclosures that are material to the financial statements and (2) involve especially challenging, subjective, or complex audit judgment. The ARC concurred with PwC’s assessment and identification of the CAM contained in its Audit Report included within Exelon’s 2024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Pre-Approval of Audit and Non-Audit Services</w:t>
      </w:r>
    </w:p>
    <w:p>
      <w:pPr>
        <w:spacing w:after="0" w:line="122"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The ARC has adopted a Policy for Pre-Approval of Audit and Non-Audit Services Provided by the Independent Auditors (Policy) that includes pre-approval requirements for the audit and non-audit services provided by PwC. All audit and non-audit services provided by PwC in fiscal years 2024 and 2023 and related fees were approved in advance by the ARC. The Committee considered the nature, scope, and projected fees of each service as well as any potential implications for auditor independence.</w:t>
      </w:r>
    </w:p>
    <w:p>
      <w:pPr>
        <w:spacing w:after="0" w:line="77"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The Policy specifically sets forth services that the independent auditor is prohibited from performing by applicable law or regulation. Further, the ARC may prohibit other services that in its view may compromise, or appear to compromise, the independence and objectivity of the independent auditor. Predictable and recurring audit and permitted non-audit services are considered for pre-approval by the ARC on an annual basis. Further, the ARC has delegated pre-approval authority to the ARC Chair with respect to any audit or permitted non-audit services up to a limit of $500,000 per engagement. Services with fees exceeding $500,000 require full Committee pre-approval. The ARC receives quarterly reports on the actual services provided by the independent auditor with related fees. No services were provided pursuant to the de minimis exception to the pre-approval requirements contained in the SEC’s rules.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80" w:hanging="454"/>
        <w:spacing w:after="0"/>
        <w:tabs>
          <w:tab w:leader="none" w:pos="480" w:val="left"/>
        </w:tabs>
        <w:numPr>
          <w:ilvl w:val="0"/>
          <w:numId w:val="9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44" w:name="page45"/>
    <w:bookmarkEnd w:id="44"/>
    <w:p>
      <w:pPr>
        <w:jc w:val="right"/>
        <w:spacing w:after="0"/>
        <w:rPr>
          <w:sz w:val="20"/>
          <w:szCs w:val="20"/>
          <w:color w:val="auto"/>
        </w:rPr>
      </w:pPr>
      <w:r>
        <w:rPr>
          <w:rFonts w:ascii="Arial" w:cs="Arial" w:eastAsia="Arial" w:hAnsi="Arial"/>
          <w:sz w:val="13"/>
          <w:szCs w:val="13"/>
          <w:b w:val="1"/>
          <w:bCs w:val="1"/>
          <w:color w:val="auto"/>
        </w:rPr>
        <w:t>Audit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Independent Auditor Fees</w:t>
      </w:r>
    </w:p>
    <w:p>
      <w:pPr>
        <w:spacing w:after="0" w:line="274"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The ARC is responsible for the audit fee negotiations associated with the Company’s retention of PwC. The below table presents aggregate fees billed for audit and other services rendered by PwC for the two most recent fiscal years.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00" w:type="dxa"/>
            <w:vAlign w:val="bottom"/>
          </w:tcPr>
          <w:p>
            <w:pPr>
              <w:spacing w:after="0"/>
              <w:rPr>
                <w:sz w:val="17"/>
                <w:szCs w:val="17"/>
                <w:color w:val="auto"/>
              </w:rPr>
            </w:pPr>
          </w:p>
        </w:tc>
        <w:tc>
          <w:tcPr>
            <w:tcW w:w="680" w:type="dxa"/>
            <w:vAlign w:val="bottom"/>
            <w:tcBorders>
              <w:bottom w:val="single" w:sz="8" w:color="170D67"/>
            </w:tcBorders>
          </w:tcPr>
          <w:p>
            <w:pPr>
              <w:spacing w:after="0"/>
              <w:rPr>
                <w:sz w:val="17"/>
                <w:szCs w:val="17"/>
                <w:color w:val="auto"/>
              </w:rPr>
            </w:pPr>
          </w:p>
        </w:tc>
        <w:tc>
          <w:tcPr>
            <w:tcW w:w="1000" w:type="dxa"/>
            <w:vAlign w:val="bottom"/>
            <w:tcBorders>
              <w:bottom w:val="single" w:sz="8" w:color="170D67"/>
            </w:tcBorders>
          </w:tcPr>
          <w:p>
            <w:pPr>
              <w:jc w:val="right"/>
              <w:spacing w:after="0"/>
              <w:rPr>
                <w:sz w:val="20"/>
                <w:szCs w:val="20"/>
                <w:color w:val="auto"/>
              </w:rPr>
            </w:pPr>
            <w:r>
              <w:rPr>
                <w:rFonts w:ascii="Arial" w:cs="Arial" w:eastAsia="Arial" w:hAnsi="Arial"/>
                <w:sz w:val="14"/>
                <w:szCs w:val="14"/>
                <w:b w:val="1"/>
                <w:bCs w:val="1"/>
                <w:color w:val="170D67"/>
              </w:rPr>
              <w:t>Fiscal Year</w:t>
            </w:r>
          </w:p>
        </w:tc>
        <w:tc>
          <w:tcPr>
            <w:tcW w:w="220" w:type="dxa"/>
            <w:vAlign w:val="bottom"/>
            <w:tcBorders>
              <w:bottom w:val="single" w:sz="8" w:color="170D67"/>
            </w:tcBorders>
          </w:tcPr>
          <w:p>
            <w:pPr>
              <w:spacing w:after="0"/>
              <w:rPr>
                <w:sz w:val="17"/>
                <w:szCs w:val="17"/>
                <w:color w:val="auto"/>
              </w:rPr>
            </w:pPr>
          </w:p>
        </w:tc>
        <w:tc>
          <w:tcPr>
            <w:tcW w:w="620" w:type="dxa"/>
            <w:vAlign w:val="bottom"/>
            <w:tcBorders>
              <w:bottom w:val="single" w:sz="8" w:color="170D67"/>
            </w:tcBorders>
          </w:tcPr>
          <w:p>
            <w:pPr>
              <w:spacing w:after="0"/>
              <w:rPr>
                <w:sz w:val="17"/>
                <w:szCs w:val="17"/>
                <w:color w:val="auto"/>
              </w:rPr>
            </w:pPr>
          </w:p>
        </w:tc>
      </w:tr>
      <w:tr>
        <w:trPr>
          <w:trHeight w:val="223"/>
        </w:trPr>
        <w:tc>
          <w:tcPr>
            <w:tcW w:w="8700" w:type="dxa"/>
            <w:vAlign w:val="bottom"/>
            <w:tcBorders>
              <w:bottom w:val="single" w:sz="8" w:color="170D67"/>
            </w:tcBorders>
          </w:tcPr>
          <w:p>
            <w:pPr>
              <w:ind w:left="20"/>
              <w:spacing w:after="0"/>
              <w:rPr>
                <w:sz w:val="20"/>
                <w:szCs w:val="20"/>
                <w:color w:val="auto"/>
              </w:rPr>
            </w:pPr>
            <w:r>
              <w:rPr>
                <w:rFonts w:ascii="Arial" w:cs="Arial" w:eastAsia="Arial" w:hAnsi="Arial"/>
                <w:sz w:val="14"/>
                <w:szCs w:val="14"/>
                <w:b w:val="1"/>
                <w:bCs w:val="1"/>
                <w:color w:val="170D67"/>
              </w:rPr>
              <w:t>($ in thousands)</w:t>
            </w:r>
          </w:p>
        </w:tc>
        <w:tc>
          <w:tcPr>
            <w:tcW w:w="680" w:type="dxa"/>
            <w:vAlign w:val="bottom"/>
            <w:tcBorders>
              <w:bottom w:val="single" w:sz="8" w:color="170D67"/>
            </w:tcBorders>
          </w:tcPr>
          <w:p>
            <w:pPr>
              <w:spacing w:after="0"/>
              <w:rPr>
                <w:sz w:val="19"/>
                <w:szCs w:val="19"/>
                <w:color w:val="auto"/>
              </w:rPr>
            </w:pPr>
          </w:p>
        </w:tc>
        <w:tc>
          <w:tcPr>
            <w:tcW w:w="1000" w:type="dxa"/>
            <w:vAlign w:val="bottom"/>
            <w:tcBorders>
              <w:bottom w:val="single" w:sz="8" w:color="170D67"/>
            </w:tcBorders>
          </w:tcPr>
          <w:p>
            <w:pPr>
              <w:jc w:val="right"/>
              <w:ind w:right="185"/>
              <w:spacing w:after="0"/>
              <w:rPr>
                <w:sz w:val="20"/>
                <w:szCs w:val="20"/>
                <w:color w:val="auto"/>
              </w:rPr>
            </w:pPr>
            <w:r>
              <w:rPr>
                <w:rFonts w:ascii="Arial" w:cs="Arial" w:eastAsia="Arial" w:hAnsi="Arial"/>
                <w:sz w:val="14"/>
                <w:szCs w:val="14"/>
                <w:b w:val="1"/>
                <w:bCs w:val="1"/>
                <w:color w:val="170D67"/>
              </w:rPr>
              <w:t>2024</w:t>
            </w:r>
          </w:p>
        </w:tc>
        <w:tc>
          <w:tcPr>
            <w:tcW w:w="220" w:type="dxa"/>
            <w:vAlign w:val="bottom"/>
            <w:tcBorders>
              <w:bottom w:val="single" w:sz="8" w:color="170D67"/>
            </w:tcBorders>
          </w:tcPr>
          <w:p>
            <w:pPr>
              <w:spacing w:after="0"/>
              <w:rPr>
                <w:sz w:val="19"/>
                <w:szCs w:val="19"/>
                <w:color w:val="auto"/>
              </w:rPr>
            </w:pPr>
          </w:p>
        </w:tc>
        <w:tc>
          <w:tcPr>
            <w:tcW w:w="620" w:type="dxa"/>
            <w:vAlign w:val="bottom"/>
            <w:tcBorders>
              <w:bottom w:val="single" w:sz="8" w:color="170D67"/>
            </w:tcBorders>
          </w:tcPr>
          <w:p>
            <w:pPr>
              <w:jc w:val="right"/>
              <w:spacing w:after="0"/>
              <w:rPr>
                <w:sz w:val="20"/>
                <w:szCs w:val="20"/>
                <w:color w:val="auto"/>
              </w:rPr>
            </w:pPr>
            <w:r>
              <w:rPr>
                <w:rFonts w:ascii="Arial" w:cs="Arial" w:eastAsia="Arial" w:hAnsi="Arial"/>
                <w:sz w:val="14"/>
                <w:szCs w:val="14"/>
                <w:b w:val="1"/>
                <w:bCs w:val="1"/>
                <w:color w:val="170D67"/>
              </w:rPr>
              <w:t>2023</w:t>
            </w:r>
          </w:p>
        </w:tc>
      </w:tr>
      <w:tr>
        <w:trPr>
          <w:trHeight w:val="243"/>
        </w:trPr>
        <w:tc>
          <w:tcPr>
            <w:tcW w:w="8700" w:type="dxa"/>
            <w:vAlign w:val="bottom"/>
            <w:tcBorders>
              <w:bottom w:val="single" w:sz="8" w:color="808080"/>
            </w:tcBorders>
          </w:tcPr>
          <w:p>
            <w:pPr>
              <w:ind w:left="20"/>
              <w:spacing w:after="0"/>
              <w:rPr>
                <w:sz w:val="20"/>
                <w:szCs w:val="20"/>
                <w:color w:val="auto"/>
              </w:rPr>
            </w:pPr>
            <w:r>
              <w:rPr>
                <w:rFonts w:ascii="Arial" w:cs="Arial" w:eastAsia="Arial" w:hAnsi="Arial"/>
                <w:sz w:val="15"/>
                <w:szCs w:val="15"/>
                <w:color w:val="auto"/>
              </w:rPr>
              <w:t>Audit Fees</w:t>
            </w:r>
            <w:r>
              <w:rPr>
                <w:rFonts w:ascii="Arial" w:cs="Arial" w:eastAsia="Arial" w:hAnsi="Arial"/>
                <w:sz w:val="19"/>
                <w:szCs w:val="19"/>
                <w:color w:val="auto"/>
                <w:vertAlign w:val="superscript"/>
              </w:rPr>
              <w:t>1</w:t>
            </w:r>
          </w:p>
        </w:tc>
        <w:tc>
          <w:tcPr>
            <w:tcW w:w="680" w:type="dxa"/>
            <w:vAlign w:val="bottom"/>
            <w:tcBorders>
              <w:bottom w:val="single" w:sz="8" w:color="808080"/>
            </w:tcBorders>
          </w:tcPr>
          <w:p>
            <w:pPr>
              <w:jc w:val="right"/>
              <w:ind w:right="144"/>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808080"/>
            </w:tcBorders>
          </w:tcPr>
          <w:p>
            <w:pPr>
              <w:jc w:val="right"/>
              <w:ind w:right="225"/>
              <w:spacing w:after="0"/>
              <w:rPr>
                <w:sz w:val="20"/>
                <w:szCs w:val="20"/>
                <w:color w:val="auto"/>
              </w:rPr>
            </w:pPr>
            <w:r>
              <w:rPr>
                <w:rFonts w:ascii="Arial" w:cs="Arial" w:eastAsia="Arial" w:hAnsi="Arial"/>
                <w:sz w:val="15"/>
                <w:szCs w:val="15"/>
                <w:color w:val="auto"/>
              </w:rPr>
              <w:t>16,225</w:t>
            </w:r>
          </w:p>
        </w:tc>
        <w:tc>
          <w:tcPr>
            <w:tcW w:w="220" w:type="dxa"/>
            <w:vAlign w:val="bottom"/>
            <w:tcBorders>
              <w:bottom w:val="single" w:sz="8" w:color="808080"/>
            </w:tcBorders>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14,220</w:t>
            </w:r>
          </w:p>
        </w:tc>
      </w:tr>
      <w:tr>
        <w:trPr>
          <w:trHeight w:val="237"/>
        </w:trPr>
        <w:tc>
          <w:tcPr>
            <w:tcW w:w="8700" w:type="dxa"/>
            <w:vAlign w:val="bottom"/>
            <w:tcBorders>
              <w:bottom w:val="single" w:sz="8" w:color="808080"/>
            </w:tcBorders>
          </w:tcPr>
          <w:p>
            <w:pPr>
              <w:ind w:left="20"/>
              <w:spacing w:after="0"/>
              <w:rPr>
                <w:sz w:val="20"/>
                <w:szCs w:val="20"/>
                <w:color w:val="auto"/>
              </w:rPr>
            </w:pPr>
            <w:r>
              <w:rPr>
                <w:rFonts w:ascii="Arial" w:cs="Arial" w:eastAsia="Arial" w:hAnsi="Arial"/>
                <w:sz w:val="15"/>
                <w:szCs w:val="15"/>
                <w:color w:val="auto"/>
              </w:rPr>
              <w:t>Audit Related Fees</w:t>
            </w:r>
            <w:r>
              <w:rPr>
                <w:rFonts w:ascii="Arial" w:cs="Arial" w:eastAsia="Arial" w:hAnsi="Arial"/>
                <w:sz w:val="19"/>
                <w:szCs w:val="19"/>
                <w:color w:val="auto"/>
                <w:vertAlign w:val="superscript"/>
              </w:rPr>
              <w:t>2</w:t>
            </w:r>
          </w:p>
        </w:tc>
        <w:tc>
          <w:tcPr>
            <w:tcW w:w="680" w:type="dxa"/>
            <w:vAlign w:val="bottom"/>
            <w:tcBorders>
              <w:bottom w:val="single" w:sz="8" w:color="808080"/>
            </w:tcBorders>
          </w:tcPr>
          <w:p>
            <w:pPr>
              <w:spacing w:after="0"/>
              <w:rPr>
                <w:sz w:val="20"/>
                <w:szCs w:val="20"/>
                <w:color w:val="auto"/>
              </w:rPr>
            </w:pPr>
          </w:p>
        </w:tc>
        <w:tc>
          <w:tcPr>
            <w:tcW w:w="1000" w:type="dxa"/>
            <w:vAlign w:val="bottom"/>
            <w:tcBorders>
              <w:bottom w:val="single" w:sz="8" w:color="808080"/>
            </w:tcBorders>
          </w:tcPr>
          <w:p>
            <w:pPr>
              <w:jc w:val="right"/>
              <w:ind w:right="225"/>
              <w:spacing w:after="0"/>
              <w:rPr>
                <w:sz w:val="20"/>
                <w:szCs w:val="20"/>
                <w:color w:val="auto"/>
              </w:rPr>
            </w:pPr>
            <w:r>
              <w:rPr>
                <w:rFonts w:ascii="Arial" w:cs="Arial" w:eastAsia="Arial" w:hAnsi="Arial"/>
                <w:sz w:val="15"/>
                <w:szCs w:val="15"/>
                <w:color w:val="auto"/>
              </w:rPr>
              <w:t>50</w:t>
            </w:r>
          </w:p>
        </w:tc>
        <w:tc>
          <w:tcPr>
            <w:tcW w:w="22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r>
      <w:tr>
        <w:trPr>
          <w:trHeight w:val="236"/>
        </w:trPr>
        <w:tc>
          <w:tcPr>
            <w:tcW w:w="8700" w:type="dxa"/>
            <w:vAlign w:val="bottom"/>
            <w:tcBorders>
              <w:bottom w:val="single" w:sz="8" w:color="808080"/>
            </w:tcBorders>
          </w:tcPr>
          <w:p>
            <w:pPr>
              <w:ind w:left="20"/>
              <w:spacing w:after="0"/>
              <w:rPr>
                <w:sz w:val="20"/>
                <w:szCs w:val="20"/>
                <w:color w:val="auto"/>
              </w:rPr>
            </w:pPr>
            <w:r>
              <w:rPr>
                <w:rFonts w:ascii="Arial" w:cs="Arial" w:eastAsia="Arial" w:hAnsi="Arial"/>
                <w:sz w:val="15"/>
                <w:szCs w:val="15"/>
                <w:color w:val="auto"/>
              </w:rPr>
              <w:t>Tax Fees</w:t>
            </w:r>
            <w:r>
              <w:rPr>
                <w:rFonts w:ascii="Arial" w:cs="Arial" w:eastAsia="Arial" w:hAnsi="Arial"/>
                <w:sz w:val="19"/>
                <w:szCs w:val="19"/>
                <w:color w:val="auto"/>
                <w:vertAlign w:val="superscript"/>
              </w:rPr>
              <w:t>3</w:t>
            </w:r>
          </w:p>
        </w:tc>
        <w:tc>
          <w:tcPr>
            <w:tcW w:w="680" w:type="dxa"/>
            <w:vAlign w:val="bottom"/>
            <w:tcBorders>
              <w:bottom w:val="single" w:sz="8" w:color="808080"/>
            </w:tcBorders>
          </w:tcPr>
          <w:p>
            <w:pPr>
              <w:spacing w:after="0"/>
              <w:rPr>
                <w:sz w:val="20"/>
                <w:szCs w:val="20"/>
                <w:color w:val="auto"/>
              </w:rPr>
            </w:pPr>
          </w:p>
        </w:tc>
        <w:tc>
          <w:tcPr>
            <w:tcW w:w="1000" w:type="dxa"/>
            <w:vAlign w:val="bottom"/>
            <w:tcBorders>
              <w:bottom w:val="single" w:sz="8" w:color="808080"/>
            </w:tcBorders>
          </w:tcPr>
          <w:p>
            <w:pPr>
              <w:jc w:val="right"/>
              <w:ind w:right="225"/>
              <w:spacing w:after="0"/>
              <w:rPr>
                <w:sz w:val="20"/>
                <w:szCs w:val="20"/>
                <w:color w:val="auto"/>
              </w:rPr>
            </w:pPr>
            <w:r>
              <w:rPr>
                <w:rFonts w:ascii="Arial" w:cs="Arial" w:eastAsia="Arial" w:hAnsi="Arial"/>
                <w:sz w:val="15"/>
                <w:szCs w:val="15"/>
                <w:color w:val="auto"/>
              </w:rPr>
              <w:t>1,115</w:t>
            </w:r>
          </w:p>
        </w:tc>
        <w:tc>
          <w:tcPr>
            <w:tcW w:w="22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590</w:t>
            </w:r>
          </w:p>
        </w:tc>
      </w:tr>
      <w:tr>
        <w:trPr>
          <w:trHeight w:val="237"/>
        </w:trPr>
        <w:tc>
          <w:tcPr>
            <w:tcW w:w="8700" w:type="dxa"/>
            <w:vAlign w:val="bottom"/>
            <w:tcBorders>
              <w:bottom w:val="single" w:sz="8" w:color="808080"/>
            </w:tcBorders>
          </w:tcPr>
          <w:p>
            <w:pPr>
              <w:ind w:left="20"/>
              <w:spacing w:after="0"/>
              <w:rPr>
                <w:sz w:val="20"/>
                <w:szCs w:val="20"/>
                <w:color w:val="auto"/>
              </w:rPr>
            </w:pPr>
            <w:r>
              <w:rPr>
                <w:rFonts w:ascii="Arial" w:cs="Arial" w:eastAsia="Arial" w:hAnsi="Arial"/>
                <w:sz w:val="15"/>
                <w:szCs w:val="15"/>
                <w:color w:val="auto"/>
              </w:rPr>
              <w:t>All Other Fees</w:t>
            </w:r>
            <w:r>
              <w:rPr>
                <w:rFonts w:ascii="Arial" w:cs="Arial" w:eastAsia="Arial" w:hAnsi="Arial"/>
                <w:sz w:val="19"/>
                <w:szCs w:val="19"/>
                <w:color w:val="auto"/>
                <w:vertAlign w:val="superscript"/>
              </w:rPr>
              <w:t>4</w:t>
            </w:r>
          </w:p>
        </w:tc>
        <w:tc>
          <w:tcPr>
            <w:tcW w:w="680" w:type="dxa"/>
            <w:vAlign w:val="bottom"/>
            <w:tcBorders>
              <w:bottom w:val="single" w:sz="8" w:color="808080"/>
            </w:tcBorders>
          </w:tcPr>
          <w:p>
            <w:pPr>
              <w:spacing w:after="0"/>
              <w:rPr>
                <w:sz w:val="20"/>
                <w:szCs w:val="20"/>
                <w:color w:val="auto"/>
              </w:rPr>
            </w:pPr>
          </w:p>
        </w:tc>
        <w:tc>
          <w:tcPr>
            <w:tcW w:w="1000" w:type="dxa"/>
            <w:vAlign w:val="bottom"/>
            <w:tcBorders>
              <w:bottom w:val="single" w:sz="8" w:color="808080"/>
            </w:tcBorders>
          </w:tcPr>
          <w:p>
            <w:pPr>
              <w:jc w:val="right"/>
              <w:ind w:right="225"/>
              <w:spacing w:after="0"/>
              <w:rPr>
                <w:sz w:val="20"/>
                <w:szCs w:val="20"/>
                <w:color w:val="auto"/>
              </w:rPr>
            </w:pPr>
            <w:r>
              <w:rPr>
                <w:rFonts w:ascii="Arial" w:cs="Arial" w:eastAsia="Arial" w:hAnsi="Arial"/>
                <w:sz w:val="15"/>
                <w:szCs w:val="15"/>
                <w:color w:val="auto"/>
              </w:rPr>
              <w:t>936</w:t>
            </w:r>
          </w:p>
        </w:tc>
        <w:tc>
          <w:tcPr>
            <w:tcW w:w="22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2,128</w:t>
            </w:r>
          </w:p>
        </w:tc>
      </w:tr>
      <w:tr>
        <w:trPr>
          <w:trHeight w:val="212"/>
        </w:trPr>
        <w:tc>
          <w:tcPr>
            <w:tcW w:w="8700" w:type="dxa"/>
            <w:vAlign w:val="bottom"/>
          </w:tcPr>
          <w:p>
            <w:pPr>
              <w:ind w:left="20"/>
              <w:spacing w:after="0"/>
              <w:rPr>
                <w:sz w:val="20"/>
                <w:szCs w:val="20"/>
                <w:color w:val="auto"/>
              </w:rPr>
            </w:pPr>
            <w:r>
              <w:rPr>
                <w:rFonts w:ascii="Arial" w:cs="Arial" w:eastAsia="Arial" w:hAnsi="Arial"/>
                <w:sz w:val="15"/>
                <w:szCs w:val="15"/>
                <w:b w:val="1"/>
                <w:bCs w:val="1"/>
                <w:color w:val="auto"/>
              </w:rPr>
              <w:t>Total:</w:t>
            </w:r>
          </w:p>
        </w:tc>
        <w:tc>
          <w:tcPr>
            <w:tcW w:w="680" w:type="dxa"/>
            <w:vAlign w:val="bottom"/>
          </w:tcPr>
          <w:p>
            <w:pPr>
              <w:jc w:val="right"/>
              <w:ind w:right="144"/>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225"/>
              <w:spacing w:after="0"/>
              <w:rPr>
                <w:sz w:val="20"/>
                <w:szCs w:val="20"/>
                <w:color w:val="auto"/>
              </w:rPr>
            </w:pPr>
            <w:r>
              <w:rPr>
                <w:rFonts w:ascii="Arial" w:cs="Arial" w:eastAsia="Arial" w:hAnsi="Arial"/>
                <w:sz w:val="15"/>
                <w:szCs w:val="15"/>
                <w:b w:val="1"/>
                <w:bCs w:val="1"/>
                <w:color w:val="auto"/>
              </w:rPr>
              <w:t>18,325</w:t>
            </w:r>
          </w:p>
        </w:tc>
        <w:tc>
          <w:tcPr>
            <w:tcW w:w="220" w:type="dxa"/>
            <w:vAlign w:val="bottom"/>
          </w:tcPr>
          <w:p>
            <w:pPr>
              <w:jc w:val="right"/>
              <w:ind w:right="24"/>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16,938</w:t>
            </w:r>
          </w:p>
        </w:tc>
      </w:tr>
      <w:tr>
        <w:trPr>
          <w:trHeight w:val="25"/>
        </w:trPr>
        <w:tc>
          <w:tcPr>
            <w:tcW w:w="870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620" w:type="dxa"/>
            <w:vAlign w:val="bottom"/>
            <w:tcBorders>
              <w:bottom w:val="single" w:sz="8" w:color="808080"/>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6597015</wp:posOffset>
            </wp:positionH>
            <wp:positionV relativeFrom="paragraph">
              <wp:posOffset>-822325</wp:posOffset>
            </wp:positionV>
            <wp:extent cx="8890" cy="8229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2296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-976630</wp:posOffset>
            </wp:positionV>
            <wp:extent cx="8890" cy="9772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97726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-976630</wp:posOffset>
            </wp:positionV>
            <wp:extent cx="8890" cy="9772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977265"/>
                    </a:xfrm>
                    <a:prstGeom prst="rect">
                      <a:avLst/>
                    </a:prstGeom>
                    <a:noFill/>
                  </pic:spPr>
                </pic:pic>
              </a:graphicData>
            </a:graphic>
          </wp:anchor>
        </w:drawing>
      </w:r>
    </w:p>
    <w:p>
      <w:pPr>
        <w:spacing w:after="0" w:line="173" w:lineRule="exact"/>
        <w:rPr>
          <w:sz w:val="20"/>
          <w:szCs w:val="20"/>
          <w:color w:val="auto"/>
        </w:rPr>
      </w:pPr>
    </w:p>
    <w:p>
      <w:pPr>
        <w:ind w:left="260" w:right="180" w:hanging="252"/>
        <w:spacing w:after="0" w:line="303" w:lineRule="auto"/>
        <w:tabs>
          <w:tab w:leader="none" w:pos="263" w:val="left"/>
        </w:tabs>
        <w:numPr>
          <w:ilvl w:val="0"/>
          <w:numId w:val="97"/>
        </w:numPr>
        <w:rPr>
          <w:rFonts w:ascii="Arial" w:cs="Arial" w:eastAsia="Arial" w:hAnsi="Arial"/>
          <w:sz w:val="8"/>
          <w:szCs w:val="8"/>
          <w:color w:val="auto"/>
        </w:rPr>
      </w:pPr>
      <w:r>
        <w:rPr>
          <w:rFonts w:ascii="Arial" w:cs="Arial" w:eastAsia="Arial" w:hAnsi="Arial"/>
          <w:sz w:val="14"/>
          <w:szCs w:val="14"/>
          <w:color w:val="auto"/>
        </w:rPr>
        <w:t>“Audit Fees” include fees for financial statement audits and reviews under statutory or regulatory requirements and services that generally only the auditor reasonably can provide, including SEC and FERC financial statement audits and reviews, review of documents filed with the SEC, issuance of comfort letters and consents for debt issuances, and other attest services required by statute or regulation.</w:t>
      </w:r>
    </w:p>
    <w:p>
      <w:pPr>
        <w:spacing w:after="0" w:line="24" w:lineRule="exact"/>
        <w:rPr>
          <w:rFonts w:ascii="Arial" w:cs="Arial" w:eastAsia="Arial" w:hAnsi="Arial"/>
          <w:sz w:val="8"/>
          <w:szCs w:val="8"/>
          <w:color w:val="auto"/>
        </w:rPr>
      </w:pPr>
    </w:p>
    <w:p>
      <w:pPr>
        <w:jc w:val="both"/>
        <w:ind w:left="260" w:right="840" w:hanging="252"/>
        <w:spacing w:after="0" w:line="303" w:lineRule="auto"/>
        <w:tabs>
          <w:tab w:leader="none" w:pos="249" w:val="left"/>
        </w:tabs>
        <w:numPr>
          <w:ilvl w:val="0"/>
          <w:numId w:val="97"/>
        </w:numPr>
        <w:rPr>
          <w:rFonts w:ascii="Arial" w:cs="Arial" w:eastAsia="Arial" w:hAnsi="Arial"/>
          <w:sz w:val="8"/>
          <w:szCs w:val="8"/>
          <w:color w:val="auto"/>
        </w:rPr>
      </w:pPr>
      <w:r>
        <w:rPr>
          <w:rFonts w:ascii="Arial" w:cs="Arial" w:eastAsia="Arial" w:hAnsi="Arial"/>
          <w:sz w:val="14"/>
          <w:szCs w:val="14"/>
          <w:color w:val="auto"/>
        </w:rPr>
        <w:t>“Audit Related Fees” consist of fees for assurance and related services that are traditionally performed by the principal auditor and are reasonably related to the performance of the audit or review of the financial statements, audits of stand-alone financial statements or other assurance services to comply with contractual requirements, financial accounting, or reporting and control consultations.</w:t>
      </w:r>
    </w:p>
    <w:p>
      <w:pPr>
        <w:spacing w:after="0" w:line="24" w:lineRule="exact"/>
        <w:rPr>
          <w:rFonts w:ascii="Arial" w:cs="Arial" w:eastAsia="Arial" w:hAnsi="Arial"/>
          <w:sz w:val="8"/>
          <w:szCs w:val="8"/>
          <w:color w:val="auto"/>
        </w:rPr>
      </w:pPr>
    </w:p>
    <w:p>
      <w:pPr>
        <w:ind w:left="260" w:right="300" w:hanging="252"/>
        <w:spacing w:after="0" w:line="325" w:lineRule="auto"/>
        <w:tabs>
          <w:tab w:leader="none" w:pos="249" w:val="left"/>
        </w:tabs>
        <w:numPr>
          <w:ilvl w:val="0"/>
          <w:numId w:val="97"/>
        </w:numPr>
        <w:rPr>
          <w:rFonts w:ascii="Arial" w:cs="Arial" w:eastAsia="Arial" w:hAnsi="Arial"/>
          <w:sz w:val="8"/>
          <w:szCs w:val="8"/>
          <w:color w:val="auto"/>
        </w:rPr>
      </w:pPr>
      <w:r>
        <w:rPr>
          <w:rFonts w:ascii="Arial" w:cs="Arial" w:eastAsia="Arial" w:hAnsi="Arial"/>
          <w:sz w:val="14"/>
          <w:szCs w:val="14"/>
          <w:color w:val="auto"/>
        </w:rPr>
        <w:t>“Tax Fees” consist of tax compliance, planning and advice services, including tax return preparation, refund claims, tax payment planning, assistance with tax audits and appeals, advice related to mergers and acquisitions and transactions, or requests for rulings or technical advice from tax authorities.</w:t>
      </w:r>
    </w:p>
    <w:p>
      <w:pPr>
        <w:spacing w:after="0" w:line="9" w:lineRule="exact"/>
        <w:rPr>
          <w:rFonts w:ascii="Arial" w:cs="Arial" w:eastAsia="Arial" w:hAnsi="Arial"/>
          <w:sz w:val="8"/>
          <w:szCs w:val="8"/>
          <w:color w:val="auto"/>
        </w:rPr>
      </w:pPr>
    </w:p>
    <w:p>
      <w:pPr>
        <w:ind w:left="260" w:right="420" w:hanging="252"/>
        <w:spacing w:after="0" w:line="325" w:lineRule="auto"/>
        <w:tabs>
          <w:tab w:leader="none" w:pos="249" w:val="left"/>
        </w:tabs>
        <w:numPr>
          <w:ilvl w:val="0"/>
          <w:numId w:val="97"/>
        </w:numPr>
        <w:rPr>
          <w:rFonts w:ascii="Arial" w:cs="Arial" w:eastAsia="Arial" w:hAnsi="Arial"/>
          <w:sz w:val="8"/>
          <w:szCs w:val="8"/>
          <w:color w:val="auto"/>
        </w:rPr>
      </w:pPr>
      <w:r>
        <w:rPr>
          <w:rFonts w:ascii="Arial" w:cs="Arial" w:eastAsia="Arial" w:hAnsi="Arial"/>
          <w:sz w:val="14"/>
          <w:szCs w:val="14"/>
          <w:color w:val="auto"/>
        </w:rPr>
        <w:t>“All Other Fees” primarily reflects fees for system implementation quality assurance services, some of which were allocated to Constellation Energy Group pursuant to separation-related services agreements in 2023 as well as fees related to a cyber security assessment.</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780"/>
              <w:spacing w:after="0"/>
              <w:rPr>
                <w:sz w:val="20"/>
                <w:szCs w:val="20"/>
                <w:color w:val="auto"/>
              </w:rPr>
            </w:pPr>
            <w:r>
              <w:rPr>
                <w:rFonts w:ascii="Arial" w:cs="Arial" w:eastAsia="Arial" w:hAnsi="Arial"/>
                <w:sz w:val="14"/>
                <w:szCs w:val="14"/>
                <w:color w:val="auto"/>
              </w:rPr>
              <w:t>2025 ׀ Exelon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41</w:t>
            </w:r>
          </w:p>
        </w:tc>
      </w:tr>
      <w:tr>
        <w:trPr>
          <w:trHeight w:val="212"/>
        </w:trPr>
        <w:tc>
          <w:tcPr>
            <w:tcW w:w="109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color w:val="auto"/>
        </w:rPr>
        <w:t>Audit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Report of the Audit and Risk Committee</w:t>
      </w:r>
    </w:p>
    <w:p>
      <w:pPr>
        <w:spacing w:after="0" w:line="12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Management has primary responsibility for preparing the Company’s financial statements and establishing effective internal controls over financial reporting. PricewaterhouseCoopers LLP (PwC), the Company’s independent auditor for the year ended December 31, 2024, is responsible for auditing those financial statements and expressing an opinion on the conformity of the Company’s audited financial statements with generally accepted accounting principles and on the effectiveness of the Company’s internal controls over financial reporting based on criteria established in 2013 by the Committee of Sponsoring Organizations of the Treadway Committee.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During fiscal year 2024, as part of the Audit and Risk Committee’s oversight function, the Committee:</w:t>
      </w:r>
    </w:p>
    <w:p>
      <w:pPr>
        <w:spacing w:after="0" w:line="140" w:lineRule="exact"/>
        <w:rPr>
          <w:sz w:val="20"/>
          <w:szCs w:val="20"/>
          <w:color w:val="auto"/>
        </w:rPr>
      </w:pPr>
    </w:p>
    <w:p>
      <w:pPr>
        <w:ind w:left="200" w:right="220" w:hanging="192"/>
        <w:spacing w:after="0" w:line="292" w:lineRule="auto"/>
        <w:tabs>
          <w:tab w:leader="none" w:pos="170" w:val="left"/>
        </w:tabs>
        <w:numPr>
          <w:ilvl w:val="0"/>
          <w:numId w:val="98"/>
        </w:numPr>
        <w:rPr>
          <w:rFonts w:ascii="Arial" w:cs="Arial" w:eastAsia="Arial" w:hAnsi="Arial"/>
          <w:sz w:val="16"/>
          <w:szCs w:val="16"/>
          <w:b w:val="1"/>
          <w:bCs w:val="1"/>
          <w:color w:val="170D67"/>
        </w:rPr>
      </w:pPr>
      <w:r>
        <w:rPr>
          <w:rFonts w:ascii="Arial" w:cs="Arial" w:eastAsia="Arial" w:hAnsi="Arial"/>
          <w:sz w:val="16"/>
          <w:szCs w:val="16"/>
          <w:color w:val="auto"/>
        </w:rPr>
        <w:t>Reviewed and discussed the Company’s annual audited financial statements, including the critical accounting policies applied by the Company in the preparation of these financial statements, assessment of the effectiveness of internal control over financial reporting, and quarterly financial statements with management and with PwC;</w:t>
      </w:r>
    </w:p>
    <w:p>
      <w:pPr>
        <w:spacing w:after="0" w:line="30" w:lineRule="exact"/>
        <w:rPr>
          <w:rFonts w:ascii="Arial" w:cs="Arial" w:eastAsia="Arial" w:hAnsi="Arial"/>
          <w:sz w:val="16"/>
          <w:szCs w:val="16"/>
          <w:b w:val="1"/>
          <w:bCs w:val="1"/>
          <w:color w:val="170D67"/>
        </w:rPr>
      </w:pPr>
    </w:p>
    <w:p>
      <w:pPr>
        <w:ind w:left="200" w:right="440" w:hanging="192"/>
        <w:spacing w:after="0" w:line="321" w:lineRule="auto"/>
        <w:tabs>
          <w:tab w:leader="none" w:pos="170" w:val="left"/>
        </w:tabs>
        <w:numPr>
          <w:ilvl w:val="0"/>
          <w:numId w:val="98"/>
        </w:numPr>
        <w:rPr>
          <w:rFonts w:ascii="Arial" w:cs="Arial" w:eastAsia="Arial" w:hAnsi="Arial"/>
          <w:sz w:val="16"/>
          <w:szCs w:val="16"/>
          <w:b w:val="1"/>
          <w:bCs w:val="1"/>
          <w:color w:val="170D67"/>
        </w:rPr>
      </w:pPr>
      <w:r>
        <w:rPr>
          <w:rFonts w:ascii="Arial" w:cs="Arial" w:eastAsia="Arial" w:hAnsi="Arial"/>
          <w:sz w:val="16"/>
          <w:szCs w:val="16"/>
          <w:color w:val="auto"/>
        </w:rPr>
        <w:t>Reviewed related matters and disclosure items, including the Company’s earnings press releases, and the processes by which the Company’s Chief Executive Officer and Chief Financial Officer certify the information contained in its quarterly and annual filings;</w:t>
      </w:r>
    </w:p>
    <w:p>
      <w:pPr>
        <w:spacing w:after="0" w:line="7" w:lineRule="exact"/>
        <w:rPr>
          <w:rFonts w:ascii="Arial" w:cs="Arial" w:eastAsia="Arial" w:hAnsi="Arial"/>
          <w:sz w:val="16"/>
          <w:szCs w:val="16"/>
          <w:b w:val="1"/>
          <w:bCs w:val="1"/>
          <w:color w:val="170D67"/>
        </w:rPr>
      </w:pPr>
    </w:p>
    <w:p>
      <w:pPr>
        <w:ind w:left="200" w:right="460" w:hanging="192"/>
        <w:spacing w:after="0" w:line="304" w:lineRule="auto"/>
        <w:tabs>
          <w:tab w:leader="none" w:pos="170" w:val="left"/>
        </w:tabs>
        <w:numPr>
          <w:ilvl w:val="0"/>
          <w:numId w:val="98"/>
        </w:numPr>
        <w:rPr>
          <w:rFonts w:ascii="Arial" w:cs="Arial" w:eastAsia="Arial" w:hAnsi="Arial"/>
          <w:sz w:val="16"/>
          <w:szCs w:val="16"/>
          <w:b w:val="1"/>
          <w:bCs w:val="1"/>
          <w:color w:val="170D67"/>
        </w:rPr>
      </w:pPr>
      <w:r>
        <w:rPr>
          <w:rFonts w:ascii="Arial" w:cs="Arial" w:eastAsia="Arial" w:hAnsi="Arial"/>
          <w:sz w:val="16"/>
          <w:szCs w:val="16"/>
          <w:color w:val="auto"/>
        </w:rPr>
        <w:t>Reviewed and discussed with management, the internal auditor, and the independent auditor, as appropriate, the audit scopes and plans of both the internal auditor and the independent auditor;</w:t>
      </w:r>
    </w:p>
    <w:p>
      <w:pPr>
        <w:spacing w:after="0" w:line="19" w:lineRule="exact"/>
        <w:rPr>
          <w:rFonts w:ascii="Arial" w:cs="Arial" w:eastAsia="Arial" w:hAnsi="Arial"/>
          <w:sz w:val="16"/>
          <w:szCs w:val="16"/>
          <w:b w:val="1"/>
          <w:bCs w:val="1"/>
          <w:color w:val="170D67"/>
        </w:rPr>
      </w:pPr>
    </w:p>
    <w:p>
      <w:pPr>
        <w:ind w:left="200" w:right="700" w:hanging="192"/>
        <w:spacing w:after="0" w:line="321" w:lineRule="auto"/>
        <w:tabs>
          <w:tab w:leader="none" w:pos="170" w:val="left"/>
        </w:tabs>
        <w:numPr>
          <w:ilvl w:val="0"/>
          <w:numId w:val="98"/>
        </w:numPr>
        <w:rPr>
          <w:rFonts w:ascii="Arial" w:cs="Arial" w:eastAsia="Arial" w:hAnsi="Arial"/>
          <w:sz w:val="16"/>
          <w:szCs w:val="16"/>
          <w:b w:val="1"/>
          <w:bCs w:val="1"/>
          <w:color w:val="170D67"/>
        </w:rPr>
      </w:pPr>
      <w:r>
        <w:rPr>
          <w:rFonts w:ascii="Arial" w:cs="Arial" w:eastAsia="Arial" w:hAnsi="Arial"/>
          <w:sz w:val="16"/>
          <w:szCs w:val="16"/>
          <w:color w:val="auto"/>
        </w:rPr>
        <w:t>Inquired about significant business and financial reporting risks, reviewed the Company’s policies for risk assessment and risk management, and assessed the steps management is taking to control these risks;</w:t>
      </w:r>
    </w:p>
    <w:p>
      <w:pPr>
        <w:spacing w:after="0" w:line="7" w:lineRule="exact"/>
        <w:rPr>
          <w:rFonts w:ascii="Arial" w:cs="Arial" w:eastAsia="Arial" w:hAnsi="Arial"/>
          <w:sz w:val="16"/>
          <w:szCs w:val="16"/>
          <w:b w:val="1"/>
          <w:bCs w:val="1"/>
          <w:color w:val="170D67"/>
        </w:rPr>
      </w:pPr>
    </w:p>
    <w:p>
      <w:pPr>
        <w:jc w:val="both"/>
        <w:ind w:left="200" w:right="120" w:hanging="192"/>
        <w:spacing w:after="0" w:line="292" w:lineRule="auto"/>
        <w:tabs>
          <w:tab w:leader="none" w:pos="170" w:val="left"/>
        </w:tabs>
        <w:numPr>
          <w:ilvl w:val="0"/>
          <w:numId w:val="98"/>
        </w:numPr>
        <w:rPr>
          <w:rFonts w:ascii="Arial" w:cs="Arial" w:eastAsia="Arial" w:hAnsi="Arial"/>
          <w:sz w:val="16"/>
          <w:szCs w:val="16"/>
          <w:b w:val="1"/>
          <w:bCs w:val="1"/>
          <w:color w:val="170D67"/>
        </w:rPr>
      </w:pPr>
      <w:r>
        <w:rPr>
          <w:rFonts w:ascii="Arial" w:cs="Arial" w:eastAsia="Arial" w:hAnsi="Arial"/>
          <w:sz w:val="16"/>
          <w:szCs w:val="16"/>
          <w:color w:val="auto"/>
        </w:rPr>
        <w:t>Met in periodic executive sessions with each of management, the internal auditor, and the independent auditor to discuss the results of the examinations by the independent and internal auditors, their evaluations of internal controls, and the overall quality of the Company’s financial reporting, and any other matters as appropriate;</w:t>
      </w:r>
    </w:p>
    <w:p>
      <w:pPr>
        <w:spacing w:after="0" w:line="30" w:lineRule="exact"/>
        <w:rPr>
          <w:rFonts w:ascii="Arial" w:cs="Arial" w:eastAsia="Arial" w:hAnsi="Arial"/>
          <w:sz w:val="16"/>
          <w:szCs w:val="16"/>
          <w:b w:val="1"/>
          <w:bCs w:val="1"/>
          <w:color w:val="170D67"/>
        </w:rPr>
      </w:pPr>
    </w:p>
    <w:p>
      <w:pPr>
        <w:ind w:left="180" w:hanging="172"/>
        <w:spacing w:after="0"/>
        <w:tabs>
          <w:tab w:leader="none" w:pos="180" w:val="left"/>
        </w:tabs>
        <w:numPr>
          <w:ilvl w:val="0"/>
          <w:numId w:val="98"/>
        </w:numPr>
        <w:rPr>
          <w:rFonts w:ascii="Arial" w:cs="Arial" w:eastAsia="Arial" w:hAnsi="Arial"/>
          <w:sz w:val="16"/>
          <w:szCs w:val="16"/>
          <w:b w:val="1"/>
          <w:bCs w:val="1"/>
          <w:color w:val="170D67"/>
        </w:rPr>
      </w:pPr>
      <w:r>
        <w:rPr>
          <w:rFonts w:ascii="Arial" w:cs="Arial" w:eastAsia="Arial" w:hAnsi="Arial"/>
          <w:sz w:val="16"/>
          <w:szCs w:val="16"/>
          <w:color w:val="auto"/>
        </w:rPr>
        <w:t>Discussed with PwC the matters required to be discussed by the applicable requirements of the PCAOB and the SEC;</w:t>
      </w:r>
    </w:p>
    <w:p>
      <w:pPr>
        <w:spacing w:after="0" w:line="99" w:lineRule="exact"/>
        <w:rPr>
          <w:rFonts w:ascii="Arial" w:cs="Arial" w:eastAsia="Arial" w:hAnsi="Arial"/>
          <w:sz w:val="16"/>
          <w:szCs w:val="16"/>
          <w:b w:val="1"/>
          <w:bCs w:val="1"/>
          <w:color w:val="170D67"/>
        </w:rPr>
      </w:pPr>
    </w:p>
    <w:p>
      <w:pPr>
        <w:ind w:left="200" w:right="80" w:hanging="192"/>
        <w:spacing w:after="0" w:line="292" w:lineRule="auto"/>
        <w:tabs>
          <w:tab w:leader="none" w:pos="170" w:val="left"/>
        </w:tabs>
        <w:numPr>
          <w:ilvl w:val="0"/>
          <w:numId w:val="98"/>
        </w:numPr>
        <w:rPr>
          <w:rFonts w:ascii="Arial" w:cs="Arial" w:eastAsia="Arial" w:hAnsi="Arial"/>
          <w:sz w:val="16"/>
          <w:szCs w:val="16"/>
          <w:b w:val="1"/>
          <w:bCs w:val="1"/>
          <w:color w:val="170D67"/>
        </w:rPr>
      </w:pPr>
      <w:r>
        <w:rPr>
          <w:rFonts w:ascii="Arial" w:cs="Arial" w:eastAsia="Arial" w:hAnsi="Arial"/>
          <w:sz w:val="16"/>
          <w:szCs w:val="16"/>
          <w:color w:val="auto"/>
        </w:rPr>
        <w:t>Received the written disclosures and letter from PwC required by applicable requirements of the PCAOB regarding independence and discussed with PwC their independence and related matters. Based on this review and discussion, and a review of the non-audit services provided by PwC during 2024, the Committee believes that the services provided by PwC in 2024 are compatible with, and do not impair, PwC’s independence.</w:t>
      </w:r>
    </w:p>
    <w:p>
      <w:pPr>
        <w:spacing w:after="0" w:line="71"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In reliance on these reviews and discussions, the Committee recommended to the Board, and the Board approved, that the audited financial statements be included in Exelon Corporation’s Annual Report on Form 10-K for the year ended December 31, 2024, for filing with the SEC. The Committee also reappointed PwC as the Company’s independent auditor for 2025.</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This report is provided by the following independent directors, who constitute the Audit and Risk Committee: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Paul Bowers, </w:t>
      </w:r>
      <w:r>
        <w:rPr>
          <w:rFonts w:ascii="Arial" w:cs="Arial" w:eastAsia="Arial" w:hAnsi="Arial"/>
          <w:sz w:val="16"/>
          <w:szCs w:val="16"/>
          <w:b w:val="1"/>
          <w:bCs w:val="1"/>
          <w:color w:val="auto"/>
        </w:rPr>
        <w:t>Chair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Linda Jojo</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Anna Richo</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Matthew Rogers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Bryan Segedi</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0" w:hanging="454"/>
        <w:spacing w:after="0"/>
        <w:tabs>
          <w:tab w:leader="none" w:pos="480" w:val="left"/>
        </w:tabs>
        <w:numPr>
          <w:ilvl w:val="0"/>
          <w:numId w:val="99"/>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6" w:name="page47"/>
    <w:bookmarkEnd w:id="46"/>
    <w:p>
      <w:pPr>
        <w:spacing w:after="0"/>
        <w:rPr>
          <w:sz w:val="20"/>
          <w:szCs w:val="20"/>
          <w:color w:val="auto"/>
        </w:rPr>
      </w:pPr>
      <w:r>
        <w:rPr>
          <w:rFonts w:ascii="Arial" w:cs="Arial" w:eastAsia="Arial" w:hAnsi="Arial"/>
          <w:sz w:val="41"/>
          <w:szCs w:val="41"/>
          <w:color w:val="170D67"/>
        </w:rPr>
        <w:t xml:space="preserve">Executive </w:t>
      </w:r>
      <w:r>
        <w:rPr>
          <w:rFonts w:ascii="Arial" w:cs="Arial" w:eastAsia="Arial" w:hAnsi="Arial"/>
          <w:sz w:val="41"/>
          <w:szCs w:val="41"/>
          <w:b w:val="1"/>
          <w:bCs w:val="1"/>
          <w:color w:val="170D67"/>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23430" cy="6769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23430"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FFFFFF"/>
        </w:rPr>
        <w:t>PROPOSAL</w:t>
      </w:r>
    </w:p>
    <w:p>
      <w:pPr>
        <w:ind w:left="1320" w:hanging="872"/>
        <w:spacing w:after="0" w:line="180" w:lineRule="auto"/>
        <w:tabs>
          <w:tab w:leader="none" w:pos="1320" w:val="left"/>
        </w:tabs>
        <w:numPr>
          <w:ilvl w:val="0"/>
          <w:numId w:val="100"/>
        </w:numPr>
        <w:rPr>
          <w:rFonts w:ascii="Arial" w:cs="Arial" w:eastAsia="Arial" w:hAnsi="Arial"/>
          <w:sz w:val="39"/>
          <w:szCs w:val="39"/>
          <w:b w:val="1"/>
          <w:bCs w:val="1"/>
          <w:color w:val="FFFFFF"/>
          <w:vertAlign w:val="subscript"/>
        </w:rPr>
      </w:pPr>
      <w:r>
        <w:rPr>
          <w:rFonts w:ascii="Arial" w:cs="Arial" w:eastAsia="Arial" w:hAnsi="Arial"/>
          <w:sz w:val="17"/>
          <w:szCs w:val="17"/>
          <w:b w:val="1"/>
          <w:bCs w:val="1"/>
          <w:color w:val="170D67"/>
        </w:rPr>
        <w:t>Advisory Vote on Executive Compensation (Say-on-Pay)</w:t>
      </w:r>
    </w:p>
    <w:p>
      <w:pPr>
        <w:spacing w:after="0" w:line="111" w:lineRule="exact"/>
        <w:rPr>
          <w:sz w:val="20"/>
          <w:szCs w:val="20"/>
          <w:color w:val="auto"/>
        </w:rPr>
      </w:pPr>
    </w:p>
    <w:p>
      <w:pPr>
        <w:ind w:left="1320" w:right="260"/>
        <w:spacing w:after="0" w:line="268" w:lineRule="auto"/>
        <w:rPr>
          <w:sz w:val="20"/>
          <w:szCs w:val="20"/>
          <w:color w:val="auto"/>
        </w:rPr>
      </w:pPr>
      <w:r>
        <w:rPr>
          <w:rFonts w:ascii="Arial" w:cs="Arial" w:eastAsia="Arial" w:hAnsi="Arial"/>
          <w:sz w:val="16"/>
          <w:szCs w:val="16"/>
          <w:color w:val="auto"/>
        </w:rPr>
        <w:t>We provide shareholders with a say-on-pay vote every year at the annual meeting of shareholders. While the vote is non-binding, the Board and the TMCC take the results of the vote into consideration when evaluating the executive compensation program. Accordingly, you may vote to approve or not approve the following advisory resolution on the compensation of the named executive officers at the</w:t>
      </w:r>
    </w:p>
    <w:p>
      <w:pPr>
        <w:spacing w:after="0" w:line="2"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2025 annual meeting:</w:t>
      </w:r>
    </w:p>
    <w:p>
      <w:pPr>
        <w:spacing w:after="0" w:line="140" w:lineRule="exact"/>
        <w:rPr>
          <w:sz w:val="20"/>
          <w:szCs w:val="20"/>
          <w:color w:val="auto"/>
        </w:rPr>
      </w:pPr>
    </w:p>
    <w:p>
      <w:pPr>
        <w:ind w:left="1320" w:right="40"/>
        <w:spacing w:after="0" w:line="286" w:lineRule="auto"/>
        <w:rPr>
          <w:sz w:val="20"/>
          <w:szCs w:val="20"/>
          <w:color w:val="auto"/>
        </w:rPr>
      </w:pPr>
      <w:r>
        <w:rPr>
          <w:rFonts w:ascii="Arial" w:cs="Arial" w:eastAsia="Arial" w:hAnsi="Arial"/>
          <w:sz w:val="16"/>
          <w:szCs w:val="16"/>
          <w:b w:val="1"/>
          <w:bCs w:val="1"/>
          <w:color w:val="auto"/>
        </w:rPr>
        <w:t>RESOLVED, that the Company’s shareholders approve, on an advisory basis, the compensation of the named executive officers, as disclosed in the Company’s proxy statement for the 2025 Annual Meeting of Shareholders pursuant to the rules of the SEC, including the Compensation Discussion and Analysis, the 2024 Summary Compensation Table, and the other related tables and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2343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335280</wp:posOffset>
            </wp:positionV>
            <wp:extent cx="257175" cy="2057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57175" cy="20574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320" w:right="140"/>
        <w:spacing w:after="0" w:line="315" w:lineRule="auto"/>
        <w:rPr>
          <w:sz w:val="20"/>
          <w:szCs w:val="20"/>
          <w:color w:val="auto"/>
        </w:rPr>
      </w:pPr>
      <w:r>
        <w:rPr>
          <w:rFonts w:ascii="Arial" w:cs="Arial" w:eastAsia="Arial" w:hAnsi="Arial"/>
          <w:sz w:val="15"/>
          <w:szCs w:val="15"/>
          <w:b w:val="1"/>
          <w:bCs w:val="1"/>
          <w:color w:val="170D67"/>
        </w:rPr>
        <w:t xml:space="preserve">The Board recommends a vote </w:t>
      </w:r>
      <w:r>
        <w:rPr>
          <w:rFonts w:ascii="Arial" w:cs="Arial" w:eastAsia="Arial" w:hAnsi="Arial"/>
          <w:sz w:val="15"/>
          <w:szCs w:val="15"/>
          <w:b w:val="1"/>
          <w:bCs w:val="1"/>
          <w:color w:val="00E4A5"/>
        </w:rPr>
        <w:t>“FOR”</w:t>
      </w:r>
      <w:r>
        <w:rPr>
          <w:rFonts w:ascii="Arial" w:cs="Arial" w:eastAsia="Arial" w:hAnsi="Arial"/>
          <w:sz w:val="15"/>
          <w:szCs w:val="15"/>
          <w:b w:val="1"/>
          <w:bCs w:val="1"/>
          <w:color w:val="170D67"/>
        </w:rPr>
        <w:t xml:space="preserve"> the approval of the compensation paid to the Company’s named executives, as disclosed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2343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780"/>
              <w:spacing w:after="0"/>
              <w:rPr>
                <w:sz w:val="20"/>
                <w:szCs w:val="20"/>
                <w:color w:val="auto"/>
              </w:rPr>
            </w:pPr>
            <w:r>
              <w:rPr>
                <w:rFonts w:ascii="Arial" w:cs="Arial" w:eastAsia="Arial" w:hAnsi="Arial"/>
                <w:sz w:val="14"/>
                <w:szCs w:val="14"/>
                <w:color w:val="auto"/>
              </w:rPr>
              <w:t>2025 ׀ Exelon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43</w:t>
            </w:r>
          </w:p>
        </w:tc>
      </w:tr>
      <w:tr>
        <w:trPr>
          <w:trHeight w:val="225"/>
        </w:trPr>
        <w:tc>
          <w:tcPr>
            <w:tcW w:w="1092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2" w:right="339" w:bottom="1440" w:gutter="0" w:footer="0" w:header="0"/>
        </w:sectPr>
      </w:pPr>
    </w:p>
    <w:bookmarkStart w:id="47" w:name="page48"/>
    <w:bookmarkEnd w:id="47"/>
    <w:p>
      <w:pPr>
        <w:spacing w:after="0"/>
        <w:rPr>
          <w:sz w:val="20"/>
          <w:szCs w:val="20"/>
          <w:color w:val="auto"/>
        </w:rPr>
      </w:pPr>
      <w:r>
        <w:rPr>
          <w:rFonts w:ascii="Arial" w:cs="Arial" w:eastAsia="Arial" w:hAnsi="Arial"/>
          <w:sz w:val="41"/>
          <w:szCs w:val="41"/>
          <w:color w:val="170D67"/>
        </w:rPr>
        <w:t xml:space="preserve">Compensation </w:t>
      </w:r>
      <w:r>
        <w:rPr>
          <w:rFonts w:ascii="Arial" w:cs="Arial" w:eastAsia="Arial" w:hAnsi="Arial"/>
          <w:sz w:val="41"/>
          <w:szCs w:val="41"/>
          <w:b w:val="1"/>
          <w:bCs w:val="1"/>
          <w:color w:val="170D67"/>
        </w:rPr>
        <w:t>Discussion &amp; Analysis (CD&amp;A)</w:t>
      </w:r>
    </w:p>
    <w:p>
      <w:pPr>
        <w:spacing w:after="0" w:line="200" w:lineRule="exact"/>
        <w:rPr>
          <w:sz w:val="20"/>
          <w:szCs w:val="20"/>
          <w:color w:val="auto"/>
        </w:rPr>
      </w:pPr>
    </w:p>
    <w:p>
      <w:pPr>
        <w:spacing w:after="0" w:line="24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CD&amp;A discusses Exelon’s 2024 compensation for our named executive officers (NEOs) comprising our CEO, CFO, and the three other most highly compensated executive officers serving as of the end of 2024. These officers are listed below. Biographical information concerning our NEOs and their ages can be found in the section entitled “Information about our Executive Officers as of February 12, 2025” in our Annual Report on Form 10-K 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157480</wp:posOffset>
            </wp:positionV>
            <wp:extent cx="6763385" cy="9861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76338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Arial" w:cs="Arial" w:eastAsia="Arial" w:hAnsi="Arial"/>
                <w:sz w:val="16"/>
                <w:szCs w:val="16"/>
                <w:b w:val="1"/>
                <w:bCs w:val="1"/>
                <w:color w:val="3A5CFF"/>
              </w:rPr>
              <w:t>Calvin G. Butler, Jr.</w:t>
            </w:r>
          </w:p>
        </w:tc>
        <w:tc>
          <w:tcPr>
            <w:tcW w:w="2240" w:type="dxa"/>
            <w:vAlign w:val="bottom"/>
          </w:tcPr>
          <w:p>
            <w:pPr>
              <w:ind w:left="380"/>
              <w:spacing w:after="0"/>
              <w:rPr>
                <w:sz w:val="20"/>
                <w:szCs w:val="20"/>
                <w:color w:val="auto"/>
              </w:rPr>
            </w:pPr>
            <w:r>
              <w:rPr>
                <w:rFonts w:ascii="Arial" w:cs="Arial" w:eastAsia="Arial" w:hAnsi="Arial"/>
                <w:sz w:val="16"/>
                <w:szCs w:val="16"/>
                <w:b w:val="1"/>
                <w:bCs w:val="1"/>
                <w:color w:val="3A5CFF"/>
              </w:rPr>
              <w:t>Jeanne Jones</w:t>
            </w:r>
          </w:p>
        </w:tc>
        <w:tc>
          <w:tcPr>
            <w:tcW w:w="2360" w:type="dxa"/>
            <w:vAlign w:val="bottom"/>
          </w:tcPr>
          <w:p>
            <w:pPr>
              <w:ind w:left="420"/>
              <w:spacing w:after="0"/>
              <w:rPr>
                <w:sz w:val="20"/>
                <w:szCs w:val="20"/>
                <w:color w:val="auto"/>
              </w:rPr>
            </w:pPr>
            <w:r>
              <w:rPr>
                <w:rFonts w:ascii="Arial" w:cs="Arial" w:eastAsia="Arial" w:hAnsi="Arial"/>
                <w:sz w:val="16"/>
                <w:szCs w:val="16"/>
                <w:b w:val="1"/>
                <w:bCs w:val="1"/>
                <w:color w:val="3A5CFF"/>
              </w:rPr>
              <w:t>Gayle Littleton</w:t>
            </w:r>
          </w:p>
        </w:tc>
        <w:tc>
          <w:tcPr>
            <w:tcW w:w="2300" w:type="dxa"/>
            <w:vAlign w:val="bottom"/>
          </w:tcPr>
          <w:p>
            <w:pPr>
              <w:ind w:left="320"/>
              <w:spacing w:after="0"/>
              <w:rPr>
                <w:sz w:val="20"/>
                <w:szCs w:val="20"/>
                <w:color w:val="auto"/>
              </w:rPr>
            </w:pPr>
            <w:r>
              <w:rPr>
                <w:rFonts w:ascii="Arial" w:cs="Arial" w:eastAsia="Arial" w:hAnsi="Arial"/>
                <w:sz w:val="16"/>
                <w:szCs w:val="16"/>
                <w:b w:val="1"/>
                <w:bCs w:val="1"/>
                <w:color w:val="3A5CFF"/>
              </w:rPr>
              <w:t>David Glockner</w:t>
            </w:r>
          </w:p>
        </w:tc>
        <w:tc>
          <w:tcPr>
            <w:tcW w:w="1740" w:type="dxa"/>
            <w:vAlign w:val="bottom"/>
          </w:tcPr>
          <w:p>
            <w:pPr>
              <w:ind w:left="300"/>
              <w:spacing w:after="0"/>
              <w:rPr>
                <w:sz w:val="20"/>
                <w:szCs w:val="20"/>
                <w:color w:val="auto"/>
              </w:rPr>
            </w:pPr>
            <w:r>
              <w:rPr>
                <w:rFonts w:ascii="Arial" w:cs="Arial" w:eastAsia="Arial" w:hAnsi="Arial"/>
                <w:sz w:val="16"/>
                <w:szCs w:val="16"/>
                <w:b w:val="1"/>
                <w:bCs w:val="1"/>
                <w:color w:val="3A5CFF"/>
                <w:w w:val="99"/>
              </w:rPr>
              <w:t>Michael Innocenzo</w:t>
            </w:r>
          </w:p>
        </w:tc>
      </w:tr>
      <w:tr>
        <w:trPr>
          <w:trHeight w:val="216"/>
        </w:trPr>
        <w:tc>
          <w:tcPr>
            <w:tcW w:w="1860" w:type="dxa"/>
            <w:vAlign w:val="bottom"/>
          </w:tcPr>
          <w:p>
            <w:pPr>
              <w:spacing w:after="0"/>
              <w:rPr>
                <w:sz w:val="20"/>
                <w:szCs w:val="20"/>
                <w:color w:val="auto"/>
              </w:rPr>
            </w:pPr>
            <w:r>
              <w:rPr>
                <w:rFonts w:ascii="Arial" w:cs="Arial" w:eastAsia="Arial" w:hAnsi="Arial"/>
                <w:sz w:val="16"/>
                <w:szCs w:val="16"/>
                <w:color w:val="auto"/>
              </w:rPr>
              <w:t>President and Chief</w:t>
            </w:r>
          </w:p>
        </w:tc>
        <w:tc>
          <w:tcPr>
            <w:tcW w:w="2240" w:type="dxa"/>
            <w:vAlign w:val="bottom"/>
          </w:tcPr>
          <w:p>
            <w:pPr>
              <w:ind w:left="380"/>
              <w:spacing w:after="0"/>
              <w:rPr>
                <w:sz w:val="20"/>
                <w:szCs w:val="20"/>
                <w:color w:val="auto"/>
              </w:rPr>
            </w:pPr>
            <w:r>
              <w:rPr>
                <w:rFonts w:ascii="Arial" w:cs="Arial" w:eastAsia="Arial" w:hAnsi="Arial"/>
                <w:sz w:val="16"/>
                <w:szCs w:val="16"/>
                <w:color w:val="auto"/>
              </w:rPr>
              <w:t>Executive Vice</w:t>
            </w:r>
          </w:p>
        </w:tc>
        <w:tc>
          <w:tcPr>
            <w:tcW w:w="2360" w:type="dxa"/>
            <w:vAlign w:val="bottom"/>
          </w:tcPr>
          <w:p>
            <w:pPr>
              <w:ind w:left="420"/>
              <w:spacing w:after="0"/>
              <w:rPr>
                <w:sz w:val="20"/>
                <w:szCs w:val="20"/>
                <w:color w:val="auto"/>
              </w:rPr>
            </w:pPr>
            <w:r>
              <w:rPr>
                <w:rFonts w:ascii="Arial" w:cs="Arial" w:eastAsia="Arial" w:hAnsi="Arial"/>
                <w:sz w:val="16"/>
                <w:szCs w:val="16"/>
                <w:color w:val="auto"/>
              </w:rPr>
              <w:t>Former Executive Vice</w:t>
            </w:r>
          </w:p>
        </w:tc>
        <w:tc>
          <w:tcPr>
            <w:tcW w:w="2300" w:type="dxa"/>
            <w:vAlign w:val="bottom"/>
          </w:tcPr>
          <w:p>
            <w:pPr>
              <w:ind w:left="320"/>
              <w:spacing w:after="0"/>
              <w:rPr>
                <w:sz w:val="20"/>
                <w:szCs w:val="20"/>
                <w:color w:val="auto"/>
              </w:rPr>
            </w:pPr>
            <w:r>
              <w:rPr>
                <w:rFonts w:ascii="Arial" w:cs="Arial" w:eastAsia="Arial" w:hAnsi="Arial"/>
                <w:sz w:val="16"/>
                <w:szCs w:val="16"/>
                <w:color w:val="auto"/>
              </w:rPr>
              <w:t>Executive Vice</w:t>
            </w:r>
          </w:p>
        </w:tc>
        <w:tc>
          <w:tcPr>
            <w:tcW w:w="1740" w:type="dxa"/>
            <w:vAlign w:val="bottom"/>
          </w:tcPr>
          <w:p>
            <w:pPr>
              <w:ind w:left="300"/>
              <w:spacing w:after="0"/>
              <w:rPr>
                <w:sz w:val="20"/>
                <w:szCs w:val="20"/>
                <w:color w:val="auto"/>
              </w:rPr>
            </w:pPr>
            <w:r>
              <w:rPr>
                <w:rFonts w:ascii="Arial" w:cs="Arial" w:eastAsia="Arial" w:hAnsi="Arial"/>
                <w:sz w:val="16"/>
                <w:szCs w:val="16"/>
                <w:color w:val="auto"/>
              </w:rPr>
              <w:t>Executive Vice</w:t>
            </w:r>
          </w:p>
        </w:tc>
      </w:tr>
      <w:tr>
        <w:trPr>
          <w:trHeight w:val="203"/>
        </w:trPr>
        <w:tc>
          <w:tcPr>
            <w:tcW w:w="1860" w:type="dxa"/>
            <w:vAlign w:val="bottom"/>
          </w:tcPr>
          <w:p>
            <w:pPr>
              <w:spacing w:after="0"/>
              <w:rPr>
                <w:sz w:val="20"/>
                <w:szCs w:val="20"/>
                <w:color w:val="auto"/>
              </w:rPr>
            </w:pPr>
            <w:r>
              <w:rPr>
                <w:rFonts w:ascii="Arial" w:cs="Arial" w:eastAsia="Arial" w:hAnsi="Arial"/>
                <w:sz w:val="16"/>
                <w:szCs w:val="16"/>
                <w:color w:val="auto"/>
              </w:rPr>
              <w:t>Executive Officer</w:t>
            </w:r>
          </w:p>
        </w:tc>
        <w:tc>
          <w:tcPr>
            <w:tcW w:w="2240" w:type="dxa"/>
            <w:vAlign w:val="bottom"/>
          </w:tcPr>
          <w:p>
            <w:pPr>
              <w:ind w:left="380"/>
              <w:spacing w:after="0"/>
              <w:rPr>
                <w:sz w:val="20"/>
                <w:szCs w:val="20"/>
                <w:color w:val="auto"/>
              </w:rPr>
            </w:pPr>
            <w:r>
              <w:rPr>
                <w:rFonts w:ascii="Arial" w:cs="Arial" w:eastAsia="Arial" w:hAnsi="Arial"/>
                <w:sz w:val="16"/>
                <w:szCs w:val="16"/>
                <w:color w:val="auto"/>
              </w:rPr>
              <w:t>President and Chief</w:t>
            </w:r>
          </w:p>
        </w:tc>
        <w:tc>
          <w:tcPr>
            <w:tcW w:w="2360" w:type="dxa"/>
            <w:vAlign w:val="bottom"/>
          </w:tcPr>
          <w:p>
            <w:pPr>
              <w:ind w:left="420"/>
              <w:spacing w:after="0"/>
              <w:rPr>
                <w:sz w:val="20"/>
                <w:szCs w:val="20"/>
                <w:color w:val="auto"/>
              </w:rPr>
            </w:pPr>
            <w:r>
              <w:rPr>
                <w:rFonts w:ascii="Arial" w:cs="Arial" w:eastAsia="Arial" w:hAnsi="Arial"/>
                <w:sz w:val="16"/>
                <w:szCs w:val="16"/>
                <w:color w:val="auto"/>
              </w:rPr>
              <w:t>President and Chief</w:t>
            </w:r>
          </w:p>
        </w:tc>
        <w:tc>
          <w:tcPr>
            <w:tcW w:w="2300" w:type="dxa"/>
            <w:vAlign w:val="bottom"/>
          </w:tcPr>
          <w:p>
            <w:pPr>
              <w:ind w:left="320"/>
              <w:spacing w:after="0"/>
              <w:rPr>
                <w:sz w:val="20"/>
                <w:szCs w:val="20"/>
                <w:color w:val="auto"/>
              </w:rPr>
            </w:pPr>
            <w:r>
              <w:rPr>
                <w:rFonts w:ascii="Arial" w:cs="Arial" w:eastAsia="Arial" w:hAnsi="Arial"/>
                <w:sz w:val="16"/>
                <w:szCs w:val="16"/>
                <w:color w:val="auto"/>
              </w:rPr>
              <w:t>President, Compliance,</w:t>
            </w:r>
          </w:p>
        </w:tc>
        <w:tc>
          <w:tcPr>
            <w:tcW w:w="1740" w:type="dxa"/>
            <w:vAlign w:val="bottom"/>
          </w:tcPr>
          <w:p>
            <w:pPr>
              <w:ind w:left="300"/>
              <w:spacing w:after="0"/>
              <w:rPr>
                <w:sz w:val="20"/>
                <w:szCs w:val="20"/>
                <w:color w:val="auto"/>
              </w:rPr>
            </w:pPr>
            <w:r>
              <w:rPr>
                <w:rFonts w:ascii="Arial" w:cs="Arial" w:eastAsia="Arial" w:hAnsi="Arial"/>
                <w:sz w:val="16"/>
                <w:szCs w:val="16"/>
                <w:color w:val="auto"/>
              </w:rPr>
              <w:t>President and Chief</w:t>
            </w:r>
          </w:p>
        </w:tc>
      </w:tr>
      <w:tr>
        <w:trPr>
          <w:trHeight w:val="242"/>
        </w:trPr>
        <w:tc>
          <w:tcPr>
            <w:tcW w:w="1860" w:type="dxa"/>
            <w:vAlign w:val="bottom"/>
          </w:tcPr>
          <w:p>
            <w:pPr>
              <w:spacing w:after="0"/>
              <w:rPr>
                <w:sz w:val="21"/>
                <w:szCs w:val="21"/>
                <w:color w:val="auto"/>
              </w:rPr>
            </w:pPr>
          </w:p>
        </w:tc>
        <w:tc>
          <w:tcPr>
            <w:tcW w:w="2240" w:type="dxa"/>
            <w:vAlign w:val="bottom"/>
          </w:tcPr>
          <w:p>
            <w:pPr>
              <w:ind w:left="380"/>
              <w:spacing w:after="0"/>
              <w:rPr>
                <w:sz w:val="20"/>
                <w:szCs w:val="20"/>
                <w:color w:val="auto"/>
              </w:rPr>
            </w:pPr>
            <w:r>
              <w:rPr>
                <w:rFonts w:ascii="Arial" w:cs="Arial" w:eastAsia="Arial" w:hAnsi="Arial"/>
                <w:sz w:val="16"/>
                <w:szCs w:val="16"/>
                <w:color w:val="auto"/>
              </w:rPr>
              <w:t>Financial Officer</w:t>
            </w:r>
          </w:p>
        </w:tc>
        <w:tc>
          <w:tcPr>
            <w:tcW w:w="2360" w:type="dxa"/>
            <w:vAlign w:val="bottom"/>
          </w:tcPr>
          <w:p>
            <w:pPr>
              <w:ind w:left="420"/>
              <w:spacing w:after="0"/>
              <w:rPr>
                <w:sz w:val="20"/>
                <w:szCs w:val="20"/>
                <w:color w:val="auto"/>
              </w:rPr>
            </w:pPr>
            <w:r>
              <w:rPr>
                <w:rFonts w:ascii="Arial" w:cs="Arial" w:eastAsia="Arial" w:hAnsi="Arial"/>
                <w:sz w:val="16"/>
                <w:szCs w:val="16"/>
                <w:color w:val="auto"/>
              </w:rPr>
              <w:t>Legal Officer</w:t>
            </w:r>
          </w:p>
        </w:tc>
        <w:tc>
          <w:tcPr>
            <w:tcW w:w="2300" w:type="dxa"/>
            <w:vAlign w:val="bottom"/>
          </w:tcPr>
          <w:p>
            <w:pPr>
              <w:ind w:left="320"/>
              <w:spacing w:after="0"/>
              <w:rPr>
                <w:sz w:val="20"/>
                <w:szCs w:val="20"/>
                <w:color w:val="auto"/>
              </w:rPr>
            </w:pPr>
            <w:r>
              <w:rPr>
                <w:rFonts w:ascii="Arial" w:cs="Arial" w:eastAsia="Arial" w:hAnsi="Arial"/>
                <w:sz w:val="16"/>
                <w:szCs w:val="16"/>
                <w:color w:val="auto"/>
              </w:rPr>
              <w:t>Audit and Risk</w:t>
            </w:r>
          </w:p>
        </w:tc>
        <w:tc>
          <w:tcPr>
            <w:tcW w:w="1740" w:type="dxa"/>
            <w:vAlign w:val="bottom"/>
          </w:tcPr>
          <w:p>
            <w:pPr>
              <w:ind w:left="300"/>
              <w:spacing w:after="0"/>
              <w:rPr>
                <w:sz w:val="20"/>
                <w:szCs w:val="20"/>
                <w:color w:val="auto"/>
              </w:rPr>
            </w:pPr>
            <w:r>
              <w:rPr>
                <w:rFonts w:ascii="Arial" w:cs="Arial" w:eastAsia="Arial" w:hAnsi="Arial"/>
                <w:sz w:val="16"/>
                <w:szCs w:val="16"/>
                <w:color w:val="auto"/>
              </w:rPr>
              <w:t>Operating Officer</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2024 Leadership Changes</w:t>
      </w:r>
    </w:p>
    <w:p>
      <w:pPr>
        <w:spacing w:after="0" w:line="126"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Effective April 1, 2024, Michael Innocenzo, who previously served as President and CEO of PECO Energy Company, was promoted to Executive Vice President and Chief Operating Officer of Exelon. In connection with his promotion, his base salary and Annual Incentive Plan (AIP) targets were increased and he received a new long-term incentive target award consistent with the terms of the Exelon Long-Term Incentive Plan (LTIP). Long-term incentives (LTI) include performance share awards (accounting for 67% of target LTI value) and restricted stock units (accounting for 33% of target LTI value). Payouts on both the AIP and the performance share awards were based on the achievement of pre-established performance targets as disclosed below in the CD&amp;A. Accordingly, his compensation in the following disclosures is prorated based on the time spent in each role.</w:t>
      </w:r>
    </w:p>
    <w:p>
      <w:pPr>
        <w:spacing w:after="0" w:line="66"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Additionally, Ms. Littleton ceased serving as Executive Vice President and Chief Legal Officer on January 1, 2025 and is serving as Special Advisor to the CEO until March 31, 2025, at which time she will separate and receive benefits pursuant to the terms of Exelon’s Senior Management Severance Plan applicable to a termination of employment other than for cause as disclosed below in the CD&amp;A.</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80" w:hanging="454"/>
        <w:spacing w:after="0"/>
        <w:tabs>
          <w:tab w:leader="none" w:pos="480" w:val="left"/>
        </w:tabs>
        <w:numPr>
          <w:ilvl w:val="0"/>
          <w:numId w:val="10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2" w:right="419" w:bottom="1440" w:gutter="0" w:footer="0" w:header="0"/>
        </w:sectPr>
      </w:pPr>
    </w:p>
    <w:bookmarkStart w:id="48" w:name="page49"/>
    <w:bookmarkEnd w:id="48"/>
    <w:p>
      <w:pPr>
        <w:jc w:val="right"/>
        <w:spacing w:after="0"/>
        <w:rPr>
          <w:sz w:val="20"/>
          <w:szCs w:val="20"/>
          <w:color w:val="auto"/>
        </w:rPr>
      </w:pPr>
      <w:r>
        <w:rPr>
          <w:rFonts w:ascii="Arial" w:cs="Arial" w:eastAsia="Arial" w:hAnsi="Arial"/>
          <w:sz w:val="13"/>
          <w:szCs w:val="13"/>
          <w:b w:val="1"/>
          <w:bCs w:val="1"/>
          <w:color w:val="auto"/>
        </w:rPr>
        <w:t>Compensation Discussion &amp; Analysis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Compensation Philosophy and Objectives</w:t>
      </w:r>
    </w:p>
    <w:p>
      <w:pPr>
        <w:spacing w:after="0" w:line="123"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The goals of our executive compensation program are to motivate executives to achieve long-term success, grow shareholder value, and encourage the retention of key talent. The TMCC sets challenging performance metrics that are tied to the Company’s financial and operational goals. Financial targets are based on internal business plans and external market factors.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objectives and principles guide the design of our compensation program:</w:t>
      </w:r>
    </w:p>
    <w:p>
      <w:pPr>
        <w:spacing w:after="0" w:line="185" w:lineRule="exact"/>
        <w:rPr>
          <w:sz w:val="20"/>
          <w:szCs w:val="20"/>
          <w:color w:val="auto"/>
        </w:rPr>
      </w:pPr>
    </w:p>
    <w:p>
      <w:pPr>
        <w:ind w:left="20"/>
        <w:spacing w:after="0"/>
        <w:tabs>
          <w:tab w:leader="none" w:pos="1900" w:val="left"/>
        </w:tabs>
        <w:rPr>
          <w:sz w:val="20"/>
          <w:szCs w:val="20"/>
          <w:color w:val="auto"/>
        </w:rPr>
      </w:pPr>
      <w:r>
        <w:rPr>
          <w:rFonts w:ascii="Arial" w:cs="Arial" w:eastAsia="Arial" w:hAnsi="Arial"/>
          <w:sz w:val="14"/>
          <w:szCs w:val="14"/>
          <w:b w:val="1"/>
          <w:bCs w:val="1"/>
          <w:color w:val="3A5CFF"/>
        </w:rPr>
        <w:t>Objective</w:t>
      </w:r>
      <w:r>
        <w:rPr>
          <w:sz w:val="20"/>
          <w:szCs w:val="20"/>
          <w:color w:val="auto"/>
        </w:rPr>
        <w:tab/>
      </w:r>
      <w:r>
        <w:rPr>
          <w:rFonts w:ascii="Arial" w:cs="Arial" w:eastAsia="Arial" w:hAnsi="Arial"/>
          <w:sz w:val="14"/>
          <w:szCs w:val="14"/>
          <w:b w:val="1"/>
          <w:bCs w:val="1"/>
          <w:color w:val="3A5CFF"/>
        </w:rPr>
        <w:t>Practices that Support this 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2343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118" w:lineRule="exact"/>
        <w:rPr>
          <w:sz w:val="20"/>
          <w:szCs w:val="20"/>
          <w:color w:val="auto"/>
        </w:rPr>
      </w:pPr>
    </w:p>
    <w:p>
      <w:pPr>
        <w:jc w:val="both"/>
        <w:ind w:left="20"/>
        <w:spacing w:after="0" w:line="280" w:lineRule="auto"/>
        <w:rPr>
          <w:sz w:val="20"/>
          <w:szCs w:val="20"/>
          <w:color w:val="auto"/>
        </w:rPr>
      </w:pPr>
      <w:r>
        <w:rPr>
          <w:rFonts w:ascii="Arial" w:cs="Arial" w:eastAsia="Arial" w:hAnsi="Arial"/>
          <w:sz w:val="16"/>
          <w:szCs w:val="16"/>
          <w:b w:val="1"/>
          <w:bCs w:val="1"/>
          <w:color w:val="170D67"/>
        </w:rPr>
        <w:t>ACCOUNTABILITY AND LONG-TERM PERFORMANCE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204" w:right="260" w:hanging="204"/>
        <w:spacing w:after="0" w:line="292" w:lineRule="auto"/>
        <w:tabs>
          <w:tab w:leader="none" w:pos="174" w:val="left"/>
        </w:tabs>
        <w:numPr>
          <w:ilvl w:val="0"/>
          <w:numId w:val="102"/>
        </w:numPr>
        <w:rPr>
          <w:rFonts w:ascii="Arial" w:cs="Arial" w:eastAsia="Arial" w:hAnsi="Arial"/>
          <w:sz w:val="16"/>
          <w:szCs w:val="16"/>
          <w:b w:val="1"/>
          <w:bCs w:val="1"/>
          <w:color w:val="170D67"/>
        </w:rPr>
      </w:pPr>
      <w:r>
        <w:rPr>
          <w:rFonts w:ascii="Arial" w:cs="Arial" w:eastAsia="Arial" w:hAnsi="Arial"/>
          <w:sz w:val="16"/>
          <w:szCs w:val="16"/>
          <w:color w:val="auto"/>
        </w:rPr>
        <w:t>Our compensation program promotes pay-for-performance by linking business performance with shareholder returns and payouts and supporting the execution of Exelon’s business strategy over multi-year periods to drive the success of our long-term strategy.</w:t>
      </w:r>
    </w:p>
    <w:p>
      <w:pPr>
        <w:spacing w:after="0" w:line="30" w:lineRule="exact"/>
        <w:rPr>
          <w:rFonts w:ascii="Arial" w:cs="Arial" w:eastAsia="Arial" w:hAnsi="Arial"/>
          <w:sz w:val="16"/>
          <w:szCs w:val="16"/>
          <w:b w:val="1"/>
          <w:bCs w:val="1"/>
          <w:color w:val="170D67"/>
        </w:rPr>
      </w:pPr>
    </w:p>
    <w:p>
      <w:pPr>
        <w:ind w:left="204" w:right="1020" w:hanging="204"/>
        <w:spacing w:after="0" w:line="304" w:lineRule="auto"/>
        <w:tabs>
          <w:tab w:leader="none" w:pos="174" w:val="left"/>
        </w:tabs>
        <w:numPr>
          <w:ilvl w:val="0"/>
          <w:numId w:val="102"/>
        </w:numPr>
        <w:rPr>
          <w:rFonts w:ascii="Arial" w:cs="Arial" w:eastAsia="Arial" w:hAnsi="Arial"/>
          <w:sz w:val="16"/>
          <w:szCs w:val="16"/>
          <w:b w:val="1"/>
          <w:bCs w:val="1"/>
          <w:color w:val="170D67"/>
        </w:rPr>
      </w:pPr>
      <w:r>
        <w:rPr>
          <w:rFonts w:ascii="Arial" w:cs="Arial" w:eastAsia="Arial" w:hAnsi="Arial"/>
          <w:sz w:val="16"/>
          <w:szCs w:val="16"/>
          <w:color w:val="auto"/>
        </w:rPr>
        <w:t>We set target performance levels that are challenging, but reasonably achievable, and are aligned to the goals we communicate to investors.</w:t>
      </w:r>
    </w:p>
    <w:p>
      <w:pPr>
        <w:spacing w:after="0" w:line="19" w:lineRule="exact"/>
        <w:rPr>
          <w:rFonts w:ascii="Arial" w:cs="Arial" w:eastAsia="Arial" w:hAnsi="Arial"/>
          <w:sz w:val="16"/>
          <w:szCs w:val="16"/>
          <w:b w:val="1"/>
          <w:bCs w:val="1"/>
          <w:color w:val="170D67"/>
        </w:rPr>
      </w:pPr>
    </w:p>
    <w:p>
      <w:pPr>
        <w:ind w:left="204" w:right="480" w:hanging="204"/>
        <w:spacing w:after="0" w:line="321" w:lineRule="auto"/>
        <w:tabs>
          <w:tab w:leader="none" w:pos="174" w:val="left"/>
        </w:tabs>
        <w:numPr>
          <w:ilvl w:val="0"/>
          <w:numId w:val="102"/>
        </w:numPr>
        <w:rPr>
          <w:rFonts w:ascii="Arial" w:cs="Arial" w:eastAsia="Arial" w:hAnsi="Arial"/>
          <w:sz w:val="16"/>
          <w:szCs w:val="16"/>
          <w:b w:val="1"/>
          <w:bCs w:val="1"/>
          <w:color w:val="170D67"/>
        </w:rPr>
      </w:pPr>
      <w:r>
        <w:rPr>
          <w:rFonts w:ascii="Arial" w:cs="Arial" w:eastAsia="Arial" w:hAnsi="Arial"/>
          <w:sz w:val="16"/>
          <w:szCs w:val="16"/>
          <w:color w:val="auto"/>
        </w:rPr>
        <w:t>Incentive compensation is tied to Exelon’s overall company performance; for utility executives, the majority of their annual incentive is tied to utility-specific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-1210945</wp:posOffset>
            </wp:positionH>
            <wp:positionV relativeFrom="paragraph">
              <wp:posOffset>81915</wp:posOffset>
            </wp:positionV>
            <wp:extent cx="712343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1460" w:space="456"/>
            <w:col w:w="9324"/>
          </w:cols>
          <w:pgMar w:left="320" w:top="122" w:right="339" w:bottom="1440" w:gutter="0" w:footer="0" w:header="0"/>
          <w:type w:val="continuous"/>
        </w:sectPr>
      </w:pPr>
    </w:p>
    <w:p>
      <w:pPr>
        <w:ind w:left="20" w:right="216"/>
        <w:spacing w:after="0" w:line="314" w:lineRule="auto"/>
        <w:rPr>
          <w:sz w:val="20"/>
          <w:szCs w:val="20"/>
          <w:color w:val="auto"/>
        </w:rPr>
      </w:pPr>
      <w:r>
        <w:rPr>
          <w:rFonts w:ascii="Arial" w:cs="Arial" w:eastAsia="Arial" w:hAnsi="Arial"/>
          <w:sz w:val="16"/>
          <w:szCs w:val="16"/>
          <w:b w:val="1"/>
          <w:bCs w:val="1"/>
          <w:color w:val="170D67"/>
        </w:rPr>
        <w:t>INVESTOR ALIGNMENT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164" w:hanging="164"/>
        <w:spacing w:after="0"/>
        <w:tabs>
          <w:tab w:leader="none" w:pos="164" w:val="left"/>
        </w:tabs>
        <w:numPr>
          <w:ilvl w:val="0"/>
          <w:numId w:val="103"/>
        </w:numPr>
        <w:rPr>
          <w:rFonts w:ascii="Arial" w:cs="Arial" w:eastAsia="Arial" w:hAnsi="Arial"/>
          <w:sz w:val="16"/>
          <w:szCs w:val="16"/>
          <w:b w:val="1"/>
          <w:bCs w:val="1"/>
          <w:color w:val="170D67"/>
        </w:rPr>
      </w:pPr>
      <w:r>
        <w:rPr>
          <w:rFonts w:ascii="Arial" w:cs="Arial" w:eastAsia="Arial" w:hAnsi="Arial"/>
          <w:sz w:val="16"/>
          <w:szCs w:val="16"/>
          <w:color w:val="auto"/>
        </w:rPr>
        <w:t>We engage directly with shareholders and will initiate responsive actions when appropriate.</w:t>
      </w:r>
    </w:p>
    <w:p>
      <w:pPr>
        <w:spacing w:after="0" w:line="99" w:lineRule="exact"/>
        <w:rPr>
          <w:rFonts w:ascii="Arial" w:cs="Arial" w:eastAsia="Arial" w:hAnsi="Arial"/>
          <w:sz w:val="16"/>
          <w:szCs w:val="16"/>
          <w:b w:val="1"/>
          <w:bCs w:val="1"/>
          <w:color w:val="170D67"/>
        </w:rPr>
      </w:pPr>
    </w:p>
    <w:p>
      <w:pPr>
        <w:ind w:left="164" w:hanging="164"/>
        <w:spacing w:after="0"/>
        <w:tabs>
          <w:tab w:leader="none" w:pos="164" w:val="left"/>
        </w:tabs>
        <w:numPr>
          <w:ilvl w:val="0"/>
          <w:numId w:val="103"/>
        </w:numPr>
        <w:rPr>
          <w:rFonts w:ascii="Arial" w:cs="Arial" w:eastAsia="Arial" w:hAnsi="Arial"/>
          <w:sz w:val="16"/>
          <w:szCs w:val="16"/>
          <w:b w:val="1"/>
          <w:bCs w:val="1"/>
          <w:color w:val="170D67"/>
        </w:rPr>
      </w:pPr>
      <w:r>
        <w:rPr>
          <w:rFonts w:ascii="Arial" w:cs="Arial" w:eastAsia="Arial" w:hAnsi="Arial"/>
          <w:sz w:val="16"/>
          <w:szCs w:val="16"/>
          <w:color w:val="auto"/>
        </w:rPr>
        <w:t>Executive stock ownership requirements align the long-term interests of our executives with our shareholders.</w:t>
      </w:r>
    </w:p>
    <w:p>
      <w:pPr>
        <w:spacing w:after="0" w:line="99" w:lineRule="exact"/>
        <w:rPr>
          <w:rFonts w:ascii="Arial" w:cs="Arial" w:eastAsia="Arial" w:hAnsi="Arial"/>
          <w:sz w:val="16"/>
          <w:szCs w:val="16"/>
          <w:b w:val="1"/>
          <w:bCs w:val="1"/>
          <w:color w:val="170D67"/>
        </w:rPr>
      </w:pPr>
    </w:p>
    <w:p>
      <w:pPr>
        <w:ind w:left="204" w:right="580" w:hanging="204"/>
        <w:spacing w:after="0" w:line="304" w:lineRule="auto"/>
        <w:tabs>
          <w:tab w:leader="none" w:pos="174" w:val="left"/>
        </w:tabs>
        <w:numPr>
          <w:ilvl w:val="0"/>
          <w:numId w:val="103"/>
        </w:numPr>
        <w:rPr>
          <w:rFonts w:ascii="Arial" w:cs="Arial" w:eastAsia="Arial" w:hAnsi="Arial"/>
          <w:sz w:val="16"/>
          <w:szCs w:val="16"/>
          <w:b w:val="1"/>
          <w:bCs w:val="1"/>
          <w:color w:val="auto"/>
        </w:rPr>
      </w:pPr>
      <w:r>
        <w:rPr>
          <w:rFonts w:ascii="Arial" w:cs="Arial" w:eastAsia="Arial" w:hAnsi="Arial"/>
          <w:sz w:val="16"/>
          <w:szCs w:val="16"/>
          <w:color w:val="auto"/>
        </w:rPr>
        <w:t>The TMCC may exercise discretion when necessary to align actual payouts with business performance and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-1210945</wp:posOffset>
            </wp:positionH>
            <wp:positionV relativeFrom="paragraph">
              <wp:posOffset>90170</wp:posOffset>
            </wp:positionV>
            <wp:extent cx="712343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96" w:space="720"/>
            <w:col w:w="9324"/>
          </w:cols>
          <w:pgMar w:left="320" w:top="122" w:right="339" w:bottom="1440" w:gutter="0" w:footer="0" w:header="0"/>
          <w:type w:val="continuous"/>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20" w:type="dxa"/>
            <w:vAlign w:val="bottom"/>
          </w:tcPr>
          <w:p>
            <w:pPr>
              <w:ind w:left="20"/>
              <w:spacing w:after="0"/>
              <w:rPr>
                <w:sz w:val="20"/>
                <w:szCs w:val="20"/>
                <w:color w:val="auto"/>
              </w:rPr>
            </w:pPr>
            <w:r>
              <w:rPr>
                <w:rFonts w:ascii="Arial" w:cs="Arial" w:eastAsia="Arial" w:hAnsi="Arial"/>
                <w:sz w:val="16"/>
                <w:szCs w:val="16"/>
                <w:b w:val="1"/>
                <w:bCs w:val="1"/>
                <w:color w:val="170D67"/>
              </w:rPr>
              <w:t>BALANCE</w:t>
            </w:r>
          </w:p>
        </w:tc>
        <w:tc>
          <w:tcPr>
            <w:tcW w:w="9700" w:type="dxa"/>
            <w:vAlign w:val="bottom"/>
            <w:vMerge w:val="restart"/>
          </w:tcPr>
          <w:p>
            <w:pPr>
              <w:ind w:left="400"/>
              <w:spacing w:after="0"/>
              <w:rPr>
                <w:sz w:val="20"/>
                <w:szCs w:val="20"/>
                <w:color w:val="auto"/>
              </w:rPr>
            </w:pPr>
            <w:r>
              <w:rPr>
                <w:rFonts w:ascii="Arial" w:cs="Arial" w:eastAsia="Arial" w:hAnsi="Arial"/>
                <w:sz w:val="16"/>
                <w:szCs w:val="16"/>
                <w:b w:val="1"/>
                <w:bCs w:val="1"/>
                <w:color w:val="170D67"/>
              </w:rPr>
              <w:t xml:space="preserve">• </w:t>
            </w:r>
            <w:r>
              <w:rPr>
                <w:rFonts w:ascii="Arial" w:cs="Arial" w:eastAsia="Arial" w:hAnsi="Arial"/>
                <w:sz w:val="16"/>
                <w:szCs w:val="16"/>
                <w:color w:val="000000"/>
              </w:rPr>
              <w:t>Our design balances short- and long-term objectives as well as financial and operational goals to motivate measured, but</w:t>
            </w:r>
          </w:p>
        </w:tc>
        <w:tc>
          <w:tcPr>
            <w:tcW w:w="0" w:type="dxa"/>
            <w:vAlign w:val="bottom"/>
          </w:tcPr>
          <w:p>
            <w:pPr>
              <w:spacing w:after="0"/>
              <w:rPr>
                <w:sz w:val="1"/>
                <w:szCs w:val="1"/>
                <w:color w:val="auto"/>
              </w:rPr>
            </w:pPr>
          </w:p>
        </w:tc>
      </w:tr>
      <w:tr>
        <w:trPr>
          <w:trHeight w:val="61"/>
        </w:trPr>
        <w:tc>
          <w:tcPr>
            <w:tcW w:w="1520" w:type="dxa"/>
            <w:vAlign w:val="bottom"/>
          </w:tcPr>
          <w:p>
            <w:pPr>
              <w:spacing w:after="0"/>
              <w:rPr>
                <w:sz w:val="5"/>
                <w:szCs w:val="5"/>
                <w:color w:val="auto"/>
              </w:rPr>
            </w:pPr>
          </w:p>
        </w:tc>
        <w:tc>
          <w:tcPr>
            <w:tcW w:w="9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1520" w:type="dxa"/>
            <w:vAlign w:val="bottom"/>
          </w:tcPr>
          <w:p>
            <w:pPr>
              <w:spacing w:after="0"/>
              <w:rPr>
                <w:sz w:val="18"/>
                <w:szCs w:val="18"/>
                <w:color w:val="auto"/>
              </w:rPr>
            </w:pPr>
          </w:p>
        </w:tc>
        <w:tc>
          <w:tcPr>
            <w:tcW w:w="9700" w:type="dxa"/>
            <w:vAlign w:val="bottom"/>
          </w:tcPr>
          <w:p>
            <w:pPr>
              <w:ind w:left="600"/>
              <w:spacing w:after="0"/>
              <w:rPr>
                <w:sz w:val="20"/>
                <w:szCs w:val="20"/>
                <w:color w:val="auto"/>
              </w:rPr>
            </w:pPr>
            <w:r>
              <w:rPr>
                <w:rFonts w:ascii="Arial" w:cs="Arial" w:eastAsia="Arial" w:hAnsi="Arial"/>
                <w:sz w:val="16"/>
                <w:szCs w:val="16"/>
                <w:color w:val="auto"/>
              </w:rPr>
              <w:t>sustainable and appropriate, risk-taking.</w:t>
            </w:r>
          </w:p>
        </w:tc>
        <w:tc>
          <w:tcPr>
            <w:tcW w:w="0" w:type="dxa"/>
            <w:vAlign w:val="bottom"/>
          </w:tcPr>
          <w:p>
            <w:pPr>
              <w:spacing w:after="0"/>
              <w:rPr>
                <w:sz w:val="1"/>
                <w:szCs w:val="1"/>
                <w:color w:val="auto"/>
              </w:rPr>
            </w:pPr>
          </w:p>
        </w:tc>
      </w:tr>
      <w:tr>
        <w:trPr>
          <w:trHeight w:val="285"/>
        </w:trPr>
        <w:tc>
          <w:tcPr>
            <w:tcW w:w="1520" w:type="dxa"/>
            <w:vAlign w:val="bottom"/>
          </w:tcPr>
          <w:p>
            <w:pPr>
              <w:spacing w:after="0"/>
              <w:rPr>
                <w:sz w:val="24"/>
                <w:szCs w:val="24"/>
                <w:color w:val="auto"/>
              </w:rPr>
            </w:pPr>
          </w:p>
        </w:tc>
        <w:tc>
          <w:tcPr>
            <w:tcW w:w="9700" w:type="dxa"/>
            <w:vAlign w:val="bottom"/>
          </w:tcPr>
          <w:p>
            <w:pPr>
              <w:ind w:left="4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Annual incentive awards recognize the achievement of short-term goals, while long-term awards encourage our executives to</w:t>
            </w:r>
          </w:p>
        </w:tc>
        <w:tc>
          <w:tcPr>
            <w:tcW w:w="0" w:type="dxa"/>
            <w:vAlign w:val="bottom"/>
          </w:tcPr>
          <w:p>
            <w:pPr>
              <w:spacing w:after="0"/>
              <w:rPr>
                <w:sz w:val="1"/>
                <w:szCs w:val="1"/>
                <w:color w:val="auto"/>
              </w:rPr>
            </w:pPr>
          </w:p>
        </w:tc>
      </w:tr>
      <w:tr>
        <w:trPr>
          <w:trHeight w:val="215"/>
        </w:trPr>
        <w:tc>
          <w:tcPr>
            <w:tcW w:w="1520" w:type="dxa"/>
            <w:vAlign w:val="bottom"/>
          </w:tcPr>
          <w:p>
            <w:pPr>
              <w:spacing w:after="0"/>
              <w:rPr>
                <w:sz w:val="18"/>
                <w:szCs w:val="18"/>
                <w:color w:val="auto"/>
              </w:rPr>
            </w:pPr>
          </w:p>
        </w:tc>
        <w:tc>
          <w:tcPr>
            <w:tcW w:w="9700" w:type="dxa"/>
            <w:vAlign w:val="bottom"/>
          </w:tcPr>
          <w:p>
            <w:pPr>
              <w:ind w:left="600"/>
              <w:spacing w:after="0"/>
              <w:rPr>
                <w:sz w:val="20"/>
                <w:szCs w:val="20"/>
                <w:color w:val="auto"/>
              </w:rPr>
            </w:pPr>
            <w:r>
              <w:rPr>
                <w:rFonts w:ascii="Arial" w:cs="Arial" w:eastAsia="Arial" w:hAnsi="Arial"/>
                <w:sz w:val="16"/>
                <w:szCs w:val="16"/>
                <w:color w:val="auto"/>
              </w:rPr>
              <w:t>deliver strong, longer-term results.</w:t>
            </w:r>
          </w:p>
        </w:tc>
        <w:tc>
          <w:tcPr>
            <w:tcW w:w="0" w:type="dxa"/>
            <w:vAlign w:val="bottom"/>
          </w:tcPr>
          <w:p>
            <w:pPr>
              <w:spacing w:after="0"/>
              <w:rPr>
                <w:sz w:val="1"/>
                <w:szCs w:val="1"/>
                <w:color w:val="auto"/>
              </w:rPr>
            </w:pPr>
          </w:p>
        </w:tc>
      </w:tr>
      <w:tr>
        <w:trPr>
          <w:trHeight w:val="191"/>
        </w:trPr>
        <w:tc>
          <w:tcPr>
            <w:tcW w:w="1520" w:type="dxa"/>
            <w:vAlign w:val="bottom"/>
            <w:tcBorders>
              <w:bottom w:val="single" w:sz="8" w:color="808080"/>
            </w:tcBorders>
          </w:tcPr>
          <w:p>
            <w:pPr>
              <w:spacing w:after="0"/>
              <w:rPr>
                <w:sz w:val="16"/>
                <w:szCs w:val="16"/>
                <w:color w:val="auto"/>
              </w:rPr>
            </w:pPr>
          </w:p>
        </w:tc>
        <w:tc>
          <w:tcPr>
            <w:tcW w:w="970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520" w:type="dxa"/>
            <w:vAlign w:val="bottom"/>
          </w:tcPr>
          <w:p>
            <w:pPr>
              <w:ind w:left="20"/>
              <w:spacing w:after="0"/>
              <w:rPr>
                <w:sz w:val="20"/>
                <w:szCs w:val="20"/>
                <w:color w:val="auto"/>
              </w:rPr>
            </w:pPr>
            <w:r>
              <w:rPr>
                <w:rFonts w:ascii="Arial" w:cs="Arial" w:eastAsia="Arial" w:hAnsi="Arial"/>
                <w:sz w:val="16"/>
                <w:szCs w:val="16"/>
                <w:b w:val="1"/>
                <w:bCs w:val="1"/>
                <w:color w:val="170D67"/>
              </w:rPr>
              <w:t>COMPETITIVE</w:t>
            </w:r>
          </w:p>
        </w:tc>
        <w:tc>
          <w:tcPr>
            <w:tcW w:w="9700" w:type="dxa"/>
            <w:vAlign w:val="bottom"/>
            <w:vMerge w:val="restart"/>
          </w:tcPr>
          <w:p>
            <w:pPr>
              <w:ind w:left="400"/>
              <w:spacing w:after="0"/>
              <w:rPr>
                <w:sz w:val="20"/>
                <w:szCs w:val="20"/>
                <w:color w:val="auto"/>
              </w:rPr>
            </w:pPr>
            <w:r>
              <w:rPr>
                <w:rFonts w:ascii="Arial" w:cs="Arial" w:eastAsia="Arial" w:hAnsi="Arial"/>
                <w:sz w:val="16"/>
                <w:szCs w:val="16"/>
                <w:b w:val="1"/>
                <w:bCs w:val="1"/>
                <w:color w:val="170D67"/>
              </w:rPr>
              <w:t xml:space="preserve">• </w:t>
            </w:r>
            <w:r>
              <w:rPr>
                <w:rFonts w:ascii="Arial" w:cs="Arial" w:eastAsia="Arial" w:hAnsi="Arial"/>
                <w:sz w:val="16"/>
                <w:szCs w:val="16"/>
                <w:color w:val="000000"/>
              </w:rPr>
              <w:t>Competitive compensation is provided to attract, engage, and retain talented executives with a strong track record of success,</w:t>
            </w:r>
          </w:p>
        </w:tc>
        <w:tc>
          <w:tcPr>
            <w:tcW w:w="0" w:type="dxa"/>
            <w:vAlign w:val="bottom"/>
          </w:tcPr>
          <w:p>
            <w:pPr>
              <w:spacing w:after="0"/>
              <w:rPr>
                <w:sz w:val="1"/>
                <w:szCs w:val="1"/>
                <w:color w:val="auto"/>
              </w:rPr>
            </w:pPr>
          </w:p>
        </w:tc>
      </w:tr>
      <w:tr>
        <w:trPr>
          <w:trHeight w:val="61"/>
        </w:trPr>
        <w:tc>
          <w:tcPr>
            <w:tcW w:w="1520" w:type="dxa"/>
            <w:vAlign w:val="bottom"/>
          </w:tcPr>
          <w:p>
            <w:pPr>
              <w:spacing w:after="0"/>
              <w:rPr>
                <w:sz w:val="5"/>
                <w:szCs w:val="5"/>
                <w:color w:val="auto"/>
              </w:rPr>
            </w:pPr>
          </w:p>
        </w:tc>
        <w:tc>
          <w:tcPr>
            <w:tcW w:w="9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1520" w:type="dxa"/>
            <w:vAlign w:val="bottom"/>
          </w:tcPr>
          <w:p>
            <w:pPr>
              <w:spacing w:after="0"/>
              <w:rPr>
                <w:sz w:val="18"/>
                <w:szCs w:val="18"/>
                <w:color w:val="auto"/>
              </w:rPr>
            </w:pPr>
          </w:p>
        </w:tc>
        <w:tc>
          <w:tcPr>
            <w:tcW w:w="9700" w:type="dxa"/>
            <w:vAlign w:val="bottom"/>
          </w:tcPr>
          <w:p>
            <w:pPr>
              <w:ind w:left="600"/>
              <w:spacing w:after="0"/>
              <w:rPr>
                <w:sz w:val="20"/>
                <w:szCs w:val="20"/>
                <w:color w:val="auto"/>
              </w:rPr>
            </w:pPr>
            <w:r>
              <w:rPr>
                <w:rFonts w:ascii="Arial" w:cs="Arial" w:eastAsia="Arial" w:hAnsi="Arial"/>
                <w:sz w:val="16"/>
                <w:szCs w:val="16"/>
                <w:color w:val="auto"/>
              </w:rPr>
              <w:t>assuring a high-performing and stable executive leadership team.</w:t>
            </w:r>
          </w:p>
        </w:tc>
        <w:tc>
          <w:tcPr>
            <w:tcW w:w="0" w:type="dxa"/>
            <w:vAlign w:val="bottom"/>
          </w:tcPr>
          <w:p>
            <w:pPr>
              <w:spacing w:after="0"/>
              <w:rPr>
                <w:sz w:val="1"/>
                <w:szCs w:val="1"/>
                <w:color w:val="auto"/>
              </w:rPr>
            </w:pPr>
          </w:p>
        </w:tc>
      </w:tr>
      <w:tr>
        <w:trPr>
          <w:trHeight w:val="285"/>
        </w:trPr>
        <w:tc>
          <w:tcPr>
            <w:tcW w:w="1520" w:type="dxa"/>
            <w:vAlign w:val="bottom"/>
          </w:tcPr>
          <w:p>
            <w:pPr>
              <w:spacing w:after="0"/>
              <w:rPr>
                <w:sz w:val="24"/>
                <w:szCs w:val="24"/>
                <w:color w:val="auto"/>
              </w:rPr>
            </w:pPr>
          </w:p>
        </w:tc>
        <w:tc>
          <w:tcPr>
            <w:tcW w:w="9700" w:type="dxa"/>
            <w:vAlign w:val="bottom"/>
          </w:tcPr>
          <w:p>
            <w:pPr>
              <w:ind w:left="4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Our compensation program considers the size and complexity of Exelon’s business, competitiveness relative to peer group</w:t>
            </w:r>
          </w:p>
        </w:tc>
        <w:tc>
          <w:tcPr>
            <w:tcW w:w="0" w:type="dxa"/>
            <w:vAlign w:val="bottom"/>
          </w:tcPr>
          <w:p>
            <w:pPr>
              <w:spacing w:after="0"/>
              <w:rPr>
                <w:sz w:val="1"/>
                <w:szCs w:val="1"/>
                <w:color w:val="auto"/>
              </w:rPr>
            </w:pPr>
          </w:p>
        </w:tc>
      </w:tr>
      <w:tr>
        <w:trPr>
          <w:trHeight w:val="215"/>
        </w:trPr>
        <w:tc>
          <w:tcPr>
            <w:tcW w:w="1520" w:type="dxa"/>
            <w:vAlign w:val="bottom"/>
          </w:tcPr>
          <w:p>
            <w:pPr>
              <w:spacing w:after="0"/>
              <w:rPr>
                <w:sz w:val="18"/>
                <w:szCs w:val="18"/>
                <w:color w:val="auto"/>
              </w:rPr>
            </w:pPr>
          </w:p>
        </w:tc>
        <w:tc>
          <w:tcPr>
            <w:tcW w:w="9700" w:type="dxa"/>
            <w:vAlign w:val="bottom"/>
          </w:tcPr>
          <w:p>
            <w:pPr>
              <w:ind w:left="600"/>
              <w:spacing w:after="0"/>
              <w:rPr>
                <w:sz w:val="20"/>
                <w:szCs w:val="20"/>
                <w:color w:val="auto"/>
              </w:rPr>
            </w:pPr>
            <w:r>
              <w:rPr>
                <w:rFonts w:ascii="Arial" w:cs="Arial" w:eastAsia="Arial" w:hAnsi="Arial"/>
                <w:sz w:val="16"/>
                <w:szCs w:val="16"/>
                <w:color w:val="auto"/>
              </w:rPr>
              <w:t>market median, internal equity, experience, succession planning, performance, and retention.</w:t>
            </w:r>
          </w:p>
        </w:tc>
        <w:tc>
          <w:tcPr>
            <w:tcW w:w="0" w:type="dxa"/>
            <w:vAlign w:val="bottom"/>
          </w:tcPr>
          <w:p>
            <w:pPr>
              <w:spacing w:after="0"/>
              <w:rPr>
                <w:sz w:val="1"/>
                <w:szCs w:val="1"/>
                <w:color w:val="auto"/>
              </w:rPr>
            </w:pPr>
          </w:p>
        </w:tc>
      </w:tr>
      <w:tr>
        <w:trPr>
          <w:trHeight w:val="191"/>
        </w:trPr>
        <w:tc>
          <w:tcPr>
            <w:tcW w:w="1520" w:type="dxa"/>
            <w:vAlign w:val="bottom"/>
            <w:tcBorders>
              <w:bottom w:val="single" w:sz="8" w:color="808080"/>
            </w:tcBorders>
          </w:tcPr>
          <w:p>
            <w:pPr>
              <w:spacing w:after="0"/>
              <w:rPr>
                <w:sz w:val="16"/>
                <w:szCs w:val="16"/>
                <w:color w:val="auto"/>
              </w:rPr>
            </w:pPr>
          </w:p>
        </w:tc>
        <w:tc>
          <w:tcPr>
            <w:tcW w:w="970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780"/>
              <w:spacing w:after="0"/>
              <w:rPr>
                <w:sz w:val="20"/>
                <w:szCs w:val="20"/>
                <w:color w:val="auto"/>
              </w:rPr>
            </w:pPr>
            <w:r>
              <w:rPr>
                <w:rFonts w:ascii="Arial" w:cs="Arial" w:eastAsia="Arial" w:hAnsi="Arial"/>
                <w:sz w:val="14"/>
                <w:szCs w:val="14"/>
                <w:color w:val="auto"/>
              </w:rPr>
              <w:t>2025 ׀ Exelon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45</w:t>
            </w:r>
          </w:p>
        </w:tc>
      </w:tr>
      <w:tr>
        <w:trPr>
          <w:trHeight w:val="225"/>
        </w:trPr>
        <w:tc>
          <w:tcPr>
            <w:tcW w:w="1092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3"/>
          <w:szCs w:val="13"/>
          <w:b w:val="1"/>
          <w:bCs w:val="1"/>
          <w:color w:val="auto"/>
        </w:rPr>
        <w:t>Compensation Discussion &amp; Analysis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Strong 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4149090" cy="342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149090" cy="34290"/>
                    </a:xfrm>
                    <a:prstGeom prst="rect">
                      <a:avLst/>
                    </a:prstGeom>
                    <a:noFill/>
                  </pic:spPr>
                </pic:pic>
              </a:graphicData>
            </a:graphic>
          </wp:anchor>
        </w:drawing>
      </w:r>
    </w:p>
    <w:p>
      <w:pPr>
        <w:spacing w:after="0" w:line="28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170D67"/>
        </w:rPr>
        <w:t>WHAT WE DO:</w:t>
      </w:r>
    </w:p>
    <w:p>
      <w:pPr>
        <w:spacing w:after="0" w:line="270" w:lineRule="exact"/>
        <w:rPr>
          <w:sz w:val="20"/>
          <w:szCs w:val="20"/>
          <w:color w:val="auto"/>
        </w:rPr>
      </w:pPr>
    </w:p>
    <w:p>
      <w:pPr>
        <w:ind w:left="20"/>
        <w:spacing w:after="0"/>
        <w:rPr>
          <w:sz w:val="20"/>
          <w:szCs w:val="20"/>
          <w:color w:val="auto"/>
        </w:rPr>
      </w:pPr>
      <w:r>
        <w:rPr>
          <w:sz w:val="1"/>
          <w:szCs w:val="1"/>
          <w:color w:val="auto"/>
        </w:rPr>
        <w:drawing>
          <wp:inline distT="0" distB="0" distL="0" distR="0">
            <wp:extent cx="93980" cy="77470"/>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93980" cy="77470"/>
                    </a:xfrm>
                    <a:prstGeom prst="rect">
                      <a:avLst/>
                    </a:prstGeom>
                    <a:noFill/>
                    <a:ln>
                      <a:noFill/>
                    </a:ln>
                  </pic:spPr>
                </pic:pic>
              </a:graphicData>
            </a:graphic>
          </wp:inline>
        </w:drawing>
      </w:r>
      <w:r>
        <w:rPr>
          <w:rFonts w:ascii="Arial" w:cs="Arial" w:eastAsia="Arial" w:hAnsi="Arial"/>
          <w:sz w:val="16"/>
          <w:szCs w:val="16"/>
          <w:color w:val="auto"/>
        </w:rPr>
        <w:t>   Pay for performance</w:t>
      </w:r>
    </w:p>
    <w:p>
      <w:pPr>
        <w:spacing w:after="0" w:line="114" w:lineRule="exact"/>
        <w:rPr>
          <w:sz w:val="20"/>
          <w:szCs w:val="20"/>
          <w:color w:val="auto"/>
        </w:rPr>
      </w:pPr>
    </w:p>
    <w:p>
      <w:pPr>
        <w:ind w:left="20"/>
        <w:spacing w:after="0"/>
        <w:rPr>
          <w:sz w:val="20"/>
          <w:szCs w:val="20"/>
          <w:color w:val="auto"/>
        </w:rPr>
      </w:pPr>
      <w:r>
        <w:rPr>
          <w:sz w:val="1"/>
          <w:szCs w:val="1"/>
          <w:color w:val="auto"/>
        </w:rPr>
        <w:drawing>
          <wp:inline distT="0" distB="0" distL="0" distR="0">
            <wp:extent cx="93980" cy="76835"/>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93980" cy="76835"/>
                    </a:xfrm>
                    <a:prstGeom prst="rect">
                      <a:avLst/>
                    </a:prstGeom>
                    <a:noFill/>
                    <a:ln>
                      <a:noFill/>
                    </a:ln>
                  </pic:spPr>
                </pic:pic>
              </a:graphicData>
            </a:graphic>
          </wp:inline>
        </w:drawing>
      </w:r>
      <w:r>
        <w:rPr>
          <w:rFonts w:ascii="Arial" w:cs="Arial" w:eastAsia="Arial" w:hAnsi="Arial"/>
          <w:sz w:val="16"/>
          <w:szCs w:val="16"/>
          <w:color w:val="auto"/>
        </w:rPr>
        <w:t>   Significant stock ownership requirements for Directors and executive officers</w:t>
      </w:r>
    </w:p>
    <w:p>
      <w:pPr>
        <w:spacing w:after="0" w:line="126" w:lineRule="exact"/>
        <w:rPr>
          <w:sz w:val="20"/>
          <w:szCs w:val="20"/>
          <w:color w:val="auto"/>
        </w:rPr>
      </w:pPr>
    </w:p>
    <w:p>
      <w:pPr>
        <w:ind w:left="360" w:right="100" w:hanging="328"/>
        <w:spacing w:after="0"/>
        <w:rPr>
          <w:sz w:val="20"/>
          <w:szCs w:val="20"/>
          <w:color w:val="auto"/>
        </w:rPr>
      </w:pPr>
      <w:r>
        <w:rPr>
          <w:sz w:val="1"/>
          <w:szCs w:val="1"/>
          <w:color w:val="auto"/>
        </w:rPr>
        <w:drawing>
          <wp:inline distT="0" distB="0" distL="0" distR="0">
            <wp:extent cx="93980" cy="7747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93980" cy="77470"/>
                    </a:xfrm>
                    <a:prstGeom prst="rect">
                      <a:avLst/>
                    </a:prstGeom>
                    <a:noFill/>
                    <a:ln>
                      <a:noFill/>
                    </a:ln>
                  </pic:spPr>
                </pic:pic>
              </a:graphicData>
            </a:graphic>
          </wp:inline>
        </w:drawing>
      </w:r>
      <w:r>
        <w:rPr>
          <w:rFonts w:ascii="Arial" w:cs="Arial" w:eastAsia="Arial" w:hAnsi="Arial"/>
          <w:sz w:val="16"/>
          <w:szCs w:val="16"/>
          <w:color w:val="auto"/>
        </w:rPr>
        <w:t>  Cap incentive awards and conduct an annual risk assessment of the compensation programs</w:t>
      </w:r>
    </w:p>
    <w:p>
      <w:pPr>
        <w:spacing w:after="0" w:line="83" w:lineRule="exact"/>
        <w:rPr>
          <w:sz w:val="20"/>
          <w:szCs w:val="20"/>
          <w:color w:val="auto"/>
        </w:rPr>
      </w:pPr>
    </w:p>
    <w:p>
      <w:pPr>
        <w:ind w:left="20"/>
        <w:spacing w:after="0"/>
        <w:rPr>
          <w:sz w:val="20"/>
          <w:szCs w:val="20"/>
          <w:color w:val="auto"/>
        </w:rPr>
      </w:pPr>
      <w:r>
        <w:rPr>
          <w:sz w:val="1"/>
          <w:szCs w:val="1"/>
          <w:color w:val="auto"/>
        </w:rPr>
        <w:drawing>
          <wp:inline distT="0" distB="0" distL="0" distR="0">
            <wp:extent cx="93980" cy="77470"/>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93980" cy="77470"/>
                    </a:xfrm>
                    <a:prstGeom prst="rect">
                      <a:avLst/>
                    </a:prstGeom>
                    <a:noFill/>
                    <a:ln>
                      <a:noFill/>
                    </a:ln>
                  </pic:spPr>
                </pic:pic>
              </a:graphicData>
            </a:graphic>
          </wp:inline>
        </w:drawing>
      </w:r>
      <w:r>
        <w:rPr>
          <w:rFonts w:ascii="Arial" w:cs="Arial" w:eastAsia="Arial" w:hAnsi="Arial"/>
          <w:sz w:val="16"/>
          <w:szCs w:val="16"/>
          <w:color w:val="auto"/>
        </w:rPr>
        <w:t>   Double-trigger for change-in-control benefits</w:t>
      </w:r>
    </w:p>
    <w:p>
      <w:pPr>
        <w:spacing w:after="0" w:line="113" w:lineRule="exact"/>
        <w:rPr>
          <w:sz w:val="20"/>
          <w:szCs w:val="20"/>
          <w:color w:val="auto"/>
        </w:rPr>
      </w:pPr>
    </w:p>
    <w:p>
      <w:pPr>
        <w:ind w:left="20"/>
        <w:spacing w:after="0"/>
        <w:rPr>
          <w:sz w:val="20"/>
          <w:szCs w:val="20"/>
          <w:color w:val="auto"/>
        </w:rPr>
      </w:pPr>
      <w:r>
        <w:rPr>
          <w:sz w:val="1"/>
          <w:szCs w:val="1"/>
          <w:color w:val="auto"/>
        </w:rPr>
        <w:drawing>
          <wp:inline distT="0" distB="0" distL="0" distR="0">
            <wp:extent cx="93980" cy="77470"/>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93980" cy="77470"/>
                    </a:xfrm>
                    <a:prstGeom prst="rect">
                      <a:avLst/>
                    </a:prstGeom>
                    <a:noFill/>
                    <a:ln>
                      <a:noFill/>
                    </a:ln>
                  </pic:spPr>
                </pic:pic>
              </a:graphicData>
            </a:graphic>
          </wp:inline>
        </w:drawing>
      </w:r>
      <w:r>
        <w:rPr>
          <w:rFonts w:ascii="Arial" w:cs="Arial" w:eastAsia="Arial" w:hAnsi="Arial"/>
          <w:sz w:val="16"/>
          <w:szCs w:val="16"/>
          <w:color w:val="auto"/>
        </w:rPr>
        <w:t>   Independent compensation consultant advises the TMCC</w:t>
      </w:r>
    </w:p>
    <w:p>
      <w:pPr>
        <w:spacing w:after="0" w:line="127" w:lineRule="exact"/>
        <w:rPr>
          <w:sz w:val="20"/>
          <w:szCs w:val="20"/>
          <w:color w:val="auto"/>
        </w:rPr>
      </w:pPr>
    </w:p>
    <w:p>
      <w:pPr>
        <w:ind w:left="20"/>
        <w:spacing w:after="0"/>
        <w:rPr>
          <w:sz w:val="20"/>
          <w:szCs w:val="20"/>
          <w:color w:val="auto"/>
        </w:rPr>
      </w:pPr>
      <w:r>
        <w:rPr>
          <w:sz w:val="1"/>
          <w:szCs w:val="1"/>
          <w:color w:val="auto"/>
        </w:rPr>
        <w:drawing>
          <wp:inline distT="0" distB="0" distL="0" distR="0">
            <wp:extent cx="93980" cy="77470"/>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93980" cy="77470"/>
                    </a:xfrm>
                    <a:prstGeom prst="rect">
                      <a:avLst/>
                    </a:prstGeom>
                    <a:noFill/>
                    <a:ln>
                      <a:noFill/>
                    </a:ln>
                  </pic:spPr>
                </pic:pic>
              </a:graphicData>
            </a:graphic>
          </wp:inline>
        </w:drawing>
      </w:r>
      <w:r>
        <w:rPr>
          <w:rFonts w:ascii="Arial" w:cs="Arial" w:eastAsia="Arial" w:hAnsi="Arial"/>
          <w:sz w:val="16"/>
          <w:szCs w:val="16"/>
          <w:color w:val="auto"/>
        </w:rPr>
        <w:t>   Limited perquisites</w:t>
      </w:r>
    </w:p>
    <w:p>
      <w:pPr>
        <w:spacing w:after="0" w:line="126" w:lineRule="exact"/>
        <w:rPr>
          <w:sz w:val="20"/>
          <w:szCs w:val="20"/>
          <w:color w:val="auto"/>
        </w:rPr>
      </w:pPr>
    </w:p>
    <w:p>
      <w:pPr>
        <w:ind w:left="20"/>
        <w:spacing w:after="0"/>
        <w:rPr>
          <w:sz w:val="20"/>
          <w:szCs w:val="20"/>
          <w:color w:val="auto"/>
        </w:rPr>
      </w:pPr>
      <w:r>
        <w:rPr>
          <w:sz w:val="1"/>
          <w:szCs w:val="1"/>
          <w:color w:val="auto"/>
        </w:rPr>
        <w:drawing>
          <wp:inline distT="0" distB="0" distL="0" distR="0">
            <wp:extent cx="93980" cy="77470"/>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93980" cy="77470"/>
                    </a:xfrm>
                    <a:prstGeom prst="rect">
                      <a:avLst/>
                    </a:prstGeom>
                    <a:noFill/>
                    <a:ln>
                      <a:noFill/>
                    </a:ln>
                  </pic:spPr>
                </pic:pic>
              </a:graphicData>
            </a:graphic>
          </wp:inline>
        </w:drawing>
      </w:r>
      <w:r>
        <w:rPr>
          <w:rFonts w:ascii="Arial" w:cs="Arial" w:eastAsia="Arial" w:hAnsi="Arial"/>
          <w:sz w:val="16"/>
          <w:szCs w:val="16"/>
          <w:color w:val="auto"/>
        </w:rPr>
        <w:t>   Clawback policy for incentive compensation awards</w:t>
      </w:r>
    </w:p>
    <w:p>
      <w:pPr>
        <w:spacing w:after="0" w:line="114" w:lineRule="exact"/>
        <w:rPr>
          <w:sz w:val="20"/>
          <w:szCs w:val="20"/>
          <w:color w:val="auto"/>
        </w:rPr>
      </w:pPr>
    </w:p>
    <w:p>
      <w:pPr>
        <w:ind w:left="20"/>
        <w:spacing w:after="0"/>
        <w:rPr>
          <w:sz w:val="20"/>
          <w:szCs w:val="20"/>
          <w:color w:val="auto"/>
        </w:rPr>
      </w:pPr>
      <w:r>
        <w:rPr>
          <w:sz w:val="1"/>
          <w:szCs w:val="1"/>
          <w:color w:val="auto"/>
        </w:rPr>
        <w:drawing>
          <wp:inline distT="0" distB="0" distL="0" distR="0">
            <wp:extent cx="93980" cy="77470"/>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93980" cy="77470"/>
                    </a:xfrm>
                    <a:prstGeom prst="rect">
                      <a:avLst/>
                    </a:prstGeom>
                    <a:noFill/>
                    <a:ln>
                      <a:noFill/>
                    </a:ln>
                  </pic:spPr>
                </pic:pic>
              </a:graphicData>
            </a:graphic>
          </wp:inline>
        </w:drawing>
      </w:r>
      <w:r>
        <w:rPr>
          <w:rFonts w:ascii="Arial" w:cs="Arial" w:eastAsia="Arial" w:hAnsi="Arial"/>
          <w:sz w:val="16"/>
          <w:szCs w:val="16"/>
          <w:color w:val="auto"/>
        </w:rPr>
        <w:t>   Compensation practices aligned with our philosophy for consistent outcomes</w:t>
      </w:r>
    </w:p>
    <w:p>
      <w:pPr>
        <w:spacing w:after="0" w:line="126" w:lineRule="exact"/>
        <w:rPr>
          <w:sz w:val="20"/>
          <w:szCs w:val="20"/>
          <w:color w:val="auto"/>
        </w:rPr>
      </w:pPr>
    </w:p>
    <w:p>
      <w:pPr>
        <w:ind w:left="20"/>
        <w:spacing w:after="0"/>
        <w:rPr>
          <w:sz w:val="20"/>
          <w:szCs w:val="20"/>
          <w:color w:val="auto"/>
        </w:rPr>
      </w:pPr>
      <w:r>
        <w:rPr>
          <w:sz w:val="1"/>
          <w:szCs w:val="1"/>
          <w:color w:val="auto"/>
        </w:rPr>
        <w:drawing>
          <wp:inline distT="0" distB="0" distL="0" distR="0">
            <wp:extent cx="93980" cy="77470"/>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93980" cy="77470"/>
                    </a:xfrm>
                    <a:prstGeom prst="rect">
                      <a:avLst/>
                    </a:prstGeom>
                    <a:noFill/>
                    <a:ln>
                      <a:noFill/>
                    </a:ln>
                  </pic:spPr>
                </pic:pic>
              </a:graphicData>
            </a:graphic>
          </wp:inline>
        </w:drawing>
      </w:r>
      <w:r>
        <w:rPr>
          <w:rFonts w:ascii="Arial" w:cs="Arial" w:eastAsia="Arial" w:hAnsi="Arial"/>
          <w:sz w:val="16"/>
          <w:szCs w:val="16"/>
          <w:color w:val="auto"/>
        </w:rPr>
        <w:t>   Engage in year-round shareholder outreach</w:t>
      </w:r>
    </w:p>
    <w:p>
      <w:pPr>
        <w:spacing w:after="0" w:line="114" w:lineRule="exact"/>
        <w:rPr>
          <w:sz w:val="20"/>
          <w:szCs w:val="20"/>
          <w:color w:val="auto"/>
        </w:rPr>
      </w:pPr>
    </w:p>
    <w:p>
      <w:pPr>
        <w:ind w:left="20"/>
        <w:spacing w:after="0"/>
        <w:rPr>
          <w:sz w:val="20"/>
          <w:szCs w:val="20"/>
          <w:color w:val="auto"/>
        </w:rPr>
      </w:pPr>
      <w:r>
        <w:rPr>
          <w:sz w:val="1"/>
          <w:szCs w:val="1"/>
          <w:color w:val="auto"/>
        </w:rPr>
        <w:drawing>
          <wp:inline distT="0" distB="0" distL="0" distR="0">
            <wp:extent cx="93980" cy="77470"/>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93980" cy="77470"/>
                    </a:xfrm>
                    <a:prstGeom prst="rect">
                      <a:avLst/>
                    </a:prstGeom>
                    <a:noFill/>
                    <a:ln>
                      <a:noFill/>
                    </a:ln>
                  </pic:spPr>
                </pic:pic>
              </a:graphicData>
            </a:graphic>
          </wp:inline>
        </w:drawing>
      </w:r>
      <w:r>
        <w:rPr>
          <w:rFonts w:ascii="Arial" w:cs="Arial" w:eastAsia="Arial" w:hAnsi="Arial"/>
          <w:sz w:val="16"/>
          <w:szCs w:val="16"/>
          <w:color w:val="auto"/>
        </w:rPr>
        <w:t>   Prohibit hedging or pledging of Company stock</w:t>
      </w:r>
    </w:p>
    <w:p>
      <w:pPr>
        <w:spacing w:after="0" w:line="127" w:lineRule="exact"/>
        <w:rPr>
          <w:sz w:val="20"/>
          <w:szCs w:val="20"/>
          <w:color w:val="auto"/>
        </w:rPr>
      </w:pPr>
    </w:p>
    <w:p>
      <w:pPr>
        <w:ind w:left="20" w:right="740"/>
        <w:spacing w:after="0" w:line="434" w:lineRule="auto"/>
        <w:rPr>
          <w:sz w:val="20"/>
          <w:szCs w:val="20"/>
          <w:color w:val="auto"/>
        </w:rPr>
      </w:pPr>
      <w:r>
        <w:rPr>
          <w:sz w:val="1"/>
          <w:szCs w:val="1"/>
          <w:color w:val="auto"/>
        </w:rPr>
        <w:drawing>
          <wp:inline distT="0" distB="0" distL="0" distR="0">
            <wp:extent cx="93980" cy="77470"/>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93980" cy="77470"/>
                    </a:xfrm>
                    <a:prstGeom prst="rect">
                      <a:avLst/>
                    </a:prstGeom>
                    <a:noFill/>
                    <a:ln>
                      <a:noFill/>
                    </a:ln>
                  </pic:spPr>
                </pic:pic>
              </a:graphicData>
            </a:graphic>
          </wp:inline>
        </w:drawing>
      </w:r>
      <w:r>
        <w:rPr>
          <w:rFonts w:ascii="Arial" w:cs="Arial" w:eastAsia="Arial" w:hAnsi="Arial"/>
          <w:sz w:val="16"/>
          <w:szCs w:val="16"/>
          <w:color w:val="auto"/>
        </w:rPr>
        <w:t xml:space="preserve">  Annually assess our programs against peer companies and best practices </w:t>
      </w:r>
      <w:r>
        <w:rPr>
          <w:sz w:val="1"/>
          <w:szCs w:val="1"/>
          <w:color w:val="auto"/>
        </w:rPr>
        <w:drawing>
          <wp:inline distT="0" distB="0" distL="0" distR="0">
            <wp:extent cx="93980" cy="77470"/>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93980" cy="77470"/>
                    </a:xfrm>
                    <a:prstGeom prst="rect">
                      <a:avLst/>
                    </a:prstGeom>
                    <a:noFill/>
                    <a:ln>
                      <a:noFill/>
                    </a:ln>
                  </pic:spPr>
                </pic:pic>
              </a:graphicData>
            </a:graphic>
          </wp:inline>
        </w:drawing>
      </w:r>
      <w:r>
        <w:rPr>
          <w:rFonts w:ascii="Arial" w:cs="Arial" w:eastAsia="Arial" w:hAnsi="Arial"/>
          <w:sz w:val="16"/>
          <w:szCs w:val="16"/>
          <w:color w:val="auto"/>
        </w:rPr>
        <w:t>  Set appropriate levels of “stretch” in incentive targets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-187960</wp:posOffset>
            </wp:positionV>
            <wp:extent cx="2623185" cy="342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623185" cy="34290"/>
                    </a:xfrm>
                    <a:prstGeom prst="rect">
                      <a:avLst/>
                    </a:prstGeom>
                    <a:noFill/>
                  </pic:spPr>
                </pic:pic>
              </a:graphicData>
            </a:graphic>
          </wp:anchor>
        </w:drawing>
      </w:r>
    </w:p>
    <w:p>
      <w:pPr>
        <w:spacing w:after="0" w:line="250" w:lineRule="exact"/>
        <w:rPr>
          <w:sz w:val="20"/>
          <w:szCs w:val="20"/>
          <w:color w:val="auto"/>
        </w:rPr>
      </w:pPr>
    </w:p>
    <w:p>
      <w:pPr>
        <w:ind w:left="340" w:right="440" w:hanging="327"/>
        <w:spacing w:after="0"/>
        <w:rPr>
          <w:sz w:val="20"/>
          <w:szCs w:val="20"/>
          <w:color w:val="auto"/>
        </w:rPr>
      </w:pPr>
      <w:r>
        <w:rPr>
          <w:sz w:val="1"/>
          <w:szCs w:val="1"/>
          <w:color w:val="auto"/>
        </w:rPr>
        <w:drawing>
          <wp:inline distT="0" distB="0" distL="0" distR="0">
            <wp:extent cx="94615" cy="77470"/>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94615" cy="77470"/>
                    </a:xfrm>
                    <a:prstGeom prst="rect">
                      <a:avLst/>
                    </a:prstGeom>
                    <a:noFill/>
                    <a:ln>
                      <a:noFill/>
                    </a:ln>
                  </pic:spPr>
                </pic:pic>
              </a:graphicData>
            </a:graphic>
          </wp:inline>
        </w:drawing>
      </w:r>
      <w:r>
        <w:rPr>
          <w:rFonts w:ascii="Arial" w:cs="Arial" w:eastAsia="Arial" w:hAnsi="Arial"/>
          <w:sz w:val="16"/>
          <w:szCs w:val="16"/>
          <w:color w:val="auto"/>
        </w:rPr>
        <w:t>  No guaranteed minimum payout of AIP or LTIP programs</w:t>
      </w:r>
    </w:p>
    <w:p>
      <w:pPr>
        <w:spacing w:after="0" w:line="82" w:lineRule="exact"/>
        <w:rPr>
          <w:sz w:val="20"/>
          <w:szCs w:val="20"/>
          <w:color w:val="auto"/>
        </w:rPr>
      </w:pPr>
    </w:p>
    <w:p>
      <w:pPr>
        <w:spacing w:after="0"/>
        <w:rPr>
          <w:sz w:val="20"/>
          <w:szCs w:val="20"/>
          <w:color w:val="auto"/>
        </w:rPr>
      </w:pPr>
      <w:r>
        <w:rPr>
          <w:sz w:val="1"/>
          <w:szCs w:val="1"/>
          <w:color w:val="auto"/>
        </w:rPr>
        <w:drawing>
          <wp:inline distT="0" distB="0" distL="0" distR="0">
            <wp:extent cx="94615" cy="77470"/>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94615" cy="77470"/>
                    </a:xfrm>
                    <a:prstGeom prst="rect">
                      <a:avLst/>
                    </a:prstGeom>
                    <a:noFill/>
                    <a:ln>
                      <a:noFill/>
                    </a:ln>
                  </pic:spPr>
                </pic:pic>
              </a:graphicData>
            </a:graphic>
          </wp:inline>
        </w:drawing>
      </w:r>
      <w:r>
        <w:rPr>
          <w:rFonts w:ascii="Arial" w:cs="Arial" w:eastAsia="Arial" w:hAnsi="Arial"/>
          <w:sz w:val="16"/>
          <w:szCs w:val="16"/>
          <w:color w:val="auto"/>
        </w:rPr>
        <w:t>   No employment agreements</w:t>
      </w:r>
    </w:p>
    <w:p>
      <w:pPr>
        <w:spacing w:after="0" w:line="114" w:lineRule="exact"/>
        <w:rPr>
          <w:sz w:val="20"/>
          <w:szCs w:val="20"/>
          <w:color w:val="auto"/>
        </w:rPr>
      </w:pPr>
    </w:p>
    <w:p>
      <w:pPr>
        <w:ind w:left="340" w:right="540" w:hanging="327"/>
        <w:spacing w:after="0"/>
        <w:rPr>
          <w:sz w:val="20"/>
          <w:szCs w:val="20"/>
          <w:color w:val="auto"/>
        </w:rPr>
      </w:pPr>
      <w:r>
        <w:rPr>
          <w:sz w:val="1"/>
          <w:szCs w:val="1"/>
          <w:color w:val="auto"/>
        </w:rPr>
        <w:drawing>
          <wp:inline distT="0" distB="0" distL="0" distR="0">
            <wp:extent cx="94615" cy="77470"/>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94615" cy="77470"/>
                    </a:xfrm>
                    <a:prstGeom prst="rect">
                      <a:avLst/>
                    </a:prstGeom>
                    <a:noFill/>
                    <a:ln>
                      <a:noFill/>
                    </a:ln>
                  </pic:spPr>
                </pic:pic>
              </a:graphicData>
            </a:graphic>
          </wp:inline>
        </w:drawing>
      </w:r>
      <w:r>
        <w:rPr>
          <w:rFonts w:ascii="Arial" w:cs="Arial" w:eastAsia="Arial" w:hAnsi="Arial"/>
          <w:sz w:val="16"/>
          <w:szCs w:val="16"/>
          <w:color w:val="auto"/>
        </w:rPr>
        <w:t>  No excise tax gross-ups for change-in-control agreements</w:t>
      </w:r>
    </w:p>
    <w:p>
      <w:pPr>
        <w:spacing w:after="0" w:line="69" w:lineRule="exact"/>
        <w:rPr>
          <w:sz w:val="20"/>
          <w:szCs w:val="20"/>
          <w:color w:val="auto"/>
        </w:rPr>
      </w:pPr>
    </w:p>
    <w:p>
      <w:pPr>
        <w:ind w:left="340" w:right="100" w:hanging="327"/>
        <w:spacing w:after="0"/>
        <w:rPr>
          <w:sz w:val="20"/>
          <w:szCs w:val="20"/>
          <w:color w:val="auto"/>
        </w:rPr>
      </w:pPr>
      <w:r>
        <w:rPr>
          <w:sz w:val="1"/>
          <w:szCs w:val="1"/>
          <w:color w:val="auto"/>
        </w:rPr>
        <w:drawing>
          <wp:inline distT="0" distB="0" distL="0" distR="0">
            <wp:extent cx="94615" cy="77470"/>
            <wp:effectExtent l="0" t="0" r="0"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94615" cy="77470"/>
                    </a:xfrm>
                    <a:prstGeom prst="rect">
                      <a:avLst/>
                    </a:prstGeom>
                    <a:noFill/>
                    <a:ln>
                      <a:noFill/>
                    </a:ln>
                  </pic:spPr>
                </pic:pic>
              </a:graphicData>
            </a:graphic>
          </wp:inline>
        </w:drawing>
      </w:r>
      <w:r>
        <w:rPr>
          <w:rFonts w:ascii="Arial" w:cs="Arial" w:eastAsia="Arial" w:hAnsi="Arial"/>
          <w:sz w:val="16"/>
          <w:szCs w:val="16"/>
          <w:color w:val="auto"/>
        </w:rPr>
        <w:t>  The value of LTIP awards is not included in pension or cash severance calculations</w:t>
      </w:r>
    </w:p>
    <w:p>
      <w:pPr>
        <w:spacing w:after="0" w:line="82" w:lineRule="exact"/>
        <w:rPr>
          <w:sz w:val="20"/>
          <w:szCs w:val="20"/>
          <w:color w:val="auto"/>
        </w:rPr>
      </w:pPr>
    </w:p>
    <w:p>
      <w:pPr>
        <w:ind w:left="340" w:right="540" w:hanging="327"/>
        <w:spacing w:after="0"/>
        <w:rPr>
          <w:sz w:val="20"/>
          <w:szCs w:val="20"/>
          <w:color w:val="auto"/>
        </w:rPr>
      </w:pPr>
      <w:r>
        <w:rPr>
          <w:sz w:val="1"/>
          <w:szCs w:val="1"/>
          <w:color w:val="auto"/>
        </w:rPr>
        <w:drawing>
          <wp:inline distT="0" distB="0" distL="0" distR="0">
            <wp:extent cx="94615" cy="76835"/>
            <wp:effectExtent l="0" t="0" r="0"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94615" cy="76835"/>
                    </a:xfrm>
                    <a:prstGeom prst="rect">
                      <a:avLst/>
                    </a:prstGeom>
                    <a:noFill/>
                    <a:ln>
                      <a:noFill/>
                    </a:ln>
                  </pic:spPr>
                </pic:pic>
              </a:graphicData>
            </a:graphic>
          </wp:inline>
        </w:drawing>
      </w:r>
      <w:r>
        <w:rPr>
          <w:rFonts w:ascii="Arial" w:cs="Arial" w:eastAsia="Arial" w:hAnsi="Arial"/>
          <w:sz w:val="16"/>
          <w:szCs w:val="16"/>
          <w:color w:val="auto"/>
        </w:rPr>
        <w:t>  No more than two years of additional credited service under supplemental pension plans</w:t>
      </w:r>
    </w:p>
    <w:p>
      <w:pPr>
        <w:spacing w:after="0" w:line="82" w:lineRule="exact"/>
        <w:rPr>
          <w:sz w:val="20"/>
          <w:szCs w:val="20"/>
          <w:color w:val="auto"/>
        </w:rPr>
      </w:pPr>
    </w:p>
    <w:p>
      <w:pPr>
        <w:spacing w:after="0"/>
        <w:rPr>
          <w:sz w:val="20"/>
          <w:szCs w:val="20"/>
          <w:color w:val="auto"/>
        </w:rPr>
      </w:pPr>
      <w:r>
        <w:rPr>
          <w:sz w:val="1"/>
          <w:szCs w:val="1"/>
          <w:color w:val="auto"/>
        </w:rPr>
        <w:drawing>
          <wp:inline distT="0" distB="0" distL="0" distR="0">
            <wp:extent cx="94615" cy="77470"/>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94615" cy="77470"/>
                    </a:xfrm>
                    <a:prstGeom prst="rect">
                      <a:avLst/>
                    </a:prstGeom>
                    <a:noFill/>
                    <a:ln>
                      <a:noFill/>
                    </a:ln>
                  </pic:spPr>
                </pic:pic>
              </a:graphicData>
            </a:graphic>
          </wp:inline>
        </w:drawing>
      </w:r>
      <w:r>
        <w:rPr>
          <w:rFonts w:ascii="Arial" w:cs="Arial" w:eastAsia="Arial" w:hAnsi="Arial"/>
          <w:sz w:val="16"/>
          <w:szCs w:val="16"/>
          <w:color w:val="auto"/>
        </w:rPr>
        <w:t>   No option repricing or buyouts</w:t>
      </w:r>
      <w:r>
        <w:rPr>
          <w:rFonts w:ascii="Arial" w:cs="Arial" w:eastAsia="Arial" w:hAnsi="Arial"/>
          <w:sz w:val="21"/>
          <w:szCs w:val="21"/>
          <w:color w:val="auto"/>
          <w:vertAlign w:val="superscript"/>
        </w:rPr>
        <w:t>1</w:t>
      </w:r>
    </w:p>
    <w:p>
      <w:pPr>
        <w:spacing w:after="0" w:line="1316" w:lineRule="exact"/>
        <w:rPr>
          <w:sz w:val="20"/>
          <w:szCs w:val="20"/>
          <w:color w:val="auto"/>
        </w:rPr>
      </w:pPr>
    </w:p>
    <w:p>
      <w:pPr>
        <w:sectPr>
          <w:pgSz w:w="11900" w:h="16838" w:orient="portrait"/>
          <w:cols w:equalWidth="0" w:num="2">
            <w:col w:w="6380" w:space="720"/>
            <w:col w:w="4120"/>
          </w:cols>
          <w:pgMar w:left="320" w:top="122" w:right="359" w:bottom="1440" w:gutter="0" w:footer="0" w:header="0"/>
        </w:sectPr>
      </w:pPr>
    </w:p>
    <w:tbl>
      <w:tblPr>
        <w:tblLayout w:type="fixed"/>
        <w:tblInd w:w="7100" w:type="dxa"/>
        <w:tblCellMar>
          <w:top w:w="0" w:type="dxa"/>
          <w:left w:w="0" w:type="dxa"/>
          <w:bottom w:w="0" w:type="dxa"/>
          <w:right w:w="0" w:type="dxa"/>
        </w:tblCellMar>
      </w:tblPr>
      <w:tr>
        <w:trPr>
          <w:trHeight w:val="91"/>
        </w:trPr>
        <w:tc>
          <w:tcPr>
            <w:tcW w:w="200" w:type="dxa"/>
            <w:vAlign w:val="bottom"/>
            <w:vMerge w:val="restart"/>
          </w:tcPr>
          <w:p>
            <w:pPr>
              <w:jc w:val="right"/>
              <w:ind w:right="39"/>
              <w:spacing w:after="0"/>
              <w:rPr>
                <w:sz w:val="20"/>
                <w:szCs w:val="20"/>
                <w:color w:val="auto"/>
              </w:rPr>
            </w:pPr>
            <w:r>
              <w:rPr>
                <w:rFonts w:ascii="Arial" w:cs="Arial" w:eastAsia="Arial" w:hAnsi="Arial"/>
                <w:sz w:val="8"/>
                <w:szCs w:val="8"/>
                <w:color w:val="auto"/>
              </w:rPr>
              <w:t>(1)</w:t>
            </w:r>
          </w:p>
        </w:tc>
        <w:tc>
          <w:tcPr>
            <w:tcW w:w="3920" w:type="dxa"/>
            <w:vAlign w:val="bottom"/>
          </w:tcPr>
          <w:p>
            <w:pPr>
              <w:ind w:left="80"/>
              <w:spacing w:after="0" w:line="91" w:lineRule="exact"/>
              <w:rPr>
                <w:sz w:val="20"/>
                <w:szCs w:val="20"/>
                <w:color w:val="auto"/>
              </w:rPr>
            </w:pPr>
            <w:r>
              <w:rPr>
                <w:rFonts w:ascii="Arial" w:cs="Arial" w:eastAsia="Arial" w:hAnsi="Arial"/>
                <w:sz w:val="10"/>
                <w:szCs w:val="10"/>
                <w:color w:val="auto"/>
              </w:rPr>
              <w:t>The Company has not issued options since 2012 and there</w:t>
            </w:r>
          </w:p>
        </w:tc>
        <w:tc>
          <w:tcPr>
            <w:tcW w:w="0" w:type="dxa"/>
            <w:vAlign w:val="bottom"/>
          </w:tcPr>
          <w:p>
            <w:pPr>
              <w:spacing w:after="0"/>
              <w:rPr>
                <w:sz w:val="1"/>
                <w:szCs w:val="1"/>
                <w:color w:val="auto"/>
              </w:rPr>
            </w:pPr>
          </w:p>
        </w:tc>
      </w:tr>
      <w:tr>
        <w:trPr>
          <w:trHeight w:val="26"/>
        </w:trPr>
        <w:tc>
          <w:tcPr>
            <w:tcW w:w="200" w:type="dxa"/>
            <w:vAlign w:val="bottom"/>
            <w:vMerge w:val="continue"/>
          </w:tcPr>
          <w:p>
            <w:pPr>
              <w:spacing w:after="0"/>
              <w:rPr>
                <w:sz w:val="2"/>
                <w:szCs w:val="2"/>
                <w:color w:val="auto"/>
              </w:rPr>
            </w:pPr>
          </w:p>
        </w:tc>
        <w:tc>
          <w:tcPr>
            <w:tcW w:w="3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3920" w:type="dxa"/>
            <w:vAlign w:val="bottom"/>
          </w:tcPr>
          <w:p>
            <w:pPr>
              <w:ind w:left="80"/>
              <w:spacing w:after="0"/>
              <w:rPr>
                <w:sz w:val="20"/>
                <w:szCs w:val="20"/>
                <w:color w:val="auto"/>
              </w:rPr>
            </w:pPr>
            <w:r>
              <w:rPr>
                <w:rFonts w:ascii="Arial" w:cs="Arial" w:eastAsia="Arial" w:hAnsi="Arial"/>
                <w:sz w:val="14"/>
                <w:szCs w:val="14"/>
                <w:color w:val="auto"/>
              </w:rPr>
              <w:t>are no options outstanding.</w:t>
            </w:r>
          </w:p>
        </w:tc>
        <w:tc>
          <w:tcPr>
            <w:tcW w:w="0" w:type="dxa"/>
            <w:vAlign w:val="bottom"/>
          </w:tcPr>
          <w:p>
            <w:pPr>
              <w:spacing w:after="0"/>
              <w:rPr>
                <w:sz w:val="1"/>
                <w:szCs w:val="1"/>
                <w:color w:val="auto"/>
              </w:rPr>
            </w:pPr>
          </w:p>
        </w:tc>
      </w:tr>
      <w:tr>
        <w:trPr>
          <w:trHeight w:val="265"/>
        </w:trPr>
        <w:tc>
          <w:tcPr>
            <w:tcW w:w="200" w:type="dxa"/>
            <w:vAlign w:val="bottom"/>
            <w:tcBorders>
              <w:bottom w:val="single" w:sz="8" w:color="B3B3B3"/>
            </w:tcBorders>
          </w:tcPr>
          <w:p>
            <w:pPr>
              <w:spacing w:after="0"/>
              <w:rPr>
                <w:sz w:val="23"/>
                <w:szCs w:val="23"/>
                <w:color w:val="auto"/>
              </w:rPr>
            </w:pPr>
          </w:p>
        </w:tc>
        <w:tc>
          <w:tcPr>
            <w:tcW w:w="3920" w:type="dxa"/>
            <w:vAlign w:val="bottom"/>
            <w:tcBorders>
              <w:bottom w:val="single" w:sz="8" w:color="B3B3B3"/>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41490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14909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97790</wp:posOffset>
            </wp:positionV>
            <wp:extent cx="1482725" cy="8401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482725" cy="84010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p>
      <w:pPr>
        <w:spacing w:after="0" w:line="166" w:lineRule="exact"/>
        <w:rPr>
          <w:sz w:val="20"/>
          <w:szCs w:val="20"/>
          <w:color w:val="auto"/>
        </w:rPr>
      </w:pPr>
    </w:p>
    <w:p>
      <w:pPr>
        <w:ind w:left="20"/>
        <w:spacing w:after="0" w:line="282" w:lineRule="auto"/>
        <w:rPr>
          <w:sz w:val="20"/>
          <w:szCs w:val="20"/>
          <w:color w:val="auto"/>
        </w:rPr>
      </w:pPr>
      <w:r>
        <w:rPr>
          <w:rFonts w:ascii="Arial" w:cs="Arial" w:eastAsia="Arial" w:hAnsi="Arial"/>
          <w:sz w:val="16"/>
          <w:szCs w:val="16"/>
          <w:color w:val="auto"/>
        </w:rPr>
        <w:t>The TMCC regularly reviews executive compensation, taking into consideration input received through Exelon’s regular and ongoing engagement with investors. Feedback is solicited over the course of the year through our ongoing shareholder engagement program and in connection with the annual meeting of shareholders. During 2024, Exelon engaged with a significant cross-section of our shareholder base, representing approximately 30% of Exelon’s outstanding shares with independent director participation on some calls. Feedback from all discussions was shared with the appropriate Board Committee and/or the full Board.</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ind w:right="660"/>
        <w:spacing w:after="0" w:line="340" w:lineRule="auto"/>
        <w:rPr>
          <w:sz w:val="20"/>
          <w:szCs w:val="20"/>
          <w:color w:val="auto"/>
        </w:rPr>
      </w:pPr>
      <w:r>
        <w:rPr>
          <w:rFonts w:ascii="Arial" w:cs="Arial" w:eastAsia="Arial" w:hAnsi="Arial"/>
          <w:sz w:val="13"/>
          <w:szCs w:val="13"/>
          <w:b w:val="1"/>
          <w:bCs w:val="1"/>
          <w:color w:val="auto"/>
        </w:rPr>
        <w:t>5-YEAR AVERAGE SAY-ON-PAY SUPPORT:</w:t>
      </w:r>
    </w:p>
    <w:p>
      <w:pPr>
        <w:spacing w:after="0" w:line="7" w:lineRule="exact"/>
        <w:rPr>
          <w:sz w:val="20"/>
          <w:szCs w:val="20"/>
          <w:color w:val="auto"/>
        </w:rPr>
      </w:pPr>
    </w:p>
    <w:p>
      <w:pPr>
        <w:jc w:val="right"/>
        <w:ind w:right="540"/>
        <w:spacing w:after="0"/>
        <w:rPr>
          <w:sz w:val="20"/>
          <w:szCs w:val="20"/>
          <w:color w:val="auto"/>
        </w:rPr>
      </w:pPr>
      <w:r>
        <w:rPr>
          <w:rFonts w:ascii="Arial" w:cs="Arial" w:eastAsia="Arial" w:hAnsi="Arial"/>
          <w:sz w:val="43"/>
          <w:szCs w:val="43"/>
          <w:b w:val="1"/>
          <w:bCs w:val="1"/>
          <w:color w:val="3A5CFF"/>
        </w:rPr>
        <w:t>93.5%</w:t>
      </w:r>
    </w:p>
    <w:p>
      <w:pPr>
        <w:spacing w:after="0" w:line="249" w:lineRule="exact"/>
        <w:rPr>
          <w:sz w:val="20"/>
          <w:szCs w:val="20"/>
          <w:color w:val="auto"/>
        </w:rPr>
      </w:pPr>
    </w:p>
    <w:p>
      <w:pPr>
        <w:sectPr>
          <w:pgSz w:w="11900" w:h="16838" w:orient="portrait"/>
          <w:cols w:equalWidth="0" w:num="2">
            <w:col w:w="8500" w:space="540"/>
            <w:col w:w="2180"/>
          </w:cols>
          <w:pgMar w:left="320" w:top="122" w:right="359" w:bottom="1440" w:gutter="0" w:footer="0" w:header="0"/>
          <w:type w:val="continuous"/>
        </w:sectPr>
      </w:pPr>
    </w:p>
    <w:p>
      <w:pPr>
        <w:ind w:right="220"/>
        <w:spacing w:after="0" w:line="304" w:lineRule="auto"/>
        <w:rPr>
          <w:sz w:val="20"/>
          <w:szCs w:val="20"/>
          <w:color w:val="auto"/>
        </w:rPr>
      </w:pPr>
      <w:r>
        <w:rPr>
          <w:rFonts w:ascii="Arial" w:cs="Arial" w:eastAsia="Arial" w:hAnsi="Arial"/>
          <w:sz w:val="16"/>
          <w:szCs w:val="16"/>
          <w:color w:val="auto"/>
        </w:rPr>
        <w:t>Through these engagement calls, shareholders expressed their view that Exelon’s executive compensation program has strong pay-for-performance alignment. This overall approval for Exelon’s executive compensation program and design is demonstrated by the 2024 say-on-pay vote results of 93.7%.</w:t>
      </w:r>
    </w:p>
    <w:p>
      <w:pPr>
        <w:spacing w:after="0" w:line="200" w:lineRule="exact"/>
        <w:rPr>
          <w:sz w:val="20"/>
          <w:szCs w:val="20"/>
          <w:color w:val="auto"/>
        </w:rPr>
      </w:pPr>
    </w:p>
    <w:p>
      <w:pPr>
        <w:spacing w:after="0" w:line="392" w:lineRule="exact"/>
        <w:rPr>
          <w:sz w:val="20"/>
          <w:szCs w:val="20"/>
          <w:color w:val="auto"/>
        </w:rPr>
      </w:pPr>
    </w:p>
    <w:p>
      <w:pPr>
        <w:ind w:left="480" w:hanging="454"/>
        <w:spacing w:after="0"/>
        <w:tabs>
          <w:tab w:leader="none" w:pos="480" w:val="left"/>
        </w:tabs>
        <w:numPr>
          <w:ilvl w:val="0"/>
          <w:numId w:val="10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0" w:name="page51"/>
    <w:bookmarkEnd w:id="50"/>
    <w:p>
      <w:pPr>
        <w:jc w:val="right"/>
        <w:spacing w:after="0"/>
        <w:rPr>
          <w:sz w:val="20"/>
          <w:szCs w:val="20"/>
          <w:color w:val="auto"/>
        </w:rPr>
      </w:pPr>
      <w:r>
        <w:rPr>
          <w:rFonts w:ascii="Arial" w:cs="Arial" w:eastAsia="Arial" w:hAnsi="Arial"/>
          <w:sz w:val="13"/>
          <w:szCs w:val="13"/>
          <w:b w:val="1"/>
          <w:bCs w:val="1"/>
          <w:color w:val="auto"/>
        </w:rPr>
        <w:t>Compensation Discussion &amp; Analysis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2024 Compensation Program Structure</w:t>
      </w:r>
    </w:p>
    <w:p>
      <w:pPr>
        <w:spacing w:after="0" w:line="112"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In keeping with Exelon’s executive compensation philosophy and objectives, the TMCC oversees the design of the executive compensation program comprising fixed and variable compensation elements as summarized below. The following table provides a summary of the compensation program for each of our NEOs.</w:t>
      </w:r>
    </w:p>
    <w:p>
      <w:pPr>
        <w:spacing w:after="0" w:line="289"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1340" w:type="dxa"/>
            <w:vAlign w:val="bottom"/>
          </w:tcPr>
          <w:p>
            <w:pPr>
              <w:jc w:val="right"/>
              <w:ind w:right="599"/>
              <w:spacing w:after="0"/>
              <w:rPr>
                <w:sz w:val="20"/>
                <w:szCs w:val="20"/>
                <w:color w:val="auto"/>
              </w:rPr>
            </w:pPr>
            <w:r>
              <w:rPr>
                <w:rFonts w:ascii="Arial" w:cs="Arial" w:eastAsia="Arial" w:hAnsi="Arial"/>
                <w:sz w:val="16"/>
                <w:szCs w:val="16"/>
                <w:i w:val="1"/>
                <w:iCs w:val="1"/>
                <w:color w:val="170D67"/>
              </w:rPr>
              <w:t>Form</w:t>
            </w:r>
          </w:p>
        </w:tc>
        <w:tc>
          <w:tcPr>
            <w:tcW w:w="3540" w:type="dxa"/>
            <w:vAlign w:val="bottom"/>
          </w:tcPr>
          <w:p>
            <w:pPr>
              <w:ind w:left="640"/>
              <w:spacing w:after="0"/>
              <w:rPr>
                <w:sz w:val="20"/>
                <w:szCs w:val="20"/>
                <w:color w:val="auto"/>
              </w:rPr>
            </w:pPr>
            <w:r>
              <w:rPr>
                <w:rFonts w:ascii="Arial" w:cs="Arial" w:eastAsia="Arial" w:hAnsi="Arial"/>
                <w:sz w:val="16"/>
                <w:szCs w:val="16"/>
                <w:i w:val="1"/>
                <w:iCs w:val="1"/>
                <w:color w:val="170D67"/>
              </w:rPr>
              <w:t>Measurement/Performance</w:t>
            </w:r>
          </w:p>
        </w:tc>
        <w:tc>
          <w:tcPr>
            <w:tcW w:w="6020" w:type="dxa"/>
            <w:vAlign w:val="bottom"/>
          </w:tcPr>
          <w:p>
            <w:pPr>
              <w:ind w:left="920"/>
              <w:spacing w:after="0"/>
              <w:rPr>
                <w:sz w:val="20"/>
                <w:szCs w:val="20"/>
                <w:color w:val="auto"/>
              </w:rPr>
            </w:pPr>
            <w:r>
              <w:rPr>
                <w:rFonts w:ascii="Arial" w:cs="Arial" w:eastAsia="Arial" w:hAnsi="Arial"/>
                <w:sz w:val="16"/>
                <w:szCs w:val="16"/>
                <w:i w:val="1"/>
                <w:iCs w:val="1"/>
                <w:color w:val="170D67"/>
              </w:rPr>
              <w:t>Purpose</w:t>
            </w:r>
          </w:p>
        </w:tc>
        <w:tc>
          <w:tcPr>
            <w:tcW w:w="0" w:type="dxa"/>
            <w:vAlign w:val="bottom"/>
          </w:tcPr>
          <w:p>
            <w:pPr>
              <w:spacing w:after="0"/>
              <w:rPr>
                <w:sz w:val="1"/>
                <w:szCs w:val="1"/>
                <w:color w:val="auto"/>
              </w:rPr>
            </w:pPr>
          </w:p>
        </w:tc>
      </w:tr>
      <w:tr>
        <w:trPr>
          <w:trHeight w:val="43"/>
        </w:trPr>
        <w:tc>
          <w:tcPr>
            <w:tcW w:w="1340" w:type="dxa"/>
            <w:vAlign w:val="bottom"/>
            <w:tcBorders>
              <w:bottom w:val="single" w:sz="8" w:color="6D6D6D"/>
            </w:tcBorders>
          </w:tcPr>
          <w:p>
            <w:pPr>
              <w:spacing w:after="0"/>
              <w:rPr>
                <w:sz w:val="3"/>
                <w:szCs w:val="3"/>
                <w:color w:val="auto"/>
              </w:rPr>
            </w:pPr>
          </w:p>
        </w:tc>
        <w:tc>
          <w:tcPr>
            <w:tcW w:w="3540" w:type="dxa"/>
            <w:vAlign w:val="bottom"/>
            <w:tcBorders>
              <w:bottom w:val="single" w:sz="8" w:color="6D6D6D"/>
            </w:tcBorders>
          </w:tcPr>
          <w:p>
            <w:pPr>
              <w:spacing w:after="0"/>
              <w:rPr>
                <w:sz w:val="3"/>
                <w:szCs w:val="3"/>
                <w:color w:val="auto"/>
              </w:rPr>
            </w:pPr>
          </w:p>
        </w:tc>
        <w:tc>
          <w:tcPr>
            <w:tcW w:w="6020" w:type="dxa"/>
            <w:vAlign w:val="bottom"/>
            <w:tcBorders>
              <w:bottom w:val="single" w:sz="8" w:color="6D6D6D"/>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1340" w:type="dxa"/>
            <w:vAlign w:val="bottom"/>
            <w:tcBorders>
              <w:bottom w:val="single" w:sz="8" w:color="E8E7EA"/>
            </w:tcBorders>
            <w:shd w:val="clear" w:color="auto" w:fill="E8E7EA"/>
          </w:tcPr>
          <w:p>
            <w:pPr>
              <w:jc w:val="right"/>
              <w:ind w:right="579"/>
              <w:spacing w:after="0"/>
              <w:rPr>
                <w:sz w:val="20"/>
                <w:szCs w:val="20"/>
                <w:color w:val="auto"/>
              </w:rPr>
            </w:pPr>
            <w:r>
              <w:rPr>
                <w:rFonts w:ascii="Arial" w:cs="Arial" w:eastAsia="Arial" w:hAnsi="Arial"/>
                <w:sz w:val="16"/>
                <w:szCs w:val="16"/>
                <w:b w:val="1"/>
                <w:bCs w:val="1"/>
                <w:color w:val="170D67"/>
              </w:rPr>
              <w:t>SALARY</w:t>
            </w:r>
          </w:p>
        </w:tc>
        <w:tc>
          <w:tcPr>
            <w:tcW w:w="3540" w:type="dxa"/>
            <w:vAlign w:val="bottom"/>
            <w:tcBorders>
              <w:bottom w:val="single" w:sz="8" w:color="E8E7EA"/>
            </w:tcBorders>
            <w:shd w:val="clear" w:color="auto" w:fill="E8E7EA"/>
          </w:tcPr>
          <w:p>
            <w:pPr>
              <w:spacing w:after="0"/>
              <w:rPr>
                <w:sz w:val="22"/>
                <w:szCs w:val="22"/>
                <w:color w:val="auto"/>
              </w:rPr>
            </w:pPr>
          </w:p>
        </w:tc>
        <w:tc>
          <w:tcPr>
            <w:tcW w:w="6020" w:type="dxa"/>
            <w:vAlign w:val="bottom"/>
            <w:tcBorders>
              <w:bottom w:val="single" w:sz="8" w:color="E8E7EA"/>
            </w:tcBorders>
            <w:shd w:val="clear" w:color="auto" w:fill="E8E7EA"/>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340" w:type="dxa"/>
            <w:vAlign w:val="bottom"/>
            <w:tcBorders>
              <w:top w:val="single" w:sz="8" w:color="6D6D6D"/>
            </w:tcBorders>
            <w:vMerge w:val="restart"/>
          </w:tcPr>
          <w:p>
            <w:pPr>
              <w:jc w:val="right"/>
              <w:ind w:right="579"/>
              <w:spacing w:after="0"/>
              <w:rPr>
                <w:sz w:val="20"/>
                <w:szCs w:val="20"/>
                <w:color w:val="auto"/>
              </w:rPr>
            </w:pPr>
            <w:r>
              <w:rPr>
                <w:rFonts w:ascii="Arial" w:cs="Arial" w:eastAsia="Arial" w:hAnsi="Arial"/>
                <w:sz w:val="16"/>
                <w:szCs w:val="16"/>
                <w:b w:val="1"/>
                <w:bCs w:val="1"/>
                <w:color w:val="170D67"/>
              </w:rPr>
              <w:t>Cash</w:t>
            </w:r>
          </w:p>
        </w:tc>
        <w:tc>
          <w:tcPr>
            <w:tcW w:w="3540" w:type="dxa"/>
            <w:vAlign w:val="bottom"/>
            <w:tcBorders>
              <w:top w:val="single" w:sz="8" w:color="6D6D6D"/>
            </w:tcBorders>
            <w:vMerge w:val="restart"/>
          </w:tcPr>
          <w:p>
            <w:pPr>
              <w:ind w:left="640"/>
              <w:spacing w:after="0"/>
              <w:rPr>
                <w:sz w:val="20"/>
                <w:szCs w:val="20"/>
                <w:color w:val="auto"/>
              </w:rPr>
            </w:pPr>
            <w:r>
              <w:rPr>
                <w:rFonts w:ascii="Arial" w:cs="Arial" w:eastAsia="Arial" w:hAnsi="Arial"/>
                <w:sz w:val="16"/>
                <w:szCs w:val="16"/>
                <w:color w:val="212529"/>
              </w:rPr>
              <w:t>Merit Based</w:t>
            </w:r>
          </w:p>
        </w:tc>
        <w:tc>
          <w:tcPr>
            <w:tcW w:w="6020" w:type="dxa"/>
            <w:vAlign w:val="bottom"/>
            <w:tcBorders>
              <w:top w:val="single" w:sz="8" w:color="6D6D6D"/>
            </w:tcBorders>
          </w:tcPr>
          <w:p>
            <w:pPr>
              <w:ind w:left="920"/>
              <w:spacing w:after="0"/>
              <w:rPr>
                <w:sz w:val="20"/>
                <w:szCs w:val="20"/>
                <w:color w:val="auto"/>
              </w:rPr>
            </w:pPr>
            <w:r>
              <w:rPr>
                <w:rFonts w:ascii="Arial" w:cs="Arial" w:eastAsia="Arial" w:hAnsi="Arial"/>
                <w:sz w:val="16"/>
                <w:szCs w:val="16"/>
                <w:color w:val="auto"/>
              </w:rPr>
              <w:t>Attracts and retains top talent through fixed income at competitive,</w:t>
            </w:r>
          </w:p>
        </w:tc>
        <w:tc>
          <w:tcPr>
            <w:tcW w:w="0" w:type="dxa"/>
            <w:vAlign w:val="bottom"/>
          </w:tcPr>
          <w:p>
            <w:pPr>
              <w:spacing w:after="0"/>
              <w:rPr>
                <w:sz w:val="1"/>
                <w:szCs w:val="1"/>
                <w:color w:val="auto"/>
              </w:rPr>
            </w:pPr>
          </w:p>
        </w:tc>
      </w:tr>
      <w:tr>
        <w:trPr>
          <w:trHeight w:val="103"/>
        </w:trPr>
        <w:tc>
          <w:tcPr>
            <w:tcW w:w="1340" w:type="dxa"/>
            <w:vAlign w:val="bottom"/>
            <w:vMerge w:val="continue"/>
          </w:tcPr>
          <w:p>
            <w:pPr>
              <w:spacing w:after="0"/>
              <w:rPr>
                <w:sz w:val="8"/>
                <w:szCs w:val="8"/>
                <w:color w:val="auto"/>
              </w:rPr>
            </w:pPr>
          </w:p>
        </w:tc>
        <w:tc>
          <w:tcPr>
            <w:tcW w:w="3540" w:type="dxa"/>
            <w:vAlign w:val="bottom"/>
            <w:vMerge w:val="continue"/>
          </w:tcPr>
          <w:p>
            <w:pPr>
              <w:spacing w:after="0"/>
              <w:rPr>
                <w:sz w:val="8"/>
                <w:szCs w:val="8"/>
                <w:color w:val="auto"/>
              </w:rPr>
            </w:pPr>
          </w:p>
        </w:tc>
        <w:tc>
          <w:tcPr>
            <w:tcW w:w="6020" w:type="dxa"/>
            <w:vAlign w:val="bottom"/>
            <w:vMerge w:val="restart"/>
          </w:tcPr>
          <w:p>
            <w:pPr>
              <w:ind w:left="920"/>
              <w:spacing w:after="0"/>
              <w:rPr>
                <w:sz w:val="20"/>
                <w:szCs w:val="20"/>
                <w:color w:val="auto"/>
              </w:rPr>
            </w:pPr>
            <w:r>
              <w:rPr>
                <w:rFonts w:ascii="Arial" w:cs="Arial" w:eastAsia="Arial" w:hAnsi="Arial"/>
                <w:sz w:val="16"/>
                <w:szCs w:val="16"/>
                <w:color w:val="auto"/>
              </w:rPr>
              <w:t>market-based levels.</w:t>
            </w:r>
          </w:p>
        </w:tc>
        <w:tc>
          <w:tcPr>
            <w:tcW w:w="0" w:type="dxa"/>
            <w:vAlign w:val="bottom"/>
          </w:tcPr>
          <w:p>
            <w:pPr>
              <w:spacing w:after="0"/>
              <w:rPr>
                <w:sz w:val="1"/>
                <w:szCs w:val="1"/>
                <w:color w:val="auto"/>
              </w:rPr>
            </w:pPr>
          </w:p>
        </w:tc>
      </w:tr>
      <w:tr>
        <w:trPr>
          <w:trHeight w:val="113"/>
        </w:trPr>
        <w:tc>
          <w:tcPr>
            <w:tcW w:w="1340" w:type="dxa"/>
            <w:vAlign w:val="bottom"/>
          </w:tcPr>
          <w:p>
            <w:pPr>
              <w:spacing w:after="0"/>
              <w:rPr>
                <w:sz w:val="9"/>
                <w:szCs w:val="9"/>
                <w:color w:val="auto"/>
              </w:rPr>
            </w:pPr>
          </w:p>
        </w:tc>
        <w:tc>
          <w:tcPr>
            <w:tcW w:w="3540" w:type="dxa"/>
            <w:vAlign w:val="bottom"/>
          </w:tcPr>
          <w:p>
            <w:pPr>
              <w:spacing w:after="0"/>
              <w:rPr>
                <w:sz w:val="9"/>
                <w:szCs w:val="9"/>
                <w:color w:val="auto"/>
              </w:rPr>
            </w:pPr>
          </w:p>
        </w:tc>
        <w:tc>
          <w:tcPr>
            <w:tcW w:w="6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123430" cy="144018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23430" cy="1440180"/>
                    </a:xfrm>
                    <a:prstGeom prst="rect">
                      <a:avLst/>
                    </a:prstGeom>
                    <a:noFill/>
                  </pic:spPr>
                </pic:pic>
              </a:graphicData>
            </a:graphic>
          </wp:anchor>
        </w:drawing>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170D67"/>
        </w:rPr>
        <w:t>ANNUAL INCENTIVE PLAN (AIP)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46355</wp:posOffset>
            </wp:positionV>
            <wp:extent cx="6926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134" w:lineRule="exact"/>
        <w:rPr>
          <w:sz w:val="20"/>
          <w:szCs w:val="20"/>
          <w:color w:val="auto"/>
        </w:rPr>
      </w:pPr>
    </w:p>
    <w:p>
      <w:pPr>
        <w:ind w:left="2300"/>
        <w:spacing w:after="0"/>
        <w:rPr>
          <w:sz w:val="20"/>
          <w:szCs w:val="20"/>
          <w:color w:val="auto"/>
        </w:rPr>
      </w:pPr>
      <w:r>
        <w:rPr>
          <w:rFonts w:ascii="Arial" w:cs="Arial" w:eastAsia="Arial" w:hAnsi="Arial"/>
          <w:sz w:val="16"/>
          <w:szCs w:val="16"/>
          <w:b w:val="1"/>
          <w:bCs w:val="1"/>
          <w:color w:val="6E06C1"/>
        </w:rPr>
        <w:t xml:space="preserve">60% </w:t>
      </w:r>
      <w:r>
        <w:rPr>
          <w:rFonts w:ascii="Arial" w:cs="Arial" w:eastAsia="Arial" w:hAnsi="Arial"/>
          <w:sz w:val="16"/>
          <w:szCs w:val="16"/>
          <w:color w:val="6E06C1"/>
        </w:rPr>
        <w:t>- Adjusted Operating EPS*</w:t>
      </w:r>
    </w:p>
    <w:p>
      <w:pPr>
        <w:ind w:left="600"/>
        <w:spacing w:after="0" w:line="185" w:lineRule="auto"/>
        <w:tabs>
          <w:tab w:leader="none" w:pos="2280" w:val="left"/>
        </w:tabs>
        <w:rPr>
          <w:sz w:val="20"/>
          <w:szCs w:val="20"/>
          <w:color w:val="auto"/>
        </w:rPr>
      </w:pPr>
      <w:r>
        <w:rPr>
          <w:rFonts w:ascii="Arial" w:cs="Arial" w:eastAsia="Arial" w:hAnsi="Arial"/>
          <w:sz w:val="25"/>
          <w:szCs w:val="25"/>
          <w:b w:val="1"/>
          <w:bCs w:val="1"/>
          <w:color w:val="6E06C1"/>
          <w:vertAlign w:val="superscript"/>
        </w:rPr>
        <w:t>Cash</w:t>
      </w:r>
      <w:r>
        <w:rPr>
          <w:sz w:val="20"/>
          <w:szCs w:val="20"/>
          <w:color w:val="auto"/>
        </w:rPr>
        <w:tab/>
      </w:r>
      <w:r>
        <w:rPr>
          <w:rFonts w:ascii="Arial" w:cs="Arial" w:eastAsia="Arial" w:hAnsi="Arial"/>
          <w:sz w:val="14"/>
          <w:szCs w:val="14"/>
          <w:b w:val="1"/>
          <w:bCs w:val="1"/>
          <w:color w:val="6E06C1"/>
        </w:rPr>
        <w:t xml:space="preserve">15% </w:t>
      </w:r>
      <w:r>
        <w:rPr>
          <w:rFonts w:ascii="Arial" w:cs="Arial" w:eastAsia="Arial" w:hAnsi="Arial"/>
          <w:sz w:val="14"/>
          <w:szCs w:val="14"/>
          <w:color w:val="6E06C1"/>
        </w:rPr>
        <w:t>- Outage Duration (SAIDI)</w:t>
      </w:r>
    </w:p>
    <w:p>
      <w:pPr>
        <w:spacing w:after="0" w:line="35" w:lineRule="exact"/>
        <w:rPr>
          <w:sz w:val="20"/>
          <w:szCs w:val="20"/>
          <w:color w:val="auto"/>
        </w:rPr>
      </w:pPr>
    </w:p>
    <w:p>
      <w:pPr>
        <w:ind w:left="2300"/>
        <w:spacing w:after="0"/>
        <w:rPr>
          <w:sz w:val="20"/>
          <w:szCs w:val="20"/>
          <w:color w:val="auto"/>
        </w:rPr>
      </w:pPr>
      <w:r>
        <w:rPr>
          <w:rFonts w:ascii="Arial" w:cs="Arial" w:eastAsia="Arial" w:hAnsi="Arial"/>
          <w:sz w:val="16"/>
          <w:szCs w:val="16"/>
          <w:b w:val="1"/>
          <w:bCs w:val="1"/>
          <w:color w:val="6E06C1"/>
        </w:rPr>
        <w:t xml:space="preserve">15% </w:t>
      </w:r>
      <w:r>
        <w:rPr>
          <w:rFonts w:ascii="Arial" w:cs="Arial" w:eastAsia="Arial" w:hAnsi="Arial"/>
          <w:sz w:val="16"/>
          <w:szCs w:val="16"/>
          <w:color w:val="6E06C1"/>
        </w:rPr>
        <w:t>- Outage Frequency (SAIFI)</w:t>
      </w:r>
    </w:p>
    <w:p>
      <w:pPr>
        <w:spacing w:after="0" w:line="19" w:lineRule="exact"/>
        <w:rPr>
          <w:sz w:val="20"/>
          <w:szCs w:val="20"/>
          <w:color w:val="auto"/>
        </w:rPr>
      </w:pPr>
    </w:p>
    <w:p>
      <w:pPr>
        <w:ind w:left="2300"/>
        <w:spacing w:after="0"/>
        <w:rPr>
          <w:sz w:val="20"/>
          <w:szCs w:val="20"/>
          <w:color w:val="auto"/>
        </w:rPr>
      </w:pPr>
      <w:r>
        <w:rPr>
          <w:rFonts w:ascii="Arial" w:cs="Arial" w:eastAsia="Arial" w:hAnsi="Arial"/>
          <w:sz w:val="16"/>
          <w:szCs w:val="16"/>
          <w:b w:val="1"/>
          <w:bCs w:val="1"/>
          <w:color w:val="6E06C1"/>
        </w:rPr>
        <w:t xml:space="preserve">10% </w:t>
      </w:r>
      <w:r>
        <w:rPr>
          <w:rFonts w:ascii="Arial" w:cs="Arial" w:eastAsia="Arial" w:hAnsi="Arial"/>
          <w:sz w:val="16"/>
          <w:szCs w:val="16"/>
          <w:color w:val="6E06C1"/>
        </w:rPr>
        <w:t>- Customer Satisfaction Index</w:t>
      </w:r>
    </w:p>
    <w:p>
      <w:pPr>
        <w:spacing w:after="0" w:line="70"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6E06C1"/>
        </w:rPr>
        <w:t>Responsible Business Modifier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102870" cy="144907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02870" cy="14490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Motivates executives to achieve key financial and operational objectives using adjusted (non-GAAP) operating EPS* and operational goals that reflect our commitment to remain a leading energy provider. Also rewards the achievement of strategic goals related to DEI and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-3683635</wp:posOffset>
            </wp:positionH>
            <wp:positionV relativeFrom="paragraph">
              <wp:posOffset>42545</wp:posOffset>
            </wp:positionV>
            <wp:extent cx="6926580" cy="1803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26580" cy="18034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5400" w:space="720"/>
            <w:col w:w="5120"/>
          </w:cols>
          <w:pgMar w:left="320" w:top="122" w:right="339" w:bottom="1440" w:gutter="0" w:footer="0" w:header="0"/>
          <w:type w:val="continuous"/>
        </w:sectPr>
      </w:pPr>
    </w:p>
    <w:p>
      <w:pPr>
        <w:ind w:left="340"/>
        <w:spacing w:after="0"/>
        <w:rPr>
          <w:sz w:val="20"/>
          <w:szCs w:val="20"/>
          <w:color w:val="auto"/>
        </w:rPr>
      </w:pPr>
      <w:r>
        <w:rPr>
          <w:rFonts w:ascii="Arial" w:cs="Arial" w:eastAsia="Arial" w:hAnsi="Arial"/>
          <w:sz w:val="16"/>
          <w:szCs w:val="16"/>
          <w:b w:val="1"/>
          <w:bCs w:val="1"/>
          <w:color w:val="170D67"/>
        </w:rPr>
        <w:t>LONG-TERM INCENTIVE PLAN (LTIP)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46355</wp:posOffset>
            </wp:positionV>
            <wp:extent cx="6926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14"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1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40" w:type="dxa"/>
            <w:vAlign w:val="bottom"/>
            <w:gridSpan w:val="4"/>
          </w:tcPr>
          <w:p>
            <w:pPr>
              <w:spacing w:after="0"/>
              <w:rPr>
                <w:sz w:val="20"/>
                <w:szCs w:val="20"/>
                <w:color w:val="auto"/>
              </w:rPr>
            </w:pPr>
            <w:r>
              <w:rPr>
                <w:rFonts w:ascii="Arial" w:cs="Arial" w:eastAsia="Arial" w:hAnsi="Arial"/>
                <w:sz w:val="16"/>
                <w:szCs w:val="16"/>
                <w:b w:val="1"/>
                <w:bCs w:val="1"/>
                <w:color w:val="3A5CFF"/>
              </w:rPr>
              <w:t>Performance Metrics</w:t>
            </w:r>
            <w:r>
              <w:rPr>
                <w:rFonts w:ascii="Arial" w:cs="Arial" w:eastAsia="Arial" w:hAnsi="Arial"/>
                <w:sz w:val="21"/>
                <w:szCs w:val="21"/>
                <w:b w:val="1"/>
                <w:bCs w:val="1"/>
                <w:color w:val="3A5CFF"/>
                <w:vertAlign w:val="superscript"/>
              </w:rPr>
              <w:t>1</w:t>
            </w:r>
          </w:p>
        </w:tc>
        <w:tc>
          <w:tcPr>
            <w:tcW w:w="5480" w:type="dxa"/>
            <w:vAlign w:val="bottom"/>
            <w:vMerge w:val="restart"/>
          </w:tcPr>
          <w:p>
            <w:pPr>
              <w:ind w:left="380"/>
              <w:spacing w:after="0"/>
              <w:rPr>
                <w:sz w:val="20"/>
                <w:szCs w:val="20"/>
                <w:color w:val="auto"/>
              </w:rPr>
            </w:pPr>
            <w:r>
              <w:rPr>
                <w:rFonts w:ascii="Arial" w:cs="Arial" w:eastAsia="Arial" w:hAnsi="Arial"/>
                <w:sz w:val="16"/>
                <w:szCs w:val="16"/>
                <w:color w:val="auto"/>
              </w:rPr>
              <w:t>Drives executive focus on long-term goals supporting utility growth,</w:t>
            </w:r>
          </w:p>
        </w:tc>
        <w:tc>
          <w:tcPr>
            <w:tcW w:w="0" w:type="dxa"/>
            <w:vAlign w:val="bottom"/>
          </w:tcPr>
          <w:p>
            <w:pPr>
              <w:spacing w:after="0"/>
              <w:rPr>
                <w:sz w:val="1"/>
                <w:szCs w:val="1"/>
                <w:color w:val="auto"/>
              </w:rPr>
            </w:pPr>
          </w:p>
        </w:tc>
      </w:tr>
      <w:tr>
        <w:trPr>
          <w:trHeight w:val="20"/>
        </w:trPr>
        <w:tc>
          <w:tcPr>
            <w:tcW w:w="1680" w:type="dxa"/>
            <w:vAlign w:val="bottom"/>
            <w:vMerge w:val="restart"/>
          </w:tcPr>
          <w:p>
            <w:pPr>
              <w:ind w:left="20"/>
              <w:spacing w:after="0"/>
              <w:rPr>
                <w:sz w:val="20"/>
                <w:szCs w:val="20"/>
                <w:color w:val="auto"/>
              </w:rPr>
            </w:pPr>
            <w:r>
              <w:rPr>
                <w:rFonts w:ascii="Arial" w:cs="Arial" w:eastAsia="Arial" w:hAnsi="Arial"/>
                <w:sz w:val="16"/>
                <w:szCs w:val="16"/>
                <w:b w:val="1"/>
                <w:bCs w:val="1"/>
                <w:color w:val="3A5CFF"/>
              </w:rPr>
              <w:t>67%</w:t>
            </w:r>
          </w:p>
        </w:tc>
        <w:tc>
          <w:tcPr>
            <w:tcW w:w="40" w:type="dxa"/>
            <w:vAlign w:val="bottom"/>
          </w:tcPr>
          <w:p>
            <w:pPr>
              <w:spacing w:after="0" w:line="20" w:lineRule="exact"/>
              <w:rPr>
                <w:sz w:val="1"/>
                <w:szCs w:val="1"/>
                <w:color w:val="auto"/>
              </w:rPr>
            </w:pPr>
          </w:p>
        </w:tc>
        <w:tc>
          <w:tcPr>
            <w:tcW w:w="120" w:type="dxa"/>
            <w:vAlign w:val="bottom"/>
            <w:shd w:val="clear" w:color="auto" w:fill="3A5CFF"/>
          </w:tcPr>
          <w:p>
            <w:pPr>
              <w:spacing w:after="0" w:line="20" w:lineRule="exact"/>
              <w:rPr>
                <w:sz w:val="1"/>
                <w:szCs w:val="1"/>
                <w:color w:val="auto"/>
              </w:rPr>
            </w:pPr>
          </w:p>
        </w:tc>
        <w:tc>
          <w:tcPr>
            <w:tcW w:w="540" w:type="dxa"/>
            <w:vAlign w:val="bottom"/>
            <w:shd w:val="clear" w:color="auto" w:fill="3A5CFF"/>
          </w:tcPr>
          <w:p>
            <w:pPr>
              <w:spacing w:after="0" w:line="20" w:lineRule="exact"/>
              <w:rPr>
                <w:sz w:val="1"/>
                <w:szCs w:val="1"/>
                <w:color w:val="auto"/>
              </w:rPr>
            </w:pPr>
          </w:p>
        </w:tc>
        <w:tc>
          <w:tcPr>
            <w:tcW w:w="940" w:type="dxa"/>
            <w:vAlign w:val="bottom"/>
            <w:shd w:val="clear" w:color="auto" w:fill="3A5C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680" w:type="dxa"/>
            <w:vAlign w:val="bottom"/>
            <w:vMerge w:val="continue"/>
          </w:tcPr>
          <w:p>
            <w:pPr>
              <w:spacing w:after="0"/>
              <w:rPr>
                <w:sz w:val="15"/>
                <w:szCs w:val="15"/>
                <w:color w:val="auto"/>
              </w:rPr>
            </w:pPr>
          </w:p>
        </w:tc>
        <w:tc>
          <w:tcPr>
            <w:tcW w:w="40" w:type="dxa"/>
            <w:vAlign w:val="bottom"/>
            <w:vMerge w:val="restart"/>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6"/>
                <w:szCs w:val="16"/>
                <w:b w:val="1"/>
                <w:bCs w:val="1"/>
                <w:color w:val="170D67"/>
              </w:rPr>
              <w:t>•</w:t>
            </w: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33.3%</w:t>
            </w:r>
          </w:p>
        </w:tc>
        <w:tc>
          <w:tcPr>
            <w:tcW w:w="2780" w:type="dxa"/>
            <w:vAlign w:val="bottom"/>
            <w:gridSpan w:val="2"/>
            <w:vMerge w:val="restart"/>
          </w:tcPr>
          <w:p>
            <w:pPr>
              <w:ind w:left="20"/>
              <w:spacing w:after="0"/>
              <w:rPr>
                <w:sz w:val="20"/>
                <w:szCs w:val="20"/>
                <w:color w:val="auto"/>
              </w:rPr>
            </w:pPr>
            <w:r>
              <w:rPr>
                <w:rFonts w:ascii="Arial" w:cs="Arial" w:eastAsia="Arial" w:hAnsi="Arial"/>
                <w:sz w:val="16"/>
                <w:szCs w:val="16"/>
                <w:color w:val="auto"/>
              </w:rPr>
              <w:t>- Utility Earned ROE*</w:t>
            </w:r>
          </w:p>
        </w:tc>
        <w:tc>
          <w:tcPr>
            <w:tcW w:w="5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1680" w:type="dxa"/>
            <w:vAlign w:val="bottom"/>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780" w:type="dxa"/>
            <w:vAlign w:val="bottom"/>
            <w:gridSpan w:val="2"/>
            <w:vMerge w:val="continue"/>
          </w:tcPr>
          <w:p>
            <w:pPr>
              <w:spacing w:after="0"/>
              <w:rPr>
                <w:sz w:val="6"/>
                <w:szCs w:val="6"/>
                <w:color w:val="auto"/>
              </w:rPr>
            </w:pPr>
          </w:p>
        </w:tc>
        <w:tc>
          <w:tcPr>
            <w:tcW w:w="5480" w:type="dxa"/>
            <w:vAlign w:val="bottom"/>
            <w:vMerge w:val="restart"/>
          </w:tcPr>
          <w:p>
            <w:pPr>
              <w:ind w:left="380"/>
              <w:spacing w:after="0" w:line="178" w:lineRule="exact"/>
              <w:rPr>
                <w:sz w:val="20"/>
                <w:szCs w:val="20"/>
                <w:color w:val="auto"/>
              </w:rPr>
            </w:pPr>
            <w:r>
              <w:rPr>
                <w:rFonts w:ascii="Arial" w:cs="Arial" w:eastAsia="Arial" w:hAnsi="Arial"/>
                <w:sz w:val="16"/>
                <w:szCs w:val="16"/>
                <w:color w:val="auto"/>
              </w:rPr>
              <w:t>financial results, and capital stewardship and rewards the relative</w:t>
            </w:r>
          </w:p>
        </w:tc>
        <w:tc>
          <w:tcPr>
            <w:tcW w:w="0" w:type="dxa"/>
            <w:vAlign w:val="bottom"/>
          </w:tcPr>
          <w:p>
            <w:pPr>
              <w:spacing w:after="0"/>
              <w:rPr>
                <w:sz w:val="1"/>
                <w:szCs w:val="1"/>
                <w:color w:val="auto"/>
              </w:rPr>
            </w:pPr>
          </w:p>
        </w:tc>
      </w:tr>
      <w:tr>
        <w:trPr>
          <w:trHeight w:val="108"/>
        </w:trPr>
        <w:tc>
          <w:tcPr>
            <w:tcW w:w="1680" w:type="dxa"/>
            <w:vAlign w:val="bottom"/>
          </w:tcPr>
          <w:p>
            <w:pPr>
              <w:ind w:left="20"/>
              <w:spacing w:after="0" w:line="108" w:lineRule="exact"/>
              <w:rPr>
                <w:sz w:val="20"/>
                <w:szCs w:val="20"/>
                <w:color w:val="auto"/>
              </w:rPr>
            </w:pPr>
            <w:r>
              <w:rPr>
                <w:rFonts w:ascii="Arial" w:cs="Arial" w:eastAsia="Arial" w:hAnsi="Arial"/>
                <w:sz w:val="12"/>
                <w:szCs w:val="12"/>
                <w:color w:val="3A5CFF"/>
              </w:rPr>
              <w:t>Performance Shares</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5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1680" w:type="dxa"/>
            <w:vAlign w:val="bottom"/>
          </w:tcPr>
          <w:p>
            <w:pPr>
              <w:ind w:left="20"/>
              <w:spacing w:after="0"/>
              <w:rPr>
                <w:sz w:val="20"/>
                <w:szCs w:val="20"/>
                <w:color w:val="auto"/>
              </w:rPr>
            </w:pPr>
            <w:r>
              <w:rPr>
                <w:rFonts w:ascii="Arial" w:cs="Arial" w:eastAsia="Arial" w:hAnsi="Arial"/>
                <w:sz w:val="16"/>
                <w:szCs w:val="16"/>
                <w:color w:val="3A5CFF"/>
              </w:rPr>
              <w:t>Units (PSUs)</w:t>
            </w:r>
          </w:p>
        </w:tc>
        <w:tc>
          <w:tcPr>
            <w:tcW w:w="160" w:type="dxa"/>
            <w:vAlign w:val="bottom"/>
            <w:gridSpan w:val="2"/>
          </w:tcPr>
          <w:p>
            <w:pPr>
              <w:ind w:left="40"/>
              <w:spacing w:after="0"/>
              <w:rPr>
                <w:sz w:val="20"/>
                <w:szCs w:val="20"/>
                <w:color w:val="auto"/>
              </w:rPr>
            </w:pPr>
            <w:r>
              <w:rPr>
                <w:rFonts w:ascii="Arial" w:cs="Arial" w:eastAsia="Arial" w:hAnsi="Arial"/>
                <w:sz w:val="16"/>
                <w:szCs w:val="16"/>
                <w:b w:val="1"/>
                <w:bCs w:val="1"/>
                <w:color w:val="170D67"/>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33.3%</w:t>
            </w:r>
          </w:p>
        </w:tc>
        <w:tc>
          <w:tcPr>
            <w:tcW w:w="2780" w:type="dxa"/>
            <w:vAlign w:val="bottom"/>
            <w:gridSpan w:val="2"/>
          </w:tcPr>
          <w:p>
            <w:pPr>
              <w:ind w:left="20"/>
              <w:spacing w:after="0"/>
              <w:rPr>
                <w:sz w:val="20"/>
                <w:szCs w:val="20"/>
                <w:color w:val="auto"/>
              </w:rPr>
            </w:pPr>
            <w:r>
              <w:rPr>
                <w:rFonts w:ascii="Arial" w:cs="Arial" w:eastAsia="Arial" w:hAnsi="Arial"/>
                <w:sz w:val="16"/>
                <w:szCs w:val="16"/>
                <w:color w:val="auto"/>
              </w:rPr>
              <w:t>- Exelon Net Income*</w:t>
            </w:r>
          </w:p>
        </w:tc>
        <w:tc>
          <w:tcPr>
            <w:tcW w:w="5480" w:type="dxa"/>
            <w:vAlign w:val="bottom"/>
          </w:tcPr>
          <w:p>
            <w:pPr>
              <w:ind w:left="380"/>
              <w:spacing w:after="0"/>
              <w:rPr>
                <w:sz w:val="20"/>
                <w:szCs w:val="20"/>
                <w:color w:val="auto"/>
              </w:rPr>
            </w:pPr>
            <w:r>
              <w:rPr>
                <w:rFonts w:ascii="Arial" w:cs="Arial" w:eastAsia="Arial" w:hAnsi="Arial"/>
                <w:sz w:val="16"/>
                <w:szCs w:val="16"/>
                <w:color w:val="auto"/>
              </w:rPr>
              <w:t>achievement of financial goals and Exelon’s total shareholder return</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1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170D67"/>
              </w:rPr>
              <w:t>•</w:t>
            </w: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33.4%</w:t>
            </w:r>
          </w:p>
        </w:tc>
        <w:tc>
          <w:tcPr>
            <w:tcW w:w="2780" w:type="dxa"/>
            <w:vAlign w:val="bottom"/>
            <w:gridSpan w:val="2"/>
            <w:vMerge w:val="restart"/>
          </w:tcPr>
          <w:p>
            <w:pPr>
              <w:ind w:left="20"/>
              <w:spacing w:after="0"/>
              <w:rPr>
                <w:sz w:val="20"/>
                <w:szCs w:val="20"/>
                <w:color w:val="auto"/>
              </w:rPr>
            </w:pPr>
            <w:r>
              <w:rPr>
                <w:rFonts w:ascii="Arial" w:cs="Arial" w:eastAsia="Arial" w:hAnsi="Arial"/>
                <w:sz w:val="16"/>
                <w:szCs w:val="16"/>
                <w:color w:val="auto"/>
              </w:rPr>
              <w:t>- Exelon CFO/Debt*</w:t>
            </w:r>
          </w:p>
        </w:tc>
        <w:tc>
          <w:tcPr>
            <w:tcW w:w="5480" w:type="dxa"/>
            <w:vAlign w:val="bottom"/>
          </w:tcPr>
          <w:p>
            <w:pPr>
              <w:ind w:left="380"/>
              <w:spacing w:after="0"/>
              <w:rPr>
                <w:sz w:val="20"/>
                <w:szCs w:val="20"/>
                <w:color w:val="auto"/>
              </w:rPr>
            </w:pPr>
            <w:r>
              <w:rPr>
                <w:rFonts w:ascii="Arial" w:cs="Arial" w:eastAsia="Arial" w:hAnsi="Arial"/>
                <w:sz w:val="16"/>
                <w:szCs w:val="16"/>
                <w:color w:val="auto"/>
              </w:rPr>
              <w:t>(TSR) as compared with the TSR of utility peers (UTY) over three-year</w:t>
            </w:r>
          </w:p>
        </w:tc>
        <w:tc>
          <w:tcPr>
            <w:tcW w:w="0" w:type="dxa"/>
            <w:vAlign w:val="bottom"/>
          </w:tcPr>
          <w:p>
            <w:pPr>
              <w:spacing w:after="0"/>
              <w:rPr>
                <w:sz w:val="1"/>
                <w:szCs w:val="1"/>
                <w:color w:val="auto"/>
              </w:rPr>
            </w:pPr>
          </w:p>
        </w:tc>
      </w:tr>
      <w:tr>
        <w:trPr>
          <w:trHeight w:val="62"/>
        </w:trPr>
        <w:tc>
          <w:tcPr>
            <w:tcW w:w="168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780" w:type="dxa"/>
            <w:vAlign w:val="bottom"/>
            <w:gridSpan w:val="2"/>
            <w:vMerge w:val="continue"/>
          </w:tcPr>
          <w:p>
            <w:pPr>
              <w:spacing w:after="0"/>
              <w:rPr>
                <w:sz w:val="5"/>
                <w:szCs w:val="5"/>
                <w:color w:val="auto"/>
              </w:rPr>
            </w:pPr>
          </w:p>
        </w:tc>
        <w:tc>
          <w:tcPr>
            <w:tcW w:w="5480" w:type="dxa"/>
            <w:vAlign w:val="bottom"/>
            <w:vMerge w:val="restart"/>
          </w:tcPr>
          <w:p>
            <w:pPr>
              <w:ind w:left="380"/>
              <w:spacing w:after="0"/>
              <w:rPr>
                <w:sz w:val="20"/>
                <w:szCs w:val="20"/>
                <w:color w:val="auto"/>
              </w:rPr>
            </w:pPr>
            <w:r>
              <w:rPr>
                <w:rFonts w:ascii="Arial" w:cs="Arial" w:eastAsia="Arial" w:hAnsi="Arial"/>
                <w:sz w:val="16"/>
                <w:szCs w:val="16"/>
                <w:color w:val="auto"/>
              </w:rPr>
              <w:t>period (TSR Modifier).</w:t>
            </w:r>
          </w:p>
        </w:tc>
        <w:tc>
          <w:tcPr>
            <w:tcW w:w="0" w:type="dxa"/>
            <w:vAlign w:val="bottom"/>
          </w:tcPr>
          <w:p>
            <w:pPr>
              <w:spacing w:after="0"/>
              <w:rPr>
                <w:sz w:val="1"/>
                <w:szCs w:val="1"/>
                <w:color w:val="auto"/>
              </w:rPr>
            </w:pPr>
          </w:p>
        </w:tc>
      </w:tr>
      <w:tr>
        <w:trPr>
          <w:trHeight w:val="153"/>
        </w:trPr>
        <w:tc>
          <w:tcPr>
            <w:tcW w:w="1680" w:type="dxa"/>
            <w:vAlign w:val="bottom"/>
          </w:tcPr>
          <w:p>
            <w:pPr>
              <w:spacing w:after="0"/>
              <w:rPr>
                <w:sz w:val="13"/>
                <w:szCs w:val="13"/>
                <w:color w:val="auto"/>
              </w:rPr>
            </w:pPr>
          </w:p>
        </w:tc>
        <w:tc>
          <w:tcPr>
            <w:tcW w:w="3480" w:type="dxa"/>
            <w:vAlign w:val="bottom"/>
            <w:gridSpan w:val="5"/>
            <w:vMerge w:val="restart"/>
          </w:tcPr>
          <w:p>
            <w:pPr>
              <w:ind w:left="40"/>
              <w:spacing w:after="0"/>
              <w:rPr>
                <w:sz w:val="20"/>
                <w:szCs w:val="20"/>
                <w:color w:val="auto"/>
              </w:rPr>
            </w:pPr>
            <w:r>
              <w:rPr>
                <w:rFonts w:ascii="Arial" w:cs="Arial" w:eastAsia="Arial" w:hAnsi="Arial"/>
                <w:sz w:val="16"/>
                <w:szCs w:val="16"/>
                <w:color w:val="212529"/>
              </w:rPr>
              <w:t>(Subject to a 3-year TSR Modifier)</w:t>
            </w:r>
          </w:p>
        </w:tc>
        <w:tc>
          <w:tcPr>
            <w:tcW w:w="5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680" w:type="dxa"/>
            <w:vAlign w:val="bottom"/>
          </w:tcPr>
          <w:p>
            <w:pPr>
              <w:spacing w:after="0"/>
              <w:rPr>
                <w:sz w:val="13"/>
                <w:szCs w:val="13"/>
                <w:color w:val="auto"/>
              </w:rPr>
            </w:pPr>
          </w:p>
        </w:tc>
        <w:tc>
          <w:tcPr>
            <w:tcW w:w="3480" w:type="dxa"/>
            <w:vAlign w:val="bottom"/>
            <w:gridSpan w:val="5"/>
            <w:vMerge w:val="continue"/>
          </w:tcPr>
          <w:p>
            <w:pPr>
              <w:spacing w:after="0"/>
              <w:rPr>
                <w:sz w:val="13"/>
                <w:szCs w:val="13"/>
                <w:color w:val="auto"/>
              </w:rPr>
            </w:pPr>
          </w:p>
        </w:tc>
        <w:tc>
          <w:tcPr>
            <w:tcW w:w="5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1680" w:type="dxa"/>
            <w:vAlign w:val="bottom"/>
            <w:tcBorders>
              <w:bottom w:val="single" w:sz="8" w:color="6D6D6D"/>
            </w:tcBorders>
          </w:tcPr>
          <w:p>
            <w:pPr>
              <w:spacing w:after="0"/>
              <w:rPr>
                <w:sz w:val="3"/>
                <w:szCs w:val="3"/>
                <w:color w:val="auto"/>
              </w:rPr>
            </w:pPr>
          </w:p>
        </w:tc>
        <w:tc>
          <w:tcPr>
            <w:tcW w:w="40" w:type="dxa"/>
            <w:vAlign w:val="bottom"/>
            <w:tcBorders>
              <w:bottom w:val="single" w:sz="8" w:color="6D6D6D"/>
            </w:tcBorders>
          </w:tcPr>
          <w:p>
            <w:pPr>
              <w:spacing w:after="0"/>
              <w:rPr>
                <w:sz w:val="3"/>
                <w:szCs w:val="3"/>
                <w:color w:val="auto"/>
              </w:rPr>
            </w:pPr>
          </w:p>
        </w:tc>
        <w:tc>
          <w:tcPr>
            <w:tcW w:w="1600" w:type="dxa"/>
            <w:vAlign w:val="bottom"/>
            <w:tcBorders>
              <w:bottom w:val="single" w:sz="8" w:color="6D6D6D"/>
            </w:tcBorders>
            <w:gridSpan w:val="3"/>
          </w:tcPr>
          <w:p>
            <w:pPr>
              <w:spacing w:after="0"/>
              <w:rPr>
                <w:sz w:val="3"/>
                <w:szCs w:val="3"/>
                <w:color w:val="auto"/>
              </w:rPr>
            </w:pPr>
          </w:p>
        </w:tc>
        <w:tc>
          <w:tcPr>
            <w:tcW w:w="1840" w:type="dxa"/>
            <w:vAlign w:val="bottom"/>
            <w:tcBorders>
              <w:bottom w:val="single" w:sz="8" w:color="6D6D6D"/>
            </w:tcBorders>
          </w:tcPr>
          <w:p>
            <w:pPr>
              <w:spacing w:after="0"/>
              <w:rPr>
                <w:sz w:val="3"/>
                <w:szCs w:val="3"/>
                <w:color w:val="auto"/>
              </w:rPr>
            </w:pPr>
          </w:p>
        </w:tc>
        <w:tc>
          <w:tcPr>
            <w:tcW w:w="5480" w:type="dxa"/>
            <w:vAlign w:val="bottom"/>
            <w:tcBorders>
              <w:bottom w:val="single" w:sz="8" w:color="6D6D6D"/>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680" w:type="dxa"/>
            <w:vAlign w:val="bottom"/>
          </w:tcPr>
          <w:p>
            <w:pPr>
              <w:ind w:left="20"/>
              <w:spacing w:after="0"/>
              <w:rPr>
                <w:sz w:val="20"/>
                <w:szCs w:val="20"/>
                <w:color w:val="auto"/>
              </w:rPr>
            </w:pPr>
            <w:r>
              <w:rPr>
                <w:rFonts w:ascii="Arial" w:cs="Arial" w:eastAsia="Arial" w:hAnsi="Arial"/>
                <w:sz w:val="16"/>
                <w:szCs w:val="16"/>
                <w:b w:val="1"/>
                <w:bCs w:val="1"/>
                <w:color w:val="3A5CFF"/>
              </w:rPr>
              <w:t>33%</w:t>
            </w:r>
          </w:p>
        </w:tc>
        <w:tc>
          <w:tcPr>
            <w:tcW w:w="3480" w:type="dxa"/>
            <w:vAlign w:val="bottom"/>
            <w:gridSpan w:val="5"/>
          </w:tcPr>
          <w:p>
            <w:pPr>
              <w:ind w:left="40"/>
              <w:spacing w:after="0"/>
              <w:rPr>
                <w:sz w:val="20"/>
                <w:szCs w:val="20"/>
                <w:color w:val="auto"/>
              </w:rPr>
            </w:pPr>
            <w:r>
              <w:rPr>
                <w:rFonts w:ascii="Arial" w:cs="Arial" w:eastAsia="Arial" w:hAnsi="Arial"/>
                <w:sz w:val="16"/>
                <w:szCs w:val="16"/>
                <w:color w:val="auto"/>
              </w:rPr>
              <w:t>Time-based award vests one-third per</w:t>
            </w:r>
          </w:p>
        </w:tc>
        <w:tc>
          <w:tcPr>
            <w:tcW w:w="5480" w:type="dxa"/>
            <w:vAlign w:val="bottom"/>
          </w:tcPr>
          <w:p>
            <w:pPr>
              <w:ind w:left="380"/>
              <w:spacing w:after="0"/>
              <w:rPr>
                <w:sz w:val="20"/>
                <w:szCs w:val="20"/>
                <w:color w:val="auto"/>
              </w:rPr>
            </w:pPr>
            <w:r>
              <w:rPr>
                <w:rFonts w:ascii="Arial" w:cs="Arial" w:eastAsia="Arial" w:hAnsi="Arial"/>
                <w:sz w:val="16"/>
                <w:szCs w:val="16"/>
                <w:color w:val="auto"/>
              </w:rPr>
              <w:t>Balances LTI portfolio by providing executives with market competitive</w:t>
            </w:r>
          </w:p>
        </w:tc>
        <w:tc>
          <w:tcPr>
            <w:tcW w:w="0" w:type="dxa"/>
            <w:vAlign w:val="bottom"/>
          </w:tcPr>
          <w:p>
            <w:pPr>
              <w:spacing w:after="0"/>
              <w:rPr>
                <w:sz w:val="1"/>
                <w:szCs w:val="1"/>
                <w:color w:val="auto"/>
              </w:rPr>
            </w:pPr>
          </w:p>
        </w:tc>
      </w:tr>
      <w:tr>
        <w:trPr>
          <w:trHeight w:val="216"/>
        </w:trPr>
        <w:tc>
          <w:tcPr>
            <w:tcW w:w="1680" w:type="dxa"/>
            <w:vAlign w:val="bottom"/>
          </w:tcPr>
          <w:p>
            <w:pPr>
              <w:ind w:left="20"/>
              <w:spacing w:after="0"/>
              <w:rPr>
                <w:sz w:val="20"/>
                <w:szCs w:val="20"/>
                <w:color w:val="auto"/>
              </w:rPr>
            </w:pPr>
            <w:r>
              <w:rPr>
                <w:rFonts w:ascii="Arial" w:cs="Arial" w:eastAsia="Arial" w:hAnsi="Arial"/>
                <w:sz w:val="16"/>
                <w:szCs w:val="16"/>
                <w:color w:val="3A5CFF"/>
              </w:rPr>
              <w:t>Restricted Stock Units</w:t>
            </w:r>
          </w:p>
        </w:tc>
        <w:tc>
          <w:tcPr>
            <w:tcW w:w="3480" w:type="dxa"/>
            <w:vAlign w:val="bottom"/>
            <w:gridSpan w:val="5"/>
          </w:tcPr>
          <w:p>
            <w:pPr>
              <w:ind w:left="40"/>
              <w:spacing w:after="0"/>
              <w:rPr>
                <w:sz w:val="20"/>
                <w:szCs w:val="20"/>
                <w:color w:val="auto"/>
              </w:rPr>
            </w:pPr>
            <w:r>
              <w:rPr>
                <w:rFonts w:ascii="Arial" w:cs="Arial" w:eastAsia="Arial" w:hAnsi="Arial"/>
                <w:sz w:val="16"/>
                <w:szCs w:val="16"/>
                <w:color w:val="auto"/>
              </w:rPr>
              <w:t>year over 3 years; no performance metrics</w:t>
            </w:r>
          </w:p>
        </w:tc>
        <w:tc>
          <w:tcPr>
            <w:tcW w:w="5480" w:type="dxa"/>
            <w:vAlign w:val="bottom"/>
          </w:tcPr>
          <w:p>
            <w:pPr>
              <w:ind w:left="380"/>
              <w:spacing w:after="0"/>
              <w:rPr>
                <w:sz w:val="20"/>
                <w:szCs w:val="20"/>
                <w:color w:val="auto"/>
              </w:rPr>
            </w:pPr>
            <w:r>
              <w:rPr>
                <w:rFonts w:ascii="Arial" w:cs="Arial" w:eastAsia="Arial" w:hAnsi="Arial"/>
                <w:sz w:val="16"/>
                <w:szCs w:val="16"/>
                <w:color w:val="auto"/>
              </w:rPr>
              <w:t>time-based awards.</w:t>
            </w:r>
          </w:p>
        </w:tc>
        <w:tc>
          <w:tcPr>
            <w:tcW w:w="0" w:type="dxa"/>
            <w:vAlign w:val="bottom"/>
          </w:tcPr>
          <w:p>
            <w:pPr>
              <w:spacing w:after="0"/>
              <w:rPr>
                <w:sz w:val="1"/>
                <w:szCs w:val="1"/>
                <w:color w:val="auto"/>
              </w:rPr>
            </w:pPr>
          </w:p>
        </w:tc>
      </w:tr>
      <w:tr>
        <w:trPr>
          <w:trHeight w:val="122"/>
        </w:trPr>
        <w:tc>
          <w:tcPr>
            <w:tcW w:w="1680" w:type="dxa"/>
            <w:vAlign w:val="bottom"/>
            <w:tcBorders>
              <w:bottom w:val="single" w:sz="8" w:color="6D6D6D"/>
            </w:tcBorders>
          </w:tcPr>
          <w:p>
            <w:pPr>
              <w:ind w:left="20"/>
              <w:spacing w:after="0" w:line="122" w:lineRule="exact"/>
              <w:rPr>
                <w:sz w:val="20"/>
                <w:szCs w:val="20"/>
                <w:color w:val="auto"/>
              </w:rPr>
            </w:pPr>
            <w:r>
              <w:rPr>
                <w:rFonts w:ascii="Arial" w:cs="Arial" w:eastAsia="Arial" w:hAnsi="Arial"/>
                <w:sz w:val="14"/>
                <w:szCs w:val="14"/>
                <w:color w:val="3A5CFF"/>
              </w:rPr>
              <w:t>(RSUs)</w:t>
            </w:r>
          </w:p>
        </w:tc>
        <w:tc>
          <w:tcPr>
            <w:tcW w:w="40" w:type="dxa"/>
            <w:vAlign w:val="bottom"/>
            <w:tcBorders>
              <w:bottom w:val="single" w:sz="8" w:color="6D6D6D"/>
            </w:tcBorders>
          </w:tcPr>
          <w:p>
            <w:pPr>
              <w:spacing w:after="0"/>
              <w:rPr>
                <w:sz w:val="10"/>
                <w:szCs w:val="10"/>
                <w:color w:val="auto"/>
              </w:rPr>
            </w:pPr>
          </w:p>
        </w:tc>
        <w:tc>
          <w:tcPr>
            <w:tcW w:w="120" w:type="dxa"/>
            <w:vAlign w:val="bottom"/>
            <w:tcBorders>
              <w:bottom w:val="single" w:sz="8" w:color="6D6D6D"/>
            </w:tcBorders>
          </w:tcPr>
          <w:p>
            <w:pPr>
              <w:spacing w:after="0"/>
              <w:rPr>
                <w:sz w:val="10"/>
                <w:szCs w:val="10"/>
                <w:color w:val="auto"/>
              </w:rPr>
            </w:pPr>
          </w:p>
        </w:tc>
        <w:tc>
          <w:tcPr>
            <w:tcW w:w="540" w:type="dxa"/>
            <w:vAlign w:val="bottom"/>
            <w:tcBorders>
              <w:bottom w:val="single" w:sz="8" w:color="6D6D6D"/>
            </w:tcBorders>
          </w:tcPr>
          <w:p>
            <w:pPr>
              <w:spacing w:after="0"/>
              <w:rPr>
                <w:sz w:val="10"/>
                <w:szCs w:val="10"/>
                <w:color w:val="auto"/>
              </w:rPr>
            </w:pPr>
          </w:p>
        </w:tc>
        <w:tc>
          <w:tcPr>
            <w:tcW w:w="940" w:type="dxa"/>
            <w:vAlign w:val="bottom"/>
            <w:tcBorders>
              <w:bottom w:val="single" w:sz="8" w:color="6D6D6D"/>
            </w:tcBorders>
          </w:tcPr>
          <w:p>
            <w:pPr>
              <w:spacing w:after="0"/>
              <w:rPr>
                <w:sz w:val="10"/>
                <w:szCs w:val="10"/>
                <w:color w:val="auto"/>
              </w:rPr>
            </w:pPr>
          </w:p>
        </w:tc>
        <w:tc>
          <w:tcPr>
            <w:tcW w:w="1840" w:type="dxa"/>
            <w:vAlign w:val="bottom"/>
            <w:tcBorders>
              <w:bottom w:val="single" w:sz="8" w:color="6D6D6D"/>
            </w:tcBorders>
          </w:tcPr>
          <w:p>
            <w:pPr>
              <w:spacing w:after="0"/>
              <w:rPr>
                <w:sz w:val="10"/>
                <w:szCs w:val="10"/>
                <w:color w:val="auto"/>
              </w:rPr>
            </w:pPr>
          </w:p>
        </w:tc>
        <w:tc>
          <w:tcPr>
            <w:tcW w:w="5480" w:type="dxa"/>
            <w:vAlign w:val="bottom"/>
            <w:tcBorders>
              <w:bottom w:val="single" w:sz="8" w:color="6D6D6D"/>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360" w:hanging="252"/>
        <w:spacing w:after="0" w:line="270" w:lineRule="auto"/>
        <w:tabs>
          <w:tab w:leader="none" w:pos="263" w:val="left"/>
        </w:tabs>
        <w:numPr>
          <w:ilvl w:val="0"/>
          <w:numId w:val="105"/>
        </w:numPr>
        <w:rPr>
          <w:rFonts w:ascii="Arial" w:cs="Arial" w:eastAsia="Arial" w:hAnsi="Arial"/>
          <w:sz w:val="16"/>
          <w:szCs w:val="16"/>
          <w:color w:val="auto"/>
          <w:vertAlign w:val="superscript"/>
        </w:rPr>
      </w:pPr>
      <w:r>
        <w:rPr>
          <w:rFonts w:ascii="Arial" w:cs="Arial" w:eastAsia="Arial" w:hAnsi="Arial"/>
          <w:sz w:val="14"/>
          <w:szCs w:val="14"/>
          <w:color w:val="auto"/>
        </w:rPr>
        <w:t>Final performance is based on cumulative performance over the 3-year cycle for Exelon Net Income* defined as adjusted non-GAAP operating earnings and the 3-year average for Exelon CFO/Debt* and Utility Earned ROE*.</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780"/>
              <w:spacing w:after="0"/>
              <w:rPr>
                <w:sz w:val="20"/>
                <w:szCs w:val="20"/>
                <w:color w:val="auto"/>
              </w:rPr>
            </w:pPr>
            <w:r>
              <w:rPr>
                <w:rFonts w:ascii="Arial" w:cs="Arial" w:eastAsia="Arial" w:hAnsi="Arial"/>
                <w:sz w:val="14"/>
                <w:szCs w:val="14"/>
                <w:color w:val="auto"/>
              </w:rPr>
              <w:t>2025 ׀ Exelon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47</w:t>
            </w:r>
          </w:p>
        </w:tc>
      </w:tr>
      <w:tr>
        <w:trPr>
          <w:trHeight w:val="225"/>
        </w:trPr>
        <w:tc>
          <w:tcPr>
            <w:tcW w:w="1092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3"/>
          <w:szCs w:val="13"/>
          <w:b w:val="1"/>
          <w:bCs w:val="1"/>
          <w:color w:val="auto"/>
        </w:rPr>
        <w:t>Compensation Discussion &amp; Analysis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Alignment between Business Strategy and Compensation</w:t>
      </w:r>
    </w:p>
    <w:p>
      <w:pPr>
        <w:spacing w:after="0" w:line="112"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Exelon’s value proposition, as articulated below across our strategic priorities, reflects our continued focus on key initiatives expected to drive strong operational and financial performance. The table below demonstrates the linkage between Exelon’s strategy and the compensation components or metrics used in our executive compensation program.</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ind w:left="2080"/>
        <w:spacing w:after="0"/>
        <w:rPr>
          <w:sz w:val="20"/>
          <w:szCs w:val="20"/>
          <w:color w:val="auto"/>
        </w:rPr>
      </w:pPr>
      <w:r>
        <w:rPr>
          <w:rFonts w:ascii="Arial" w:cs="Arial" w:eastAsia="Arial" w:hAnsi="Arial"/>
          <w:sz w:val="16"/>
          <w:szCs w:val="16"/>
          <w:b w:val="1"/>
          <w:bCs w:val="1"/>
          <w:color w:val="FFFFFF"/>
        </w:rPr>
        <w:t>Operational Excellence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-158750</wp:posOffset>
            </wp:positionV>
            <wp:extent cx="1757045" cy="2400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757045" cy="240030"/>
                    </a:xfrm>
                    <a:prstGeom prst="rect">
                      <a:avLst/>
                    </a:prstGeom>
                    <a:noFill/>
                  </pic:spPr>
                </pic:pic>
              </a:graphicData>
            </a:graphic>
          </wp:anchor>
        </w:drawing>
      </w:r>
    </w:p>
    <w:p>
      <w:pPr>
        <w:spacing w:after="0" w:line="92" w:lineRule="exact"/>
        <w:rPr>
          <w:sz w:val="20"/>
          <w:szCs w:val="20"/>
          <w:color w:val="auto"/>
        </w:rPr>
      </w:pPr>
    </w:p>
    <w:p>
      <w:pPr>
        <w:ind w:left="20"/>
        <w:spacing w:after="0"/>
        <w:tabs>
          <w:tab w:leader="none" w:pos="1580" w:val="left"/>
        </w:tabs>
        <w:rPr>
          <w:sz w:val="20"/>
          <w:szCs w:val="20"/>
          <w:color w:val="auto"/>
        </w:rPr>
      </w:pPr>
      <w:r>
        <w:rPr>
          <w:rFonts w:ascii="Arial" w:cs="Arial" w:eastAsia="Arial" w:hAnsi="Arial"/>
          <w:sz w:val="32"/>
          <w:szCs w:val="32"/>
          <w:b w:val="1"/>
          <w:bCs w:val="1"/>
          <w:color w:val="170D67"/>
          <w:vertAlign w:val="superscript"/>
        </w:rPr>
        <w:t>2024 Priorities and</w:t>
      </w:r>
      <w:r>
        <w:rPr>
          <w:rFonts w:ascii="Arial" w:cs="Arial" w:eastAsia="Arial" w:hAnsi="Arial"/>
          <w:sz w:val="16"/>
          <w:szCs w:val="16"/>
          <w:b w:val="1"/>
          <w:bCs w:val="1"/>
          <w:color w:val="auto"/>
        </w:rPr>
        <w:tab/>
        <w:t xml:space="preserve">• </w:t>
      </w:r>
      <w:r>
        <w:rPr>
          <w:rFonts w:ascii="Arial" w:cs="Arial" w:eastAsia="Arial" w:hAnsi="Arial"/>
          <w:sz w:val="16"/>
          <w:szCs w:val="16"/>
          <w:color w:val="auto"/>
        </w:rPr>
        <w:t>Maintain industry leading</w:t>
      </w:r>
    </w:p>
    <w:tbl>
      <w:tblPr>
        <w:tblLayout w:type="fixed"/>
        <w:tblInd w:w="20" w:type="dxa"/>
        <w:tblCellMar>
          <w:top w:w="0" w:type="dxa"/>
          <w:left w:w="0" w:type="dxa"/>
          <w:bottom w:w="0" w:type="dxa"/>
          <w:right w:w="0" w:type="dxa"/>
        </w:tblCellMar>
      </w:tblPr>
      <w:tr>
        <w:trPr>
          <w:trHeight w:val="214"/>
        </w:trPr>
        <w:tc>
          <w:tcPr>
            <w:tcW w:w="1340" w:type="dxa"/>
            <w:vAlign w:val="bottom"/>
          </w:tcPr>
          <w:p>
            <w:pPr>
              <w:spacing w:after="0"/>
              <w:rPr>
                <w:sz w:val="20"/>
                <w:szCs w:val="20"/>
                <w:color w:val="auto"/>
              </w:rPr>
            </w:pPr>
            <w:r>
              <w:rPr>
                <w:rFonts w:ascii="Arial" w:cs="Arial" w:eastAsia="Arial" w:hAnsi="Arial"/>
                <w:sz w:val="16"/>
                <w:szCs w:val="16"/>
                <w:b w:val="1"/>
                <w:bCs w:val="1"/>
                <w:color w:val="170D67"/>
              </w:rPr>
              <w:t>Commitments</w:t>
            </w:r>
          </w:p>
        </w:tc>
        <w:tc>
          <w:tcPr>
            <w:tcW w:w="2700" w:type="dxa"/>
            <w:vAlign w:val="bottom"/>
            <w:vMerge w:val="restart"/>
          </w:tcPr>
          <w:p>
            <w:pPr>
              <w:ind w:left="440"/>
              <w:spacing w:after="0"/>
              <w:rPr>
                <w:sz w:val="20"/>
                <w:szCs w:val="20"/>
                <w:color w:val="auto"/>
              </w:rPr>
            </w:pPr>
            <w:r>
              <w:rPr>
                <w:rFonts w:ascii="Arial" w:cs="Arial" w:eastAsia="Arial" w:hAnsi="Arial"/>
                <w:sz w:val="16"/>
                <w:szCs w:val="16"/>
                <w:color w:val="auto"/>
              </w:rPr>
              <w:t>operational excellence</w:t>
            </w:r>
          </w:p>
        </w:tc>
        <w:tc>
          <w:tcPr>
            <w:tcW w:w="0" w:type="dxa"/>
            <w:vAlign w:val="bottom"/>
          </w:tcPr>
          <w:p>
            <w:pPr>
              <w:spacing w:after="0"/>
              <w:rPr>
                <w:sz w:val="1"/>
                <w:szCs w:val="1"/>
                <w:color w:val="auto"/>
              </w:rPr>
            </w:pPr>
          </w:p>
        </w:tc>
      </w:tr>
      <w:tr>
        <w:trPr>
          <w:trHeight w:val="52"/>
        </w:trPr>
        <w:tc>
          <w:tcPr>
            <w:tcW w:w="1340" w:type="dxa"/>
            <w:vAlign w:val="bottom"/>
          </w:tcPr>
          <w:p>
            <w:pPr>
              <w:spacing w:after="0"/>
              <w:rPr>
                <w:sz w:val="4"/>
                <w:szCs w:val="4"/>
                <w:color w:val="auto"/>
              </w:rPr>
            </w:pPr>
          </w:p>
        </w:tc>
        <w:tc>
          <w:tcPr>
            <w:tcW w:w="2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3"/>
                <w:szCs w:val="23"/>
                <w:color w:val="auto"/>
              </w:rPr>
            </w:pPr>
          </w:p>
        </w:tc>
        <w:tc>
          <w:tcPr>
            <w:tcW w:w="2700" w:type="dxa"/>
            <w:vAlign w:val="bottom"/>
          </w:tcPr>
          <w:p>
            <w:pPr>
              <w:ind w:left="2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Focus on customer affordability,</w:t>
            </w:r>
          </w:p>
        </w:tc>
        <w:tc>
          <w:tcPr>
            <w:tcW w:w="0" w:type="dxa"/>
            <w:vAlign w:val="bottom"/>
          </w:tcPr>
          <w:p>
            <w:pPr>
              <w:spacing w:after="0"/>
              <w:rPr>
                <w:sz w:val="1"/>
                <w:szCs w:val="1"/>
                <w:color w:val="auto"/>
              </w:rPr>
            </w:pPr>
          </w:p>
        </w:tc>
      </w:tr>
      <w:tr>
        <w:trPr>
          <w:trHeight w:val="215"/>
        </w:trPr>
        <w:tc>
          <w:tcPr>
            <w:tcW w:w="1340" w:type="dxa"/>
            <w:vAlign w:val="bottom"/>
          </w:tcPr>
          <w:p>
            <w:pPr>
              <w:spacing w:after="0"/>
              <w:rPr>
                <w:sz w:val="18"/>
                <w:szCs w:val="18"/>
                <w:color w:val="auto"/>
              </w:rPr>
            </w:pPr>
          </w:p>
        </w:tc>
        <w:tc>
          <w:tcPr>
            <w:tcW w:w="2700" w:type="dxa"/>
            <w:vAlign w:val="bottom"/>
          </w:tcPr>
          <w:p>
            <w:pPr>
              <w:ind w:left="440"/>
              <w:spacing w:after="0"/>
              <w:rPr>
                <w:sz w:val="20"/>
                <w:szCs w:val="20"/>
                <w:color w:val="auto"/>
              </w:rPr>
            </w:pPr>
            <w:r>
              <w:rPr>
                <w:rFonts w:ascii="Arial" w:cs="Arial" w:eastAsia="Arial" w:hAnsi="Arial"/>
                <w:sz w:val="16"/>
                <w:szCs w:val="16"/>
                <w:color w:val="auto"/>
              </w:rPr>
              <w:t>including through cost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700" w:type="dxa"/>
            <w:vAlign w:val="bottom"/>
          </w:tcPr>
          <w:p>
            <w:pPr>
              <w:ind w:left="440"/>
              <w:spacing w:after="0"/>
              <w:rPr>
                <w:sz w:val="20"/>
                <w:szCs w:val="20"/>
                <w:color w:val="auto"/>
              </w:rPr>
            </w:pPr>
            <w:r>
              <w:rPr>
                <w:rFonts w:ascii="Arial" w:cs="Arial" w:eastAsia="Arial" w:hAnsi="Arial"/>
                <w:sz w:val="16"/>
                <w:szCs w:val="16"/>
                <w:color w:val="auto"/>
              </w:rPr>
              <w:t>management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170D67"/>
        </w:rPr>
        <w:t>Strategic Priorities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3340" w:type="dxa"/>
            <w:vAlign w:val="bottom"/>
            <w:shd w:val="clear" w:color="auto" w:fill="170D67"/>
          </w:tcPr>
          <w:p>
            <w:pPr>
              <w:ind w:left="900"/>
              <w:spacing w:after="0"/>
              <w:rPr>
                <w:sz w:val="20"/>
                <w:szCs w:val="20"/>
                <w:color w:val="auto"/>
              </w:rPr>
            </w:pPr>
            <w:r>
              <w:rPr>
                <w:rFonts w:ascii="Arial" w:cs="Arial" w:eastAsia="Arial" w:hAnsi="Arial"/>
                <w:sz w:val="16"/>
                <w:szCs w:val="16"/>
                <w:b w:val="1"/>
                <w:bCs w:val="1"/>
                <w:color w:val="FFFFFF"/>
              </w:rPr>
              <w:t>Financial Execution</w:t>
            </w:r>
          </w:p>
        </w:tc>
        <w:tc>
          <w:tcPr>
            <w:tcW w:w="360" w:type="dxa"/>
            <w:vAlign w:val="bottom"/>
          </w:tcPr>
          <w:p>
            <w:pPr>
              <w:spacing w:after="0"/>
              <w:rPr>
                <w:sz w:val="24"/>
                <w:szCs w:val="24"/>
                <w:color w:val="auto"/>
              </w:rPr>
            </w:pPr>
          </w:p>
        </w:tc>
        <w:tc>
          <w:tcPr>
            <w:tcW w:w="2780" w:type="dxa"/>
            <w:vAlign w:val="bottom"/>
            <w:shd w:val="clear" w:color="auto" w:fill="170D67"/>
          </w:tcPr>
          <w:p>
            <w:pPr>
              <w:ind w:left="260"/>
              <w:spacing w:after="0"/>
              <w:rPr>
                <w:sz w:val="20"/>
                <w:szCs w:val="20"/>
                <w:color w:val="auto"/>
              </w:rPr>
            </w:pPr>
            <w:r>
              <w:rPr>
                <w:rFonts w:ascii="Arial" w:cs="Arial" w:eastAsia="Arial" w:hAnsi="Arial"/>
                <w:sz w:val="16"/>
                <w:szCs w:val="16"/>
                <w:b w:val="1"/>
                <w:bCs w:val="1"/>
                <w:color w:val="FFFFFF"/>
              </w:rPr>
              <w:t>Commitment to Stakeholders</w:t>
            </w:r>
          </w:p>
        </w:tc>
        <w:tc>
          <w:tcPr>
            <w:tcW w:w="0" w:type="dxa"/>
            <w:vAlign w:val="bottom"/>
          </w:tcPr>
          <w:p>
            <w:pPr>
              <w:spacing w:after="0"/>
              <w:rPr>
                <w:sz w:val="1"/>
                <w:szCs w:val="1"/>
                <w:color w:val="auto"/>
              </w:rPr>
            </w:pPr>
          </w:p>
        </w:tc>
      </w:tr>
      <w:tr>
        <w:trPr>
          <w:trHeight w:val="88"/>
        </w:trPr>
        <w:tc>
          <w:tcPr>
            <w:tcW w:w="3340" w:type="dxa"/>
            <w:vAlign w:val="bottom"/>
            <w:shd w:val="clear" w:color="auto" w:fill="170D67"/>
          </w:tcPr>
          <w:p>
            <w:pPr>
              <w:spacing w:after="0"/>
              <w:rPr>
                <w:sz w:val="7"/>
                <w:szCs w:val="7"/>
                <w:color w:val="auto"/>
              </w:rPr>
            </w:pPr>
          </w:p>
        </w:tc>
        <w:tc>
          <w:tcPr>
            <w:tcW w:w="360" w:type="dxa"/>
            <w:vAlign w:val="bottom"/>
          </w:tcPr>
          <w:p>
            <w:pPr>
              <w:spacing w:after="0"/>
              <w:rPr>
                <w:sz w:val="7"/>
                <w:szCs w:val="7"/>
                <w:color w:val="auto"/>
              </w:rPr>
            </w:pPr>
          </w:p>
        </w:tc>
        <w:tc>
          <w:tcPr>
            <w:tcW w:w="2780" w:type="dxa"/>
            <w:vAlign w:val="bottom"/>
            <w:shd w:val="clear" w:color="auto" w:fill="170D67"/>
          </w:tcPr>
          <w:p>
            <w:pPr>
              <w:spacing w:after="0"/>
              <w:rPr>
                <w:sz w:val="7"/>
                <w:szCs w:val="7"/>
                <w:color w:val="auto"/>
              </w:rPr>
            </w:pPr>
          </w:p>
        </w:tc>
        <w:tc>
          <w:tcPr>
            <w:tcW w:w="0" w:type="dxa"/>
            <w:vAlign w:val="bottom"/>
          </w:tcPr>
          <w:p>
            <w:pPr>
              <w:spacing w:after="0"/>
              <w:rPr>
                <w:sz w:val="1"/>
                <w:szCs w:val="1"/>
                <w:color w:val="auto"/>
              </w:rPr>
            </w:pPr>
          </w:p>
        </w:tc>
      </w:tr>
      <w:tr>
        <w:trPr>
          <w:trHeight w:val="404"/>
        </w:trPr>
        <w:tc>
          <w:tcPr>
            <w:tcW w:w="3340" w:type="dxa"/>
            <w:vAlign w:val="bottom"/>
          </w:tcPr>
          <w:p>
            <w:pPr>
              <w:ind w:left="20"/>
              <w:spacing w:after="0"/>
              <w:rPr>
                <w:sz w:val="20"/>
                <w:szCs w:val="20"/>
                <w:color w:val="auto"/>
              </w:rPr>
            </w:pPr>
            <w:r>
              <w:rPr>
                <w:rFonts w:ascii="Arial" w:cs="Arial" w:eastAsia="Arial" w:hAnsi="Arial"/>
                <w:sz w:val="16"/>
                <w:szCs w:val="16"/>
                <w:b w:val="1"/>
                <w:bCs w:val="1"/>
                <w:color w:val="170D67"/>
              </w:rPr>
              <w:t xml:space="preserve">• </w:t>
            </w:r>
            <w:r>
              <w:rPr>
                <w:rFonts w:ascii="Arial" w:cs="Arial" w:eastAsia="Arial" w:hAnsi="Arial"/>
                <w:sz w:val="16"/>
                <w:szCs w:val="16"/>
                <w:color w:val="000000"/>
              </w:rPr>
              <w:t>Deliver adjusted (non-GAAP) operating</w:t>
            </w:r>
          </w:p>
        </w:tc>
        <w:tc>
          <w:tcPr>
            <w:tcW w:w="360" w:type="dxa"/>
            <w:vAlign w:val="bottom"/>
          </w:tcPr>
          <w:p>
            <w:pPr>
              <w:spacing w:after="0"/>
              <w:rPr>
                <w:sz w:val="24"/>
                <w:szCs w:val="24"/>
                <w:color w:val="auto"/>
              </w:rPr>
            </w:pPr>
          </w:p>
        </w:tc>
        <w:tc>
          <w:tcPr>
            <w:tcW w:w="2780" w:type="dxa"/>
            <w:vAlign w:val="bottom"/>
          </w:tcPr>
          <w:p>
            <w:pPr>
              <w:ind w:left="20"/>
              <w:spacing w:after="0"/>
              <w:rPr>
                <w:sz w:val="20"/>
                <w:szCs w:val="20"/>
                <w:color w:val="auto"/>
              </w:rPr>
            </w:pPr>
            <w:r>
              <w:rPr>
                <w:rFonts w:ascii="Arial" w:cs="Arial" w:eastAsia="Arial" w:hAnsi="Arial"/>
                <w:sz w:val="16"/>
                <w:szCs w:val="16"/>
                <w:b w:val="1"/>
                <w:bCs w:val="1"/>
                <w:color w:val="170D67"/>
              </w:rPr>
              <w:t xml:space="preserve">• </w:t>
            </w:r>
            <w:r>
              <w:rPr>
                <w:rFonts w:ascii="Arial" w:cs="Arial" w:eastAsia="Arial" w:hAnsi="Arial"/>
                <w:sz w:val="16"/>
                <w:szCs w:val="16"/>
                <w:color w:val="000000"/>
              </w:rPr>
              <w:t>Advocate for equitable, balanced</w:t>
            </w:r>
          </w:p>
        </w:tc>
        <w:tc>
          <w:tcPr>
            <w:tcW w:w="0" w:type="dxa"/>
            <w:vAlign w:val="bottom"/>
          </w:tcPr>
          <w:p>
            <w:pPr>
              <w:spacing w:after="0"/>
              <w:rPr>
                <w:sz w:val="1"/>
                <w:szCs w:val="1"/>
                <w:color w:val="auto"/>
              </w:rPr>
            </w:pPr>
          </w:p>
        </w:tc>
      </w:tr>
      <w:tr>
        <w:trPr>
          <w:trHeight w:val="215"/>
        </w:trPr>
        <w:tc>
          <w:tcPr>
            <w:tcW w:w="3340" w:type="dxa"/>
            <w:vAlign w:val="bottom"/>
          </w:tcPr>
          <w:p>
            <w:pPr>
              <w:ind w:left="220"/>
              <w:spacing w:after="0"/>
              <w:rPr>
                <w:sz w:val="20"/>
                <w:szCs w:val="20"/>
                <w:color w:val="auto"/>
              </w:rPr>
            </w:pPr>
            <w:r>
              <w:rPr>
                <w:rFonts w:ascii="Arial" w:cs="Arial" w:eastAsia="Arial" w:hAnsi="Arial"/>
                <w:sz w:val="16"/>
                <w:szCs w:val="16"/>
                <w:color w:val="auto"/>
              </w:rPr>
              <w:t>EPS* of $2.40 - $2.50</w:t>
            </w:r>
          </w:p>
        </w:tc>
        <w:tc>
          <w:tcPr>
            <w:tcW w:w="360" w:type="dxa"/>
            <w:vAlign w:val="bottom"/>
          </w:tcPr>
          <w:p>
            <w:pPr>
              <w:spacing w:after="0"/>
              <w:rPr>
                <w:sz w:val="18"/>
                <w:szCs w:val="18"/>
                <w:color w:val="auto"/>
              </w:rPr>
            </w:pPr>
          </w:p>
        </w:tc>
        <w:tc>
          <w:tcPr>
            <w:tcW w:w="2780" w:type="dxa"/>
            <w:vAlign w:val="bottom"/>
          </w:tcPr>
          <w:p>
            <w:pPr>
              <w:ind w:left="220"/>
              <w:spacing w:after="0"/>
              <w:rPr>
                <w:sz w:val="20"/>
                <w:szCs w:val="20"/>
                <w:color w:val="auto"/>
              </w:rPr>
            </w:pPr>
            <w:r>
              <w:rPr>
                <w:rFonts w:ascii="Arial" w:cs="Arial" w:eastAsia="Arial" w:hAnsi="Arial"/>
                <w:sz w:val="16"/>
                <w:szCs w:val="16"/>
                <w:color w:val="auto"/>
              </w:rPr>
              <w:t>energy transition</w:t>
            </w:r>
          </w:p>
        </w:tc>
        <w:tc>
          <w:tcPr>
            <w:tcW w:w="0" w:type="dxa"/>
            <w:vAlign w:val="bottom"/>
          </w:tcPr>
          <w:p>
            <w:pPr>
              <w:spacing w:after="0"/>
              <w:rPr>
                <w:sz w:val="1"/>
                <w:szCs w:val="1"/>
                <w:color w:val="auto"/>
              </w:rPr>
            </w:pPr>
          </w:p>
        </w:tc>
      </w:tr>
      <w:tr>
        <w:trPr>
          <w:trHeight w:val="271"/>
        </w:trPr>
        <w:tc>
          <w:tcPr>
            <w:tcW w:w="3340" w:type="dxa"/>
            <w:vAlign w:val="bottom"/>
          </w:tcPr>
          <w:p>
            <w:pPr>
              <w:ind w:left="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Maintain strong balance sheet</w:t>
            </w:r>
          </w:p>
        </w:tc>
        <w:tc>
          <w:tcPr>
            <w:tcW w:w="360" w:type="dxa"/>
            <w:vAlign w:val="bottom"/>
          </w:tcPr>
          <w:p>
            <w:pPr>
              <w:spacing w:after="0"/>
              <w:rPr>
                <w:sz w:val="23"/>
                <w:szCs w:val="23"/>
                <w:color w:val="auto"/>
              </w:rPr>
            </w:pPr>
          </w:p>
        </w:tc>
        <w:tc>
          <w:tcPr>
            <w:tcW w:w="2780" w:type="dxa"/>
            <w:vAlign w:val="bottom"/>
          </w:tcPr>
          <w:p>
            <w:pPr>
              <w:ind w:left="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Continue making progress on Path</w:t>
            </w:r>
          </w:p>
        </w:tc>
        <w:tc>
          <w:tcPr>
            <w:tcW w:w="0" w:type="dxa"/>
            <w:vAlign w:val="bottom"/>
          </w:tcPr>
          <w:p>
            <w:pPr>
              <w:spacing w:after="0"/>
              <w:rPr>
                <w:sz w:val="1"/>
                <w:szCs w:val="1"/>
                <w:color w:val="auto"/>
              </w:rPr>
            </w:pPr>
          </w:p>
        </w:tc>
      </w:tr>
      <w:tr>
        <w:trPr>
          <w:trHeight w:val="215"/>
        </w:trPr>
        <w:tc>
          <w:tcPr>
            <w:tcW w:w="3340" w:type="dxa"/>
            <w:vAlign w:val="bottom"/>
            <w:vMerge w:val="restart"/>
          </w:tcPr>
          <w:p>
            <w:pPr>
              <w:ind w:left="20"/>
              <w:spacing w:after="0"/>
              <w:rPr>
                <w:sz w:val="20"/>
                <w:szCs w:val="20"/>
                <w:color w:val="auto"/>
              </w:rPr>
            </w:pPr>
            <w:r>
              <w:rPr>
                <w:rFonts w:ascii="Arial" w:cs="Arial" w:eastAsia="Arial" w:hAnsi="Arial"/>
                <w:sz w:val="16"/>
                <w:szCs w:val="16"/>
                <w:b w:val="1"/>
                <w:bCs w:val="1"/>
                <w:color w:val="170D67"/>
              </w:rPr>
              <w:t xml:space="preserve">• </w:t>
            </w:r>
            <w:r>
              <w:rPr>
                <w:rFonts w:ascii="Arial" w:cs="Arial" w:eastAsia="Arial" w:hAnsi="Arial"/>
                <w:sz w:val="16"/>
                <w:szCs w:val="16"/>
                <w:color w:val="000000"/>
              </w:rPr>
              <w:t>Deploy $7.4B of capital for the benefit of</w:t>
            </w:r>
          </w:p>
        </w:tc>
        <w:tc>
          <w:tcPr>
            <w:tcW w:w="360" w:type="dxa"/>
            <w:vAlign w:val="bottom"/>
          </w:tcPr>
          <w:p>
            <w:pPr>
              <w:spacing w:after="0"/>
              <w:rPr>
                <w:sz w:val="18"/>
                <w:szCs w:val="18"/>
                <w:color w:val="auto"/>
              </w:rPr>
            </w:pPr>
          </w:p>
        </w:tc>
        <w:tc>
          <w:tcPr>
            <w:tcW w:w="2780" w:type="dxa"/>
            <w:vAlign w:val="bottom"/>
          </w:tcPr>
          <w:p>
            <w:pPr>
              <w:ind w:left="220"/>
              <w:spacing w:after="0"/>
              <w:rPr>
                <w:sz w:val="20"/>
                <w:szCs w:val="20"/>
                <w:color w:val="auto"/>
              </w:rPr>
            </w:pPr>
            <w:r>
              <w:rPr>
                <w:rFonts w:ascii="Arial" w:cs="Arial" w:eastAsia="Arial" w:hAnsi="Arial"/>
                <w:sz w:val="16"/>
                <w:szCs w:val="16"/>
                <w:color w:val="auto"/>
              </w:rPr>
              <w:t>to Clean goals</w:t>
            </w:r>
          </w:p>
        </w:tc>
        <w:tc>
          <w:tcPr>
            <w:tcW w:w="0" w:type="dxa"/>
            <w:vAlign w:val="bottom"/>
          </w:tcPr>
          <w:p>
            <w:pPr>
              <w:spacing w:after="0"/>
              <w:rPr>
                <w:sz w:val="1"/>
                <w:szCs w:val="1"/>
                <w:color w:val="auto"/>
              </w:rPr>
            </w:pPr>
          </w:p>
        </w:tc>
      </w:tr>
      <w:tr>
        <w:trPr>
          <w:trHeight w:val="69"/>
        </w:trPr>
        <w:tc>
          <w:tcPr>
            <w:tcW w:w="33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3340" w:type="dxa"/>
            <w:vAlign w:val="bottom"/>
          </w:tcPr>
          <w:p>
            <w:pPr>
              <w:ind w:left="220"/>
              <w:spacing w:after="0"/>
              <w:rPr>
                <w:sz w:val="20"/>
                <w:szCs w:val="20"/>
                <w:color w:val="auto"/>
              </w:rPr>
            </w:pPr>
            <w:r>
              <w:rPr>
                <w:rFonts w:ascii="Arial" w:cs="Arial" w:eastAsia="Arial" w:hAnsi="Arial"/>
                <w:sz w:val="16"/>
                <w:szCs w:val="16"/>
                <w:color w:val="auto"/>
              </w:rPr>
              <w:t>customers</w:t>
            </w:r>
          </w:p>
        </w:tc>
        <w:tc>
          <w:tcPr>
            <w:tcW w:w="3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3340" w:type="dxa"/>
            <w:vAlign w:val="bottom"/>
          </w:tcPr>
          <w:p>
            <w:pPr>
              <w:ind w:left="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Earn consolidated operating ROE* of 9-</w:t>
            </w:r>
          </w:p>
        </w:tc>
        <w:tc>
          <w:tcPr>
            <w:tcW w:w="3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340" w:type="dxa"/>
            <w:vAlign w:val="bottom"/>
          </w:tcPr>
          <w:p>
            <w:pPr>
              <w:ind w:left="220"/>
              <w:spacing w:after="0"/>
              <w:rPr>
                <w:sz w:val="20"/>
                <w:szCs w:val="20"/>
                <w:color w:val="auto"/>
              </w:rPr>
            </w:pPr>
            <w:r>
              <w:rPr>
                <w:rFonts w:ascii="Arial" w:cs="Arial" w:eastAsia="Arial" w:hAnsi="Arial"/>
                <w:sz w:val="16"/>
                <w:szCs w:val="16"/>
                <w:color w:val="auto"/>
              </w:rPr>
              <w:t>10%</w:t>
            </w:r>
          </w:p>
        </w:tc>
        <w:tc>
          <w:tcPr>
            <w:tcW w:w="3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ectPr>
          <w:pgSz w:w="11900" w:h="16838" w:orient="portrait"/>
          <w:cols w:equalWidth="0" w:num="2">
            <w:col w:w="4060" w:space="660"/>
            <w:col w:w="6500"/>
          </w:cols>
          <w:pgMar w:left="320" w:top="122" w:right="359" w:bottom="1440" w:gutter="0" w:footer="0" w:header="0"/>
          <w:type w:val="continuous"/>
        </w:sectPr>
      </w:pPr>
    </w:p>
    <w:tbl>
      <w:tblPr>
        <w:tblLayout w:type="fixed"/>
        <w:tblInd w:w="10" w:type="dxa"/>
        <w:tblCellMar>
          <w:top w:w="0" w:type="dxa"/>
          <w:left w:w="0" w:type="dxa"/>
          <w:bottom w:w="0" w:type="dxa"/>
          <w:right w:w="0" w:type="dxa"/>
        </w:tblCellMar>
      </w:tblPr>
      <w:tr>
        <w:trPr>
          <w:trHeight w:val="289"/>
        </w:trPr>
        <w:tc>
          <w:tcPr>
            <w:tcW w:w="1300" w:type="dxa"/>
            <w:vAlign w:val="bottom"/>
            <w:tcBorders>
              <w:top w:val="single" w:sz="8" w:color="6E06C1"/>
              <w:left w:val="single" w:sz="8" w:color="6E06C1"/>
            </w:tcBorders>
          </w:tcPr>
          <w:p>
            <w:pPr>
              <w:spacing w:after="0"/>
              <w:rPr>
                <w:sz w:val="24"/>
                <w:szCs w:val="24"/>
                <w:color w:val="auto"/>
              </w:rPr>
            </w:pPr>
          </w:p>
        </w:tc>
        <w:tc>
          <w:tcPr>
            <w:tcW w:w="2860" w:type="dxa"/>
            <w:vAlign w:val="bottom"/>
            <w:tcBorders>
              <w:top w:val="single" w:sz="8" w:color="6E06C1"/>
            </w:tcBorders>
          </w:tcPr>
          <w:p>
            <w:pPr>
              <w:ind w:left="300"/>
              <w:spacing w:after="0"/>
              <w:rPr>
                <w:sz w:val="20"/>
                <w:szCs w:val="20"/>
                <w:color w:val="auto"/>
              </w:rPr>
            </w:pPr>
            <w:r>
              <w:rPr>
                <w:rFonts w:ascii="Arial" w:cs="Arial" w:eastAsia="Arial" w:hAnsi="Arial"/>
                <w:sz w:val="16"/>
                <w:szCs w:val="16"/>
                <w:b w:val="1"/>
                <w:bCs w:val="1"/>
                <w:color w:val="6E06C1"/>
              </w:rPr>
              <w:t>SAIDI - Outage Duration</w:t>
            </w:r>
          </w:p>
        </w:tc>
        <w:tc>
          <w:tcPr>
            <w:tcW w:w="3880" w:type="dxa"/>
            <w:vAlign w:val="bottom"/>
            <w:tcBorders>
              <w:top w:val="single" w:sz="8" w:color="6E06C1"/>
            </w:tcBorders>
          </w:tcPr>
          <w:p>
            <w:pPr>
              <w:spacing w:after="0"/>
              <w:rPr>
                <w:sz w:val="24"/>
                <w:szCs w:val="24"/>
                <w:color w:val="auto"/>
              </w:rPr>
            </w:pPr>
          </w:p>
        </w:tc>
        <w:tc>
          <w:tcPr>
            <w:tcW w:w="3180" w:type="dxa"/>
            <w:vAlign w:val="bottom"/>
            <w:tcBorders>
              <w:top w:val="single" w:sz="8" w:color="6E06C1"/>
              <w:right w:val="single" w:sz="8" w:color="6E06C1"/>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00" w:type="dxa"/>
            <w:vAlign w:val="bottom"/>
            <w:tcBorders>
              <w:left w:val="single" w:sz="8" w:color="6E06C1"/>
            </w:tcBorders>
          </w:tcPr>
          <w:p>
            <w:pPr>
              <w:ind w:left="40"/>
              <w:spacing w:after="0"/>
              <w:rPr>
                <w:sz w:val="20"/>
                <w:szCs w:val="20"/>
                <w:color w:val="auto"/>
              </w:rPr>
            </w:pPr>
            <w:r>
              <w:rPr>
                <w:rFonts w:ascii="Arial" w:cs="Arial" w:eastAsia="Arial" w:hAnsi="Arial"/>
                <w:sz w:val="16"/>
                <w:szCs w:val="16"/>
                <w:b w:val="1"/>
                <w:bCs w:val="1"/>
                <w:color w:val="6E06C1"/>
              </w:rPr>
              <w:t>AIP Metrics</w:t>
            </w:r>
          </w:p>
        </w:tc>
        <w:tc>
          <w:tcPr>
            <w:tcW w:w="2860" w:type="dxa"/>
            <w:vAlign w:val="bottom"/>
          </w:tcPr>
          <w:p>
            <w:pPr>
              <w:ind w:left="300"/>
              <w:spacing w:after="0"/>
              <w:rPr>
                <w:sz w:val="20"/>
                <w:szCs w:val="20"/>
                <w:color w:val="auto"/>
              </w:rPr>
            </w:pPr>
            <w:r>
              <w:rPr>
                <w:rFonts w:ascii="Arial" w:cs="Arial" w:eastAsia="Arial" w:hAnsi="Arial"/>
                <w:sz w:val="16"/>
                <w:szCs w:val="16"/>
                <w:b w:val="1"/>
                <w:bCs w:val="1"/>
                <w:color w:val="6E06C1"/>
              </w:rPr>
              <w:t>SAIFI - Outage Frequency</w:t>
            </w:r>
          </w:p>
        </w:tc>
        <w:tc>
          <w:tcPr>
            <w:tcW w:w="3880" w:type="dxa"/>
            <w:vAlign w:val="bottom"/>
          </w:tcPr>
          <w:p>
            <w:pPr>
              <w:ind w:left="580"/>
              <w:spacing w:after="0"/>
              <w:rPr>
                <w:sz w:val="20"/>
                <w:szCs w:val="20"/>
                <w:color w:val="auto"/>
              </w:rPr>
            </w:pPr>
            <w:r>
              <w:rPr>
                <w:rFonts w:ascii="Arial" w:cs="Arial" w:eastAsia="Arial" w:hAnsi="Arial"/>
                <w:sz w:val="16"/>
                <w:szCs w:val="16"/>
                <w:b w:val="1"/>
                <w:bCs w:val="1"/>
                <w:color w:val="6E06C1"/>
              </w:rPr>
              <w:t>Adjusted (Non-GAAP) Operating EPS*</w:t>
            </w:r>
          </w:p>
        </w:tc>
        <w:tc>
          <w:tcPr>
            <w:tcW w:w="3180" w:type="dxa"/>
            <w:vAlign w:val="bottom"/>
            <w:tcBorders>
              <w:right w:val="single" w:sz="8" w:color="6E06C1"/>
            </w:tcBorders>
          </w:tcPr>
          <w:p>
            <w:pPr>
              <w:ind w:left="400"/>
              <w:spacing w:after="0"/>
              <w:rPr>
                <w:sz w:val="20"/>
                <w:szCs w:val="20"/>
                <w:color w:val="auto"/>
              </w:rPr>
            </w:pPr>
            <w:r>
              <w:rPr>
                <w:rFonts w:ascii="Arial" w:cs="Arial" w:eastAsia="Arial" w:hAnsi="Arial"/>
                <w:sz w:val="16"/>
                <w:szCs w:val="16"/>
                <w:b w:val="1"/>
                <w:bCs w:val="1"/>
                <w:color w:val="6E06C1"/>
              </w:rPr>
              <w:t>Responsible Business Modifier</w:t>
            </w:r>
          </w:p>
        </w:tc>
        <w:tc>
          <w:tcPr>
            <w:tcW w:w="0" w:type="dxa"/>
            <w:vAlign w:val="bottom"/>
          </w:tcPr>
          <w:p>
            <w:pPr>
              <w:spacing w:after="0"/>
              <w:rPr>
                <w:sz w:val="1"/>
                <w:szCs w:val="1"/>
                <w:color w:val="auto"/>
              </w:rPr>
            </w:pPr>
          </w:p>
        </w:tc>
      </w:tr>
      <w:tr>
        <w:trPr>
          <w:trHeight w:val="243"/>
        </w:trPr>
        <w:tc>
          <w:tcPr>
            <w:tcW w:w="1300" w:type="dxa"/>
            <w:vAlign w:val="bottom"/>
            <w:tcBorders>
              <w:left w:val="single" w:sz="8" w:color="6E06C1"/>
            </w:tcBorders>
          </w:tcPr>
          <w:p>
            <w:pPr>
              <w:spacing w:after="0"/>
              <w:rPr>
                <w:sz w:val="21"/>
                <w:szCs w:val="21"/>
                <w:color w:val="auto"/>
              </w:rPr>
            </w:pPr>
          </w:p>
        </w:tc>
        <w:tc>
          <w:tcPr>
            <w:tcW w:w="2860" w:type="dxa"/>
            <w:vAlign w:val="bottom"/>
          </w:tcPr>
          <w:p>
            <w:pPr>
              <w:ind w:left="300"/>
              <w:spacing w:after="0"/>
              <w:rPr>
                <w:sz w:val="20"/>
                <w:szCs w:val="20"/>
                <w:color w:val="auto"/>
              </w:rPr>
            </w:pPr>
            <w:r>
              <w:rPr>
                <w:rFonts w:ascii="Arial" w:cs="Arial" w:eastAsia="Arial" w:hAnsi="Arial"/>
                <w:sz w:val="16"/>
                <w:szCs w:val="16"/>
                <w:b w:val="1"/>
                <w:bCs w:val="1"/>
                <w:color w:val="6E06C1"/>
              </w:rPr>
              <w:t>Customer Satisfaction</w:t>
            </w:r>
          </w:p>
        </w:tc>
        <w:tc>
          <w:tcPr>
            <w:tcW w:w="3880" w:type="dxa"/>
            <w:vAlign w:val="bottom"/>
          </w:tcPr>
          <w:p>
            <w:pPr>
              <w:spacing w:after="0"/>
              <w:rPr>
                <w:sz w:val="21"/>
                <w:szCs w:val="21"/>
                <w:color w:val="auto"/>
              </w:rPr>
            </w:pPr>
          </w:p>
        </w:tc>
        <w:tc>
          <w:tcPr>
            <w:tcW w:w="3180" w:type="dxa"/>
            <w:vAlign w:val="bottom"/>
            <w:tcBorders>
              <w:right w:val="single" w:sz="8" w:color="6E06C1"/>
            </w:tcBorders>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1300" w:type="dxa"/>
            <w:vAlign w:val="bottom"/>
            <w:tcBorders>
              <w:left w:val="single" w:sz="8" w:color="6E06C1"/>
              <w:bottom w:val="single" w:sz="8" w:color="6E06C1"/>
            </w:tcBorders>
          </w:tcPr>
          <w:p>
            <w:pPr>
              <w:spacing w:after="0"/>
              <w:rPr>
                <w:sz w:val="5"/>
                <w:szCs w:val="5"/>
                <w:color w:val="auto"/>
              </w:rPr>
            </w:pPr>
          </w:p>
        </w:tc>
        <w:tc>
          <w:tcPr>
            <w:tcW w:w="2860" w:type="dxa"/>
            <w:vAlign w:val="bottom"/>
            <w:tcBorders>
              <w:bottom w:val="single" w:sz="8" w:color="6E06C1"/>
            </w:tcBorders>
          </w:tcPr>
          <w:p>
            <w:pPr>
              <w:spacing w:after="0"/>
              <w:rPr>
                <w:sz w:val="5"/>
                <w:szCs w:val="5"/>
                <w:color w:val="auto"/>
              </w:rPr>
            </w:pPr>
          </w:p>
        </w:tc>
        <w:tc>
          <w:tcPr>
            <w:tcW w:w="3880" w:type="dxa"/>
            <w:vAlign w:val="bottom"/>
            <w:tcBorders>
              <w:bottom w:val="single" w:sz="8" w:color="6E06C1"/>
            </w:tcBorders>
          </w:tcPr>
          <w:p>
            <w:pPr>
              <w:spacing w:after="0"/>
              <w:rPr>
                <w:sz w:val="5"/>
                <w:szCs w:val="5"/>
                <w:color w:val="auto"/>
              </w:rPr>
            </w:pPr>
          </w:p>
        </w:tc>
        <w:tc>
          <w:tcPr>
            <w:tcW w:w="3180" w:type="dxa"/>
            <w:vAlign w:val="bottom"/>
            <w:tcBorders>
              <w:bottom w:val="single" w:sz="8" w:color="6E06C1"/>
              <w:right w:val="single" w:sz="8" w:color="6E06C1"/>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300" w:type="dxa"/>
            <w:vAlign w:val="bottom"/>
            <w:tcBorders>
              <w:bottom w:val="single" w:sz="8" w:color="3A5CFF"/>
            </w:tcBorders>
          </w:tcPr>
          <w:p>
            <w:pPr>
              <w:spacing w:after="0"/>
              <w:rPr>
                <w:sz w:val="14"/>
                <w:szCs w:val="14"/>
                <w:color w:val="auto"/>
              </w:rPr>
            </w:pPr>
          </w:p>
        </w:tc>
        <w:tc>
          <w:tcPr>
            <w:tcW w:w="2860" w:type="dxa"/>
            <w:vAlign w:val="bottom"/>
            <w:tcBorders>
              <w:bottom w:val="single" w:sz="8" w:color="3A5CFF"/>
            </w:tcBorders>
          </w:tcPr>
          <w:p>
            <w:pPr>
              <w:spacing w:after="0"/>
              <w:rPr>
                <w:sz w:val="14"/>
                <w:szCs w:val="14"/>
                <w:color w:val="auto"/>
              </w:rPr>
            </w:pPr>
          </w:p>
        </w:tc>
        <w:tc>
          <w:tcPr>
            <w:tcW w:w="3880" w:type="dxa"/>
            <w:vAlign w:val="bottom"/>
            <w:tcBorders>
              <w:bottom w:val="single" w:sz="8" w:color="3A5CFF"/>
            </w:tcBorders>
          </w:tcPr>
          <w:p>
            <w:pPr>
              <w:spacing w:after="0"/>
              <w:rPr>
                <w:sz w:val="14"/>
                <w:szCs w:val="14"/>
                <w:color w:val="auto"/>
              </w:rPr>
            </w:pPr>
          </w:p>
        </w:tc>
        <w:tc>
          <w:tcPr>
            <w:tcW w:w="3180" w:type="dxa"/>
            <w:vAlign w:val="bottom"/>
            <w:tcBorders>
              <w:bottom w:val="single" w:sz="8" w:color="3A5CFF"/>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300" w:type="dxa"/>
            <w:vAlign w:val="bottom"/>
            <w:tcBorders>
              <w:left w:val="single" w:sz="8" w:color="3A5CFF"/>
            </w:tcBorders>
            <w:vMerge w:val="restart"/>
          </w:tcPr>
          <w:p>
            <w:pPr>
              <w:ind w:left="40"/>
              <w:spacing w:after="0"/>
              <w:rPr>
                <w:sz w:val="20"/>
                <w:szCs w:val="20"/>
                <w:color w:val="auto"/>
              </w:rPr>
            </w:pPr>
            <w:r>
              <w:rPr>
                <w:rFonts w:ascii="Arial" w:cs="Arial" w:eastAsia="Arial" w:hAnsi="Arial"/>
                <w:sz w:val="16"/>
                <w:szCs w:val="16"/>
                <w:b w:val="1"/>
                <w:bCs w:val="1"/>
                <w:color w:val="3A5CFF"/>
              </w:rPr>
              <w:t>LTIP Metrics</w:t>
            </w:r>
          </w:p>
        </w:tc>
        <w:tc>
          <w:tcPr>
            <w:tcW w:w="2860" w:type="dxa"/>
            <w:vAlign w:val="bottom"/>
          </w:tcPr>
          <w:p>
            <w:pPr>
              <w:spacing w:after="0"/>
              <w:rPr>
                <w:sz w:val="19"/>
                <w:szCs w:val="19"/>
                <w:color w:val="auto"/>
              </w:rPr>
            </w:pPr>
          </w:p>
        </w:tc>
        <w:tc>
          <w:tcPr>
            <w:tcW w:w="3880" w:type="dxa"/>
            <w:vAlign w:val="bottom"/>
          </w:tcPr>
          <w:p>
            <w:pPr>
              <w:ind w:left="580"/>
              <w:spacing w:after="0"/>
              <w:rPr>
                <w:sz w:val="20"/>
                <w:szCs w:val="20"/>
                <w:color w:val="auto"/>
              </w:rPr>
            </w:pPr>
            <w:r>
              <w:rPr>
                <w:rFonts w:ascii="Arial" w:cs="Arial" w:eastAsia="Arial" w:hAnsi="Arial"/>
                <w:sz w:val="16"/>
                <w:szCs w:val="16"/>
                <w:b w:val="1"/>
                <w:bCs w:val="1"/>
                <w:color w:val="3A5CFF"/>
              </w:rPr>
              <w:t>Exelon Net Income*</w:t>
            </w:r>
          </w:p>
        </w:tc>
        <w:tc>
          <w:tcPr>
            <w:tcW w:w="3180" w:type="dxa"/>
            <w:vAlign w:val="bottom"/>
            <w:tcBorders>
              <w:right w:val="single" w:sz="8" w:color="3A5CFF"/>
            </w:tcBorders>
            <w:vMerge w:val="restart"/>
          </w:tcPr>
          <w:p>
            <w:pPr>
              <w:ind w:left="400"/>
              <w:spacing w:after="0"/>
              <w:rPr>
                <w:sz w:val="20"/>
                <w:szCs w:val="20"/>
                <w:color w:val="auto"/>
              </w:rPr>
            </w:pPr>
            <w:r>
              <w:rPr>
                <w:rFonts w:ascii="Arial" w:cs="Arial" w:eastAsia="Arial" w:hAnsi="Arial"/>
                <w:sz w:val="16"/>
                <w:szCs w:val="16"/>
                <w:b w:val="1"/>
                <w:bCs w:val="1"/>
                <w:color w:val="3A5CFF"/>
              </w:rPr>
              <w:t>Relative TSR Modifier</w:t>
            </w:r>
          </w:p>
        </w:tc>
        <w:tc>
          <w:tcPr>
            <w:tcW w:w="0" w:type="dxa"/>
            <w:vAlign w:val="bottom"/>
          </w:tcPr>
          <w:p>
            <w:pPr>
              <w:spacing w:after="0"/>
              <w:rPr>
                <w:sz w:val="1"/>
                <w:szCs w:val="1"/>
                <w:color w:val="auto"/>
              </w:rPr>
            </w:pPr>
          </w:p>
        </w:tc>
      </w:tr>
      <w:tr>
        <w:trPr>
          <w:trHeight w:val="203"/>
        </w:trPr>
        <w:tc>
          <w:tcPr>
            <w:tcW w:w="1300" w:type="dxa"/>
            <w:vAlign w:val="bottom"/>
            <w:tcBorders>
              <w:left w:val="single" w:sz="8" w:color="3A5CFF"/>
            </w:tcBorders>
            <w:vMerge w:val="continue"/>
          </w:tcPr>
          <w:p>
            <w:pPr>
              <w:spacing w:after="0"/>
              <w:rPr>
                <w:sz w:val="17"/>
                <w:szCs w:val="17"/>
                <w:color w:val="auto"/>
              </w:rPr>
            </w:pPr>
          </w:p>
        </w:tc>
        <w:tc>
          <w:tcPr>
            <w:tcW w:w="2860" w:type="dxa"/>
            <w:vAlign w:val="bottom"/>
          </w:tcPr>
          <w:p>
            <w:pPr>
              <w:spacing w:after="0"/>
              <w:rPr>
                <w:sz w:val="17"/>
                <w:szCs w:val="17"/>
                <w:color w:val="auto"/>
              </w:rPr>
            </w:pPr>
          </w:p>
        </w:tc>
        <w:tc>
          <w:tcPr>
            <w:tcW w:w="3880" w:type="dxa"/>
            <w:vAlign w:val="bottom"/>
          </w:tcPr>
          <w:p>
            <w:pPr>
              <w:ind w:left="580"/>
              <w:spacing w:after="0"/>
              <w:rPr>
                <w:sz w:val="20"/>
                <w:szCs w:val="20"/>
                <w:color w:val="auto"/>
              </w:rPr>
            </w:pPr>
            <w:r>
              <w:rPr>
                <w:rFonts w:ascii="Arial" w:cs="Arial" w:eastAsia="Arial" w:hAnsi="Arial"/>
                <w:sz w:val="16"/>
                <w:szCs w:val="16"/>
                <w:b w:val="1"/>
                <w:bCs w:val="1"/>
                <w:color w:val="3A5CFF"/>
              </w:rPr>
              <w:t>Exelon CFO/Debt*</w:t>
            </w:r>
          </w:p>
        </w:tc>
        <w:tc>
          <w:tcPr>
            <w:tcW w:w="3180" w:type="dxa"/>
            <w:vAlign w:val="bottom"/>
            <w:tcBorders>
              <w:right w:val="single" w:sz="8" w:color="3A5C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300" w:type="dxa"/>
            <w:vAlign w:val="bottom"/>
            <w:tcBorders>
              <w:left w:val="single" w:sz="8" w:color="3A5CFF"/>
            </w:tcBorders>
          </w:tcPr>
          <w:p>
            <w:pPr>
              <w:spacing w:after="0"/>
              <w:rPr>
                <w:sz w:val="19"/>
                <w:szCs w:val="19"/>
                <w:color w:val="auto"/>
              </w:rPr>
            </w:pPr>
          </w:p>
        </w:tc>
        <w:tc>
          <w:tcPr>
            <w:tcW w:w="2860" w:type="dxa"/>
            <w:vAlign w:val="bottom"/>
          </w:tcPr>
          <w:p>
            <w:pPr>
              <w:spacing w:after="0"/>
              <w:rPr>
                <w:sz w:val="19"/>
                <w:szCs w:val="19"/>
                <w:color w:val="auto"/>
              </w:rPr>
            </w:pPr>
          </w:p>
        </w:tc>
        <w:tc>
          <w:tcPr>
            <w:tcW w:w="3880" w:type="dxa"/>
            <w:vAlign w:val="bottom"/>
          </w:tcPr>
          <w:p>
            <w:pPr>
              <w:ind w:left="580"/>
              <w:spacing w:after="0"/>
              <w:rPr>
                <w:sz w:val="20"/>
                <w:szCs w:val="20"/>
                <w:color w:val="auto"/>
              </w:rPr>
            </w:pPr>
            <w:r>
              <w:rPr>
                <w:rFonts w:ascii="Arial" w:cs="Arial" w:eastAsia="Arial" w:hAnsi="Arial"/>
                <w:sz w:val="16"/>
                <w:szCs w:val="16"/>
                <w:b w:val="1"/>
                <w:bCs w:val="1"/>
                <w:color w:val="3A5CFF"/>
              </w:rPr>
              <w:t>Utility Earned ROE*</w:t>
            </w:r>
          </w:p>
        </w:tc>
        <w:tc>
          <w:tcPr>
            <w:tcW w:w="3180" w:type="dxa"/>
            <w:vAlign w:val="bottom"/>
            <w:tcBorders>
              <w:right w:val="single" w:sz="8" w:color="3A5CFF"/>
            </w:tcBorders>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1300" w:type="dxa"/>
            <w:vAlign w:val="bottom"/>
            <w:tcBorders>
              <w:left w:val="single" w:sz="8" w:color="3A5CFF"/>
              <w:bottom w:val="single" w:sz="8" w:color="3A5CFF"/>
            </w:tcBorders>
          </w:tcPr>
          <w:p>
            <w:pPr>
              <w:spacing w:after="0"/>
              <w:rPr>
                <w:sz w:val="3"/>
                <w:szCs w:val="3"/>
                <w:color w:val="auto"/>
              </w:rPr>
            </w:pPr>
          </w:p>
        </w:tc>
        <w:tc>
          <w:tcPr>
            <w:tcW w:w="2860" w:type="dxa"/>
            <w:vAlign w:val="bottom"/>
            <w:tcBorders>
              <w:bottom w:val="single" w:sz="8" w:color="3A5CFF"/>
            </w:tcBorders>
          </w:tcPr>
          <w:p>
            <w:pPr>
              <w:spacing w:after="0"/>
              <w:rPr>
                <w:sz w:val="3"/>
                <w:szCs w:val="3"/>
                <w:color w:val="auto"/>
              </w:rPr>
            </w:pPr>
          </w:p>
        </w:tc>
        <w:tc>
          <w:tcPr>
            <w:tcW w:w="3880" w:type="dxa"/>
            <w:vAlign w:val="bottom"/>
            <w:tcBorders>
              <w:bottom w:val="single" w:sz="8" w:color="3A5CFF"/>
            </w:tcBorders>
          </w:tcPr>
          <w:p>
            <w:pPr>
              <w:spacing w:after="0"/>
              <w:rPr>
                <w:sz w:val="3"/>
                <w:szCs w:val="3"/>
                <w:color w:val="auto"/>
              </w:rPr>
            </w:pPr>
          </w:p>
        </w:tc>
        <w:tc>
          <w:tcPr>
            <w:tcW w:w="3180" w:type="dxa"/>
            <w:vAlign w:val="bottom"/>
            <w:tcBorders>
              <w:bottom w:val="single" w:sz="8" w:color="3A5CFF"/>
              <w:right w:val="single" w:sz="8" w:color="3A5CFF"/>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1">
            <w:col w:w="11220"/>
          </w:cols>
          <w:pgMar w:left="320" w:top="122" w:right="359" w:bottom="1440" w:gutter="0" w:footer="0" w:header="0"/>
          <w:type w:val="continuous"/>
        </w:sectPr>
      </w:pPr>
    </w:p>
    <w:tbl>
      <w:tblPr>
        <w:tblLayout w:type="fixed"/>
        <w:tblInd w:w="20" w:type="dxa"/>
        <w:tblCellMar>
          <w:top w:w="0" w:type="dxa"/>
          <w:left w:w="0" w:type="dxa"/>
          <w:bottom w:w="0" w:type="dxa"/>
          <w:right w:w="0" w:type="dxa"/>
        </w:tblCellMar>
      </w:tblPr>
      <w:tr>
        <w:trPr>
          <w:trHeight w:val="223"/>
        </w:trPr>
        <w:tc>
          <w:tcPr>
            <w:tcW w:w="1500" w:type="dxa"/>
            <w:vAlign w:val="bottom"/>
          </w:tcPr>
          <w:p>
            <w:pPr>
              <w:spacing w:after="0"/>
              <w:rPr>
                <w:sz w:val="20"/>
                <w:szCs w:val="20"/>
                <w:color w:val="auto"/>
              </w:rPr>
            </w:pPr>
            <w:r>
              <w:rPr>
                <w:rFonts w:ascii="Arial" w:cs="Arial" w:eastAsia="Arial" w:hAnsi="Arial"/>
                <w:sz w:val="16"/>
                <w:szCs w:val="16"/>
                <w:b w:val="1"/>
                <w:bCs w:val="1"/>
                <w:color w:val="170D67"/>
              </w:rPr>
              <w:t>2024 Performance</w:t>
            </w:r>
          </w:p>
        </w:tc>
        <w:tc>
          <w:tcPr>
            <w:tcW w:w="2800" w:type="dxa"/>
            <w:vAlign w:val="bottom"/>
            <w:vMerge w:val="restart"/>
          </w:tcPr>
          <w:p>
            <w:pPr>
              <w:ind w:left="80"/>
              <w:spacing w:after="0"/>
              <w:rPr>
                <w:sz w:val="20"/>
                <w:szCs w:val="20"/>
                <w:color w:val="auto"/>
              </w:rPr>
            </w:pPr>
            <w:r>
              <w:rPr>
                <w:rFonts w:ascii="Arial" w:cs="Arial" w:eastAsia="Arial" w:hAnsi="Arial"/>
                <w:sz w:val="16"/>
                <w:szCs w:val="16"/>
                <w:b w:val="1"/>
                <w:bCs w:val="1"/>
                <w:color w:val="170D67"/>
              </w:rPr>
              <w:t xml:space="preserve">• </w:t>
            </w:r>
            <w:r>
              <w:rPr>
                <w:rFonts w:ascii="Arial" w:cs="Arial" w:eastAsia="Arial" w:hAnsi="Arial"/>
                <w:sz w:val="16"/>
                <w:szCs w:val="16"/>
                <w:color w:val="000000"/>
              </w:rPr>
              <w:t>All utilities had strong SAIDI and</w:t>
            </w:r>
          </w:p>
        </w:tc>
        <w:tc>
          <w:tcPr>
            <w:tcW w:w="0" w:type="dxa"/>
            <w:vAlign w:val="bottom"/>
          </w:tcPr>
          <w:p>
            <w:pPr>
              <w:spacing w:after="0"/>
              <w:rPr>
                <w:sz w:val="1"/>
                <w:szCs w:val="1"/>
                <w:color w:val="auto"/>
              </w:rPr>
            </w:pPr>
          </w:p>
        </w:tc>
      </w:tr>
      <w:tr>
        <w:trPr>
          <w:trHeight w:val="61"/>
        </w:trPr>
        <w:tc>
          <w:tcPr>
            <w:tcW w:w="1500" w:type="dxa"/>
            <w:vAlign w:val="bottom"/>
            <w:vMerge w:val="restart"/>
          </w:tcPr>
          <w:p>
            <w:pPr>
              <w:spacing w:after="0"/>
              <w:rPr>
                <w:sz w:val="20"/>
                <w:szCs w:val="20"/>
                <w:color w:val="auto"/>
              </w:rPr>
            </w:pPr>
            <w:r>
              <w:rPr>
                <w:rFonts w:ascii="Arial" w:cs="Arial" w:eastAsia="Arial" w:hAnsi="Arial"/>
                <w:sz w:val="16"/>
                <w:szCs w:val="16"/>
                <w:b w:val="1"/>
                <w:bCs w:val="1"/>
                <w:color w:val="170D67"/>
              </w:rPr>
              <w:t>Highlights</w:t>
            </w:r>
          </w:p>
        </w:tc>
        <w:tc>
          <w:tcPr>
            <w:tcW w:w="2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500" w:type="dxa"/>
            <w:vAlign w:val="bottom"/>
            <w:vMerge w:val="continue"/>
          </w:tcPr>
          <w:p>
            <w:pPr>
              <w:spacing w:after="0"/>
              <w:rPr>
                <w:sz w:val="14"/>
                <w:szCs w:val="14"/>
                <w:color w:val="auto"/>
              </w:rPr>
            </w:pPr>
          </w:p>
        </w:tc>
        <w:tc>
          <w:tcPr>
            <w:tcW w:w="2800" w:type="dxa"/>
            <w:vAlign w:val="bottom"/>
            <w:vMerge w:val="restart"/>
          </w:tcPr>
          <w:p>
            <w:pPr>
              <w:ind w:left="280"/>
              <w:spacing w:after="0"/>
              <w:rPr>
                <w:sz w:val="20"/>
                <w:szCs w:val="20"/>
                <w:color w:val="auto"/>
              </w:rPr>
            </w:pPr>
            <w:r>
              <w:rPr>
                <w:rFonts w:ascii="Arial" w:cs="Arial" w:eastAsia="Arial" w:hAnsi="Arial"/>
                <w:sz w:val="16"/>
                <w:szCs w:val="16"/>
                <w:color w:val="auto"/>
              </w:rPr>
              <w:t>SAIFI performance with PECO and</w:t>
            </w:r>
          </w:p>
        </w:tc>
        <w:tc>
          <w:tcPr>
            <w:tcW w:w="0" w:type="dxa"/>
            <w:vAlign w:val="bottom"/>
          </w:tcPr>
          <w:p>
            <w:pPr>
              <w:spacing w:after="0"/>
              <w:rPr>
                <w:sz w:val="1"/>
                <w:szCs w:val="1"/>
                <w:color w:val="auto"/>
              </w:rPr>
            </w:pPr>
          </w:p>
        </w:tc>
      </w:tr>
      <w:tr>
        <w:trPr>
          <w:trHeight w:val="41"/>
        </w:trPr>
        <w:tc>
          <w:tcPr>
            <w:tcW w:w="1500" w:type="dxa"/>
            <w:vAlign w:val="bottom"/>
          </w:tcPr>
          <w:p>
            <w:pPr>
              <w:spacing w:after="0"/>
              <w:rPr>
                <w:sz w:val="3"/>
                <w:szCs w:val="3"/>
                <w:color w:val="auto"/>
              </w:rPr>
            </w:pPr>
          </w:p>
        </w:tc>
        <w:tc>
          <w:tcPr>
            <w:tcW w:w="2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1500" w:type="dxa"/>
            <w:vAlign w:val="bottom"/>
          </w:tcPr>
          <w:p>
            <w:pPr>
              <w:spacing w:after="0"/>
              <w:rPr>
                <w:sz w:val="18"/>
                <w:szCs w:val="18"/>
                <w:color w:val="auto"/>
              </w:rPr>
            </w:pPr>
          </w:p>
        </w:tc>
        <w:tc>
          <w:tcPr>
            <w:tcW w:w="2800" w:type="dxa"/>
            <w:vAlign w:val="bottom"/>
          </w:tcPr>
          <w:p>
            <w:pPr>
              <w:ind w:left="280"/>
              <w:spacing w:after="0"/>
              <w:rPr>
                <w:sz w:val="20"/>
                <w:szCs w:val="20"/>
                <w:color w:val="auto"/>
              </w:rPr>
            </w:pPr>
            <w:r>
              <w:rPr>
                <w:rFonts w:ascii="Arial" w:cs="Arial" w:eastAsia="Arial" w:hAnsi="Arial"/>
                <w:sz w:val="16"/>
                <w:szCs w:val="16"/>
                <w:color w:val="auto"/>
              </w:rPr>
              <w:t>BGE in the top quartile and PHI</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800" w:type="dxa"/>
            <w:vAlign w:val="bottom"/>
          </w:tcPr>
          <w:p>
            <w:pPr>
              <w:ind w:left="280"/>
              <w:spacing w:after="0"/>
              <w:rPr>
                <w:sz w:val="20"/>
                <w:szCs w:val="20"/>
                <w:color w:val="auto"/>
              </w:rPr>
            </w:pPr>
            <w:r>
              <w:rPr>
                <w:rFonts w:ascii="Arial" w:cs="Arial" w:eastAsia="Arial" w:hAnsi="Arial"/>
                <w:sz w:val="16"/>
                <w:szCs w:val="16"/>
                <w:color w:val="auto"/>
              </w:rPr>
              <w:t>and ComEd in the top decile.</w:t>
            </w:r>
          </w:p>
        </w:tc>
        <w:tc>
          <w:tcPr>
            <w:tcW w:w="0" w:type="dxa"/>
            <w:vAlign w:val="bottom"/>
          </w:tcPr>
          <w:p>
            <w:pPr>
              <w:spacing w:after="0"/>
              <w:rPr>
                <w:sz w:val="1"/>
                <w:szCs w:val="1"/>
                <w:color w:val="auto"/>
              </w:rPr>
            </w:pPr>
          </w:p>
        </w:tc>
      </w:tr>
      <w:tr>
        <w:trPr>
          <w:trHeight w:val="285"/>
        </w:trPr>
        <w:tc>
          <w:tcPr>
            <w:tcW w:w="1500" w:type="dxa"/>
            <w:vAlign w:val="bottom"/>
          </w:tcPr>
          <w:p>
            <w:pPr>
              <w:spacing w:after="0"/>
              <w:rPr>
                <w:sz w:val="24"/>
                <w:szCs w:val="24"/>
                <w:color w:val="auto"/>
              </w:rPr>
            </w:pPr>
          </w:p>
        </w:tc>
        <w:tc>
          <w:tcPr>
            <w:tcW w:w="2800" w:type="dxa"/>
            <w:vAlign w:val="bottom"/>
          </w:tcPr>
          <w:p>
            <w:pPr>
              <w:ind w:left="80"/>
              <w:spacing w:after="0"/>
              <w:rPr>
                <w:sz w:val="20"/>
                <w:szCs w:val="20"/>
                <w:color w:val="auto"/>
              </w:rPr>
            </w:pPr>
            <w:r>
              <w:rPr>
                <w:rFonts w:ascii="Arial" w:cs="Arial" w:eastAsia="Arial" w:hAnsi="Arial"/>
                <w:sz w:val="16"/>
                <w:szCs w:val="16"/>
                <w:b w:val="1"/>
                <w:bCs w:val="1"/>
                <w:color w:val="170D67"/>
              </w:rPr>
              <w:t xml:space="preserve">• </w:t>
            </w:r>
            <w:r>
              <w:rPr>
                <w:rFonts w:ascii="Arial" w:cs="Arial" w:eastAsia="Arial" w:hAnsi="Arial"/>
                <w:sz w:val="16"/>
                <w:szCs w:val="16"/>
                <w:color w:val="000000"/>
              </w:rPr>
              <w:t>ComEd and PECO upheld strong</w:t>
            </w: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2800" w:type="dxa"/>
            <w:vAlign w:val="bottom"/>
          </w:tcPr>
          <w:p>
            <w:pPr>
              <w:ind w:left="280"/>
              <w:spacing w:after="0"/>
              <w:rPr>
                <w:sz w:val="20"/>
                <w:szCs w:val="20"/>
                <w:color w:val="auto"/>
              </w:rPr>
            </w:pPr>
            <w:r>
              <w:rPr>
                <w:rFonts w:ascii="Arial" w:cs="Arial" w:eastAsia="Arial" w:hAnsi="Arial"/>
                <w:sz w:val="16"/>
                <w:szCs w:val="16"/>
                <w:color w:val="auto"/>
              </w:rPr>
              <w:t>customer satisfaction performance</w:t>
            </w:r>
          </w:p>
        </w:tc>
        <w:tc>
          <w:tcPr>
            <w:tcW w:w="0" w:type="dxa"/>
            <w:vAlign w:val="bottom"/>
          </w:tcPr>
          <w:p>
            <w:pPr>
              <w:spacing w:after="0"/>
              <w:rPr>
                <w:sz w:val="1"/>
                <w:szCs w:val="1"/>
                <w:color w:val="auto"/>
              </w:rPr>
            </w:pPr>
          </w:p>
        </w:tc>
      </w:tr>
      <w:tr>
        <w:trPr>
          <w:trHeight w:val="215"/>
        </w:trPr>
        <w:tc>
          <w:tcPr>
            <w:tcW w:w="1500" w:type="dxa"/>
            <w:vAlign w:val="bottom"/>
          </w:tcPr>
          <w:p>
            <w:pPr>
              <w:spacing w:after="0"/>
              <w:rPr>
                <w:sz w:val="18"/>
                <w:szCs w:val="18"/>
                <w:color w:val="auto"/>
              </w:rPr>
            </w:pPr>
          </w:p>
        </w:tc>
        <w:tc>
          <w:tcPr>
            <w:tcW w:w="2800" w:type="dxa"/>
            <w:vAlign w:val="bottom"/>
          </w:tcPr>
          <w:p>
            <w:pPr>
              <w:ind w:left="280"/>
              <w:spacing w:after="0"/>
              <w:rPr>
                <w:sz w:val="20"/>
                <w:szCs w:val="20"/>
                <w:color w:val="auto"/>
              </w:rPr>
            </w:pPr>
            <w:r>
              <w:rPr>
                <w:rFonts w:ascii="Arial" w:cs="Arial" w:eastAsia="Arial" w:hAnsi="Arial"/>
                <w:sz w:val="16"/>
                <w:szCs w:val="16"/>
                <w:color w:val="auto"/>
              </w:rPr>
              <w:t>in the top quartile.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both"/>
        <w:ind w:left="203" w:right="140" w:hanging="203"/>
        <w:spacing w:after="0" w:line="321" w:lineRule="auto"/>
        <w:tabs>
          <w:tab w:leader="none" w:pos="173" w:val="left"/>
        </w:tabs>
        <w:numPr>
          <w:ilvl w:val="0"/>
          <w:numId w:val="106"/>
        </w:numPr>
        <w:rPr>
          <w:rFonts w:ascii="Arial" w:cs="Arial" w:eastAsia="Arial" w:hAnsi="Arial"/>
          <w:sz w:val="16"/>
          <w:szCs w:val="16"/>
          <w:b w:val="1"/>
          <w:bCs w:val="1"/>
          <w:color w:val="170D67"/>
        </w:rPr>
      </w:pPr>
      <w:r>
        <w:rPr>
          <w:rFonts w:ascii="Arial" w:cs="Arial" w:eastAsia="Arial" w:hAnsi="Arial"/>
          <w:sz w:val="16"/>
          <w:szCs w:val="16"/>
          <w:color w:val="auto"/>
        </w:rPr>
        <w:t>Adjusted (non-GAAP) operating EPS* of $2.50, above the mid-point of guidance.</w:t>
      </w:r>
    </w:p>
    <w:p>
      <w:pPr>
        <w:spacing w:after="0" w:line="7" w:lineRule="exact"/>
        <w:rPr>
          <w:rFonts w:ascii="Arial" w:cs="Arial" w:eastAsia="Arial" w:hAnsi="Arial"/>
          <w:sz w:val="16"/>
          <w:szCs w:val="16"/>
          <w:b w:val="1"/>
          <w:bCs w:val="1"/>
          <w:color w:val="170D67"/>
        </w:rPr>
      </w:pPr>
    </w:p>
    <w:p>
      <w:pPr>
        <w:ind w:left="203" w:right="120" w:hanging="203"/>
        <w:spacing w:after="0" w:line="292" w:lineRule="auto"/>
        <w:tabs>
          <w:tab w:leader="none" w:pos="173" w:val="left"/>
        </w:tabs>
        <w:numPr>
          <w:ilvl w:val="0"/>
          <w:numId w:val="106"/>
        </w:numPr>
        <w:rPr>
          <w:rFonts w:ascii="Arial" w:cs="Arial" w:eastAsia="Arial" w:hAnsi="Arial"/>
          <w:sz w:val="16"/>
          <w:szCs w:val="16"/>
          <w:b w:val="1"/>
          <w:bCs w:val="1"/>
          <w:color w:val="170D67"/>
        </w:rPr>
      </w:pPr>
      <w:r>
        <w:rPr>
          <w:rFonts w:ascii="Arial" w:cs="Arial" w:eastAsia="Arial" w:hAnsi="Arial"/>
          <w:sz w:val="16"/>
          <w:szCs w:val="16"/>
          <w:color w:val="auto"/>
        </w:rPr>
        <w:t>Issued $150M of equity to support investments and paid dividends of $1.52 per share.</w:t>
      </w:r>
    </w:p>
    <w:p>
      <w:pPr>
        <w:spacing w:after="0" w:line="30" w:lineRule="exact"/>
        <w:rPr>
          <w:rFonts w:ascii="Arial" w:cs="Arial" w:eastAsia="Arial" w:hAnsi="Arial"/>
          <w:sz w:val="16"/>
          <w:szCs w:val="16"/>
          <w:b w:val="1"/>
          <w:bCs w:val="1"/>
          <w:color w:val="170D67"/>
        </w:rPr>
      </w:pPr>
    </w:p>
    <w:p>
      <w:pPr>
        <w:ind w:left="203" w:hanging="203"/>
        <w:spacing w:after="0" w:line="289" w:lineRule="auto"/>
        <w:tabs>
          <w:tab w:leader="none" w:pos="173" w:val="left"/>
        </w:tabs>
        <w:numPr>
          <w:ilvl w:val="0"/>
          <w:numId w:val="106"/>
        </w:numPr>
        <w:rPr>
          <w:rFonts w:ascii="Arial" w:cs="Arial" w:eastAsia="Arial" w:hAnsi="Arial"/>
          <w:sz w:val="16"/>
          <w:szCs w:val="16"/>
          <w:b w:val="1"/>
          <w:bCs w:val="1"/>
          <w:color w:val="170D67"/>
        </w:rPr>
      </w:pPr>
      <w:r>
        <w:rPr>
          <w:rFonts w:ascii="Arial" w:cs="Arial" w:eastAsia="Arial" w:hAnsi="Arial"/>
          <w:sz w:val="16"/>
          <w:szCs w:val="16"/>
          <w:color w:val="auto"/>
        </w:rPr>
        <w:t>Invested $7.5 billion to replace aging infrastructure and enhance reliability and resiliency for the benefit of customers with an earned ROE* of 9.1%.</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204" w:right="80" w:hanging="204"/>
        <w:spacing w:after="0" w:line="289" w:lineRule="auto"/>
        <w:tabs>
          <w:tab w:leader="none" w:pos="174" w:val="left"/>
        </w:tabs>
        <w:numPr>
          <w:ilvl w:val="0"/>
          <w:numId w:val="107"/>
        </w:numPr>
        <w:rPr>
          <w:rFonts w:ascii="Arial" w:cs="Arial" w:eastAsia="Arial" w:hAnsi="Arial"/>
          <w:sz w:val="16"/>
          <w:szCs w:val="16"/>
          <w:b w:val="1"/>
          <w:bCs w:val="1"/>
          <w:color w:val="170D67"/>
        </w:rPr>
      </w:pPr>
      <w:r>
        <w:rPr>
          <w:rFonts w:ascii="Arial" w:cs="Arial" w:eastAsia="Arial" w:hAnsi="Arial"/>
          <w:sz w:val="16"/>
          <w:szCs w:val="16"/>
          <w:color w:val="auto"/>
        </w:rPr>
        <w:t>The Company met all of the human capital goals and sustainability initiatives established for 2024 at plan/target.</w:t>
      </w:r>
    </w:p>
    <w:p>
      <w:pPr>
        <w:spacing w:after="0" w:line="1401" w:lineRule="exact"/>
        <w:rPr>
          <w:sz w:val="20"/>
          <w:szCs w:val="20"/>
          <w:color w:val="auto"/>
        </w:rPr>
      </w:pPr>
    </w:p>
    <w:p>
      <w:pPr>
        <w:sectPr>
          <w:pgSz w:w="11900" w:h="16838" w:orient="portrait"/>
          <w:cols w:equalWidth="0" w:num="3">
            <w:col w:w="4320" w:space="417"/>
            <w:col w:w="3203" w:space="496"/>
            <w:col w:w="2784"/>
          </w:cols>
          <w:pgMar w:left="320" w:top="1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80" w:hanging="454"/>
        <w:spacing w:after="0"/>
        <w:tabs>
          <w:tab w:leader="none" w:pos="480" w:val="left"/>
        </w:tabs>
        <w:numPr>
          <w:ilvl w:val="0"/>
          <w:numId w:val="10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2" w:name="page53"/>
    <w:bookmarkEnd w:id="52"/>
    <w:p>
      <w:pPr>
        <w:jc w:val="right"/>
        <w:spacing w:after="0"/>
        <w:rPr>
          <w:sz w:val="20"/>
          <w:szCs w:val="20"/>
          <w:color w:val="auto"/>
        </w:rPr>
      </w:pPr>
      <w:r>
        <w:rPr>
          <w:rFonts w:ascii="Arial" w:cs="Arial" w:eastAsia="Arial" w:hAnsi="Arial"/>
          <w:sz w:val="13"/>
          <w:szCs w:val="13"/>
          <w:b w:val="1"/>
          <w:bCs w:val="1"/>
          <w:color w:val="auto"/>
        </w:rPr>
        <w:t>Compensation Discussion &amp; Analysis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2024 NEO Compensation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CEO Evaluation and Compensation</w:t>
      </w:r>
    </w:p>
    <w:p>
      <w:pPr>
        <w:spacing w:after="0" w:line="12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Board conducts a robust annual assessment of the CEO’s performance. For 2024, the CEO provided the Board with a self-assessment; the TMCC Chair conducted meetings with each of the independent Directors to solicit feedback on the CEO’s performance; the Board Chair and TMCC Chair met in executive session to discuss summarized feedback of CEO performance during a TMCC meeting; and the Board Chair and the TMCC Chair then provided a summary of the feedback to the CEO.</w:t>
      </w:r>
    </w:p>
    <w:p>
      <w:pPr>
        <w:spacing w:after="0" w:line="72"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The CEO’s compensation is approved by the independent members of the Board, based on the recommendations of the Committee. The TMCC developed compensation for Mr. Butler based on a similar set of factors as were considered for the other NEOs, including experience in role, individual performance, company results, retention considerations, competitive posture vs. the Exelon peer group (or other relevant market reference points) and internal equity. The factors are similar, but the outcomes can vary based on relative experience in role. In developing its recommendation for the Board, the TMCC engages its independent compensation consultant and considers multiple potential alternatives. Annually, the Committee reviews each element of the CEO’s compensation including base salary, annual and long-term incentive target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205105</wp:posOffset>
            </wp:positionV>
            <wp:extent cx="1971675" cy="12769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971675" cy="1276985"/>
                    </a:xfrm>
                    <a:prstGeom prst="rect">
                      <a:avLst/>
                    </a:prstGeom>
                    <a:noFill/>
                  </pic:spPr>
                </pic:pic>
              </a:graphicData>
            </a:graphic>
          </wp:anchor>
        </w:drawing>
      </w:r>
    </w:p>
    <w:p>
      <w:pPr>
        <w:spacing w:after="0" w:line="316" w:lineRule="exact"/>
        <w:rPr>
          <w:sz w:val="20"/>
          <w:szCs w:val="20"/>
          <w:color w:val="auto"/>
        </w:rPr>
      </w:pPr>
    </w:p>
    <w:p>
      <w:pPr>
        <w:ind w:left="20" w:right="5360"/>
        <w:spacing w:after="0" w:line="292" w:lineRule="auto"/>
        <w:rPr>
          <w:sz w:val="20"/>
          <w:szCs w:val="20"/>
          <w:color w:val="auto"/>
        </w:rPr>
      </w:pPr>
      <w:r>
        <w:rPr>
          <w:rFonts w:ascii="Arial" w:cs="Arial" w:eastAsia="Arial" w:hAnsi="Arial"/>
          <w:sz w:val="16"/>
          <w:szCs w:val="16"/>
          <w:color w:val="auto"/>
        </w:rPr>
        <w:t>A significant portion of Mr. Butler’s total direct compensation is in the form of long-term incentives, at approximately 75%, which aligns with the market competitive practice for CEOs in Exelon’s peer group.</w:t>
      </w:r>
    </w:p>
    <w:p>
      <w:pPr>
        <w:spacing w:after="0" w:line="71" w:lineRule="exact"/>
        <w:rPr>
          <w:sz w:val="20"/>
          <w:szCs w:val="20"/>
          <w:color w:val="auto"/>
        </w:rPr>
      </w:pPr>
    </w:p>
    <w:p>
      <w:pPr>
        <w:ind w:left="20" w:right="5200"/>
        <w:spacing w:after="0" w:line="289" w:lineRule="auto"/>
        <w:rPr>
          <w:sz w:val="20"/>
          <w:szCs w:val="20"/>
          <w:color w:val="auto"/>
        </w:rPr>
      </w:pPr>
      <w:r>
        <w:rPr>
          <w:rFonts w:ascii="Arial" w:cs="Arial" w:eastAsia="Arial" w:hAnsi="Arial"/>
          <w:sz w:val="16"/>
          <w:szCs w:val="16"/>
          <w:color w:val="auto"/>
        </w:rPr>
        <w:t>Mr. Butler’s target compensation for 2024 is set forth in the table below. The chart to the right reflects the relative size of each component of Mr. Butler’s 2024 target compensation, including base salary, annual incentive award (AIP), and long-term incentive (LTIP).</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NEO Compensation</w:t>
      </w:r>
    </w:p>
    <w:p>
      <w:pPr>
        <w:spacing w:after="0" w:line="12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TMCC is also responsible for overseeing the development and administration of the executive compensation program for executive officers other than the CEO. For officers other than the CEO, the CEO prepares recommendations for approval by the Committee. The recommendations prepared by the CEO reflect a variety of factors including experience in role, individual performance, retention considerations, succession considerations, competitive posture vs. the Exelon peer group (or other relevant market reference points) and internal equity. Annually, the Committee reviews each element of the executive officers’ compensation including base salary, annual and long-term incentive target opportunities.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2024 Target Compensation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0" w:type="dxa"/>
            <w:vAlign w:val="bottom"/>
            <w:gridSpan w:val="2"/>
          </w:tcPr>
          <w:p>
            <w:pPr>
              <w:jc w:val="right"/>
              <w:ind w:right="700"/>
              <w:spacing w:after="0"/>
              <w:rPr>
                <w:sz w:val="20"/>
                <w:szCs w:val="20"/>
                <w:color w:val="auto"/>
              </w:rPr>
            </w:pPr>
            <w:r>
              <w:rPr>
                <w:rFonts w:ascii="Arial" w:cs="Arial" w:eastAsia="Arial" w:hAnsi="Arial"/>
                <w:sz w:val="15"/>
                <w:szCs w:val="15"/>
                <w:b w:val="1"/>
                <w:bCs w:val="1"/>
                <w:color w:val="170D67"/>
              </w:rPr>
              <w:t>Annual Incentive</w:t>
            </w:r>
          </w:p>
        </w:tc>
        <w:tc>
          <w:tcPr>
            <w:tcW w:w="2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60" w:type="dxa"/>
            <w:vAlign w:val="bottom"/>
            <w:tcBorders>
              <w:bottom w:val="single" w:sz="8" w:color="170D67"/>
            </w:tcBorders>
          </w:tcPr>
          <w:p>
            <w:pPr>
              <w:spacing w:after="0"/>
              <w:rPr>
                <w:sz w:val="2"/>
                <w:szCs w:val="2"/>
                <w:color w:val="auto"/>
              </w:rPr>
            </w:pPr>
          </w:p>
        </w:tc>
        <w:tc>
          <w:tcPr>
            <w:tcW w:w="1240" w:type="dxa"/>
            <w:vAlign w:val="bottom"/>
            <w:tcBorders>
              <w:bottom w:val="single" w:sz="8" w:color="170D67"/>
            </w:tcBorders>
          </w:tcPr>
          <w:p>
            <w:pPr>
              <w:spacing w:after="0"/>
              <w:rPr>
                <w:sz w:val="2"/>
                <w:szCs w:val="2"/>
                <w:color w:val="auto"/>
              </w:rPr>
            </w:pPr>
          </w:p>
        </w:tc>
        <w:tc>
          <w:tcPr>
            <w:tcW w:w="2140" w:type="dxa"/>
            <w:vAlign w:val="bottom"/>
            <w:vMerge w:val="restart"/>
          </w:tcPr>
          <w:p>
            <w:pPr>
              <w:ind w:left="940"/>
              <w:spacing w:after="0"/>
              <w:rPr>
                <w:sz w:val="20"/>
                <w:szCs w:val="20"/>
                <w:color w:val="auto"/>
              </w:rPr>
            </w:pPr>
            <w:r>
              <w:rPr>
                <w:rFonts w:ascii="Arial" w:cs="Arial" w:eastAsia="Arial" w:hAnsi="Arial"/>
                <w:sz w:val="15"/>
                <w:szCs w:val="15"/>
                <w:b w:val="1"/>
                <w:bCs w:val="1"/>
                <w:color w:val="170D67"/>
              </w:rPr>
              <w:t>2024 Target</w:t>
            </w:r>
          </w:p>
        </w:tc>
        <w:tc>
          <w:tcPr>
            <w:tcW w:w="1440" w:type="dxa"/>
            <w:vAlign w:val="bottom"/>
            <w:vMerge w:val="restart"/>
          </w:tcPr>
          <w:p>
            <w:pPr>
              <w:jc w:val="right"/>
              <w:spacing w:after="0"/>
              <w:rPr>
                <w:sz w:val="20"/>
                <w:szCs w:val="20"/>
                <w:color w:val="auto"/>
              </w:rPr>
            </w:pPr>
            <w:r>
              <w:rPr>
                <w:rFonts w:ascii="Arial" w:cs="Arial" w:eastAsia="Arial" w:hAnsi="Arial"/>
                <w:sz w:val="15"/>
                <w:szCs w:val="15"/>
                <w:b w:val="1"/>
                <w:bCs w:val="1"/>
                <w:color w:val="170D67"/>
              </w:rPr>
              <w:t>Total Target</w:t>
            </w:r>
          </w:p>
        </w:tc>
        <w:tc>
          <w:tcPr>
            <w:tcW w:w="0" w:type="dxa"/>
            <w:vAlign w:val="bottom"/>
          </w:tcPr>
          <w:p>
            <w:pPr>
              <w:spacing w:after="0"/>
              <w:rPr>
                <w:sz w:val="1"/>
                <w:szCs w:val="1"/>
                <w:color w:val="auto"/>
              </w:rPr>
            </w:pPr>
          </w:p>
        </w:tc>
      </w:tr>
      <w:tr>
        <w:trPr>
          <w:trHeight w:val="190"/>
        </w:trPr>
        <w:tc>
          <w:tcPr>
            <w:tcW w:w="21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1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2740" w:type="dxa"/>
            <w:vAlign w:val="bottom"/>
          </w:tcPr>
          <w:p>
            <w:pPr>
              <w:jc w:val="right"/>
              <w:ind w:right="460"/>
              <w:spacing w:after="0"/>
              <w:rPr>
                <w:sz w:val="20"/>
                <w:szCs w:val="20"/>
                <w:color w:val="auto"/>
              </w:rPr>
            </w:pPr>
            <w:r>
              <w:rPr>
                <w:rFonts w:ascii="Arial" w:cs="Arial" w:eastAsia="Arial" w:hAnsi="Arial"/>
                <w:sz w:val="15"/>
                <w:szCs w:val="15"/>
                <w:b w:val="1"/>
                <w:bCs w:val="1"/>
                <w:color w:val="170D67"/>
              </w:rPr>
              <w:t>Base Salary</w:t>
            </w:r>
          </w:p>
        </w:tc>
        <w:tc>
          <w:tcPr>
            <w:tcW w:w="1560" w:type="dxa"/>
            <w:vAlign w:val="bottom"/>
          </w:tcPr>
          <w:p>
            <w:pPr>
              <w:jc w:val="right"/>
              <w:ind w:right="241"/>
              <w:spacing w:after="0"/>
              <w:rPr>
                <w:sz w:val="20"/>
                <w:szCs w:val="20"/>
                <w:color w:val="auto"/>
              </w:rPr>
            </w:pPr>
            <w:r>
              <w:rPr>
                <w:rFonts w:ascii="Arial" w:cs="Arial" w:eastAsia="Arial" w:hAnsi="Arial"/>
                <w:sz w:val="15"/>
                <w:szCs w:val="15"/>
                <w:b w:val="1"/>
                <w:bCs w:val="1"/>
                <w:color w:val="170D67"/>
              </w:rPr>
              <w:t>Target</w:t>
            </w:r>
          </w:p>
        </w:tc>
        <w:tc>
          <w:tcPr>
            <w:tcW w:w="1240" w:type="dxa"/>
            <w:vAlign w:val="bottom"/>
          </w:tcPr>
          <w:p>
            <w:pPr>
              <w:jc w:val="right"/>
              <w:spacing w:after="0"/>
              <w:rPr>
                <w:sz w:val="20"/>
                <w:szCs w:val="20"/>
                <w:color w:val="auto"/>
              </w:rPr>
            </w:pPr>
            <w:r>
              <w:rPr>
                <w:rFonts w:ascii="Arial" w:cs="Arial" w:eastAsia="Arial" w:hAnsi="Arial"/>
                <w:sz w:val="15"/>
                <w:szCs w:val="15"/>
                <w:b w:val="1"/>
                <w:bCs w:val="1"/>
                <w:color w:val="170D67"/>
              </w:rPr>
              <w:t>Target Value</w:t>
            </w:r>
          </w:p>
        </w:tc>
        <w:tc>
          <w:tcPr>
            <w:tcW w:w="2140" w:type="dxa"/>
            <w:vAlign w:val="bottom"/>
          </w:tcPr>
          <w:p>
            <w:pPr>
              <w:ind w:left="1020"/>
              <w:spacing w:after="0"/>
              <w:rPr>
                <w:sz w:val="20"/>
                <w:szCs w:val="20"/>
                <w:color w:val="auto"/>
              </w:rPr>
            </w:pPr>
            <w:r>
              <w:rPr>
                <w:rFonts w:ascii="Arial" w:cs="Arial" w:eastAsia="Arial" w:hAnsi="Arial"/>
                <w:sz w:val="15"/>
                <w:szCs w:val="15"/>
                <w:b w:val="1"/>
                <w:bCs w:val="1"/>
                <w:color w:val="170D67"/>
              </w:rPr>
              <w:t>LTIP Value</w:t>
            </w:r>
          </w:p>
        </w:tc>
        <w:tc>
          <w:tcPr>
            <w:tcW w:w="1440" w:type="dxa"/>
            <w:vAlign w:val="bottom"/>
          </w:tcPr>
          <w:p>
            <w:pPr>
              <w:jc w:val="right"/>
              <w:spacing w:after="0"/>
              <w:rPr>
                <w:sz w:val="20"/>
                <w:szCs w:val="20"/>
                <w:color w:val="auto"/>
              </w:rPr>
            </w:pPr>
            <w:r>
              <w:rPr>
                <w:rFonts w:ascii="Arial" w:cs="Arial" w:eastAsia="Arial" w:hAnsi="Arial"/>
                <w:sz w:val="15"/>
                <w:szCs w:val="15"/>
                <w:b w:val="1"/>
                <w:bCs w:val="1"/>
                <w:color w:val="170D67"/>
              </w:rPr>
              <w:t>Compensation</w:t>
            </w:r>
          </w:p>
        </w:tc>
        <w:tc>
          <w:tcPr>
            <w:tcW w:w="0" w:type="dxa"/>
            <w:vAlign w:val="bottom"/>
          </w:tcPr>
          <w:p>
            <w:pPr>
              <w:spacing w:after="0"/>
              <w:rPr>
                <w:sz w:val="1"/>
                <w:szCs w:val="1"/>
                <w:color w:val="auto"/>
              </w:rPr>
            </w:pPr>
          </w:p>
        </w:tc>
      </w:tr>
      <w:tr>
        <w:trPr>
          <w:trHeight w:val="235"/>
        </w:trPr>
        <w:tc>
          <w:tcPr>
            <w:tcW w:w="2100" w:type="dxa"/>
            <w:vAlign w:val="bottom"/>
            <w:tcBorders>
              <w:bottom w:val="single" w:sz="8" w:color="170D67"/>
            </w:tcBorders>
          </w:tcPr>
          <w:p>
            <w:pPr>
              <w:ind w:left="20"/>
              <w:spacing w:after="0"/>
              <w:rPr>
                <w:sz w:val="20"/>
                <w:szCs w:val="20"/>
                <w:color w:val="auto"/>
              </w:rPr>
            </w:pPr>
            <w:r>
              <w:rPr>
                <w:rFonts w:ascii="Arial" w:cs="Arial" w:eastAsia="Arial" w:hAnsi="Arial"/>
                <w:sz w:val="15"/>
                <w:szCs w:val="15"/>
                <w:b w:val="1"/>
                <w:bCs w:val="1"/>
                <w:color w:val="170D67"/>
              </w:rPr>
              <w:t>Name</w:t>
            </w:r>
          </w:p>
        </w:tc>
        <w:tc>
          <w:tcPr>
            <w:tcW w:w="2740" w:type="dxa"/>
            <w:vAlign w:val="bottom"/>
            <w:tcBorders>
              <w:bottom w:val="single" w:sz="8" w:color="170D67"/>
            </w:tcBorders>
          </w:tcPr>
          <w:p>
            <w:pPr>
              <w:jc w:val="right"/>
              <w:ind w:right="460"/>
              <w:spacing w:after="0"/>
              <w:rPr>
                <w:sz w:val="20"/>
                <w:szCs w:val="20"/>
                <w:color w:val="auto"/>
              </w:rPr>
            </w:pPr>
            <w:r>
              <w:rPr>
                <w:rFonts w:ascii="Arial" w:cs="Arial" w:eastAsia="Arial" w:hAnsi="Arial"/>
                <w:sz w:val="15"/>
                <w:szCs w:val="15"/>
                <w:b w:val="1"/>
                <w:bCs w:val="1"/>
                <w:color w:val="170D67"/>
              </w:rPr>
              <w:t>($)</w:t>
            </w:r>
            <w:r>
              <w:rPr>
                <w:rFonts w:ascii="Arial" w:cs="Arial" w:eastAsia="Arial" w:hAnsi="Arial"/>
                <w:sz w:val="19"/>
                <w:szCs w:val="19"/>
                <w:b w:val="1"/>
                <w:bCs w:val="1"/>
                <w:color w:val="170D67"/>
                <w:vertAlign w:val="superscript"/>
              </w:rPr>
              <w:t>1</w:t>
            </w:r>
          </w:p>
        </w:tc>
        <w:tc>
          <w:tcPr>
            <w:tcW w:w="1560" w:type="dxa"/>
            <w:vAlign w:val="bottom"/>
            <w:tcBorders>
              <w:bottom w:val="single" w:sz="8" w:color="170D67"/>
            </w:tcBorders>
          </w:tcPr>
          <w:p>
            <w:pPr>
              <w:jc w:val="right"/>
              <w:ind w:right="241"/>
              <w:spacing w:after="0"/>
              <w:rPr>
                <w:sz w:val="20"/>
                <w:szCs w:val="20"/>
                <w:color w:val="auto"/>
              </w:rPr>
            </w:pPr>
            <w:r>
              <w:rPr>
                <w:rFonts w:ascii="Arial" w:cs="Arial" w:eastAsia="Arial" w:hAnsi="Arial"/>
                <w:sz w:val="15"/>
                <w:szCs w:val="15"/>
                <w:b w:val="1"/>
                <w:bCs w:val="1"/>
                <w:color w:val="170D67"/>
              </w:rPr>
              <w:t>(%)</w:t>
            </w:r>
            <w:r>
              <w:rPr>
                <w:rFonts w:ascii="Arial" w:cs="Arial" w:eastAsia="Arial" w:hAnsi="Arial"/>
                <w:sz w:val="19"/>
                <w:szCs w:val="19"/>
                <w:b w:val="1"/>
                <w:bCs w:val="1"/>
                <w:color w:val="170D67"/>
                <w:vertAlign w:val="superscript"/>
              </w:rPr>
              <w:t>2</w:t>
            </w:r>
          </w:p>
        </w:tc>
        <w:tc>
          <w:tcPr>
            <w:tcW w:w="1240" w:type="dxa"/>
            <w:vAlign w:val="bottom"/>
            <w:tcBorders>
              <w:bottom w:val="single" w:sz="8" w:color="170D67"/>
            </w:tcBorders>
          </w:tcPr>
          <w:p>
            <w:pPr>
              <w:jc w:val="right"/>
              <w:spacing w:after="0"/>
              <w:rPr>
                <w:sz w:val="20"/>
                <w:szCs w:val="20"/>
                <w:color w:val="auto"/>
              </w:rPr>
            </w:pPr>
            <w:r>
              <w:rPr>
                <w:rFonts w:ascii="Arial" w:cs="Arial" w:eastAsia="Arial" w:hAnsi="Arial"/>
                <w:sz w:val="15"/>
                <w:szCs w:val="15"/>
                <w:b w:val="1"/>
                <w:bCs w:val="1"/>
                <w:color w:val="170D67"/>
              </w:rPr>
              <w:t>($)</w:t>
            </w:r>
          </w:p>
        </w:tc>
        <w:tc>
          <w:tcPr>
            <w:tcW w:w="2140" w:type="dxa"/>
            <w:vAlign w:val="bottom"/>
            <w:tcBorders>
              <w:bottom w:val="single" w:sz="8" w:color="170D67"/>
            </w:tcBorders>
          </w:tcPr>
          <w:p>
            <w:pPr>
              <w:ind w:left="1580"/>
              <w:spacing w:after="0"/>
              <w:rPr>
                <w:sz w:val="20"/>
                <w:szCs w:val="20"/>
                <w:color w:val="auto"/>
              </w:rPr>
            </w:pPr>
            <w:r>
              <w:rPr>
                <w:rFonts w:ascii="Arial" w:cs="Arial" w:eastAsia="Arial" w:hAnsi="Arial"/>
                <w:sz w:val="15"/>
                <w:szCs w:val="15"/>
                <w:b w:val="1"/>
                <w:bCs w:val="1"/>
                <w:color w:val="170D67"/>
              </w:rPr>
              <w:t>($)</w:t>
            </w:r>
          </w:p>
        </w:tc>
        <w:tc>
          <w:tcPr>
            <w:tcW w:w="1440" w:type="dxa"/>
            <w:vAlign w:val="bottom"/>
            <w:tcBorders>
              <w:bottom w:val="single" w:sz="8" w:color="170D67"/>
            </w:tcBorders>
          </w:tcPr>
          <w:p>
            <w:pPr>
              <w:jc w:val="right"/>
              <w:spacing w:after="0"/>
              <w:rPr>
                <w:sz w:val="20"/>
                <w:szCs w:val="20"/>
                <w:color w:val="auto"/>
              </w:rPr>
            </w:pPr>
            <w:r>
              <w:rPr>
                <w:rFonts w:ascii="Arial" w:cs="Arial" w:eastAsia="Arial" w:hAnsi="Arial"/>
                <w:sz w:val="15"/>
                <w:szCs w:val="15"/>
                <w:b w:val="1"/>
                <w:bCs w:val="1"/>
                <w:color w:val="170D67"/>
              </w:rPr>
              <w:t>($)</w:t>
            </w:r>
          </w:p>
        </w:tc>
        <w:tc>
          <w:tcPr>
            <w:tcW w:w="0" w:type="dxa"/>
            <w:vAlign w:val="bottom"/>
          </w:tcPr>
          <w:p>
            <w:pPr>
              <w:spacing w:after="0"/>
              <w:rPr>
                <w:sz w:val="1"/>
                <w:szCs w:val="1"/>
                <w:color w:val="auto"/>
              </w:rPr>
            </w:pPr>
          </w:p>
        </w:tc>
      </w:tr>
      <w:tr>
        <w:trPr>
          <w:trHeight w:val="238"/>
        </w:trPr>
        <w:tc>
          <w:tcPr>
            <w:tcW w:w="2100" w:type="dxa"/>
            <w:vAlign w:val="bottom"/>
          </w:tcPr>
          <w:p>
            <w:pPr>
              <w:ind w:left="20"/>
              <w:spacing w:after="0"/>
              <w:rPr>
                <w:sz w:val="20"/>
                <w:szCs w:val="20"/>
                <w:color w:val="auto"/>
              </w:rPr>
            </w:pPr>
            <w:r>
              <w:rPr>
                <w:rFonts w:ascii="Arial" w:cs="Arial" w:eastAsia="Arial" w:hAnsi="Arial"/>
                <w:sz w:val="15"/>
                <w:szCs w:val="15"/>
                <w:b w:val="1"/>
                <w:bCs w:val="1"/>
                <w:color w:val="3A5CFF"/>
              </w:rPr>
              <w:t>Butler</w:t>
            </w:r>
          </w:p>
        </w:tc>
        <w:tc>
          <w:tcPr>
            <w:tcW w:w="2740" w:type="dxa"/>
            <w:vAlign w:val="bottom"/>
          </w:tcPr>
          <w:p>
            <w:pPr>
              <w:jc w:val="right"/>
              <w:ind w:right="520"/>
              <w:spacing w:after="0"/>
              <w:rPr>
                <w:sz w:val="20"/>
                <w:szCs w:val="20"/>
                <w:color w:val="auto"/>
              </w:rPr>
            </w:pPr>
            <w:r>
              <w:rPr>
                <w:rFonts w:ascii="Arial" w:cs="Arial" w:eastAsia="Arial" w:hAnsi="Arial"/>
                <w:sz w:val="16"/>
                <w:szCs w:val="16"/>
                <w:color w:val="auto"/>
              </w:rPr>
              <w:t>1,288,000</w:t>
            </w:r>
          </w:p>
        </w:tc>
        <w:tc>
          <w:tcPr>
            <w:tcW w:w="1560" w:type="dxa"/>
            <w:vAlign w:val="bottom"/>
          </w:tcPr>
          <w:p>
            <w:pPr>
              <w:jc w:val="right"/>
              <w:ind w:right="301"/>
              <w:spacing w:after="0"/>
              <w:rPr>
                <w:sz w:val="20"/>
                <w:szCs w:val="20"/>
                <w:color w:val="auto"/>
              </w:rPr>
            </w:pPr>
            <w:r>
              <w:rPr>
                <w:rFonts w:ascii="Arial" w:cs="Arial" w:eastAsia="Arial" w:hAnsi="Arial"/>
                <w:sz w:val="16"/>
                <w:szCs w:val="16"/>
                <w:color w:val="auto"/>
              </w:rPr>
              <w:t>150</w:t>
            </w:r>
          </w:p>
        </w:tc>
        <w:tc>
          <w:tcPr>
            <w:tcW w:w="1240" w:type="dxa"/>
            <w:vAlign w:val="bottom"/>
          </w:tcPr>
          <w:p>
            <w:pPr>
              <w:jc w:val="right"/>
              <w:spacing w:after="0"/>
              <w:rPr>
                <w:sz w:val="20"/>
                <w:szCs w:val="20"/>
                <w:color w:val="auto"/>
              </w:rPr>
            </w:pPr>
            <w:r>
              <w:rPr>
                <w:rFonts w:ascii="Arial" w:cs="Arial" w:eastAsia="Arial" w:hAnsi="Arial"/>
                <w:sz w:val="16"/>
                <w:szCs w:val="16"/>
                <w:color w:val="auto"/>
              </w:rPr>
              <w:t>1,932,000</w:t>
            </w:r>
          </w:p>
        </w:tc>
        <w:tc>
          <w:tcPr>
            <w:tcW w:w="2140" w:type="dxa"/>
            <w:vAlign w:val="bottom"/>
          </w:tcPr>
          <w:p>
            <w:pPr>
              <w:ind w:left="1000"/>
              <w:spacing w:after="0"/>
              <w:rPr>
                <w:sz w:val="20"/>
                <w:szCs w:val="20"/>
                <w:color w:val="auto"/>
              </w:rPr>
            </w:pPr>
            <w:r>
              <w:rPr>
                <w:rFonts w:ascii="Arial" w:cs="Arial" w:eastAsia="Arial" w:hAnsi="Arial"/>
                <w:sz w:val="16"/>
                <w:szCs w:val="16"/>
                <w:color w:val="auto"/>
              </w:rPr>
              <w:t>9,500,000</w:t>
            </w:r>
          </w:p>
        </w:tc>
        <w:tc>
          <w:tcPr>
            <w:tcW w:w="1440" w:type="dxa"/>
            <w:vAlign w:val="bottom"/>
          </w:tcPr>
          <w:p>
            <w:pPr>
              <w:jc w:val="right"/>
              <w:spacing w:after="0"/>
              <w:rPr>
                <w:sz w:val="20"/>
                <w:szCs w:val="20"/>
                <w:color w:val="auto"/>
              </w:rPr>
            </w:pPr>
            <w:r>
              <w:rPr>
                <w:rFonts w:ascii="Arial" w:cs="Arial" w:eastAsia="Arial" w:hAnsi="Arial"/>
                <w:sz w:val="16"/>
                <w:szCs w:val="16"/>
                <w:color w:val="auto"/>
              </w:rPr>
              <w:t>12,720,000</w:t>
            </w:r>
          </w:p>
        </w:tc>
        <w:tc>
          <w:tcPr>
            <w:tcW w:w="0" w:type="dxa"/>
            <w:vAlign w:val="bottom"/>
          </w:tcPr>
          <w:p>
            <w:pPr>
              <w:spacing w:after="0"/>
              <w:rPr>
                <w:sz w:val="1"/>
                <w:szCs w:val="1"/>
                <w:color w:val="auto"/>
              </w:rPr>
            </w:pPr>
          </w:p>
        </w:tc>
      </w:tr>
      <w:tr>
        <w:trPr>
          <w:trHeight w:val="25"/>
        </w:trPr>
        <w:tc>
          <w:tcPr>
            <w:tcW w:w="2100" w:type="dxa"/>
            <w:vAlign w:val="bottom"/>
            <w:tcBorders>
              <w:bottom w:val="single" w:sz="8" w:color="494949"/>
            </w:tcBorders>
          </w:tcPr>
          <w:p>
            <w:pPr>
              <w:spacing w:after="0"/>
              <w:rPr>
                <w:sz w:val="2"/>
                <w:szCs w:val="2"/>
                <w:color w:val="auto"/>
              </w:rPr>
            </w:pPr>
          </w:p>
        </w:tc>
        <w:tc>
          <w:tcPr>
            <w:tcW w:w="2740" w:type="dxa"/>
            <w:vAlign w:val="bottom"/>
            <w:tcBorders>
              <w:bottom w:val="single" w:sz="8" w:color="494949"/>
            </w:tcBorders>
          </w:tcPr>
          <w:p>
            <w:pPr>
              <w:spacing w:after="0"/>
              <w:rPr>
                <w:sz w:val="2"/>
                <w:szCs w:val="2"/>
                <w:color w:val="auto"/>
              </w:rPr>
            </w:pPr>
          </w:p>
        </w:tc>
        <w:tc>
          <w:tcPr>
            <w:tcW w:w="1560" w:type="dxa"/>
            <w:vAlign w:val="bottom"/>
            <w:tcBorders>
              <w:bottom w:val="single" w:sz="8" w:color="494949"/>
            </w:tcBorders>
          </w:tcPr>
          <w:p>
            <w:pPr>
              <w:spacing w:after="0"/>
              <w:rPr>
                <w:sz w:val="2"/>
                <w:szCs w:val="2"/>
                <w:color w:val="auto"/>
              </w:rPr>
            </w:pPr>
          </w:p>
        </w:tc>
        <w:tc>
          <w:tcPr>
            <w:tcW w:w="1240" w:type="dxa"/>
            <w:vAlign w:val="bottom"/>
            <w:tcBorders>
              <w:bottom w:val="single" w:sz="8" w:color="494949"/>
            </w:tcBorders>
          </w:tcPr>
          <w:p>
            <w:pPr>
              <w:spacing w:after="0"/>
              <w:rPr>
                <w:sz w:val="2"/>
                <w:szCs w:val="2"/>
                <w:color w:val="auto"/>
              </w:rPr>
            </w:pPr>
          </w:p>
        </w:tc>
        <w:tc>
          <w:tcPr>
            <w:tcW w:w="2140" w:type="dxa"/>
            <w:vAlign w:val="bottom"/>
            <w:tcBorders>
              <w:bottom w:val="single" w:sz="8" w:color="494949"/>
            </w:tcBorders>
          </w:tcPr>
          <w:p>
            <w:pPr>
              <w:spacing w:after="0"/>
              <w:rPr>
                <w:sz w:val="2"/>
                <w:szCs w:val="2"/>
                <w:color w:val="auto"/>
              </w:rPr>
            </w:pPr>
          </w:p>
        </w:tc>
        <w:tc>
          <w:tcPr>
            <w:tcW w:w="1440" w:type="dxa"/>
            <w:vAlign w:val="bottom"/>
            <w:tcBorders>
              <w:bottom w:val="single" w:sz="8" w:color="494949"/>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100" w:type="dxa"/>
            <w:vAlign w:val="bottom"/>
          </w:tcPr>
          <w:p>
            <w:pPr>
              <w:ind w:left="20"/>
              <w:spacing w:after="0"/>
              <w:rPr>
                <w:sz w:val="20"/>
                <w:szCs w:val="20"/>
                <w:color w:val="auto"/>
              </w:rPr>
            </w:pPr>
            <w:r>
              <w:rPr>
                <w:rFonts w:ascii="Arial" w:cs="Arial" w:eastAsia="Arial" w:hAnsi="Arial"/>
                <w:sz w:val="15"/>
                <w:szCs w:val="15"/>
                <w:b w:val="1"/>
                <w:bCs w:val="1"/>
                <w:color w:val="3A5CFF"/>
              </w:rPr>
              <w:t>Jones</w:t>
            </w:r>
          </w:p>
        </w:tc>
        <w:tc>
          <w:tcPr>
            <w:tcW w:w="2740" w:type="dxa"/>
            <w:vAlign w:val="bottom"/>
          </w:tcPr>
          <w:p>
            <w:pPr>
              <w:jc w:val="right"/>
              <w:ind w:right="520"/>
              <w:spacing w:after="0"/>
              <w:rPr>
                <w:sz w:val="20"/>
                <w:szCs w:val="20"/>
                <w:color w:val="auto"/>
              </w:rPr>
            </w:pPr>
            <w:r>
              <w:rPr>
                <w:rFonts w:ascii="Arial" w:cs="Arial" w:eastAsia="Arial" w:hAnsi="Arial"/>
                <w:sz w:val="16"/>
                <w:szCs w:val="16"/>
                <w:color w:val="auto"/>
              </w:rPr>
              <w:t>723,320</w:t>
            </w:r>
          </w:p>
        </w:tc>
        <w:tc>
          <w:tcPr>
            <w:tcW w:w="1560" w:type="dxa"/>
            <w:vAlign w:val="bottom"/>
          </w:tcPr>
          <w:p>
            <w:pPr>
              <w:jc w:val="right"/>
              <w:ind w:right="301"/>
              <w:spacing w:after="0"/>
              <w:rPr>
                <w:sz w:val="20"/>
                <w:szCs w:val="20"/>
                <w:color w:val="auto"/>
              </w:rPr>
            </w:pPr>
            <w:r>
              <w:rPr>
                <w:rFonts w:ascii="Arial" w:cs="Arial" w:eastAsia="Arial" w:hAnsi="Arial"/>
                <w:sz w:val="16"/>
                <w:szCs w:val="16"/>
                <w:color w:val="auto"/>
              </w:rPr>
              <w:t>90</w:t>
            </w:r>
          </w:p>
        </w:tc>
        <w:tc>
          <w:tcPr>
            <w:tcW w:w="1240" w:type="dxa"/>
            <w:vAlign w:val="bottom"/>
          </w:tcPr>
          <w:p>
            <w:pPr>
              <w:jc w:val="right"/>
              <w:spacing w:after="0"/>
              <w:rPr>
                <w:sz w:val="20"/>
                <w:szCs w:val="20"/>
                <w:color w:val="auto"/>
              </w:rPr>
            </w:pPr>
            <w:r>
              <w:rPr>
                <w:rFonts w:ascii="Arial" w:cs="Arial" w:eastAsia="Arial" w:hAnsi="Arial"/>
                <w:sz w:val="16"/>
                <w:szCs w:val="16"/>
                <w:color w:val="auto"/>
              </w:rPr>
              <w:t>650,988</w:t>
            </w:r>
          </w:p>
        </w:tc>
        <w:tc>
          <w:tcPr>
            <w:tcW w:w="2140" w:type="dxa"/>
            <w:vAlign w:val="bottom"/>
          </w:tcPr>
          <w:p>
            <w:pPr>
              <w:ind w:left="1000"/>
              <w:spacing w:after="0"/>
              <w:rPr>
                <w:sz w:val="20"/>
                <w:szCs w:val="20"/>
                <w:color w:val="auto"/>
              </w:rPr>
            </w:pPr>
            <w:r>
              <w:rPr>
                <w:rFonts w:ascii="Arial" w:cs="Arial" w:eastAsia="Arial" w:hAnsi="Arial"/>
                <w:sz w:val="16"/>
                <w:szCs w:val="16"/>
                <w:color w:val="auto"/>
              </w:rPr>
              <w:t>1,926,000</w:t>
            </w:r>
          </w:p>
        </w:tc>
        <w:tc>
          <w:tcPr>
            <w:tcW w:w="1440" w:type="dxa"/>
            <w:vAlign w:val="bottom"/>
          </w:tcPr>
          <w:p>
            <w:pPr>
              <w:jc w:val="right"/>
              <w:spacing w:after="0"/>
              <w:rPr>
                <w:sz w:val="20"/>
                <w:szCs w:val="20"/>
                <w:color w:val="auto"/>
              </w:rPr>
            </w:pPr>
            <w:r>
              <w:rPr>
                <w:rFonts w:ascii="Arial" w:cs="Arial" w:eastAsia="Arial" w:hAnsi="Arial"/>
                <w:sz w:val="16"/>
                <w:szCs w:val="16"/>
                <w:color w:val="auto"/>
              </w:rPr>
              <w:t>3,300,308</w:t>
            </w:r>
          </w:p>
        </w:tc>
        <w:tc>
          <w:tcPr>
            <w:tcW w:w="0" w:type="dxa"/>
            <w:vAlign w:val="bottom"/>
          </w:tcPr>
          <w:p>
            <w:pPr>
              <w:spacing w:after="0"/>
              <w:rPr>
                <w:sz w:val="1"/>
                <w:szCs w:val="1"/>
                <w:color w:val="auto"/>
              </w:rPr>
            </w:pPr>
          </w:p>
        </w:tc>
      </w:tr>
      <w:tr>
        <w:trPr>
          <w:trHeight w:val="25"/>
        </w:trPr>
        <w:tc>
          <w:tcPr>
            <w:tcW w:w="2100" w:type="dxa"/>
            <w:vAlign w:val="bottom"/>
            <w:tcBorders>
              <w:bottom w:val="single" w:sz="8" w:color="494949"/>
            </w:tcBorders>
          </w:tcPr>
          <w:p>
            <w:pPr>
              <w:spacing w:after="0"/>
              <w:rPr>
                <w:sz w:val="2"/>
                <w:szCs w:val="2"/>
                <w:color w:val="auto"/>
              </w:rPr>
            </w:pPr>
          </w:p>
        </w:tc>
        <w:tc>
          <w:tcPr>
            <w:tcW w:w="2740" w:type="dxa"/>
            <w:vAlign w:val="bottom"/>
            <w:tcBorders>
              <w:bottom w:val="single" w:sz="8" w:color="494949"/>
            </w:tcBorders>
          </w:tcPr>
          <w:p>
            <w:pPr>
              <w:spacing w:after="0"/>
              <w:rPr>
                <w:sz w:val="2"/>
                <w:szCs w:val="2"/>
                <w:color w:val="auto"/>
              </w:rPr>
            </w:pPr>
          </w:p>
        </w:tc>
        <w:tc>
          <w:tcPr>
            <w:tcW w:w="1560" w:type="dxa"/>
            <w:vAlign w:val="bottom"/>
            <w:tcBorders>
              <w:bottom w:val="single" w:sz="8" w:color="494949"/>
            </w:tcBorders>
          </w:tcPr>
          <w:p>
            <w:pPr>
              <w:spacing w:after="0"/>
              <w:rPr>
                <w:sz w:val="2"/>
                <w:szCs w:val="2"/>
                <w:color w:val="auto"/>
              </w:rPr>
            </w:pPr>
          </w:p>
        </w:tc>
        <w:tc>
          <w:tcPr>
            <w:tcW w:w="1240" w:type="dxa"/>
            <w:vAlign w:val="bottom"/>
            <w:tcBorders>
              <w:bottom w:val="single" w:sz="8" w:color="494949"/>
            </w:tcBorders>
          </w:tcPr>
          <w:p>
            <w:pPr>
              <w:spacing w:after="0"/>
              <w:rPr>
                <w:sz w:val="2"/>
                <w:szCs w:val="2"/>
                <w:color w:val="auto"/>
              </w:rPr>
            </w:pPr>
          </w:p>
        </w:tc>
        <w:tc>
          <w:tcPr>
            <w:tcW w:w="2140" w:type="dxa"/>
            <w:vAlign w:val="bottom"/>
            <w:tcBorders>
              <w:bottom w:val="single" w:sz="8" w:color="494949"/>
            </w:tcBorders>
          </w:tcPr>
          <w:p>
            <w:pPr>
              <w:spacing w:after="0"/>
              <w:rPr>
                <w:sz w:val="2"/>
                <w:szCs w:val="2"/>
                <w:color w:val="auto"/>
              </w:rPr>
            </w:pPr>
          </w:p>
        </w:tc>
        <w:tc>
          <w:tcPr>
            <w:tcW w:w="1440" w:type="dxa"/>
            <w:vAlign w:val="bottom"/>
            <w:tcBorders>
              <w:bottom w:val="single" w:sz="8" w:color="494949"/>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100" w:type="dxa"/>
            <w:vAlign w:val="bottom"/>
          </w:tcPr>
          <w:p>
            <w:pPr>
              <w:ind w:left="20"/>
              <w:spacing w:after="0"/>
              <w:rPr>
                <w:sz w:val="20"/>
                <w:szCs w:val="20"/>
                <w:color w:val="auto"/>
              </w:rPr>
            </w:pPr>
            <w:r>
              <w:rPr>
                <w:rFonts w:ascii="Arial" w:cs="Arial" w:eastAsia="Arial" w:hAnsi="Arial"/>
                <w:sz w:val="15"/>
                <w:szCs w:val="15"/>
                <w:b w:val="1"/>
                <w:bCs w:val="1"/>
                <w:color w:val="3A5CFF"/>
              </w:rPr>
              <w:t>Littleton</w:t>
            </w:r>
          </w:p>
        </w:tc>
        <w:tc>
          <w:tcPr>
            <w:tcW w:w="2740" w:type="dxa"/>
            <w:vAlign w:val="bottom"/>
          </w:tcPr>
          <w:p>
            <w:pPr>
              <w:jc w:val="right"/>
              <w:ind w:right="520"/>
              <w:spacing w:after="0"/>
              <w:rPr>
                <w:sz w:val="20"/>
                <w:szCs w:val="20"/>
                <w:color w:val="auto"/>
              </w:rPr>
            </w:pPr>
            <w:r>
              <w:rPr>
                <w:rFonts w:ascii="Arial" w:cs="Arial" w:eastAsia="Arial" w:hAnsi="Arial"/>
                <w:sz w:val="16"/>
                <w:szCs w:val="16"/>
                <w:color w:val="auto"/>
              </w:rPr>
              <w:t>696,280</w:t>
            </w:r>
          </w:p>
        </w:tc>
        <w:tc>
          <w:tcPr>
            <w:tcW w:w="1560" w:type="dxa"/>
            <w:vAlign w:val="bottom"/>
          </w:tcPr>
          <w:p>
            <w:pPr>
              <w:jc w:val="right"/>
              <w:ind w:right="301"/>
              <w:spacing w:after="0"/>
              <w:rPr>
                <w:sz w:val="20"/>
                <w:szCs w:val="20"/>
                <w:color w:val="auto"/>
              </w:rPr>
            </w:pPr>
            <w:r>
              <w:rPr>
                <w:rFonts w:ascii="Arial" w:cs="Arial" w:eastAsia="Arial" w:hAnsi="Arial"/>
                <w:sz w:val="16"/>
                <w:szCs w:val="16"/>
                <w:color w:val="auto"/>
              </w:rPr>
              <w:t>90</w:t>
            </w:r>
          </w:p>
        </w:tc>
        <w:tc>
          <w:tcPr>
            <w:tcW w:w="1240" w:type="dxa"/>
            <w:vAlign w:val="bottom"/>
          </w:tcPr>
          <w:p>
            <w:pPr>
              <w:jc w:val="right"/>
              <w:spacing w:after="0"/>
              <w:rPr>
                <w:sz w:val="20"/>
                <w:szCs w:val="20"/>
                <w:color w:val="auto"/>
              </w:rPr>
            </w:pPr>
            <w:r>
              <w:rPr>
                <w:rFonts w:ascii="Arial" w:cs="Arial" w:eastAsia="Arial" w:hAnsi="Arial"/>
                <w:sz w:val="16"/>
                <w:szCs w:val="16"/>
                <w:color w:val="auto"/>
              </w:rPr>
              <w:t>626,652</w:t>
            </w:r>
          </w:p>
        </w:tc>
        <w:tc>
          <w:tcPr>
            <w:tcW w:w="2140" w:type="dxa"/>
            <w:vAlign w:val="bottom"/>
          </w:tcPr>
          <w:p>
            <w:pPr>
              <w:ind w:left="1000"/>
              <w:spacing w:after="0"/>
              <w:rPr>
                <w:sz w:val="20"/>
                <w:szCs w:val="20"/>
                <w:color w:val="auto"/>
              </w:rPr>
            </w:pPr>
            <w:r>
              <w:rPr>
                <w:rFonts w:ascii="Arial" w:cs="Arial" w:eastAsia="Arial" w:hAnsi="Arial"/>
                <w:sz w:val="16"/>
                <w:szCs w:val="16"/>
                <w:color w:val="auto"/>
              </w:rPr>
              <w:t>1,765,000</w:t>
            </w:r>
          </w:p>
        </w:tc>
        <w:tc>
          <w:tcPr>
            <w:tcW w:w="1440" w:type="dxa"/>
            <w:vAlign w:val="bottom"/>
          </w:tcPr>
          <w:p>
            <w:pPr>
              <w:jc w:val="right"/>
              <w:spacing w:after="0"/>
              <w:rPr>
                <w:sz w:val="20"/>
                <w:szCs w:val="20"/>
                <w:color w:val="auto"/>
              </w:rPr>
            </w:pPr>
            <w:r>
              <w:rPr>
                <w:rFonts w:ascii="Arial" w:cs="Arial" w:eastAsia="Arial" w:hAnsi="Arial"/>
                <w:sz w:val="16"/>
                <w:szCs w:val="16"/>
                <w:color w:val="auto"/>
              </w:rPr>
              <w:t>3,087,932</w:t>
            </w:r>
          </w:p>
        </w:tc>
        <w:tc>
          <w:tcPr>
            <w:tcW w:w="0" w:type="dxa"/>
            <w:vAlign w:val="bottom"/>
          </w:tcPr>
          <w:p>
            <w:pPr>
              <w:spacing w:after="0"/>
              <w:rPr>
                <w:sz w:val="1"/>
                <w:szCs w:val="1"/>
                <w:color w:val="auto"/>
              </w:rPr>
            </w:pPr>
          </w:p>
        </w:tc>
      </w:tr>
      <w:tr>
        <w:trPr>
          <w:trHeight w:val="25"/>
        </w:trPr>
        <w:tc>
          <w:tcPr>
            <w:tcW w:w="2100" w:type="dxa"/>
            <w:vAlign w:val="bottom"/>
            <w:tcBorders>
              <w:bottom w:val="single" w:sz="8" w:color="494949"/>
            </w:tcBorders>
          </w:tcPr>
          <w:p>
            <w:pPr>
              <w:spacing w:after="0"/>
              <w:rPr>
                <w:sz w:val="2"/>
                <w:szCs w:val="2"/>
                <w:color w:val="auto"/>
              </w:rPr>
            </w:pPr>
          </w:p>
        </w:tc>
        <w:tc>
          <w:tcPr>
            <w:tcW w:w="2740" w:type="dxa"/>
            <w:vAlign w:val="bottom"/>
            <w:tcBorders>
              <w:bottom w:val="single" w:sz="8" w:color="494949"/>
            </w:tcBorders>
          </w:tcPr>
          <w:p>
            <w:pPr>
              <w:spacing w:after="0"/>
              <w:rPr>
                <w:sz w:val="2"/>
                <w:szCs w:val="2"/>
                <w:color w:val="auto"/>
              </w:rPr>
            </w:pPr>
          </w:p>
        </w:tc>
        <w:tc>
          <w:tcPr>
            <w:tcW w:w="1560" w:type="dxa"/>
            <w:vAlign w:val="bottom"/>
            <w:tcBorders>
              <w:bottom w:val="single" w:sz="8" w:color="494949"/>
            </w:tcBorders>
          </w:tcPr>
          <w:p>
            <w:pPr>
              <w:spacing w:after="0"/>
              <w:rPr>
                <w:sz w:val="2"/>
                <w:szCs w:val="2"/>
                <w:color w:val="auto"/>
              </w:rPr>
            </w:pPr>
          </w:p>
        </w:tc>
        <w:tc>
          <w:tcPr>
            <w:tcW w:w="1240" w:type="dxa"/>
            <w:vAlign w:val="bottom"/>
            <w:tcBorders>
              <w:bottom w:val="single" w:sz="8" w:color="494949"/>
            </w:tcBorders>
          </w:tcPr>
          <w:p>
            <w:pPr>
              <w:spacing w:after="0"/>
              <w:rPr>
                <w:sz w:val="2"/>
                <w:szCs w:val="2"/>
                <w:color w:val="auto"/>
              </w:rPr>
            </w:pPr>
          </w:p>
        </w:tc>
        <w:tc>
          <w:tcPr>
            <w:tcW w:w="2140" w:type="dxa"/>
            <w:vAlign w:val="bottom"/>
            <w:tcBorders>
              <w:bottom w:val="single" w:sz="8" w:color="494949"/>
            </w:tcBorders>
          </w:tcPr>
          <w:p>
            <w:pPr>
              <w:spacing w:after="0"/>
              <w:rPr>
                <w:sz w:val="2"/>
                <w:szCs w:val="2"/>
                <w:color w:val="auto"/>
              </w:rPr>
            </w:pPr>
          </w:p>
        </w:tc>
        <w:tc>
          <w:tcPr>
            <w:tcW w:w="1440" w:type="dxa"/>
            <w:vAlign w:val="bottom"/>
            <w:tcBorders>
              <w:bottom w:val="single" w:sz="8" w:color="494949"/>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100" w:type="dxa"/>
            <w:vAlign w:val="bottom"/>
          </w:tcPr>
          <w:p>
            <w:pPr>
              <w:ind w:left="20"/>
              <w:spacing w:after="0"/>
              <w:rPr>
                <w:sz w:val="20"/>
                <w:szCs w:val="20"/>
                <w:color w:val="auto"/>
              </w:rPr>
            </w:pPr>
            <w:r>
              <w:rPr>
                <w:rFonts w:ascii="Arial" w:cs="Arial" w:eastAsia="Arial" w:hAnsi="Arial"/>
                <w:sz w:val="15"/>
                <w:szCs w:val="15"/>
                <w:b w:val="1"/>
                <w:bCs w:val="1"/>
                <w:color w:val="3A5CFF"/>
              </w:rPr>
              <w:t>Glockner</w:t>
            </w:r>
          </w:p>
        </w:tc>
        <w:tc>
          <w:tcPr>
            <w:tcW w:w="2740" w:type="dxa"/>
            <w:vAlign w:val="bottom"/>
          </w:tcPr>
          <w:p>
            <w:pPr>
              <w:jc w:val="right"/>
              <w:ind w:right="520"/>
              <w:spacing w:after="0"/>
              <w:rPr>
                <w:sz w:val="20"/>
                <w:szCs w:val="20"/>
                <w:color w:val="auto"/>
              </w:rPr>
            </w:pPr>
            <w:r>
              <w:rPr>
                <w:rFonts w:ascii="Arial" w:cs="Arial" w:eastAsia="Arial" w:hAnsi="Arial"/>
                <w:sz w:val="16"/>
                <w:szCs w:val="16"/>
                <w:color w:val="auto"/>
              </w:rPr>
              <w:t>665,376</w:t>
            </w:r>
          </w:p>
        </w:tc>
        <w:tc>
          <w:tcPr>
            <w:tcW w:w="1560" w:type="dxa"/>
            <w:vAlign w:val="bottom"/>
          </w:tcPr>
          <w:p>
            <w:pPr>
              <w:jc w:val="right"/>
              <w:ind w:right="301"/>
              <w:spacing w:after="0"/>
              <w:rPr>
                <w:sz w:val="20"/>
                <w:szCs w:val="20"/>
                <w:color w:val="auto"/>
              </w:rPr>
            </w:pPr>
            <w:r>
              <w:rPr>
                <w:rFonts w:ascii="Arial" w:cs="Arial" w:eastAsia="Arial" w:hAnsi="Arial"/>
                <w:sz w:val="16"/>
                <w:szCs w:val="16"/>
                <w:color w:val="auto"/>
              </w:rPr>
              <w:t>80</w:t>
            </w:r>
          </w:p>
        </w:tc>
        <w:tc>
          <w:tcPr>
            <w:tcW w:w="1240" w:type="dxa"/>
            <w:vAlign w:val="bottom"/>
          </w:tcPr>
          <w:p>
            <w:pPr>
              <w:jc w:val="right"/>
              <w:spacing w:after="0"/>
              <w:rPr>
                <w:sz w:val="20"/>
                <w:szCs w:val="20"/>
                <w:color w:val="auto"/>
              </w:rPr>
            </w:pPr>
            <w:r>
              <w:rPr>
                <w:rFonts w:ascii="Arial" w:cs="Arial" w:eastAsia="Arial" w:hAnsi="Arial"/>
                <w:sz w:val="16"/>
                <w:szCs w:val="16"/>
                <w:color w:val="auto"/>
              </w:rPr>
              <w:t>532,301</w:t>
            </w:r>
          </w:p>
        </w:tc>
        <w:tc>
          <w:tcPr>
            <w:tcW w:w="2140" w:type="dxa"/>
            <w:vAlign w:val="bottom"/>
          </w:tcPr>
          <w:p>
            <w:pPr>
              <w:ind w:left="1000"/>
              <w:spacing w:after="0"/>
              <w:rPr>
                <w:sz w:val="20"/>
                <w:szCs w:val="20"/>
                <w:color w:val="auto"/>
              </w:rPr>
            </w:pPr>
            <w:r>
              <w:rPr>
                <w:rFonts w:ascii="Arial" w:cs="Arial" w:eastAsia="Arial" w:hAnsi="Arial"/>
                <w:sz w:val="16"/>
                <w:szCs w:val="16"/>
                <w:color w:val="auto"/>
              </w:rPr>
              <w:t>1,420,000</w:t>
            </w:r>
          </w:p>
        </w:tc>
        <w:tc>
          <w:tcPr>
            <w:tcW w:w="1440" w:type="dxa"/>
            <w:vAlign w:val="bottom"/>
          </w:tcPr>
          <w:p>
            <w:pPr>
              <w:jc w:val="right"/>
              <w:spacing w:after="0"/>
              <w:rPr>
                <w:sz w:val="20"/>
                <w:szCs w:val="20"/>
                <w:color w:val="auto"/>
              </w:rPr>
            </w:pPr>
            <w:r>
              <w:rPr>
                <w:rFonts w:ascii="Arial" w:cs="Arial" w:eastAsia="Arial" w:hAnsi="Arial"/>
                <w:sz w:val="16"/>
                <w:szCs w:val="16"/>
                <w:color w:val="auto"/>
              </w:rPr>
              <w:t>2,617,677</w:t>
            </w:r>
          </w:p>
        </w:tc>
        <w:tc>
          <w:tcPr>
            <w:tcW w:w="0" w:type="dxa"/>
            <w:vAlign w:val="bottom"/>
          </w:tcPr>
          <w:p>
            <w:pPr>
              <w:spacing w:after="0"/>
              <w:rPr>
                <w:sz w:val="1"/>
                <w:szCs w:val="1"/>
                <w:color w:val="auto"/>
              </w:rPr>
            </w:pPr>
          </w:p>
        </w:tc>
      </w:tr>
      <w:tr>
        <w:trPr>
          <w:trHeight w:val="25"/>
        </w:trPr>
        <w:tc>
          <w:tcPr>
            <w:tcW w:w="2100" w:type="dxa"/>
            <w:vAlign w:val="bottom"/>
            <w:tcBorders>
              <w:bottom w:val="single" w:sz="8" w:color="494949"/>
            </w:tcBorders>
          </w:tcPr>
          <w:p>
            <w:pPr>
              <w:spacing w:after="0"/>
              <w:rPr>
                <w:sz w:val="2"/>
                <w:szCs w:val="2"/>
                <w:color w:val="auto"/>
              </w:rPr>
            </w:pPr>
          </w:p>
        </w:tc>
        <w:tc>
          <w:tcPr>
            <w:tcW w:w="2740" w:type="dxa"/>
            <w:vAlign w:val="bottom"/>
            <w:tcBorders>
              <w:bottom w:val="single" w:sz="8" w:color="494949"/>
            </w:tcBorders>
          </w:tcPr>
          <w:p>
            <w:pPr>
              <w:spacing w:after="0"/>
              <w:rPr>
                <w:sz w:val="2"/>
                <w:szCs w:val="2"/>
                <w:color w:val="auto"/>
              </w:rPr>
            </w:pPr>
          </w:p>
        </w:tc>
        <w:tc>
          <w:tcPr>
            <w:tcW w:w="1560" w:type="dxa"/>
            <w:vAlign w:val="bottom"/>
            <w:tcBorders>
              <w:bottom w:val="single" w:sz="8" w:color="494949"/>
            </w:tcBorders>
          </w:tcPr>
          <w:p>
            <w:pPr>
              <w:spacing w:after="0"/>
              <w:rPr>
                <w:sz w:val="2"/>
                <w:szCs w:val="2"/>
                <w:color w:val="auto"/>
              </w:rPr>
            </w:pPr>
          </w:p>
        </w:tc>
        <w:tc>
          <w:tcPr>
            <w:tcW w:w="1240" w:type="dxa"/>
            <w:vAlign w:val="bottom"/>
            <w:tcBorders>
              <w:bottom w:val="single" w:sz="8" w:color="494949"/>
            </w:tcBorders>
          </w:tcPr>
          <w:p>
            <w:pPr>
              <w:spacing w:after="0"/>
              <w:rPr>
                <w:sz w:val="2"/>
                <w:szCs w:val="2"/>
                <w:color w:val="auto"/>
              </w:rPr>
            </w:pPr>
          </w:p>
        </w:tc>
        <w:tc>
          <w:tcPr>
            <w:tcW w:w="2140" w:type="dxa"/>
            <w:vAlign w:val="bottom"/>
            <w:tcBorders>
              <w:bottom w:val="single" w:sz="8" w:color="494949"/>
            </w:tcBorders>
          </w:tcPr>
          <w:p>
            <w:pPr>
              <w:spacing w:after="0"/>
              <w:rPr>
                <w:sz w:val="2"/>
                <w:szCs w:val="2"/>
                <w:color w:val="auto"/>
              </w:rPr>
            </w:pPr>
          </w:p>
        </w:tc>
        <w:tc>
          <w:tcPr>
            <w:tcW w:w="1440" w:type="dxa"/>
            <w:vAlign w:val="bottom"/>
            <w:tcBorders>
              <w:bottom w:val="single" w:sz="8" w:color="494949"/>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100" w:type="dxa"/>
            <w:vAlign w:val="bottom"/>
          </w:tcPr>
          <w:p>
            <w:pPr>
              <w:ind w:left="20"/>
              <w:spacing w:after="0"/>
              <w:rPr>
                <w:sz w:val="20"/>
                <w:szCs w:val="20"/>
                <w:color w:val="auto"/>
              </w:rPr>
            </w:pPr>
            <w:r>
              <w:rPr>
                <w:rFonts w:ascii="Arial" w:cs="Arial" w:eastAsia="Arial" w:hAnsi="Arial"/>
                <w:sz w:val="15"/>
                <w:szCs w:val="15"/>
                <w:b w:val="1"/>
                <w:bCs w:val="1"/>
                <w:color w:val="3A5CFF"/>
              </w:rPr>
              <w:t>Innocenzo</w:t>
            </w:r>
          </w:p>
        </w:tc>
        <w:tc>
          <w:tcPr>
            <w:tcW w:w="2740" w:type="dxa"/>
            <w:vAlign w:val="bottom"/>
          </w:tcPr>
          <w:p>
            <w:pPr>
              <w:jc w:val="right"/>
              <w:ind w:right="520"/>
              <w:spacing w:after="0"/>
              <w:rPr>
                <w:sz w:val="20"/>
                <w:szCs w:val="20"/>
                <w:color w:val="auto"/>
              </w:rPr>
            </w:pPr>
            <w:r>
              <w:rPr>
                <w:rFonts w:ascii="Arial" w:cs="Arial" w:eastAsia="Arial" w:hAnsi="Arial"/>
                <w:sz w:val="16"/>
                <w:szCs w:val="16"/>
                <w:color w:val="auto"/>
              </w:rPr>
              <w:t>685,000</w:t>
            </w:r>
          </w:p>
        </w:tc>
        <w:tc>
          <w:tcPr>
            <w:tcW w:w="1560" w:type="dxa"/>
            <w:vAlign w:val="bottom"/>
          </w:tcPr>
          <w:p>
            <w:pPr>
              <w:jc w:val="right"/>
              <w:ind w:right="301"/>
              <w:spacing w:after="0"/>
              <w:rPr>
                <w:sz w:val="20"/>
                <w:szCs w:val="20"/>
                <w:color w:val="auto"/>
              </w:rPr>
            </w:pPr>
            <w:r>
              <w:rPr>
                <w:rFonts w:ascii="Arial" w:cs="Arial" w:eastAsia="Arial" w:hAnsi="Arial"/>
                <w:sz w:val="16"/>
                <w:szCs w:val="16"/>
                <w:color w:val="auto"/>
              </w:rPr>
              <w:t>90</w:t>
            </w:r>
          </w:p>
        </w:tc>
        <w:tc>
          <w:tcPr>
            <w:tcW w:w="1240" w:type="dxa"/>
            <w:vAlign w:val="bottom"/>
          </w:tcPr>
          <w:p>
            <w:pPr>
              <w:jc w:val="right"/>
              <w:spacing w:after="0"/>
              <w:rPr>
                <w:sz w:val="20"/>
                <w:szCs w:val="20"/>
                <w:color w:val="auto"/>
              </w:rPr>
            </w:pPr>
            <w:r>
              <w:rPr>
                <w:rFonts w:ascii="Arial" w:cs="Arial" w:eastAsia="Arial" w:hAnsi="Arial"/>
                <w:sz w:val="16"/>
                <w:szCs w:val="16"/>
                <w:color w:val="auto"/>
              </w:rPr>
              <w:t>616,500</w:t>
            </w:r>
          </w:p>
        </w:tc>
        <w:tc>
          <w:tcPr>
            <w:tcW w:w="2140" w:type="dxa"/>
            <w:vAlign w:val="bottom"/>
          </w:tcPr>
          <w:p>
            <w:pPr>
              <w:ind w:left="1000"/>
              <w:spacing w:after="0"/>
              <w:rPr>
                <w:sz w:val="20"/>
                <w:szCs w:val="20"/>
                <w:color w:val="auto"/>
              </w:rPr>
            </w:pPr>
            <w:r>
              <w:rPr>
                <w:rFonts w:ascii="Arial" w:cs="Arial" w:eastAsia="Arial" w:hAnsi="Arial"/>
                <w:sz w:val="16"/>
                <w:szCs w:val="16"/>
                <w:color w:val="auto"/>
              </w:rPr>
              <w:t>1,765,000</w:t>
            </w:r>
          </w:p>
        </w:tc>
        <w:tc>
          <w:tcPr>
            <w:tcW w:w="1440" w:type="dxa"/>
            <w:vAlign w:val="bottom"/>
          </w:tcPr>
          <w:p>
            <w:pPr>
              <w:jc w:val="right"/>
              <w:spacing w:after="0"/>
              <w:rPr>
                <w:sz w:val="20"/>
                <w:szCs w:val="20"/>
                <w:color w:val="auto"/>
              </w:rPr>
            </w:pPr>
            <w:r>
              <w:rPr>
                <w:rFonts w:ascii="Arial" w:cs="Arial" w:eastAsia="Arial" w:hAnsi="Arial"/>
                <w:sz w:val="16"/>
                <w:szCs w:val="16"/>
                <w:color w:val="auto"/>
              </w:rPr>
              <w:t>3,066,500</w:t>
            </w:r>
          </w:p>
        </w:tc>
        <w:tc>
          <w:tcPr>
            <w:tcW w:w="0" w:type="dxa"/>
            <w:vAlign w:val="bottom"/>
          </w:tcPr>
          <w:p>
            <w:pPr>
              <w:spacing w:after="0"/>
              <w:rPr>
                <w:sz w:val="1"/>
                <w:szCs w:val="1"/>
                <w:color w:val="auto"/>
              </w:rPr>
            </w:pPr>
          </w:p>
        </w:tc>
      </w:tr>
      <w:tr>
        <w:trPr>
          <w:trHeight w:val="25"/>
        </w:trPr>
        <w:tc>
          <w:tcPr>
            <w:tcW w:w="2100" w:type="dxa"/>
            <w:vAlign w:val="bottom"/>
            <w:tcBorders>
              <w:bottom w:val="single" w:sz="8" w:color="494949"/>
            </w:tcBorders>
          </w:tcPr>
          <w:p>
            <w:pPr>
              <w:spacing w:after="0"/>
              <w:rPr>
                <w:sz w:val="2"/>
                <w:szCs w:val="2"/>
                <w:color w:val="auto"/>
              </w:rPr>
            </w:pPr>
          </w:p>
        </w:tc>
        <w:tc>
          <w:tcPr>
            <w:tcW w:w="2740" w:type="dxa"/>
            <w:vAlign w:val="bottom"/>
            <w:tcBorders>
              <w:bottom w:val="single" w:sz="8" w:color="494949"/>
            </w:tcBorders>
          </w:tcPr>
          <w:p>
            <w:pPr>
              <w:spacing w:after="0"/>
              <w:rPr>
                <w:sz w:val="2"/>
                <w:szCs w:val="2"/>
                <w:color w:val="auto"/>
              </w:rPr>
            </w:pPr>
          </w:p>
        </w:tc>
        <w:tc>
          <w:tcPr>
            <w:tcW w:w="1560" w:type="dxa"/>
            <w:vAlign w:val="bottom"/>
            <w:tcBorders>
              <w:bottom w:val="single" w:sz="8" w:color="494949"/>
            </w:tcBorders>
          </w:tcPr>
          <w:p>
            <w:pPr>
              <w:spacing w:after="0"/>
              <w:rPr>
                <w:sz w:val="2"/>
                <w:szCs w:val="2"/>
                <w:color w:val="auto"/>
              </w:rPr>
            </w:pPr>
          </w:p>
        </w:tc>
        <w:tc>
          <w:tcPr>
            <w:tcW w:w="1240" w:type="dxa"/>
            <w:vAlign w:val="bottom"/>
            <w:tcBorders>
              <w:bottom w:val="single" w:sz="8" w:color="494949"/>
            </w:tcBorders>
          </w:tcPr>
          <w:p>
            <w:pPr>
              <w:spacing w:after="0"/>
              <w:rPr>
                <w:sz w:val="2"/>
                <w:szCs w:val="2"/>
                <w:color w:val="auto"/>
              </w:rPr>
            </w:pPr>
          </w:p>
        </w:tc>
        <w:tc>
          <w:tcPr>
            <w:tcW w:w="2140" w:type="dxa"/>
            <w:vAlign w:val="bottom"/>
            <w:tcBorders>
              <w:bottom w:val="single" w:sz="8" w:color="494949"/>
            </w:tcBorders>
          </w:tcPr>
          <w:p>
            <w:pPr>
              <w:spacing w:after="0"/>
              <w:rPr>
                <w:sz w:val="2"/>
                <w:szCs w:val="2"/>
                <w:color w:val="auto"/>
              </w:rPr>
            </w:pPr>
          </w:p>
        </w:tc>
        <w:tc>
          <w:tcPr>
            <w:tcW w:w="1440" w:type="dxa"/>
            <w:vAlign w:val="bottom"/>
            <w:tcBorders>
              <w:bottom w:val="single" w:sz="8" w:color="494949"/>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60" w:right="40" w:hanging="252"/>
        <w:spacing w:after="0" w:line="325" w:lineRule="auto"/>
        <w:tabs>
          <w:tab w:leader="none" w:pos="263" w:val="left"/>
        </w:tabs>
        <w:numPr>
          <w:ilvl w:val="0"/>
          <w:numId w:val="109"/>
        </w:numPr>
        <w:rPr>
          <w:rFonts w:ascii="Arial" w:cs="Arial" w:eastAsia="Arial" w:hAnsi="Arial"/>
          <w:sz w:val="8"/>
          <w:szCs w:val="8"/>
          <w:color w:val="auto"/>
        </w:rPr>
      </w:pPr>
      <w:r>
        <w:rPr>
          <w:rFonts w:ascii="Arial" w:cs="Arial" w:eastAsia="Arial" w:hAnsi="Arial"/>
          <w:sz w:val="14"/>
          <w:szCs w:val="14"/>
          <w:color w:val="auto"/>
        </w:rPr>
        <w:t>Mr. Innocenzo served as CEO of PECO before his promotion to COO of Exelon on April 1, 2024. The salary shown for Mr. Innocenzo reflects his rate effective April 1, 2024, upon his promotion to COO. For the other NEOs, salaries reflect rates effective March 1, 2024.</w:t>
      </w:r>
    </w:p>
    <w:p>
      <w:pPr>
        <w:spacing w:after="0" w:line="9" w:lineRule="exact"/>
        <w:rPr>
          <w:rFonts w:ascii="Arial" w:cs="Arial" w:eastAsia="Arial" w:hAnsi="Arial"/>
          <w:sz w:val="8"/>
          <w:szCs w:val="8"/>
          <w:color w:val="auto"/>
        </w:rPr>
      </w:pPr>
    </w:p>
    <w:p>
      <w:pPr>
        <w:ind w:left="260" w:right="140" w:hanging="252"/>
        <w:spacing w:after="0" w:line="303" w:lineRule="auto"/>
        <w:tabs>
          <w:tab w:leader="none" w:pos="249" w:val="left"/>
        </w:tabs>
        <w:numPr>
          <w:ilvl w:val="0"/>
          <w:numId w:val="109"/>
        </w:numPr>
        <w:rPr>
          <w:rFonts w:ascii="Arial" w:cs="Arial" w:eastAsia="Arial" w:hAnsi="Arial"/>
          <w:sz w:val="8"/>
          <w:szCs w:val="8"/>
          <w:color w:val="auto"/>
        </w:rPr>
      </w:pPr>
      <w:r>
        <w:rPr>
          <w:rFonts w:ascii="Arial" w:cs="Arial" w:eastAsia="Arial" w:hAnsi="Arial"/>
          <w:sz w:val="14"/>
          <w:szCs w:val="14"/>
          <w:color w:val="auto"/>
        </w:rPr>
        <w:t>The annual incentive target shown for Mr. Innocenzo reflects the full-year target for his COO role. His actual 2024 AIP payout was prorated based on his salary, AIP target, time served as PECO CEO and Exelon COO, and achievement of respective PECO and Exelon AIP goals. For details, see 2024 AIP Performance and Payout Determinations on page 52.</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780"/>
              <w:spacing w:after="0"/>
              <w:rPr>
                <w:sz w:val="20"/>
                <w:szCs w:val="20"/>
                <w:color w:val="auto"/>
              </w:rPr>
            </w:pPr>
            <w:r>
              <w:rPr>
                <w:rFonts w:ascii="Arial" w:cs="Arial" w:eastAsia="Arial" w:hAnsi="Arial"/>
                <w:sz w:val="14"/>
                <w:szCs w:val="14"/>
                <w:color w:val="auto"/>
              </w:rPr>
              <w:t>2025 ׀ Exelon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49</w:t>
            </w:r>
          </w:p>
        </w:tc>
      </w:tr>
      <w:tr>
        <w:trPr>
          <w:trHeight w:val="225"/>
        </w:trPr>
        <w:tc>
          <w:tcPr>
            <w:tcW w:w="1092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3"/>
          <w:szCs w:val="13"/>
          <w:b w:val="1"/>
          <w:bCs w:val="1"/>
          <w:color w:val="auto"/>
        </w:rPr>
        <w:t>Compensation Discussion &amp; Analysis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Base Salary</w:t>
      </w:r>
    </w:p>
    <w:p>
      <w:pPr>
        <w:spacing w:after="0" w:line="11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When evaluating whether to make adjustments to base salary, the TMCC considers a number of factors, including the outcome of the annual merit review and results of the annual market assessment of NEO and CEO compensation provided by the Committee’s independent compensation consultant. The TMCC also takes into account the need to retain an experienced team, along with job promotions, individual performance, scope of responsibility, leadership skills and values, current compensation, internal equity, market competitiveness and other legacy matters.</w:t>
      </w:r>
    </w:p>
    <w:p>
      <w:pPr>
        <w:spacing w:after="0" w:line="72"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For the CEO’s compensation, the TMCC recommends CEO compensation to the independent members of the Board. For the other NEOs’ compensation, the TMCC sets base salaries for each NEO (other than the CEO), which may be adjusted following an annual review. Base salary adjustments are effective as of March 1 each year. In January 2024, as part of its annual review, the Committee approved increases in base salary ranging from 3.0 - 7.0% for all NEOs.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Annual Incentive Program (AIP)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AIP Overview</w:t>
      </w:r>
    </w:p>
    <w:p>
      <w:pPr>
        <w:spacing w:after="0" w:line="12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AIP is an annual cash incentive program that provides our NEOs the opportunity to receive an annual cash award based on the achievement of predetermined financial and operational goals. The AIP incorporates a single financial metric and key operational metrics that are aligned with the focus on driving outstanding customer experiences. The 2024 AIP design and metrics were consistent with the prior year’s design.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the 2024 AIP program for each of our NEOs.</w:t>
      </w:r>
    </w:p>
    <w:p>
      <w:pPr>
        <w:spacing w:after="0" w:line="199" w:lineRule="exact"/>
        <w:rPr>
          <w:sz w:val="20"/>
          <w:szCs w:val="20"/>
          <w:color w:val="auto"/>
        </w:rPr>
      </w:pPr>
    </w:p>
    <w:p>
      <w:pPr>
        <w:ind w:left="1780"/>
        <w:spacing w:after="0"/>
        <w:tabs>
          <w:tab w:leader="none" w:pos="6620" w:val="left"/>
          <w:tab w:leader="none" w:pos="7640" w:val="left"/>
        </w:tabs>
        <w:rPr>
          <w:sz w:val="20"/>
          <w:szCs w:val="20"/>
          <w:color w:val="auto"/>
        </w:rPr>
      </w:pPr>
      <w:r>
        <w:rPr>
          <w:rFonts w:ascii="Arial" w:cs="Arial" w:eastAsia="Arial" w:hAnsi="Arial"/>
          <w:sz w:val="14"/>
          <w:szCs w:val="14"/>
          <w:b w:val="1"/>
          <w:bCs w:val="1"/>
          <w:color w:val="170D67"/>
        </w:rPr>
        <w:t>Metrics</w:t>
      </w:r>
      <w:r>
        <w:rPr>
          <w:sz w:val="20"/>
          <w:szCs w:val="20"/>
          <w:color w:val="auto"/>
        </w:rPr>
        <w:tab/>
      </w:r>
      <w:r>
        <w:rPr>
          <w:rFonts w:ascii="Arial" w:cs="Arial" w:eastAsia="Arial" w:hAnsi="Arial"/>
          <w:sz w:val="14"/>
          <w:szCs w:val="14"/>
          <w:b w:val="1"/>
          <w:bCs w:val="1"/>
          <w:color w:val="170D67"/>
        </w:rPr>
        <w:t>Weight</w:t>
      </w:r>
      <w:r>
        <w:rPr>
          <w:sz w:val="20"/>
          <w:szCs w:val="20"/>
          <w:color w:val="auto"/>
        </w:rPr>
        <w:tab/>
      </w:r>
      <w:r>
        <w:rPr>
          <w:rFonts w:ascii="Arial" w:cs="Arial" w:eastAsia="Arial" w:hAnsi="Arial"/>
          <w:sz w:val="13"/>
          <w:szCs w:val="13"/>
          <w:b w:val="1"/>
          <w:bCs w:val="1"/>
          <w:color w:val="170D67"/>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23430" cy="32829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23430" cy="328295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420"/>
        <w:spacing w:after="0" w:line="314" w:lineRule="auto"/>
        <w:rPr>
          <w:sz w:val="20"/>
          <w:szCs w:val="20"/>
          <w:color w:val="auto"/>
        </w:rPr>
      </w:pPr>
      <w:r>
        <w:rPr>
          <w:rFonts w:ascii="Arial" w:cs="Arial" w:eastAsia="Arial" w:hAnsi="Arial"/>
          <w:sz w:val="16"/>
          <w:szCs w:val="16"/>
          <w:b w:val="1"/>
          <w:bCs w:val="1"/>
          <w:color w:val="3A5CFF"/>
        </w:rPr>
        <w:t>Financial Goals (60%)</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3A5CFF"/>
        </w:rPr>
        <w:t>Adjusted (non-GAAP) Operating EPS*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212529"/>
        </w:rPr>
        <w:t>The Company’s net income from ongoing business activities</w:t>
      </w:r>
    </w:p>
    <w:p>
      <w:pPr>
        <w:spacing w:after="0" w:line="16" w:lineRule="exact"/>
        <w:rPr>
          <w:sz w:val="20"/>
          <w:szCs w:val="20"/>
          <w:color w:val="auto"/>
        </w:rPr>
      </w:pPr>
    </w:p>
    <w:p>
      <w:pPr>
        <w:spacing w:after="0" w:line="292" w:lineRule="auto"/>
        <w:rPr>
          <w:sz w:val="20"/>
          <w:szCs w:val="20"/>
          <w:color w:val="auto"/>
        </w:rPr>
      </w:pPr>
      <w:r>
        <w:rPr>
          <w:rFonts w:ascii="Arial" w:cs="Arial" w:eastAsia="Arial" w:hAnsi="Arial"/>
          <w:sz w:val="16"/>
          <w:szCs w:val="16"/>
          <w:color w:val="212529"/>
        </w:rPr>
        <w:t xml:space="preserve">divided by average shares outstanding during the year and </w:t>
      </w:r>
      <w:r>
        <w:rPr>
          <w:rFonts w:ascii="Arial" w:cs="Arial" w:eastAsia="Arial" w:hAnsi="Arial"/>
          <w:sz w:val="16"/>
          <w:szCs w:val="16"/>
          <w:b w:val="1"/>
          <w:bCs w:val="1"/>
          <w:color w:val="3A5CFF"/>
        </w:rPr>
        <w:t>60%</w:t>
      </w:r>
      <w:r>
        <w:rPr>
          <w:rFonts w:ascii="Arial" w:cs="Arial" w:eastAsia="Arial" w:hAnsi="Arial"/>
          <w:sz w:val="16"/>
          <w:szCs w:val="16"/>
          <w:color w:val="212529"/>
        </w:rPr>
        <w:t xml:space="preserve"> adjusted to exclude certain costs, expenses, gains and losses, and other specified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-876300</wp:posOffset>
            </wp:positionH>
            <wp:positionV relativeFrom="paragraph">
              <wp:posOffset>71120</wp:posOffset>
            </wp:positionV>
            <wp:extent cx="687514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212529"/>
        </w:rPr>
        <w:t>Supports commitment to provide solid returns to our shareholders and to support and grow our dividend.</w:t>
      </w:r>
    </w:p>
    <w:p>
      <w:pPr>
        <w:spacing w:after="0" w:line="353" w:lineRule="exact"/>
        <w:rPr>
          <w:sz w:val="20"/>
          <w:szCs w:val="20"/>
          <w:color w:val="auto"/>
        </w:rPr>
      </w:pPr>
    </w:p>
    <w:p>
      <w:pPr>
        <w:sectPr>
          <w:pgSz w:w="11900" w:h="16838" w:orient="portrait"/>
          <w:cols w:equalWidth="0" w:num="3">
            <w:col w:w="1620" w:space="160"/>
            <w:col w:w="5180" w:space="700"/>
            <w:col w:w="3560"/>
          </w:cols>
          <w:pgMar w:left="320" w:top="122" w:right="359" w:bottom="1440" w:gutter="0" w:footer="0" w:header="0"/>
          <w:type w:val="continuous"/>
        </w:sectPr>
      </w:pPr>
    </w:p>
    <w:tbl>
      <w:tblPr>
        <w:tblLayout w:type="fixed"/>
        <w:tblInd w:w="400" w:type="dxa"/>
        <w:tblCellMar>
          <w:top w:w="0" w:type="dxa"/>
          <w:left w:w="0" w:type="dxa"/>
          <w:bottom w:w="0" w:type="dxa"/>
          <w:right w:w="0" w:type="dxa"/>
        </w:tblCellMar>
      </w:tblPr>
      <w:tr>
        <w:trPr>
          <w:trHeight w:val="203"/>
        </w:trPr>
        <w:tc>
          <w:tcPr>
            <w:tcW w:w="1360" w:type="dxa"/>
            <w:vAlign w:val="bottom"/>
            <w:vMerge w:val="restart"/>
          </w:tcPr>
          <w:p>
            <w:pPr>
              <w:ind w:left="20"/>
              <w:spacing w:after="0"/>
              <w:rPr>
                <w:sz w:val="20"/>
                <w:szCs w:val="20"/>
                <w:color w:val="auto"/>
              </w:rPr>
            </w:pPr>
            <w:r>
              <w:rPr>
                <w:rFonts w:ascii="Arial" w:cs="Arial" w:eastAsia="Arial" w:hAnsi="Arial"/>
                <w:sz w:val="16"/>
                <w:szCs w:val="16"/>
                <w:b w:val="1"/>
                <w:bCs w:val="1"/>
                <w:color w:val="170D67"/>
              </w:rPr>
              <w:t>Operational</w:t>
            </w:r>
          </w:p>
        </w:tc>
        <w:tc>
          <w:tcPr>
            <w:tcW w:w="4800" w:type="dxa"/>
            <w:vAlign w:val="bottom"/>
            <w:vMerge w:val="restart"/>
          </w:tcPr>
          <w:p>
            <w:pPr>
              <w:ind w:left="20"/>
              <w:spacing w:after="0"/>
              <w:rPr>
                <w:sz w:val="20"/>
                <w:szCs w:val="20"/>
                <w:color w:val="auto"/>
              </w:rPr>
            </w:pPr>
            <w:r>
              <w:rPr>
                <w:rFonts w:ascii="Arial" w:cs="Arial" w:eastAsia="Arial" w:hAnsi="Arial"/>
                <w:sz w:val="16"/>
                <w:szCs w:val="16"/>
                <w:b w:val="1"/>
                <w:bCs w:val="1"/>
                <w:color w:val="170D67"/>
              </w:rPr>
              <w:t>Outage Duration (SAIDI)</w:t>
            </w:r>
          </w:p>
        </w:tc>
        <w:tc>
          <w:tcPr>
            <w:tcW w:w="80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Arial" w:cs="Arial" w:eastAsia="Arial" w:hAnsi="Arial"/>
                <w:sz w:val="16"/>
                <w:szCs w:val="16"/>
                <w:color w:val="212529"/>
              </w:rPr>
              <w:t>Supports commitment to providing reliable power</w:t>
            </w:r>
          </w:p>
        </w:tc>
        <w:tc>
          <w:tcPr>
            <w:tcW w:w="0" w:type="dxa"/>
            <w:vAlign w:val="bottom"/>
          </w:tcPr>
          <w:p>
            <w:pPr>
              <w:spacing w:after="0"/>
              <w:rPr>
                <w:sz w:val="1"/>
                <w:szCs w:val="1"/>
                <w:color w:val="auto"/>
              </w:rPr>
            </w:pPr>
          </w:p>
        </w:tc>
      </w:tr>
      <w:tr>
        <w:trPr>
          <w:trHeight w:val="95"/>
        </w:trPr>
        <w:tc>
          <w:tcPr>
            <w:tcW w:w="1360" w:type="dxa"/>
            <w:vAlign w:val="bottom"/>
            <w:vMerge w:val="continue"/>
          </w:tcPr>
          <w:p>
            <w:pPr>
              <w:spacing w:after="0"/>
              <w:rPr>
                <w:sz w:val="8"/>
                <w:szCs w:val="8"/>
                <w:color w:val="auto"/>
              </w:rPr>
            </w:pPr>
          </w:p>
        </w:tc>
        <w:tc>
          <w:tcPr>
            <w:tcW w:w="480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3860" w:type="dxa"/>
            <w:vAlign w:val="bottom"/>
            <w:vMerge w:val="restart"/>
          </w:tcPr>
          <w:p>
            <w:pPr>
              <w:ind w:left="300"/>
              <w:spacing w:after="0"/>
              <w:rPr>
                <w:sz w:val="20"/>
                <w:szCs w:val="20"/>
                <w:color w:val="auto"/>
              </w:rPr>
            </w:pPr>
            <w:r>
              <w:rPr>
                <w:rFonts w:ascii="Arial" w:cs="Arial" w:eastAsia="Arial" w:hAnsi="Arial"/>
                <w:sz w:val="16"/>
                <w:szCs w:val="16"/>
                <w:color w:val="212529"/>
              </w:rPr>
              <w:t>and quickly responding to interruptions, which</w:t>
            </w:r>
          </w:p>
        </w:tc>
        <w:tc>
          <w:tcPr>
            <w:tcW w:w="0" w:type="dxa"/>
            <w:vAlign w:val="bottom"/>
          </w:tcPr>
          <w:p>
            <w:pPr>
              <w:spacing w:after="0"/>
              <w:rPr>
                <w:sz w:val="1"/>
                <w:szCs w:val="1"/>
                <w:color w:val="auto"/>
              </w:rPr>
            </w:pPr>
          </w:p>
        </w:tc>
      </w:tr>
      <w:tr>
        <w:trPr>
          <w:trHeight w:val="120"/>
        </w:trPr>
        <w:tc>
          <w:tcPr>
            <w:tcW w:w="1360" w:type="dxa"/>
            <w:vAlign w:val="bottom"/>
            <w:vMerge w:val="restart"/>
          </w:tcPr>
          <w:p>
            <w:pPr>
              <w:ind w:left="20"/>
              <w:spacing w:after="0"/>
              <w:rPr>
                <w:sz w:val="20"/>
                <w:szCs w:val="20"/>
                <w:color w:val="auto"/>
              </w:rPr>
            </w:pPr>
            <w:r>
              <w:rPr>
                <w:rFonts w:ascii="Arial" w:cs="Arial" w:eastAsia="Arial" w:hAnsi="Arial"/>
                <w:sz w:val="16"/>
                <w:szCs w:val="16"/>
                <w:b w:val="1"/>
                <w:bCs w:val="1"/>
                <w:color w:val="170D67"/>
              </w:rPr>
              <w:t>Goals</w:t>
            </w:r>
          </w:p>
        </w:tc>
        <w:tc>
          <w:tcPr>
            <w:tcW w:w="4800" w:type="dxa"/>
            <w:vAlign w:val="bottom"/>
            <w:vMerge w:val="restart"/>
          </w:tcPr>
          <w:p>
            <w:pPr>
              <w:ind w:left="20"/>
              <w:spacing w:after="0"/>
              <w:rPr>
                <w:sz w:val="20"/>
                <w:szCs w:val="20"/>
                <w:color w:val="auto"/>
              </w:rPr>
            </w:pPr>
            <w:r>
              <w:rPr>
                <w:rFonts w:ascii="Arial" w:cs="Arial" w:eastAsia="Arial" w:hAnsi="Arial"/>
                <w:sz w:val="16"/>
                <w:szCs w:val="16"/>
                <w:color w:val="212529"/>
              </w:rPr>
              <w:t>Measure of the total duration of sustained interruptions divided by</w:t>
            </w:r>
          </w:p>
        </w:tc>
        <w:tc>
          <w:tcPr>
            <w:tcW w:w="800" w:type="dxa"/>
            <w:vAlign w:val="bottom"/>
            <w:vMerge w:val="restart"/>
          </w:tcPr>
          <w:p>
            <w:pPr>
              <w:ind w:left="80"/>
              <w:spacing w:after="0"/>
              <w:rPr>
                <w:sz w:val="20"/>
                <w:szCs w:val="20"/>
                <w:color w:val="auto"/>
              </w:rPr>
            </w:pPr>
            <w:r>
              <w:rPr>
                <w:rFonts w:ascii="Arial" w:cs="Arial" w:eastAsia="Arial" w:hAnsi="Arial"/>
                <w:sz w:val="16"/>
                <w:szCs w:val="16"/>
                <w:b w:val="1"/>
                <w:bCs w:val="1"/>
                <w:color w:val="170D67"/>
              </w:rPr>
              <w:t>15%</w:t>
            </w:r>
          </w:p>
        </w:tc>
        <w:tc>
          <w:tcPr>
            <w:tcW w:w="3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360" w:type="dxa"/>
            <w:vAlign w:val="bottom"/>
            <w:vMerge w:val="continue"/>
          </w:tcPr>
          <w:p>
            <w:pPr>
              <w:spacing w:after="0"/>
              <w:rPr>
                <w:sz w:val="8"/>
                <w:szCs w:val="8"/>
                <w:color w:val="auto"/>
              </w:rPr>
            </w:pPr>
          </w:p>
        </w:tc>
        <w:tc>
          <w:tcPr>
            <w:tcW w:w="4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860" w:type="dxa"/>
            <w:vAlign w:val="bottom"/>
            <w:vMerge w:val="restart"/>
          </w:tcPr>
          <w:p>
            <w:pPr>
              <w:ind w:left="300"/>
              <w:spacing w:after="0"/>
              <w:rPr>
                <w:sz w:val="20"/>
                <w:szCs w:val="20"/>
                <w:color w:val="auto"/>
              </w:rPr>
            </w:pPr>
            <w:r>
              <w:rPr>
                <w:rFonts w:ascii="Arial" w:cs="Arial" w:eastAsia="Arial" w:hAnsi="Arial"/>
                <w:sz w:val="16"/>
                <w:szCs w:val="16"/>
                <w:color w:val="212529"/>
              </w:rPr>
              <w:t>are essential to operations and customer</w:t>
            </w:r>
          </w:p>
        </w:tc>
        <w:tc>
          <w:tcPr>
            <w:tcW w:w="0" w:type="dxa"/>
            <w:vAlign w:val="bottom"/>
          </w:tcPr>
          <w:p>
            <w:pPr>
              <w:spacing w:after="0"/>
              <w:rPr>
                <w:sz w:val="1"/>
                <w:szCs w:val="1"/>
                <w:color w:val="auto"/>
              </w:rPr>
            </w:pPr>
          </w:p>
        </w:tc>
      </w:tr>
      <w:tr>
        <w:trPr>
          <w:trHeight w:val="120"/>
        </w:trPr>
        <w:tc>
          <w:tcPr>
            <w:tcW w:w="1360" w:type="dxa"/>
            <w:vAlign w:val="bottom"/>
            <w:vMerge w:val="restart"/>
          </w:tcPr>
          <w:p>
            <w:pPr>
              <w:ind w:left="20"/>
              <w:spacing w:after="0"/>
              <w:rPr>
                <w:sz w:val="20"/>
                <w:szCs w:val="20"/>
                <w:color w:val="auto"/>
              </w:rPr>
            </w:pPr>
            <w:r>
              <w:rPr>
                <w:rFonts w:ascii="Arial" w:cs="Arial" w:eastAsia="Arial" w:hAnsi="Arial"/>
                <w:sz w:val="16"/>
                <w:szCs w:val="16"/>
                <w:b w:val="1"/>
                <w:bCs w:val="1"/>
                <w:color w:val="170D67"/>
              </w:rPr>
              <w:t>(40%)</w:t>
            </w:r>
          </w:p>
        </w:tc>
        <w:tc>
          <w:tcPr>
            <w:tcW w:w="4800" w:type="dxa"/>
            <w:vAlign w:val="bottom"/>
            <w:vMerge w:val="restart"/>
          </w:tcPr>
          <w:p>
            <w:pPr>
              <w:ind w:left="20"/>
              <w:spacing w:after="0"/>
              <w:rPr>
                <w:sz w:val="20"/>
                <w:szCs w:val="20"/>
                <w:color w:val="auto"/>
              </w:rPr>
            </w:pPr>
            <w:r>
              <w:rPr>
                <w:rFonts w:ascii="Arial" w:cs="Arial" w:eastAsia="Arial" w:hAnsi="Arial"/>
                <w:sz w:val="16"/>
                <w:szCs w:val="16"/>
                <w:color w:val="212529"/>
              </w:rPr>
              <w:t>the total number of customers served.</w:t>
            </w:r>
          </w:p>
        </w:tc>
        <w:tc>
          <w:tcPr>
            <w:tcW w:w="800" w:type="dxa"/>
            <w:vAlign w:val="bottom"/>
          </w:tcPr>
          <w:p>
            <w:pPr>
              <w:spacing w:after="0"/>
              <w:rPr>
                <w:sz w:val="10"/>
                <w:szCs w:val="10"/>
                <w:color w:val="auto"/>
              </w:rPr>
            </w:pPr>
          </w:p>
        </w:tc>
        <w:tc>
          <w:tcPr>
            <w:tcW w:w="3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360" w:type="dxa"/>
            <w:vAlign w:val="bottom"/>
            <w:vMerge w:val="continue"/>
          </w:tcPr>
          <w:p>
            <w:pPr>
              <w:spacing w:after="0"/>
              <w:rPr>
                <w:sz w:val="8"/>
                <w:szCs w:val="8"/>
                <w:color w:val="auto"/>
              </w:rPr>
            </w:pPr>
          </w:p>
        </w:tc>
        <w:tc>
          <w:tcPr>
            <w:tcW w:w="480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3860" w:type="dxa"/>
            <w:vAlign w:val="bottom"/>
            <w:vMerge w:val="restart"/>
          </w:tcPr>
          <w:p>
            <w:pPr>
              <w:ind w:left="300"/>
              <w:spacing w:after="0"/>
              <w:rPr>
                <w:sz w:val="20"/>
                <w:szCs w:val="20"/>
                <w:color w:val="auto"/>
              </w:rPr>
            </w:pPr>
            <w:r>
              <w:rPr>
                <w:rFonts w:ascii="Arial" w:cs="Arial" w:eastAsia="Arial" w:hAnsi="Arial"/>
                <w:sz w:val="16"/>
                <w:szCs w:val="16"/>
                <w:color w:val="212529"/>
              </w:rPr>
              <w:t>satisfaction.</w:t>
            </w:r>
          </w:p>
        </w:tc>
        <w:tc>
          <w:tcPr>
            <w:tcW w:w="0" w:type="dxa"/>
            <w:vAlign w:val="bottom"/>
          </w:tcPr>
          <w:p>
            <w:pPr>
              <w:spacing w:after="0"/>
              <w:rPr>
                <w:sz w:val="1"/>
                <w:szCs w:val="1"/>
                <w:color w:val="auto"/>
              </w:rPr>
            </w:pPr>
          </w:p>
        </w:tc>
      </w:tr>
      <w:tr>
        <w:trPr>
          <w:trHeight w:val="114"/>
        </w:trPr>
        <w:tc>
          <w:tcPr>
            <w:tcW w:w="1360" w:type="dxa"/>
            <w:vAlign w:val="bottom"/>
          </w:tcPr>
          <w:p>
            <w:pPr>
              <w:spacing w:after="0"/>
              <w:rPr>
                <w:sz w:val="9"/>
                <w:szCs w:val="9"/>
                <w:color w:val="auto"/>
              </w:rPr>
            </w:pPr>
          </w:p>
        </w:tc>
        <w:tc>
          <w:tcPr>
            <w:tcW w:w="4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360" w:type="dxa"/>
            <w:vAlign w:val="bottom"/>
          </w:tcPr>
          <w:p>
            <w:pPr>
              <w:spacing w:after="0"/>
              <w:rPr>
                <w:sz w:val="2"/>
                <w:szCs w:val="2"/>
                <w:color w:val="auto"/>
              </w:rPr>
            </w:pPr>
          </w:p>
        </w:tc>
        <w:tc>
          <w:tcPr>
            <w:tcW w:w="4800" w:type="dxa"/>
            <w:vAlign w:val="bottom"/>
            <w:tcBorders>
              <w:bottom w:val="single" w:sz="8" w:color="949599"/>
            </w:tcBorders>
          </w:tcPr>
          <w:p>
            <w:pPr>
              <w:spacing w:after="0"/>
              <w:rPr>
                <w:sz w:val="2"/>
                <w:szCs w:val="2"/>
                <w:color w:val="auto"/>
              </w:rPr>
            </w:pPr>
          </w:p>
        </w:tc>
        <w:tc>
          <w:tcPr>
            <w:tcW w:w="800" w:type="dxa"/>
            <w:vAlign w:val="bottom"/>
            <w:tcBorders>
              <w:bottom w:val="single" w:sz="8" w:color="949599"/>
            </w:tcBorders>
          </w:tcPr>
          <w:p>
            <w:pPr>
              <w:spacing w:after="0"/>
              <w:rPr>
                <w:sz w:val="2"/>
                <w:szCs w:val="2"/>
                <w:color w:val="auto"/>
              </w:rPr>
            </w:pPr>
          </w:p>
        </w:tc>
        <w:tc>
          <w:tcPr>
            <w:tcW w:w="3860" w:type="dxa"/>
            <w:vAlign w:val="bottom"/>
            <w:tcBorders>
              <w:bottom w:val="single" w:sz="8" w:color="949599"/>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136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6"/>
                <w:szCs w:val="16"/>
                <w:b w:val="1"/>
                <w:bCs w:val="1"/>
                <w:color w:val="170D67"/>
              </w:rPr>
              <w:t>Outage Frequency (SAIFI)</w:t>
            </w:r>
          </w:p>
        </w:tc>
        <w:tc>
          <w:tcPr>
            <w:tcW w:w="800" w:type="dxa"/>
            <w:vAlign w:val="bottom"/>
          </w:tcPr>
          <w:p>
            <w:pPr>
              <w:spacing w:after="0"/>
              <w:rPr>
                <w:sz w:val="24"/>
                <w:szCs w:val="24"/>
                <w:color w:val="auto"/>
              </w:rPr>
            </w:pPr>
          </w:p>
        </w:tc>
        <w:tc>
          <w:tcPr>
            <w:tcW w:w="3860" w:type="dxa"/>
            <w:vAlign w:val="bottom"/>
          </w:tcPr>
          <w:p>
            <w:pPr>
              <w:ind w:left="300"/>
              <w:spacing w:after="0"/>
              <w:rPr>
                <w:sz w:val="20"/>
                <w:szCs w:val="20"/>
                <w:color w:val="auto"/>
              </w:rPr>
            </w:pPr>
            <w:r>
              <w:rPr>
                <w:rFonts w:ascii="Arial" w:cs="Arial" w:eastAsia="Arial" w:hAnsi="Arial"/>
                <w:sz w:val="16"/>
                <w:szCs w:val="16"/>
                <w:color w:val="212529"/>
              </w:rPr>
              <w:t>Supports commitment to dependable</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6"/>
                <w:szCs w:val="16"/>
                <w:color w:val="212529"/>
              </w:rPr>
              <w:t>Measure of the total number of customer interruptions divided by</w:t>
            </w:r>
          </w:p>
        </w:tc>
        <w:tc>
          <w:tcPr>
            <w:tcW w:w="800" w:type="dxa"/>
            <w:vAlign w:val="bottom"/>
          </w:tcPr>
          <w:p>
            <w:pPr>
              <w:ind w:left="80"/>
              <w:spacing w:after="0"/>
              <w:rPr>
                <w:sz w:val="20"/>
                <w:szCs w:val="20"/>
                <w:color w:val="auto"/>
              </w:rPr>
            </w:pPr>
            <w:r>
              <w:rPr>
                <w:rFonts w:ascii="Arial" w:cs="Arial" w:eastAsia="Arial" w:hAnsi="Arial"/>
                <w:sz w:val="16"/>
                <w:szCs w:val="16"/>
                <w:b w:val="1"/>
                <w:bCs w:val="1"/>
                <w:color w:val="170D67"/>
              </w:rPr>
              <w:t>15%</w:t>
            </w:r>
          </w:p>
        </w:tc>
        <w:tc>
          <w:tcPr>
            <w:tcW w:w="3860" w:type="dxa"/>
            <w:vAlign w:val="bottom"/>
          </w:tcPr>
          <w:p>
            <w:pPr>
              <w:ind w:left="300"/>
              <w:spacing w:after="0"/>
              <w:rPr>
                <w:sz w:val="20"/>
                <w:szCs w:val="20"/>
                <w:color w:val="auto"/>
              </w:rPr>
            </w:pPr>
            <w:r>
              <w:rPr>
                <w:rFonts w:ascii="Arial" w:cs="Arial" w:eastAsia="Arial" w:hAnsi="Arial"/>
                <w:sz w:val="16"/>
                <w:szCs w:val="16"/>
                <w:color w:val="212529"/>
              </w:rPr>
              <w:t>infrastructure and reliable power, which are</w:t>
            </w: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6"/>
                <w:szCs w:val="16"/>
                <w:color w:val="212529"/>
              </w:rPr>
              <w:t>the total number of customers served.</w:t>
            </w:r>
          </w:p>
        </w:tc>
        <w:tc>
          <w:tcPr>
            <w:tcW w:w="800" w:type="dxa"/>
            <w:vAlign w:val="bottom"/>
          </w:tcPr>
          <w:p>
            <w:pPr>
              <w:spacing w:after="0"/>
              <w:rPr>
                <w:sz w:val="18"/>
                <w:szCs w:val="18"/>
                <w:color w:val="auto"/>
              </w:rPr>
            </w:pPr>
          </w:p>
        </w:tc>
        <w:tc>
          <w:tcPr>
            <w:tcW w:w="3860" w:type="dxa"/>
            <w:vAlign w:val="bottom"/>
          </w:tcPr>
          <w:p>
            <w:pPr>
              <w:ind w:left="300"/>
              <w:spacing w:after="0"/>
              <w:rPr>
                <w:sz w:val="20"/>
                <w:szCs w:val="20"/>
                <w:color w:val="auto"/>
              </w:rPr>
            </w:pPr>
            <w:r>
              <w:rPr>
                <w:rFonts w:ascii="Arial" w:cs="Arial" w:eastAsia="Arial" w:hAnsi="Arial"/>
                <w:sz w:val="16"/>
                <w:szCs w:val="16"/>
                <w:color w:val="212529"/>
              </w:rPr>
              <w:t>essential to operations and customer satisfaction.</w:t>
            </w:r>
          </w:p>
        </w:tc>
        <w:tc>
          <w:tcPr>
            <w:tcW w:w="0" w:type="dxa"/>
            <w:vAlign w:val="bottom"/>
          </w:tcPr>
          <w:p>
            <w:pPr>
              <w:spacing w:after="0"/>
              <w:rPr>
                <w:sz w:val="1"/>
                <w:szCs w:val="1"/>
                <w:color w:val="auto"/>
              </w:rPr>
            </w:pPr>
          </w:p>
        </w:tc>
      </w:tr>
      <w:tr>
        <w:trPr>
          <w:trHeight w:val="124"/>
        </w:trPr>
        <w:tc>
          <w:tcPr>
            <w:tcW w:w="1360" w:type="dxa"/>
            <w:vAlign w:val="bottom"/>
          </w:tcPr>
          <w:p>
            <w:pPr>
              <w:spacing w:after="0"/>
              <w:rPr>
                <w:sz w:val="10"/>
                <w:szCs w:val="10"/>
                <w:color w:val="auto"/>
              </w:rPr>
            </w:pPr>
          </w:p>
        </w:tc>
        <w:tc>
          <w:tcPr>
            <w:tcW w:w="4800" w:type="dxa"/>
            <w:vAlign w:val="bottom"/>
            <w:tcBorders>
              <w:bottom w:val="single" w:sz="8" w:color="949599"/>
            </w:tcBorders>
          </w:tcPr>
          <w:p>
            <w:pPr>
              <w:spacing w:after="0"/>
              <w:rPr>
                <w:sz w:val="10"/>
                <w:szCs w:val="10"/>
                <w:color w:val="auto"/>
              </w:rPr>
            </w:pPr>
          </w:p>
        </w:tc>
        <w:tc>
          <w:tcPr>
            <w:tcW w:w="800" w:type="dxa"/>
            <w:vAlign w:val="bottom"/>
            <w:tcBorders>
              <w:bottom w:val="single" w:sz="8" w:color="949599"/>
            </w:tcBorders>
          </w:tcPr>
          <w:p>
            <w:pPr>
              <w:spacing w:after="0"/>
              <w:rPr>
                <w:sz w:val="10"/>
                <w:szCs w:val="10"/>
                <w:color w:val="auto"/>
              </w:rPr>
            </w:pPr>
          </w:p>
        </w:tc>
        <w:tc>
          <w:tcPr>
            <w:tcW w:w="3860" w:type="dxa"/>
            <w:vAlign w:val="bottom"/>
            <w:tcBorders>
              <w:bottom w:val="single" w:sz="8" w:color="949599"/>
            </w:tcBorders>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136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6"/>
                <w:szCs w:val="16"/>
                <w:b w:val="1"/>
                <w:bCs w:val="1"/>
                <w:color w:val="170D67"/>
              </w:rPr>
              <w:t>Customer Satisfaction Index</w:t>
            </w:r>
          </w:p>
        </w:tc>
        <w:tc>
          <w:tcPr>
            <w:tcW w:w="800" w:type="dxa"/>
            <w:vAlign w:val="bottom"/>
          </w:tcPr>
          <w:p>
            <w:pPr>
              <w:spacing w:after="0"/>
              <w:rPr>
                <w:sz w:val="24"/>
                <w:szCs w:val="24"/>
                <w:color w:val="auto"/>
              </w:rPr>
            </w:pPr>
          </w:p>
        </w:tc>
        <w:tc>
          <w:tcPr>
            <w:tcW w:w="3860" w:type="dxa"/>
            <w:vAlign w:val="bottom"/>
            <w:vMerge w:val="restart"/>
          </w:tcPr>
          <w:p>
            <w:pPr>
              <w:ind w:left="300"/>
              <w:spacing w:after="0"/>
              <w:rPr>
                <w:sz w:val="20"/>
                <w:szCs w:val="20"/>
                <w:color w:val="auto"/>
              </w:rPr>
            </w:pPr>
            <w:r>
              <w:rPr>
                <w:rFonts w:ascii="Arial" w:cs="Arial" w:eastAsia="Arial" w:hAnsi="Arial"/>
                <w:sz w:val="16"/>
                <w:szCs w:val="16"/>
                <w:color w:val="212529"/>
              </w:rPr>
              <w:t>Supports commitment to meeting the needs and</w:t>
            </w:r>
          </w:p>
        </w:tc>
        <w:tc>
          <w:tcPr>
            <w:tcW w:w="0" w:type="dxa"/>
            <w:vAlign w:val="bottom"/>
          </w:tcPr>
          <w:p>
            <w:pPr>
              <w:spacing w:after="0"/>
              <w:rPr>
                <w:sz w:val="1"/>
                <w:szCs w:val="1"/>
                <w:color w:val="auto"/>
              </w:rPr>
            </w:pPr>
          </w:p>
        </w:tc>
      </w:tr>
      <w:tr>
        <w:trPr>
          <w:trHeight w:val="108"/>
        </w:trPr>
        <w:tc>
          <w:tcPr>
            <w:tcW w:w="1360" w:type="dxa"/>
            <w:vAlign w:val="bottom"/>
          </w:tcPr>
          <w:p>
            <w:pPr>
              <w:spacing w:after="0"/>
              <w:rPr>
                <w:sz w:val="9"/>
                <w:szCs w:val="9"/>
                <w:color w:val="auto"/>
              </w:rPr>
            </w:pPr>
          </w:p>
        </w:tc>
        <w:tc>
          <w:tcPr>
            <w:tcW w:w="4800" w:type="dxa"/>
            <w:vAlign w:val="bottom"/>
            <w:vMerge w:val="restart"/>
          </w:tcPr>
          <w:p>
            <w:pPr>
              <w:ind w:left="20"/>
              <w:spacing w:after="0"/>
              <w:rPr>
                <w:sz w:val="20"/>
                <w:szCs w:val="20"/>
                <w:color w:val="auto"/>
              </w:rPr>
            </w:pPr>
            <w:r>
              <w:rPr>
                <w:rFonts w:ascii="Arial" w:cs="Arial" w:eastAsia="Arial" w:hAnsi="Arial"/>
                <w:sz w:val="16"/>
                <w:szCs w:val="16"/>
                <w:color w:val="212529"/>
              </w:rPr>
              <w:t>An index score for each customer segment is computed by</w:t>
            </w:r>
          </w:p>
        </w:tc>
        <w:tc>
          <w:tcPr>
            <w:tcW w:w="800" w:type="dxa"/>
            <w:vAlign w:val="bottom"/>
          </w:tcPr>
          <w:p>
            <w:pPr>
              <w:spacing w:after="0"/>
              <w:rPr>
                <w:sz w:val="9"/>
                <w:szCs w:val="9"/>
                <w:color w:val="auto"/>
              </w:rPr>
            </w:pPr>
          </w:p>
        </w:tc>
        <w:tc>
          <w:tcPr>
            <w:tcW w:w="3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360" w:type="dxa"/>
            <w:vAlign w:val="bottom"/>
          </w:tcPr>
          <w:p>
            <w:pPr>
              <w:spacing w:after="0"/>
              <w:rPr>
                <w:sz w:val="9"/>
                <w:szCs w:val="9"/>
                <w:color w:val="auto"/>
              </w:rPr>
            </w:pPr>
          </w:p>
        </w:tc>
        <w:tc>
          <w:tcPr>
            <w:tcW w:w="4800" w:type="dxa"/>
            <w:vAlign w:val="bottom"/>
            <w:vMerge w:val="continue"/>
          </w:tcPr>
          <w:p>
            <w:pPr>
              <w:spacing w:after="0"/>
              <w:rPr>
                <w:sz w:val="9"/>
                <w:szCs w:val="9"/>
                <w:color w:val="auto"/>
              </w:rPr>
            </w:pPr>
          </w:p>
        </w:tc>
        <w:tc>
          <w:tcPr>
            <w:tcW w:w="800" w:type="dxa"/>
            <w:vAlign w:val="bottom"/>
            <w:vMerge w:val="restart"/>
          </w:tcPr>
          <w:p>
            <w:pPr>
              <w:ind w:left="80"/>
              <w:spacing w:after="0"/>
              <w:rPr>
                <w:sz w:val="20"/>
                <w:szCs w:val="20"/>
                <w:color w:val="auto"/>
              </w:rPr>
            </w:pPr>
            <w:r>
              <w:rPr>
                <w:rFonts w:ascii="Arial" w:cs="Arial" w:eastAsia="Arial" w:hAnsi="Arial"/>
                <w:sz w:val="16"/>
                <w:szCs w:val="16"/>
                <w:b w:val="1"/>
                <w:bCs w:val="1"/>
                <w:color w:val="170D67"/>
              </w:rPr>
              <w:t>10%</w:t>
            </w:r>
          </w:p>
        </w:tc>
        <w:tc>
          <w:tcPr>
            <w:tcW w:w="3860" w:type="dxa"/>
            <w:vAlign w:val="bottom"/>
            <w:vMerge w:val="restart"/>
          </w:tcPr>
          <w:p>
            <w:pPr>
              <w:ind w:left="300"/>
              <w:spacing w:after="0"/>
              <w:rPr>
                <w:sz w:val="20"/>
                <w:szCs w:val="20"/>
                <w:color w:val="auto"/>
              </w:rPr>
            </w:pPr>
            <w:r>
              <w:rPr>
                <w:rFonts w:ascii="Arial" w:cs="Arial" w:eastAsia="Arial" w:hAnsi="Arial"/>
                <w:sz w:val="16"/>
                <w:szCs w:val="16"/>
                <w:color w:val="212529"/>
              </w:rPr>
              <w:t>expectations of our customers with best-in-class</w:t>
            </w:r>
          </w:p>
        </w:tc>
        <w:tc>
          <w:tcPr>
            <w:tcW w:w="0" w:type="dxa"/>
            <w:vAlign w:val="bottom"/>
          </w:tcPr>
          <w:p>
            <w:pPr>
              <w:spacing w:after="0"/>
              <w:rPr>
                <w:sz w:val="1"/>
                <w:szCs w:val="1"/>
                <w:color w:val="auto"/>
              </w:rPr>
            </w:pPr>
          </w:p>
        </w:tc>
      </w:tr>
      <w:tr>
        <w:trPr>
          <w:trHeight w:val="109"/>
        </w:trPr>
        <w:tc>
          <w:tcPr>
            <w:tcW w:w="1360" w:type="dxa"/>
            <w:vAlign w:val="bottom"/>
          </w:tcPr>
          <w:p>
            <w:pPr>
              <w:spacing w:after="0"/>
              <w:rPr>
                <w:sz w:val="9"/>
                <w:szCs w:val="9"/>
                <w:color w:val="auto"/>
              </w:rPr>
            </w:pPr>
          </w:p>
        </w:tc>
        <w:tc>
          <w:tcPr>
            <w:tcW w:w="4800" w:type="dxa"/>
            <w:vAlign w:val="bottom"/>
            <w:vMerge w:val="restart"/>
          </w:tcPr>
          <w:p>
            <w:pPr>
              <w:ind w:left="20"/>
              <w:spacing w:after="0"/>
              <w:rPr>
                <w:sz w:val="20"/>
                <w:szCs w:val="20"/>
                <w:color w:val="auto"/>
              </w:rPr>
            </w:pPr>
            <w:r>
              <w:rPr>
                <w:rFonts w:ascii="Arial" w:cs="Arial" w:eastAsia="Arial" w:hAnsi="Arial"/>
                <w:sz w:val="16"/>
                <w:szCs w:val="16"/>
                <w:color w:val="212529"/>
              </w:rPr>
              <w:t>averaging the mean ratings from three measures: overall</w:t>
            </w:r>
          </w:p>
        </w:tc>
        <w:tc>
          <w:tcPr>
            <w:tcW w:w="800" w:type="dxa"/>
            <w:vAlign w:val="bottom"/>
            <w:vMerge w:val="continue"/>
          </w:tcPr>
          <w:p>
            <w:pPr>
              <w:spacing w:after="0"/>
              <w:rPr>
                <w:sz w:val="9"/>
                <w:szCs w:val="9"/>
                <w:color w:val="auto"/>
              </w:rPr>
            </w:pPr>
          </w:p>
        </w:tc>
        <w:tc>
          <w:tcPr>
            <w:tcW w:w="3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360" w:type="dxa"/>
            <w:vAlign w:val="bottom"/>
          </w:tcPr>
          <w:p>
            <w:pPr>
              <w:spacing w:after="0"/>
              <w:rPr>
                <w:sz w:val="9"/>
                <w:szCs w:val="9"/>
                <w:color w:val="auto"/>
              </w:rPr>
            </w:pPr>
          </w:p>
        </w:tc>
        <w:tc>
          <w:tcPr>
            <w:tcW w:w="480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3860" w:type="dxa"/>
            <w:vAlign w:val="bottom"/>
            <w:vMerge w:val="restart"/>
          </w:tcPr>
          <w:p>
            <w:pPr>
              <w:ind w:left="300"/>
              <w:spacing w:after="0"/>
              <w:rPr>
                <w:sz w:val="20"/>
                <w:szCs w:val="20"/>
                <w:color w:val="auto"/>
              </w:rPr>
            </w:pPr>
            <w:r>
              <w:rPr>
                <w:rFonts w:ascii="Arial" w:cs="Arial" w:eastAsia="Arial" w:hAnsi="Arial"/>
                <w:sz w:val="16"/>
                <w:szCs w:val="16"/>
                <w:color w:val="212529"/>
              </w:rPr>
              <w:t>service.</w:t>
            </w:r>
          </w:p>
        </w:tc>
        <w:tc>
          <w:tcPr>
            <w:tcW w:w="0" w:type="dxa"/>
            <w:vAlign w:val="bottom"/>
          </w:tcPr>
          <w:p>
            <w:pPr>
              <w:spacing w:after="0"/>
              <w:rPr>
                <w:sz w:val="1"/>
                <w:szCs w:val="1"/>
                <w:color w:val="auto"/>
              </w:rPr>
            </w:pPr>
          </w:p>
        </w:tc>
      </w:tr>
      <w:tr>
        <w:trPr>
          <w:trHeight w:val="108"/>
        </w:trPr>
        <w:tc>
          <w:tcPr>
            <w:tcW w:w="1360" w:type="dxa"/>
            <w:vAlign w:val="bottom"/>
          </w:tcPr>
          <w:p>
            <w:pPr>
              <w:spacing w:after="0"/>
              <w:rPr>
                <w:sz w:val="9"/>
                <w:szCs w:val="9"/>
                <w:color w:val="auto"/>
              </w:rPr>
            </w:pPr>
          </w:p>
        </w:tc>
        <w:tc>
          <w:tcPr>
            <w:tcW w:w="4800" w:type="dxa"/>
            <w:vAlign w:val="bottom"/>
            <w:vMerge w:val="restart"/>
          </w:tcPr>
          <w:p>
            <w:pPr>
              <w:ind w:left="20"/>
              <w:spacing w:after="0"/>
              <w:rPr>
                <w:sz w:val="20"/>
                <w:szCs w:val="20"/>
                <w:color w:val="auto"/>
              </w:rPr>
            </w:pPr>
            <w:r>
              <w:rPr>
                <w:rFonts w:ascii="Arial" w:cs="Arial" w:eastAsia="Arial" w:hAnsi="Arial"/>
                <w:sz w:val="16"/>
                <w:szCs w:val="16"/>
                <w:color w:val="212529"/>
              </w:rPr>
              <w:t>satisfaction, meeting expectations and overall favorability.</w:t>
            </w:r>
          </w:p>
        </w:tc>
        <w:tc>
          <w:tcPr>
            <w:tcW w:w="800" w:type="dxa"/>
            <w:vAlign w:val="bottom"/>
          </w:tcPr>
          <w:p>
            <w:pPr>
              <w:spacing w:after="0"/>
              <w:rPr>
                <w:sz w:val="9"/>
                <w:szCs w:val="9"/>
                <w:color w:val="auto"/>
              </w:rPr>
            </w:pPr>
          </w:p>
        </w:tc>
        <w:tc>
          <w:tcPr>
            <w:tcW w:w="3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60" w:type="dxa"/>
            <w:vAlign w:val="bottom"/>
          </w:tcPr>
          <w:p>
            <w:pPr>
              <w:spacing w:after="0"/>
              <w:rPr>
                <w:sz w:val="9"/>
                <w:szCs w:val="9"/>
                <w:color w:val="auto"/>
              </w:rPr>
            </w:pPr>
          </w:p>
        </w:tc>
        <w:tc>
          <w:tcPr>
            <w:tcW w:w="480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360" w:type="dxa"/>
            <w:vAlign w:val="bottom"/>
            <w:tcBorders>
              <w:bottom w:val="single" w:sz="8" w:color="949599"/>
            </w:tcBorders>
          </w:tcPr>
          <w:p>
            <w:pPr>
              <w:spacing w:after="0"/>
              <w:rPr>
                <w:sz w:val="10"/>
                <w:szCs w:val="10"/>
                <w:color w:val="auto"/>
              </w:rPr>
            </w:pPr>
          </w:p>
        </w:tc>
        <w:tc>
          <w:tcPr>
            <w:tcW w:w="4800" w:type="dxa"/>
            <w:vAlign w:val="bottom"/>
            <w:tcBorders>
              <w:bottom w:val="single" w:sz="8" w:color="949599"/>
            </w:tcBorders>
          </w:tcPr>
          <w:p>
            <w:pPr>
              <w:spacing w:after="0"/>
              <w:rPr>
                <w:sz w:val="10"/>
                <w:szCs w:val="10"/>
                <w:color w:val="auto"/>
              </w:rPr>
            </w:pPr>
          </w:p>
        </w:tc>
        <w:tc>
          <w:tcPr>
            <w:tcW w:w="800" w:type="dxa"/>
            <w:vAlign w:val="bottom"/>
            <w:tcBorders>
              <w:bottom w:val="single" w:sz="8" w:color="949599"/>
            </w:tcBorders>
          </w:tcPr>
          <w:p>
            <w:pPr>
              <w:spacing w:after="0"/>
              <w:rPr>
                <w:sz w:val="10"/>
                <w:szCs w:val="10"/>
                <w:color w:val="auto"/>
              </w:rPr>
            </w:pPr>
          </w:p>
        </w:tc>
        <w:tc>
          <w:tcPr>
            <w:tcW w:w="3860" w:type="dxa"/>
            <w:vAlign w:val="bottom"/>
            <w:tcBorders>
              <w:bottom w:val="single" w:sz="8" w:color="949599"/>
            </w:tcBorders>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1360" w:type="dxa"/>
            <w:vAlign w:val="bottom"/>
            <w:shd w:val="clear" w:color="auto" w:fill="E8E7EA"/>
          </w:tcPr>
          <w:p>
            <w:pPr>
              <w:spacing w:after="0"/>
              <w:rPr>
                <w:sz w:val="18"/>
                <w:szCs w:val="18"/>
                <w:color w:val="auto"/>
              </w:rPr>
            </w:pPr>
          </w:p>
        </w:tc>
        <w:tc>
          <w:tcPr>
            <w:tcW w:w="4800" w:type="dxa"/>
            <w:vAlign w:val="bottom"/>
            <w:shd w:val="clear" w:color="auto" w:fill="E8E7EA"/>
          </w:tcPr>
          <w:p>
            <w:pPr>
              <w:ind w:left="20"/>
              <w:spacing w:after="0"/>
              <w:rPr>
                <w:sz w:val="20"/>
                <w:szCs w:val="20"/>
                <w:color w:val="auto"/>
              </w:rPr>
            </w:pPr>
            <w:r>
              <w:rPr>
                <w:rFonts w:ascii="Arial" w:cs="Arial" w:eastAsia="Arial" w:hAnsi="Arial"/>
                <w:sz w:val="16"/>
                <w:szCs w:val="16"/>
                <w:b w:val="1"/>
                <w:bCs w:val="1"/>
                <w:color w:val="6E06C1"/>
              </w:rPr>
              <w:t>Responsible Business Modifier</w:t>
            </w:r>
          </w:p>
        </w:tc>
        <w:tc>
          <w:tcPr>
            <w:tcW w:w="800" w:type="dxa"/>
            <w:vAlign w:val="bottom"/>
            <w:shd w:val="clear" w:color="auto" w:fill="E8E7EA"/>
          </w:tcPr>
          <w:p>
            <w:pPr>
              <w:spacing w:after="0"/>
              <w:rPr>
                <w:sz w:val="18"/>
                <w:szCs w:val="18"/>
                <w:color w:val="auto"/>
              </w:rPr>
            </w:pPr>
          </w:p>
        </w:tc>
        <w:tc>
          <w:tcPr>
            <w:tcW w:w="3860" w:type="dxa"/>
            <w:vAlign w:val="bottom"/>
            <w:shd w:val="clear" w:color="auto" w:fill="E8E7EA"/>
          </w:tcPr>
          <w:p>
            <w:pPr>
              <w:ind w:left="300"/>
              <w:spacing w:after="0"/>
              <w:rPr>
                <w:sz w:val="20"/>
                <w:szCs w:val="20"/>
                <w:color w:val="auto"/>
              </w:rPr>
            </w:pPr>
            <w:r>
              <w:rPr>
                <w:rFonts w:ascii="Arial" w:cs="Arial" w:eastAsia="Arial" w:hAnsi="Arial"/>
                <w:sz w:val="16"/>
                <w:szCs w:val="16"/>
                <w:color w:val="212529"/>
              </w:rPr>
              <w:t>Supports commitment to sustainability, and</w:t>
            </w:r>
          </w:p>
        </w:tc>
        <w:tc>
          <w:tcPr>
            <w:tcW w:w="0" w:type="dxa"/>
            <w:vAlign w:val="bottom"/>
          </w:tcPr>
          <w:p>
            <w:pPr>
              <w:spacing w:after="0"/>
              <w:rPr>
                <w:sz w:val="1"/>
                <w:szCs w:val="1"/>
                <w:color w:val="auto"/>
              </w:rPr>
            </w:pPr>
          </w:p>
        </w:tc>
      </w:tr>
      <w:tr>
        <w:trPr>
          <w:trHeight w:val="215"/>
        </w:trPr>
        <w:tc>
          <w:tcPr>
            <w:tcW w:w="1360" w:type="dxa"/>
            <w:vAlign w:val="bottom"/>
            <w:vMerge w:val="restart"/>
            <w:shd w:val="clear" w:color="auto" w:fill="E8E7EA"/>
          </w:tcPr>
          <w:p>
            <w:pPr>
              <w:ind w:left="20"/>
              <w:spacing w:after="0"/>
              <w:rPr>
                <w:sz w:val="20"/>
                <w:szCs w:val="20"/>
                <w:color w:val="auto"/>
              </w:rPr>
            </w:pPr>
            <w:r>
              <w:rPr>
                <w:rFonts w:ascii="Arial" w:cs="Arial" w:eastAsia="Arial" w:hAnsi="Arial"/>
                <w:sz w:val="16"/>
                <w:szCs w:val="16"/>
                <w:b w:val="1"/>
                <w:bCs w:val="1"/>
                <w:color w:val="6E06C1"/>
              </w:rPr>
              <w:t>Modifier (±10%)</w:t>
            </w:r>
          </w:p>
        </w:tc>
        <w:tc>
          <w:tcPr>
            <w:tcW w:w="4800" w:type="dxa"/>
            <w:vAlign w:val="bottom"/>
            <w:shd w:val="clear" w:color="auto" w:fill="E8E7EA"/>
          </w:tcPr>
          <w:p>
            <w:pPr>
              <w:ind w:left="20"/>
              <w:spacing w:after="0"/>
              <w:rPr>
                <w:sz w:val="20"/>
                <w:szCs w:val="20"/>
                <w:color w:val="auto"/>
              </w:rPr>
            </w:pPr>
            <w:r>
              <w:rPr>
                <w:rFonts w:ascii="Arial" w:cs="Arial" w:eastAsia="Arial" w:hAnsi="Arial"/>
                <w:sz w:val="16"/>
                <w:szCs w:val="16"/>
                <w:color w:val="auto"/>
              </w:rPr>
              <w:t>Based on outcomes from environmental and social measures</w:t>
            </w:r>
          </w:p>
        </w:tc>
        <w:tc>
          <w:tcPr>
            <w:tcW w:w="800" w:type="dxa"/>
            <w:vAlign w:val="bottom"/>
            <w:vMerge w:val="restart"/>
            <w:shd w:val="clear" w:color="auto" w:fill="E8E7EA"/>
          </w:tcPr>
          <w:p>
            <w:pPr>
              <w:ind w:left="80"/>
              <w:spacing w:after="0"/>
              <w:rPr>
                <w:sz w:val="20"/>
                <w:szCs w:val="20"/>
                <w:color w:val="auto"/>
              </w:rPr>
            </w:pPr>
            <w:r>
              <w:rPr>
                <w:rFonts w:ascii="Arial" w:cs="Arial" w:eastAsia="Arial" w:hAnsi="Arial"/>
                <w:sz w:val="16"/>
                <w:szCs w:val="16"/>
                <w:b w:val="1"/>
                <w:bCs w:val="1"/>
                <w:color w:val="6E06C1"/>
              </w:rPr>
              <w:t>±10%</w:t>
            </w:r>
          </w:p>
        </w:tc>
        <w:tc>
          <w:tcPr>
            <w:tcW w:w="3860" w:type="dxa"/>
            <w:vAlign w:val="bottom"/>
            <w:shd w:val="clear" w:color="auto" w:fill="E8E7EA"/>
          </w:tcPr>
          <w:p>
            <w:pPr>
              <w:ind w:left="300"/>
              <w:spacing w:after="0"/>
              <w:rPr>
                <w:sz w:val="20"/>
                <w:szCs w:val="20"/>
                <w:color w:val="auto"/>
              </w:rPr>
            </w:pPr>
            <w:r>
              <w:rPr>
                <w:rFonts w:ascii="Arial" w:cs="Arial" w:eastAsia="Arial" w:hAnsi="Arial"/>
                <w:sz w:val="16"/>
                <w:szCs w:val="16"/>
                <w:color w:val="212529"/>
              </w:rPr>
              <w:t>measures directly aligned to the communities</w:t>
            </w:r>
          </w:p>
        </w:tc>
        <w:tc>
          <w:tcPr>
            <w:tcW w:w="0" w:type="dxa"/>
            <w:vAlign w:val="bottom"/>
          </w:tcPr>
          <w:p>
            <w:pPr>
              <w:spacing w:after="0"/>
              <w:rPr>
                <w:sz w:val="1"/>
                <w:szCs w:val="1"/>
                <w:color w:val="auto"/>
              </w:rPr>
            </w:pPr>
          </w:p>
        </w:tc>
      </w:tr>
      <w:tr>
        <w:trPr>
          <w:trHeight w:val="216"/>
        </w:trPr>
        <w:tc>
          <w:tcPr>
            <w:tcW w:w="1360" w:type="dxa"/>
            <w:vAlign w:val="bottom"/>
            <w:vMerge w:val="continue"/>
            <w:shd w:val="clear" w:color="auto" w:fill="E8E7EA"/>
          </w:tcPr>
          <w:p>
            <w:pPr>
              <w:spacing w:after="0"/>
              <w:rPr>
                <w:sz w:val="18"/>
                <w:szCs w:val="18"/>
                <w:color w:val="auto"/>
              </w:rPr>
            </w:pPr>
          </w:p>
        </w:tc>
        <w:tc>
          <w:tcPr>
            <w:tcW w:w="4800" w:type="dxa"/>
            <w:vAlign w:val="bottom"/>
            <w:shd w:val="clear" w:color="auto" w:fill="E8E7EA"/>
          </w:tcPr>
          <w:p>
            <w:pPr>
              <w:ind w:left="20"/>
              <w:spacing w:after="0"/>
              <w:rPr>
                <w:sz w:val="20"/>
                <w:szCs w:val="20"/>
                <w:color w:val="auto"/>
              </w:rPr>
            </w:pPr>
            <w:r>
              <w:rPr>
                <w:rFonts w:ascii="Arial" w:cs="Arial" w:eastAsia="Arial" w:hAnsi="Arial"/>
                <w:sz w:val="16"/>
                <w:szCs w:val="16"/>
                <w:color w:val="auto"/>
              </w:rPr>
              <w:t>directly aligned to Exelon’s progress on its Path to Clean and</w:t>
            </w:r>
          </w:p>
        </w:tc>
        <w:tc>
          <w:tcPr>
            <w:tcW w:w="800" w:type="dxa"/>
            <w:vAlign w:val="bottom"/>
            <w:vMerge w:val="continue"/>
            <w:shd w:val="clear" w:color="auto" w:fill="E8E7EA"/>
          </w:tcPr>
          <w:p>
            <w:pPr>
              <w:spacing w:after="0"/>
              <w:rPr>
                <w:sz w:val="18"/>
                <w:szCs w:val="18"/>
                <w:color w:val="auto"/>
              </w:rPr>
            </w:pPr>
          </w:p>
        </w:tc>
        <w:tc>
          <w:tcPr>
            <w:tcW w:w="3860" w:type="dxa"/>
            <w:vAlign w:val="bottom"/>
            <w:shd w:val="clear" w:color="auto" w:fill="E8E7EA"/>
          </w:tcPr>
          <w:p>
            <w:pPr>
              <w:ind w:left="300"/>
              <w:spacing w:after="0"/>
              <w:rPr>
                <w:sz w:val="20"/>
                <w:szCs w:val="20"/>
                <w:color w:val="auto"/>
              </w:rPr>
            </w:pPr>
            <w:r>
              <w:rPr>
                <w:rFonts w:ascii="Arial" w:cs="Arial" w:eastAsia="Arial" w:hAnsi="Arial"/>
                <w:sz w:val="16"/>
                <w:szCs w:val="16"/>
                <w:color w:val="212529"/>
              </w:rPr>
              <w:t>that Exelon serves, our employees, and external</w:t>
            </w:r>
          </w:p>
        </w:tc>
        <w:tc>
          <w:tcPr>
            <w:tcW w:w="0" w:type="dxa"/>
            <w:vAlign w:val="bottom"/>
          </w:tcPr>
          <w:p>
            <w:pPr>
              <w:spacing w:after="0"/>
              <w:rPr>
                <w:sz w:val="1"/>
                <w:szCs w:val="1"/>
                <w:color w:val="auto"/>
              </w:rPr>
            </w:pPr>
          </w:p>
        </w:tc>
      </w:tr>
      <w:tr>
        <w:trPr>
          <w:trHeight w:val="216"/>
        </w:trPr>
        <w:tc>
          <w:tcPr>
            <w:tcW w:w="1360" w:type="dxa"/>
            <w:vAlign w:val="bottom"/>
            <w:shd w:val="clear" w:color="auto" w:fill="E8E7EA"/>
          </w:tcPr>
          <w:p>
            <w:pPr>
              <w:spacing w:after="0"/>
              <w:rPr>
                <w:sz w:val="18"/>
                <w:szCs w:val="18"/>
                <w:color w:val="auto"/>
              </w:rPr>
            </w:pPr>
          </w:p>
        </w:tc>
        <w:tc>
          <w:tcPr>
            <w:tcW w:w="4800" w:type="dxa"/>
            <w:vAlign w:val="bottom"/>
            <w:shd w:val="clear" w:color="auto" w:fill="E8E7EA"/>
          </w:tcPr>
          <w:p>
            <w:pPr>
              <w:ind w:left="20"/>
              <w:spacing w:after="0"/>
              <w:rPr>
                <w:sz w:val="20"/>
                <w:szCs w:val="20"/>
                <w:color w:val="auto"/>
              </w:rPr>
            </w:pPr>
            <w:r>
              <w:rPr>
                <w:rFonts w:ascii="Arial" w:cs="Arial" w:eastAsia="Arial" w:hAnsi="Arial"/>
                <w:sz w:val="16"/>
                <w:szCs w:val="16"/>
                <w:color w:val="auto"/>
              </w:rPr>
              <w:t>Diversity, Equity, and Inclusion goals.</w:t>
            </w:r>
          </w:p>
        </w:tc>
        <w:tc>
          <w:tcPr>
            <w:tcW w:w="800" w:type="dxa"/>
            <w:vAlign w:val="bottom"/>
            <w:shd w:val="clear" w:color="auto" w:fill="E8E7EA"/>
          </w:tcPr>
          <w:p>
            <w:pPr>
              <w:spacing w:after="0"/>
              <w:rPr>
                <w:sz w:val="18"/>
                <w:szCs w:val="18"/>
                <w:color w:val="auto"/>
              </w:rPr>
            </w:pPr>
          </w:p>
        </w:tc>
        <w:tc>
          <w:tcPr>
            <w:tcW w:w="3860" w:type="dxa"/>
            <w:vAlign w:val="bottom"/>
            <w:shd w:val="clear" w:color="auto" w:fill="E8E7EA"/>
          </w:tcPr>
          <w:p>
            <w:pPr>
              <w:ind w:left="300"/>
              <w:spacing w:after="0"/>
              <w:rPr>
                <w:sz w:val="20"/>
                <w:szCs w:val="20"/>
                <w:color w:val="auto"/>
              </w:rPr>
            </w:pPr>
            <w:r>
              <w:rPr>
                <w:rFonts w:ascii="Arial" w:cs="Arial" w:eastAsia="Arial" w:hAnsi="Arial"/>
                <w:sz w:val="16"/>
                <w:szCs w:val="16"/>
                <w:color w:val="212529"/>
              </w:rPr>
              <w:t>stakeholders</w:t>
            </w:r>
          </w:p>
        </w:tc>
        <w:tc>
          <w:tcPr>
            <w:tcW w:w="0" w:type="dxa"/>
            <w:vAlign w:val="bottom"/>
          </w:tcPr>
          <w:p>
            <w:pPr>
              <w:spacing w:after="0"/>
              <w:rPr>
                <w:sz w:val="1"/>
                <w:szCs w:val="1"/>
                <w:color w:val="auto"/>
              </w:rPr>
            </w:pPr>
          </w:p>
        </w:tc>
      </w:tr>
      <w:tr>
        <w:trPr>
          <w:trHeight w:val="29"/>
        </w:trPr>
        <w:tc>
          <w:tcPr>
            <w:tcW w:w="1360" w:type="dxa"/>
            <w:vAlign w:val="bottom"/>
            <w:shd w:val="clear" w:color="auto" w:fill="E8E7EA"/>
          </w:tcPr>
          <w:p>
            <w:pPr>
              <w:spacing w:after="0"/>
              <w:rPr>
                <w:sz w:val="2"/>
                <w:szCs w:val="2"/>
                <w:color w:val="auto"/>
              </w:rPr>
            </w:pPr>
          </w:p>
        </w:tc>
        <w:tc>
          <w:tcPr>
            <w:tcW w:w="4800" w:type="dxa"/>
            <w:vAlign w:val="bottom"/>
            <w:shd w:val="clear" w:color="auto" w:fill="E8E7EA"/>
          </w:tcPr>
          <w:p>
            <w:pPr>
              <w:spacing w:after="0"/>
              <w:rPr>
                <w:sz w:val="2"/>
                <w:szCs w:val="2"/>
                <w:color w:val="auto"/>
              </w:rPr>
            </w:pPr>
          </w:p>
        </w:tc>
        <w:tc>
          <w:tcPr>
            <w:tcW w:w="800" w:type="dxa"/>
            <w:vAlign w:val="bottom"/>
            <w:shd w:val="clear" w:color="auto" w:fill="E8E7EA"/>
          </w:tcPr>
          <w:p>
            <w:pPr>
              <w:spacing w:after="0"/>
              <w:rPr>
                <w:sz w:val="2"/>
                <w:szCs w:val="2"/>
                <w:color w:val="auto"/>
              </w:rPr>
            </w:pPr>
          </w:p>
        </w:tc>
        <w:tc>
          <w:tcPr>
            <w:tcW w:w="3860" w:type="dxa"/>
            <w:vAlign w:val="bottom"/>
            <w:shd w:val="clear" w:color="auto" w:fill="E8E7EA"/>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80" w:hanging="454"/>
        <w:spacing w:after="0"/>
        <w:tabs>
          <w:tab w:leader="none" w:pos="480" w:val="left"/>
        </w:tabs>
        <w:numPr>
          <w:ilvl w:val="0"/>
          <w:numId w:val="11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4" w:name="page55"/>
    <w:bookmarkEnd w:id="54"/>
    <w:p>
      <w:pPr>
        <w:jc w:val="right"/>
        <w:spacing w:after="0"/>
        <w:rPr>
          <w:sz w:val="20"/>
          <w:szCs w:val="20"/>
          <w:color w:val="auto"/>
        </w:rPr>
      </w:pPr>
      <w:r>
        <w:rPr>
          <w:rFonts w:ascii="Arial" w:cs="Arial" w:eastAsia="Arial" w:hAnsi="Arial"/>
          <w:sz w:val="13"/>
          <w:szCs w:val="13"/>
          <w:b w:val="1"/>
          <w:bCs w:val="1"/>
          <w:color w:val="auto"/>
        </w:rPr>
        <w:t>Compensation Discussion &amp; Analysis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AIP Goal Setting and Rigor</w:t>
      </w:r>
    </w:p>
    <w:p>
      <w:pPr>
        <w:spacing w:after="0" w:line="122"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auto"/>
        </w:rPr>
        <w:t>Exelon’s goal-setting process employs a multi-layered approach and analysis that incorporates a blend of objective and subjective business considerations and other analytical methods to ensure that the goals are sufficiently rigorous. Such considerations include:</w:t>
      </w:r>
    </w:p>
    <w:p>
      <w:pPr>
        <w:spacing w:after="0" w:line="48" w:lineRule="exact"/>
        <w:rPr>
          <w:sz w:val="20"/>
          <w:szCs w:val="20"/>
          <w:color w:val="auto"/>
        </w:rPr>
      </w:pPr>
    </w:p>
    <w:p>
      <w:pPr>
        <w:ind w:left="180" w:hanging="172"/>
        <w:spacing w:after="0"/>
        <w:tabs>
          <w:tab w:leader="none" w:pos="180" w:val="left"/>
        </w:tabs>
        <w:numPr>
          <w:ilvl w:val="0"/>
          <w:numId w:val="111"/>
        </w:numPr>
        <w:rPr>
          <w:rFonts w:ascii="Arial" w:cs="Arial" w:eastAsia="Arial" w:hAnsi="Arial"/>
          <w:sz w:val="16"/>
          <w:szCs w:val="16"/>
          <w:b w:val="1"/>
          <w:bCs w:val="1"/>
          <w:color w:val="170D67"/>
        </w:rPr>
      </w:pPr>
      <w:r>
        <w:rPr>
          <w:rFonts w:ascii="Arial" w:cs="Arial" w:eastAsia="Arial" w:hAnsi="Arial"/>
          <w:sz w:val="16"/>
          <w:szCs w:val="16"/>
          <w:b w:val="1"/>
          <w:bCs w:val="1"/>
          <w:color w:val="170D67"/>
        </w:rPr>
        <w:t xml:space="preserve">Recent History </w:t>
      </w:r>
      <w:r>
        <w:rPr>
          <w:rFonts w:ascii="Arial" w:cs="Arial" w:eastAsia="Arial" w:hAnsi="Arial"/>
          <w:sz w:val="16"/>
          <w:szCs w:val="16"/>
          <w:color w:val="000000"/>
        </w:rPr>
        <w:t>- Goals generally reflect a logical progression of results from the recent past</w:t>
      </w:r>
    </w:p>
    <w:p>
      <w:pPr>
        <w:spacing w:after="0" w:line="86" w:lineRule="exact"/>
        <w:rPr>
          <w:rFonts w:ascii="Arial" w:cs="Arial" w:eastAsia="Arial" w:hAnsi="Arial"/>
          <w:sz w:val="16"/>
          <w:szCs w:val="16"/>
          <w:b w:val="1"/>
          <w:bCs w:val="1"/>
          <w:color w:val="170D67"/>
        </w:rPr>
      </w:pPr>
    </w:p>
    <w:p>
      <w:pPr>
        <w:ind w:left="180" w:hanging="172"/>
        <w:spacing w:after="0"/>
        <w:tabs>
          <w:tab w:leader="none" w:pos="180" w:val="left"/>
        </w:tabs>
        <w:numPr>
          <w:ilvl w:val="0"/>
          <w:numId w:val="111"/>
        </w:numPr>
        <w:rPr>
          <w:rFonts w:ascii="Arial" w:cs="Arial" w:eastAsia="Arial" w:hAnsi="Arial"/>
          <w:sz w:val="16"/>
          <w:szCs w:val="16"/>
          <w:b w:val="1"/>
          <w:bCs w:val="1"/>
          <w:color w:val="170D67"/>
        </w:rPr>
      </w:pPr>
      <w:r>
        <w:rPr>
          <w:rFonts w:ascii="Arial" w:cs="Arial" w:eastAsia="Arial" w:hAnsi="Arial"/>
          <w:sz w:val="16"/>
          <w:szCs w:val="16"/>
          <w:b w:val="1"/>
          <w:bCs w:val="1"/>
          <w:color w:val="170D67"/>
        </w:rPr>
        <w:t xml:space="preserve">Relative Performance </w:t>
      </w:r>
      <w:r>
        <w:rPr>
          <w:rFonts w:ascii="Arial" w:cs="Arial" w:eastAsia="Arial" w:hAnsi="Arial"/>
          <w:sz w:val="16"/>
          <w:szCs w:val="16"/>
          <w:color w:val="000000"/>
        </w:rPr>
        <w:t>- Performance is evaluated against a relevant group of the Company’s peers</w:t>
      </w:r>
    </w:p>
    <w:p>
      <w:pPr>
        <w:spacing w:after="0" w:line="99" w:lineRule="exact"/>
        <w:rPr>
          <w:rFonts w:ascii="Arial" w:cs="Arial" w:eastAsia="Arial" w:hAnsi="Arial"/>
          <w:sz w:val="16"/>
          <w:szCs w:val="16"/>
          <w:b w:val="1"/>
          <w:bCs w:val="1"/>
          <w:color w:val="170D67"/>
        </w:rPr>
      </w:pPr>
    </w:p>
    <w:p>
      <w:pPr>
        <w:ind w:left="180" w:hanging="172"/>
        <w:spacing w:after="0"/>
        <w:tabs>
          <w:tab w:leader="none" w:pos="180" w:val="left"/>
        </w:tabs>
        <w:numPr>
          <w:ilvl w:val="0"/>
          <w:numId w:val="111"/>
        </w:numPr>
        <w:rPr>
          <w:rFonts w:ascii="Arial" w:cs="Arial" w:eastAsia="Arial" w:hAnsi="Arial"/>
          <w:sz w:val="16"/>
          <w:szCs w:val="16"/>
          <w:b w:val="1"/>
          <w:bCs w:val="1"/>
          <w:color w:val="170D67"/>
        </w:rPr>
      </w:pPr>
      <w:r>
        <w:rPr>
          <w:rFonts w:ascii="Arial" w:cs="Arial" w:eastAsia="Arial" w:hAnsi="Arial"/>
          <w:sz w:val="16"/>
          <w:szCs w:val="16"/>
          <w:b w:val="1"/>
          <w:bCs w:val="1"/>
          <w:color w:val="170D67"/>
        </w:rPr>
        <w:t xml:space="preserve">Shareholder Expectations </w:t>
      </w:r>
      <w:r>
        <w:rPr>
          <w:rFonts w:ascii="Arial" w:cs="Arial" w:eastAsia="Arial" w:hAnsi="Arial"/>
          <w:sz w:val="16"/>
          <w:szCs w:val="16"/>
          <w:color w:val="000000"/>
        </w:rPr>
        <w:t>- Goals are aligned with externally communicated financial guidance and shareholder expectations</w:t>
      </w:r>
    </w:p>
    <w:p>
      <w:pPr>
        <w:spacing w:after="0" w:line="99" w:lineRule="exact"/>
        <w:rPr>
          <w:rFonts w:ascii="Arial" w:cs="Arial" w:eastAsia="Arial" w:hAnsi="Arial"/>
          <w:sz w:val="16"/>
          <w:szCs w:val="16"/>
          <w:b w:val="1"/>
          <w:bCs w:val="1"/>
          <w:color w:val="170D67"/>
        </w:rPr>
      </w:pPr>
    </w:p>
    <w:p>
      <w:pPr>
        <w:ind w:left="180" w:hanging="172"/>
        <w:spacing w:after="0"/>
        <w:tabs>
          <w:tab w:leader="none" w:pos="180" w:val="left"/>
        </w:tabs>
        <w:numPr>
          <w:ilvl w:val="0"/>
          <w:numId w:val="111"/>
        </w:numPr>
        <w:rPr>
          <w:rFonts w:ascii="Arial" w:cs="Arial" w:eastAsia="Arial" w:hAnsi="Arial"/>
          <w:sz w:val="16"/>
          <w:szCs w:val="16"/>
          <w:b w:val="1"/>
          <w:bCs w:val="1"/>
          <w:color w:val="170D67"/>
        </w:rPr>
      </w:pPr>
      <w:r>
        <w:rPr>
          <w:rFonts w:ascii="Arial" w:cs="Arial" w:eastAsia="Arial" w:hAnsi="Arial"/>
          <w:sz w:val="16"/>
          <w:szCs w:val="16"/>
          <w:b w:val="1"/>
          <w:bCs w:val="1"/>
          <w:color w:val="170D67"/>
        </w:rPr>
        <w:t xml:space="preserve">Strategic Objectives </w:t>
      </w:r>
      <w:r>
        <w:rPr>
          <w:rFonts w:ascii="Arial" w:cs="Arial" w:eastAsia="Arial" w:hAnsi="Arial"/>
          <w:sz w:val="16"/>
          <w:szCs w:val="16"/>
          <w:color w:val="000000"/>
        </w:rPr>
        <w:t>- Near- and intermediate-term goals are aligned with long-term aspirations</w:t>
      </w:r>
    </w:p>
    <w:p>
      <w:pPr>
        <w:spacing w:after="0" w:line="99" w:lineRule="exact"/>
        <w:rPr>
          <w:rFonts w:ascii="Arial" w:cs="Arial" w:eastAsia="Arial" w:hAnsi="Arial"/>
          <w:sz w:val="16"/>
          <w:szCs w:val="16"/>
          <w:b w:val="1"/>
          <w:bCs w:val="1"/>
          <w:color w:val="170D67"/>
        </w:rPr>
      </w:pPr>
    </w:p>
    <w:p>
      <w:pPr>
        <w:ind w:left="180" w:hanging="172"/>
        <w:spacing w:after="0"/>
        <w:tabs>
          <w:tab w:leader="none" w:pos="180" w:val="left"/>
        </w:tabs>
        <w:numPr>
          <w:ilvl w:val="0"/>
          <w:numId w:val="111"/>
        </w:numPr>
        <w:rPr>
          <w:rFonts w:ascii="Arial" w:cs="Arial" w:eastAsia="Arial" w:hAnsi="Arial"/>
          <w:sz w:val="16"/>
          <w:szCs w:val="16"/>
          <w:b w:val="1"/>
          <w:bCs w:val="1"/>
          <w:color w:val="170D67"/>
        </w:rPr>
      </w:pPr>
      <w:r>
        <w:rPr>
          <w:rFonts w:ascii="Arial" w:cs="Arial" w:eastAsia="Arial" w:hAnsi="Arial"/>
          <w:sz w:val="16"/>
          <w:szCs w:val="16"/>
          <w:b w:val="1"/>
          <w:bCs w:val="1"/>
          <w:color w:val="170D67"/>
        </w:rPr>
        <w:t xml:space="preserve">Sustainable Sharing </w:t>
      </w:r>
      <w:r>
        <w:rPr>
          <w:rFonts w:ascii="Arial" w:cs="Arial" w:eastAsia="Arial" w:hAnsi="Arial"/>
          <w:sz w:val="16"/>
          <w:szCs w:val="16"/>
          <w:color w:val="000000"/>
        </w:rPr>
        <w:t>- Earned awards reflect a balance of shared benefits for shareholders and participants</w:t>
      </w:r>
    </w:p>
    <w:p>
      <w:pPr>
        <w:spacing w:after="0" w:line="14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TMCC annually reviews AIP components, targets, and payouts to ensure that they are challenging and are designed to mitigate excessive risk taking. The TMCC considers short- and long-term financial and operational results relative to our internal goals. Goals for the AIP, including adjusted (non-GAAP) operating EPS*, are set at the Committee’s first regular meeting of the year around the same time that Exelon provides full-year guidance for EPS and other key financial metrics. Each financial and operational goal includes “threshold,” “target,” and “distinguished” performance levels.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6E06C1"/>
        </w:rPr>
        <w:t>Financial Goals (60%)</w:t>
      </w:r>
    </w:p>
    <w:p>
      <w:pPr>
        <w:spacing w:after="0" w:line="127"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Building on past goal rigor, the TMCC set an adjusted (non-GAAP) operating EPS* AIP target for 2024 at $2.45, with a “distinguished” goal set significantly above the upper end of Exelon’s full-year EPS guidance. Exelon demonstrates rigorous goal setting by aligning the adjusted (non-GAAP) operating EPS* target at the mid-point (or higher) of the guidance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118745</wp:posOffset>
            </wp:positionV>
            <wp:extent cx="33655" cy="5480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3655" cy="548005"/>
                    </a:xfrm>
                    <a:prstGeom prst="rect">
                      <a:avLst/>
                    </a:prstGeom>
                    <a:noFill/>
                  </pic:spPr>
                </pic:pic>
              </a:graphicData>
            </a:graphic>
          </wp:anchor>
        </w:drawing>
      </w:r>
    </w:p>
    <w:p>
      <w:pPr>
        <w:spacing w:after="0" w:line="199"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3080" w:type="dxa"/>
            <w:vAlign w:val="bottom"/>
          </w:tcPr>
          <w:p>
            <w:pPr>
              <w:jc w:val="right"/>
              <w:ind w:right="159"/>
              <w:spacing w:after="0"/>
              <w:rPr>
                <w:sz w:val="20"/>
                <w:szCs w:val="20"/>
                <w:color w:val="auto"/>
              </w:rPr>
            </w:pPr>
            <w:r>
              <w:rPr>
                <w:rFonts w:ascii="Arial" w:cs="Arial" w:eastAsia="Arial" w:hAnsi="Arial"/>
                <w:sz w:val="16"/>
                <w:szCs w:val="16"/>
                <w:b w:val="1"/>
                <w:bCs w:val="1"/>
                <w:color w:val="170D67"/>
              </w:rPr>
              <w:t>2024 adjusted (non-GAAP) operating</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60" w:type="dxa"/>
            <w:vAlign w:val="bottom"/>
            <w:gridSpan w:val="2"/>
            <w:vMerge w:val="restart"/>
          </w:tcPr>
          <w:p>
            <w:pPr>
              <w:jc w:val="right"/>
              <w:ind w:right="1648"/>
              <w:spacing w:after="0"/>
              <w:rPr>
                <w:sz w:val="20"/>
                <w:szCs w:val="20"/>
                <w:color w:val="auto"/>
              </w:rPr>
            </w:pPr>
            <w:r>
              <w:rPr>
                <w:rFonts w:ascii="Arial" w:cs="Arial" w:eastAsia="Arial" w:hAnsi="Arial"/>
                <w:sz w:val="16"/>
                <w:szCs w:val="16"/>
                <w:b w:val="1"/>
                <w:bCs w:val="1"/>
                <w:color w:val="170D67"/>
              </w:rPr>
              <w:t>$2.40</w:t>
            </w:r>
          </w:p>
        </w:tc>
        <w:tc>
          <w:tcPr>
            <w:tcW w:w="1360" w:type="dxa"/>
            <w:vAlign w:val="bottom"/>
            <w:vMerge w:val="restart"/>
          </w:tcPr>
          <w:p>
            <w:pPr>
              <w:jc w:val="right"/>
              <w:ind w:right="445"/>
              <w:spacing w:after="0"/>
              <w:rPr>
                <w:sz w:val="20"/>
                <w:szCs w:val="20"/>
                <w:color w:val="auto"/>
              </w:rPr>
            </w:pPr>
            <w:r>
              <w:rPr>
                <w:rFonts w:ascii="Arial" w:cs="Arial" w:eastAsia="Arial" w:hAnsi="Arial"/>
                <w:sz w:val="16"/>
                <w:szCs w:val="16"/>
                <w:b w:val="1"/>
                <w:bCs w:val="1"/>
                <w:color w:val="170D67"/>
              </w:rPr>
              <w:t>$2.50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30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170D67"/>
              </w:rPr>
              <w:t>earnings guidance:</w:t>
            </w: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08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0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3A5CFF"/>
              </w:rPr>
              <w:t>AIP Targets:</w:t>
            </w:r>
          </w:p>
        </w:tc>
        <w:tc>
          <w:tcPr>
            <w:tcW w:w="9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Borders>
              <w:bottom w:val="single" w:sz="8" w:color="170D67"/>
            </w:tcBorders>
          </w:tcPr>
          <w:p>
            <w:pPr>
              <w:spacing w:after="0" w:line="20" w:lineRule="exact"/>
              <w:rPr>
                <w:sz w:val="1"/>
                <w:szCs w:val="1"/>
                <w:color w:val="auto"/>
              </w:rPr>
            </w:pPr>
          </w:p>
        </w:tc>
        <w:tc>
          <w:tcPr>
            <w:tcW w:w="1360" w:type="dxa"/>
            <w:vAlign w:val="bottom"/>
            <w:tcBorders>
              <w:bottom w:val="single" w:sz="8" w:color="170D67"/>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8"/>
        </w:trPr>
        <w:tc>
          <w:tcPr>
            <w:tcW w:w="30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Borders>
              <w:bottom w:val="single" w:sz="8" w:color="3A5CFF"/>
            </w:tcBorders>
          </w:tcPr>
          <w:p>
            <w:pPr>
              <w:spacing w:after="0"/>
              <w:rPr>
                <w:sz w:val="24"/>
                <w:szCs w:val="24"/>
                <w:color w:val="auto"/>
              </w:rPr>
            </w:pPr>
          </w:p>
        </w:tc>
        <w:tc>
          <w:tcPr>
            <w:tcW w:w="420" w:type="dxa"/>
            <w:vAlign w:val="bottom"/>
            <w:tcBorders>
              <w:bottom w:val="single" w:sz="8" w:color="3A5CFF"/>
            </w:tcBorders>
          </w:tcPr>
          <w:p>
            <w:pPr>
              <w:spacing w:after="0"/>
              <w:rPr>
                <w:sz w:val="24"/>
                <w:szCs w:val="24"/>
                <w:color w:val="auto"/>
              </w:rPr>
            </w:pPr>
          </w:p>
        </w:tc>
        <w:tc>
          <w:tcPr>
            <w:tcW w:w="1740" w:type="dxa"/>
            <w:vAlign w:val="bottom"/>
            <w:tcBorders>
              <w:bottom w:val="single" w:sz="8" w:color="3A5CFF"/>
            </w:tcBorders>
          </w:tcPr>
          <w:p>
            <w:pPr>
              <w:spacing w:after="0"/>
              <w:rPr>
                <w:sz w:val="24"/>
                <w:szCs w:val="24"/>
                <w:color w:val="auto"/>
              </w:rPr>
            </w:pPr>
          </w:p>
        </w:tc>
        <w:tc>
          <w:tcPr>
            <w:tcW w:w="1360" w:type="dxa"/>
            <w:vAlign w:val="bottom"/>
            <w:tcBorders>
              <w:bottom w:val="single" w:sz="8" w:color="3A5CFF"/>
            </w:tcBorders>
          </w:tcPr>
          <w:p>
            <w:pPr>
              <w:spacing w:after="0"/>
              <w:rPr>
                <w:sz w:val="24"/>
                <w:szCs w:val="24"/>
                <w:color w:val="auto"/>
              </w:rPr>
            </w:pPr>
          </w:p>
        </w:tc>
        <w:tc>
          <w:tcPr>
            <w:tcW w:w="900" w:type="dxa"/>
            <w:vAlign w:val="bottom"/>
            <w:tcBorders>
              <w:bottom w:val="single" w:sz="8" w:color="3A5CFF"/>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080" w:type="dxa"/>
            <w:vAlign w:val="bottom"/>
            <w:vMerge w:val="continue"/>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3A5CFF"/>
              </w:rPr>
              <w:t>$2.33</w:t>
            </w:r>
          </w:p>
        </w:tc>
        <w:tc>
          <w:tcPr>
            <w:tcW w:w="2160" w:type="dxa"/>
            <w:vAlign w:val="bottom"/>
            <w:gridSpan w:val="2"/>
          </w:tcPr>
          <w:p>
            <w:pPr>
              <w:ind w:left="1320"/>
              <w:spacing w:after="0"/>
              <w:rPr>
                <w:sz w:val="20"/>
                <w:szCs w:val="20"/>
                <w:color w:val="auto"/>
              </w:rPr>
            </w:pPr>
            <w:r>
              <w:rPr>
                <w:rFonts w:ascii="Arial" w:cs="Arial" w:eastAsia="Arial" w:hAnsi="Arial"/>
                <w:sz w:val="16"/>
                <w:szCs w:val="16"/>
                <w:b w:val="1"/>
                <w:bCs w:val="1"/>
                <w:color w:val="3A5CFF"/>
              </w:rPr>
              <w:t>$2.45</w:t>
            </w:r>
          </w:p>
        </w:tc>
        <w:tc>
          <w:tcPr>
            <w:tcW w:w="22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3A5CFF"/>
              </w:rPr>
              <w:t>$2.57</w:t>
            </w:r>
          </w:p>
        </w:tc>
        <w:tc>
          <w:tcPr>
            <w:tcW w:w="0" w:type="dxa"/>
            <w:vAlign w:val="bottom"/>
          </w:tcPr>
          <w:p>
            <w:pPr>
              <w:spacing w:after="0"/>
              <w:rPr>
                <w:sz w:val="1"/>
                <w:szCs w:val="1"/>
                <w:color w:val="auto"/>
              </w:rPr>
            </w:pPr>
          </w:p>
        </w:tc>
      </w:tr>
      <w:tr>
        <w:trPr>
          <w:trHeight w:val="217"/>
        </w:trPr>
        <w:tc>
          <w:tcPr>
            <w:tcW w:w="3080" w:type="dxa"/>
            <w:vAlign w:val="bottom"/>
          </w:tcPr>
          <w:p>
            <w:pPr>
              <w:spacing w:after="0"/>
              <w:rPr>
                <w:sz w:val="18"/>
                <w:szCs w:val="18"/>
                <w:color w:val="auto"/>
              </w:rPr>
            </w:pPr>
          </w:p>
        </w:tc>
        <w:tc>
          <w:tcPr>
            <w:tcW w:w="920" w:type="dxa"/>
            <w:vAlign w:val="bottom"/>
            <w:gridSpan w:val="2"/>
          </w:tcPr>
          <w:p>
            <w:pPr>
              <w:jc w:val="center"/>
              <w:ind w:left="128"/>
              <w:spacing w:after="0"/>
              <w:rPr>
                <w:sz w:val="20"/>
                <w:szCs w:val="20"/>
                <w:color w:val="auto"/>
              </w:rPr>
            </w:pPr>
            <w:r>
              <w:rPr>
                <w:rFonts w:ascii="Arial" w:cs="Arial" w:eastAsia="Arial" w:hAnsi="Arial"/>
                <w:sz w:val="14"/>
                <w:szCs w:val="14"/>
                <w:color w:val="3A5CFF"/>
              </w:rPr>
              <w:t>Threshold</w:t>
            </w:r>
          </w:p>
        </w:tc>
        <w:tc>
          <w:tcPr>
            <w:tcW w:w="420" w:type="dxa"/>
            <w:vAlign w:val="bottom"/>
          </w:tcPr>
          <w:p>
            <w:pPr>
              <w:spacing w:after="0"/>
              <w:rPr>
                <w:sz w:val="18"/>
                <w:szCs w:val="18"/>
                <w:color w:val="auto"/>
              </w:rPr>
            </w:pPr>
          </w:p>
        </w:tc>
        <w:tc>
          <w:tcPr>
            <w:tcW w:w="1740" w:type="dxa"/>
            <w:vAlign w:val="bottom"/>
          </w:tcPr>
          <w:p>
            <w:pPr>
              <w:ind w:left="900"/>
              <w:spacing w:after="0"/>
              <w:rPr>
                <w:sz w:val="20"/>
                <w:szCs w:val="20"/>
                <w:color w:val="auto"/>
              </w:rPr>
            </w:pPr>
            <w:r>
              <w:rPr>
                <w:rFonts w:ascii="Arial" w:cs="Arial" w:eastAsia="Arial" w:hAnsi="Arial"/>
                <w:sz w:val="14"/>
                <w:szCs w:val="14"/>
                <w:color w:val="3A5CFF"/>
              </w:rPr>
              <w:t>Target</w:t>
            </w:r>
          </w:p>
        </w:tc>
        <w:tc>
          <w:tcPr>
            <w:tcW w:w="2260" w:type="dxa"/>
            <w:vAlign w:val="bottom"/>
            <w:gridSpan w:val="2"/>
          </w:tcPr>
          <w:p>
            <w:pPr>
              <w:jc w:val="center"/>
              <w:ind w:left="385"/>
              <w:spacing w:after="0"/>
              <w:rPr>
                <w:sz w:val="20"/>
                <w:szCs w:val="20"/>
                <w:color w:val="auto"/>
              </w:rPr>
            </w:pPr>
            <w:r>
              <w:rPr>
                <w:rFonts w:ascii="Arial" w:cs="Arial" w:eastAsia="Arial" w:hAnsi="Arial"/>
                <w:sz w:val="14"/>
                <w:szCs w:val="14"/>
                <w:color w:val="3A5CFF"/>
              </w:rPr>
              <w:t>Distinguished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5067300</wp:posOffset>
            </wp:positionH>
            <wp:positionV relativeFrom="paragraph">
              <wp:posOffset>-513080</wp:posOffset>
            </wp:positionV>
            <wp:extent cx="34290" cy="2482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4290" cy="248285"/>
                    </a:xfrm>
                    <a:prstGeom prst="rect">
                      <a:avLst/>
                    </a:prstGeom>
                    <a:noFill/>
                  </pic:spPr>
                </pic:pic>
              </a:graphicData>
            </a:graphic>
          </wp:anchor>
        </w:drawing>
        <w:drawing>
          <wp:anchor simplePos="0" relativeHeight="251657728" behindDoc="1" locked="0" layoutInCell="0" allowOverlap="1">
            <wp:simplePos x="0" y="0"/>
            <wp:positionH relativeFrom="column">
              <wp:posOffset>2529840</wp:posOffset>
            </wp:positionH>
            <wp:positionV relativeFrom="paragraph">
              <wp:posOffset>-513080</wp:posOffset>
            </wp:positionV>
            <wp:extent cx="33655" cy="2482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3655" cy="24828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6E06C1"/>
        </w:rPr>
        <w:t>Operational Goals (40%)</w:t>
      </w:r>
    </w:p>
    <w:p>
      <w:pPr>
        <w:spacing w:after="0" w:line="113"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Operational target metrics for 2024 were set at challenging levels that corresponded to top quartile performance relative to industry standards. Distinguished performance levels were set to outpace the industry’s best-in-class performance.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6E06C1"/>
        </w:rPr>
        <w:t>Responsible Business Modifier</w:t>
      </w:r>
    </w:p>
    <w:p>
      <w:pPr>
        <w:spacing w:after="0" w:line="113"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auto"/>
        </w:rPr>
        <w:t>Beginning in 2023, the TMCC incorporated a Responsible Business Modifier into the AIP. The Responsible Business Modifier is based on a holistic evaluation by the Committee of key accomplishments and actions taken during the year related to enterprise-wide diversity, equity and inclusion and sustainability goals. The Committee may choose to apply the Responsible Business Modifier to adjust the payout amounts upwards or downwards by up to 10% or determine not to make any adjustments. Throughout the year, management reviewed score cards detailing qualitative and quantitative progress on those goals.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780"/>
              <w:spacing w:after="0"/>
              <w:rPr>
                <w:sz w:val="20"/>
                <w:szCs w:val="20"/>
                <w:color w:val="auto"/>
              </w:rPr>
            </w:pPr>
            <w:r>
              <w:rPr>
                <w:rFonts w:ascii="Arial" w:cs="Arial" w:eastAsia="Arial" w:hAnsi="Arial"/>
                <w:sz w:val="14"/>
                <w:szCs w:val="14"/>
                <w:color w:val="auto"/>
              </w:rPr>
              <w:t>2025 ׀ Exelon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51</w:t>
            </w:r>
          </w:p>
        </w:tc>
      </w:tr>
      <w:tr>
        <w:trPr>
          <w:trHeight w:val="211"/>
        </w:trPr>
        <w:tc>
          <w:tcPr>
            <w:tcW w:w="109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3"/>
          <w:szCs w:val="13"/>
          <w:b w:val="1"/>
          <w:bCs w:val="1"/>
          <w:color w:val="auto"/>
        </w:rPr>
        <w:t>Compensation Discussion &amp; Analysis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2024 AIP Performance and Payout Determinations</w:t>
      </w:r>
    </w:p>
    <w:p>
      <w:pPr>
        <w:spacing w:after="0" w:line="12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 xml:space="preserve">The following table details the 2024 threshold, target, and distinguished or maximum performance goals, and the results achieved. The performance factor for 2024 AIP awards was calculated to be </w:t>
      </w:r>
      <w:r>
        <w:rPr>
          <w:rFonts w:ascii="Arial" w:cs="Arial" w:eastAsia="Arial" w:hAnsi="Arial"/>
          <w:sz w:val="16"/>
          <w:szCs w:val="16"/>
          <w:b w:val="1"/>
          <w:bCs w:val="1"/>
          <w:color w:val="auto"/>
        </w:rPr>
        <w:t>136.64%</w:t>
      </w:r>
      <w:r>
        <w:rPr>
          <w:rFonts w:ascii="Arial" w:cs="Arial" w:eastAsia="Arial" w:hAnsi="Arial"/>
          <w:sz w:val="16"/>
          <w:szCs w:val="16"/>
          <w:color w:val="auto"/>
        </w:rPr>
        <w:t xml:space="preserve"> of target for the NEOs.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Based on a holistic review in 2024, the Committee made no adjustments to the performance factor based on the Responsible Business Modifier.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80" w:type="dxa"/>
            <w:vAlign w:val="bottom"/>
          </w:tcPr>
          <w:p>
            <w:pPr>
              <w:spacing w:after="0"/>
              <w:rPr>
                <w:sz w:val="17"/>
                <w:szCs w:val="17"/>
                <w:color w:val="auto"/>
              </w:rPr>
            </w:pPr>
          </w:p>
        </w:tc>
        <w:tc>
          <w:tcPr>
            <w:tcW w:w="1100" w:type="dxa"/>
            <w:vAlign w:val="bottom"/>
            <w:tcBorders>
              <w:bottom w:val="single" w:sz="8" w:color="170D67"/>
            </w:tcBorders>
          </w:tcPr>
          <w:p>
            <w:pPr>
              <w:spacing w:after="0"/>
              <w:rPr>
                <w:sz w:val="17"/>
                <w:szCs w:val="17"/>
                <w:color w:val="auto"/>
              </w:rPr>
            </w:pPr>
          </w:p>
        </w:tc>
        <w:tc>
          <w:tcPr>
            <w:tcW w:w="1420" w:type="dxa"/>
            <w:vAlign w:val="bottom"/>
            <w:tcBorders>
              <w:bottom w:val="single" w:sz="8" w:color="170D67"/>
            </w:tcBorders>
          </w:tcPr>
          <w:p>
            <w:pPr>
              <w:jc w:val="right"/>
              <w:ind w:right="5"/>
              <w:spacing w:after="0"/>
              <w:rPr>
                <w:sz w:val="20"/>
                <w:szCs w:val="20"/>
                <w:color w:val="auto"/>
              </w:rPr>
            </w:pPr>
            <w:r>
              <w:rPr>
                <w:rFonts w:ascii="Arial" w:cs="Arial" w:eastAsia="Arial" w:hAnsi="Arial"/>
                <w:sz w:val="14"/>
                <w:szCs w:val="14"/>
                <w:b w:val="1"/>
                <w:bCs w:val="1"/>
                <w:color w:val="170D67"/>
              </w:rPr>
              <w:t>Performance Scale</w:t>
            </w:r>
          </w:p>
        </w:tc>
        <w:tc>
          <w:tcPr>
            <w:tcW w:w="1060" w:type="dxa"/>
            <w:vAlign w:val="bottom"/>
            <w:tcBorders>
              <w:bottom w:val="single" w:sz="8" w:color="170D67"/>
            </w:tcBorders>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Borders>
              <w:bottom w:val="single" w:sz="8" w:color="170D67"/>
            </w:tcBorders>
          </w:tcPr>
          <w:p>
            <w:pPr>
              <w:spacing w:after="0"/>
              <w:rPr>
                <w:sz w:val="17"/>
                <w:szCs w:val="17"/>
                <w:color w:val="auto"/>
              </w:rPr>
            </w:pPr>
          </w:p>
        </w:tc>
        <w:tc>
          <w:tcPr>
            <w:tcW w:w="1400" w:type="dxa"/>
            <w:vAlign w:val="bottom"/>
            <w:tcBorders>
              <w:bottom w:val="single" w:sz="8" w:color="170D67"/>
            </w:tcBorders>
          </w:tcPr>
          <w:p>
            <w:pPr>
              <w:jc w:val="right"/>
              <w:ind w:right="205"/>
              <w:spacing w:after="0"/>
              <w:rPr>
                <w:sz w:val="20"/>
                <w:szCs w:val="20"/>
                <w:color w:val="auto"/>
              </w:rPr>
            </w:pPr>
            <w:r>
              <w:rPr>
                <w:rFonts w:ascii="Arial" w:cs="Arial" w:eastAsia="Arial" w:hAnsi="Arial"/>
                <w:sz w:val="14"/>
                <w:szCs w:val="14"/>
                <w:b w:val="1"/>
                <w:bCs w:val="1"/>
                <w:color w:val="170D67"/>
              </w:rPr>
              <w:t>Performance</w:t>
            </w:r>
          </w:p>
        </w:tc>
        <w:tc>
          <w:tcPr>
            <w:tcW w:w="1160" w:type="dxa"/>
            <w:vAlign w:val="bottom"/>
            <w:tcBorders>
              <w:bottom w:val="single" w:sz="8" w:color="170D67"/>
            </w:tcBorders>
          </w:tcPr>
          <w:p>
            <w:pPr>
              <w:spacing w:after="0"/>
              <w:rPr>
                <w:sz w:val="17"/>
                <w:szCs w:val="17"/>
                <w:color w:val="auto"/>
              </w:rPr>
            </w:pPr>
          </w:p>
        </w:tc>
      </w:tr>
      <w:tr>
        <w:trPr>
          <w:trHeight w:val="193"/>
        </w:trPr>
        <w:tc>
          <w:tcPr>
            <w:tcW w:w="35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170D67"/>
              </w:rPr>
              <w:t>Threshold</w:t>
            </w:r>
          </w:p>
        </w:tc>
        <w:tc>
          <w:tcPr>
            <w:tcW w:w="1420" w:type="dxa"/>
            <w:vAlign w:val="bottom"/>
          </w:tcPr>
          <w:p>
            <w:pPr>
              <w:jc w:val="right"/>
              <w:ind w:right="325"/>
              <w:spacing w:after="0"/>
              <w:rPr>
                <w:sz w:val="20"/>
                <w:szCs w:val="20"/>
                <w:color w:val="auto"/>
              </w:rPr>
            </w:pPr>
            <w:r>
              <w:rPr>
                <w:rFonts w:ascii="Arial" w:cs="Arial" w:eastAsia="Arial" w:hAnsi="Arial"/>
                <w:sz w:val="14"/>
                <w:szCs w:val="14"/>
                <w:b w:val="1"/>
                <w:bCs w:val="1"/>
                <w:color w:val="170D67"/>
              </w:rPr>
              <w:t>Target</w:t>
            </w:r>
          </w:p>
        </w:tc>
        <w:tc>
          <w:tcPr>
            <w:tcW w:w="13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170D67"/>
              </w:rPr>
              <w:t>Distinguished</w:t>
            </w:r>
          </w:p>
        </w:tc>
        <w:tc>
          <w:tcPr>
            <w:tcW w:w="1200" w:type="dxa"/>
            <w:vAlign w:val="bottom"/>
            <w:shd w:val="clear" w:color="auto" w:fill="EDEDED"/>
          </w:tcPr>
          <w:p>
            <w:pPr>
              <w:jc w:val="right"/>
              <w:spacing w:after="0"/>
              <w:rPr>
                <w:sz w:val="20"/>
                <w:szCs w:val="20"/>
                <w:color w:val="auto"/>
              </w:rPr>
            </w:pPr>
            <w:r>
              <w:rPr>
                <w:rFonts w:ascii="Arial" w:cs="Arial" w:eastAsia="Arial" w:hAnsi="Arial"/>
                <w:sz w:val="14"/>
                <w:szCs w:val="14"/>
                <w:b w:val="1"/>
                <w:bCs w:val="1"/>
                <w:color w:val="170D67"/>
              </w:rPr>
              <w:t>Actual</w:t>
            </w:r>
          </w:p>
        </w:tc>
        <w:tc>
          <w:tcPr>
            <w:tcW w:w="1400" w:type="dxa"/>
            <w:vAlign w:val="bottom"/>
          </w:tcPr>
          <w:p>
            <w:pPr>
              <w:jc w:val="right"/>
              <w:ind w:right="305"/>
              <w:spacing w:after="0"/>
              <w:rPr>
                <w:sz w:val="20"/>
                <w:szCs w:val="20"/>
                <w:color w:val="auto"/>
              </w:rPr>
            </w:pPr>
            <w:r>
              <w:rPr>
                <w:rFonts w:ascii="Arial" w:cs="Arial" w:eastAsia="Arial" w:hAnsi="Arial"/>
                <w:sz w:val="14"/>
                <w:szCs w:val="14"/>
                <w:b w:val="1"/>
                <w:bCs w:val="1"/>
                <w:color w:val="170D67"/>
              </w:rPr>
              <w:t>as % of</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170D67"/>
              </w:rPr>
              <w:t>Weighted</w:t>
            </w:r>
          </w:p>
        </w:tc>
      </w:tr>
      <w:tr>
        <w:trPr>
          <w:trHeight w:val="205"/>
        </w:trPr>
        <w:tc>
          <w:tcPr>
            <w:tcW w:w="3580" w:type="dxa"/>
            <w:vAlign w:val="bottom"/>
            <w:tcBorders>
              <w:bottom w:val="single" w:sz="8" w:color="170D67"/>
            </w:tcBorders>
          </w:tcPr>
          <w:p>
            <w:pPr>
              <w:ind w:left="20"/>
              <w:spacing w:after="0"/>
              <w:rPr>
                <w:sz w:val="20"/>
                <w:szCs w:val="20"/>
                <w:color w:val="auto"/>
              </w:rPr>
            </w:pPr>
            <w:r>
              <w:rPr>
                <w:rFonts w:ascii="Arial" w:cs="Arial" w:eastAsia="Arial" w:hAnsi="Arial"/>
                <w:sz w:val="14"/>
                <w:szCs w:val="14"/>
                <w:b w:val="1"/>
                <w:bCs w:val="1"/>
                <w:color w:val="170D67"/>
              </w:rPr>
              <w:t>AIP Metrics:</w:t>
            </w:r>
          </w:p>
        </w:tc>
        <w:tc>
          <w:tcPr>
            <w:tcW w:w="1100" w:type="dxa"/>
            <w:vAlign w:val="bottom"/>
            <w:tcBorders>
              <w:bottom w:val="single" w:sz="8" w:color="170D67"/>
            </w:tcBorders>
          </w:tcPr>
          <w:p>
            <w:pPr>
              <w:jc w:val="right"/>
              <w:spacing w:after="0"/>
              <w:rPr>
                <w:sz w:val="20"/>
                <w:szCs w:val="20"/>
                <w:color w:val="auto"/>
              </w:rPr>
            </w:pPr>
            <w:r>
              <w:rPr>
                <w:rFonts w:ascii="Arial" w:cs="Arial" w:eastAsia="Arial" w:hAnsi="Arial"/>
                <w:sz w:val="14"/>
                <w:szCs w:val="14"/>
                <w:b w:val="1"/>
                <w:bCs w:val="1"/>
                <w:color w:val="170D67"/>
              </w:rPr>
              <w:t>(50%)</w:t>
            </w:r>
          </w:p>
        </w:tc>
        <w:tc>
          <w:tcPr>
            <w:tcW w:w="1420" w:type="dxa"/>
            <w:vAlign w:val="bottom"/>
            <w:tcBorders>
              <w:bottom w:val="single" w:sz="8" w:color="170D67"/>
            </w:tcBorders>
          </w:tcPr>
          <w:p>
            <w:pPr>
              <w:jc w:val="right"/>
              <w:ind w:right="325"/>
              <w:spacing w:after="0"/>
              <w:rPr>
                <w:sz w:val="20"/>
                <w:szCs w:val="20"/>
                <w:color w:val="auto"/>
              </w:rPr>
            </w:pPr>
            <w:r>
              <w:rPr>
                <w:rFonts w:ascii="Arial" w:cs="Arial" w:eastAsia="Arial" w:hAnsi="Arial"/>
                <w:sz w:val="14"/>
                <w:szCs w:val="14"/>
                <w:b w:val="1"/>
                <w:bCs w:val="1"/>
                <w:color w:val="170D67"/>
              </w:rPr>
              <w:t>(100%)</w:t>
            </w:r>
          </w:p>
        </w:tc>
        <w:tc>
          <w:tcPr>
            <w:tcW w:w="1060" w:type="dxa"/>
            <w:vAlign w:val="bottom"/>
            <w:tcBorders>
              <w:bottom w:val="single" w:sz="8" w:color="170D67"/>
            </w:tcBorders>
          </w:tcPr>
          <w:p>
            <w:pPr>
              <w:jc w:val="right"/>
              <w:spacing w:after="0"/>
              <w:rPr>
                <w:sz w:val="20"/>
                <w:szCs w:val="20"/>
                <w:color w:val="auto"/>
              </w:rPr>
            </w:pPr>
            <w:r>
              <w:rPr>
                <w:rFonts w:ascii="Arial" w:cs="Arial" w:eastAsia="Arial" w:hAnsi="Arial"/>
                <w:sz w:val="14"/>
                <w:szCs w:val="14"/>
                <w:b w:val="1"/>
                <w:bCs w:val="1"/>
                <w:color w:val="170D67"/>
              </w:rPr>
              <w:t>(200%)</w:t>
            </w:r>
          </w:p>
        </w:tc>
        <w:tc>
          <w:tcPr>
            <w:tcW w:w="300" w:type="dxa"/>
            <w:vAlign w:val="bottom"/>
            <w:tcBorders>
              <w:bottom w:val="single" w:sz="8" w:color="170D67"/>
            </w:tcBorders>
          </w:tcPr>
          <w:p>
            <w:pPr>
              <w:spacing w:after="0"/>
              <w:rPr>
                <w:sz w:val="17"/>
                <w:szCs w:val="17"/>
                <w:color w:val="auto"/>
              </w:rPr>
            </w:pPr>
          </w:p>
        </w:tc>
        <w:tc>
          <w:tcPr>
            <w:tcW w:w="1200" w:type="dxa"/>
            <w:vAlign w:val="bottom"/>
            <w:tcBorders>
              <w:bottom w:val="single" w:sz="8" w:color="170D67"/>
            </w:tcBorders>
            <w:shd w:val="clear" w:color="auto" w:fill="EDEDED"/>
          </w:tcPr>
          <w:p>
            <w:pPr>
              <w:jc w:val="right"/>
              <w:spacing w:after="0"/>
              <w:rPr>
                <w:sz w:val="20"/>
                <w:szCs w:val="20"/>
                <w:color w:val="auto"/>
              </w:rPr>
            </w:pPr>
            <w:r>
              <w:rPr>
                <w:rFonts w:ascii="Arial" w:cs="Arial" w:eastAsia="Arial" w:hAnsi="Arial"/>
                <w:sz w:val="14"/>
                <w:szCs w:val="14"/>
                <w:b w:val="1"/>
                <w:bCs w:val="1"/>
                <w:color w:val="170D67"/>
              </w:rPr>
              <w:t>Performance</w:t>
            </w:r>
          </w:p>
        </w:tc>
        <w:tc>
          <w:tcPr>
            <w:tcW w:w="1400" w:type="dxa"/>
            <w:vAlign w:val="bottom"/>
            <w:tcBorders>
              <w:bottom w:val="single" w:sz="8" w:color="170D67"/>
            </w:tcBorders>
          </w:tcPr>
          <w:p>
            <w:pPr>
              <w:jc w:val="right"/>
              <w:ind w:right="305"/>
              <w:spacing w:after="0"/>
              <w:rPr>
                <w:sz w:val="20"/>
                <w:szCs w:val="20"/>
                <w:color w:val="auto"/>
              </w:rPr>
            </w:pPr>
            <w:r>
              <w:rPr>
                <w:rFonts w:ascii="Arial" w:cs="Arial" w:eastAsia="Arial" w:hAnsi="Arial"/>
                <w:sz w:val="14"/>
                <w:szCs w:val="14"/>
                <w:b w:val="1"/>
                <w:bCs w:val="1"/>
                <w:color w:val="170D67"/>
              </w:rPr>
              <w:t>Target</w:t>
            </w:r>
          </w:p>
        </w:tc>
        <w:tc>
          <w:tcPr>
            <w:tcW w:w="1160" w:type="dxa"/>
            <w:vAlign w:val="bottom"/>
            <w:tcBorders>
              <w:bottom w:val="single" w:sz="8" w:color="170D67"/>
            </w:tcBorders>
          </w:tcPr>
          <w:p>
            <w:pPr>
              <w:jc w:val="right"/>
              <w:spacing w:after="0"/>
              <w:rPr>
                <w:sz w:val="20"/>
                <w:szCs w:val="20"/>
                <w:color w:val="auto"/>
              </w:rPr>
            </w:pPr>
            <w:r>
              <w:rPr>
                <w:rFonts w:ascii="Arial" w:cs="Arial" w:eastAsia="Arial" w:hAnsi="Arial"/>
                <w:sz w:val="14"/>
                <w:szCs w:val="14"/>
                <w:b w:val="1"/>
                <w:bCs w:val="1"/>
                <w:color w:val="170D67"/>
              </w:rPr>
              <w:t>Performance</w:t>
            </w:r>
          </w:p>
        </w:tc>
      </w:tr>
      <w:tr>
        <w:trPr>
          <w:trHeight w:val="243"/>
        </w:trPr>
        <w:tc>
          <w:tcPr>
            <w:tcW w:w="3580" w:type="dxa"/>
            <w:vAlign w:val="bottom"/>
          </w:tcPr>
          <w:p>
            <w:pPr>
              <w:ind w:left="20"/>
              <w:spacing w:after="0"/>
              <w:rPr>
                <w:sz w:val="20"/>
                <w:szCs w:val="20"/>
                <w:color w:val="auto"/>
              </w:rPr>
            </w:pPr>
            <w:r>
              <w:rPr>
                <w:rFonts w:ascii="Arial" w:cs="Arial" w:eastAsia="Arial" w:hAnsi="Arial"/>
                <w:sz w:val="15"/>
                <w:szCs w:val="15"/>
                <w:color w:val="auto"/>
              </w:rPr>
              <w:t>Adjusted (non-GAAP) Operating EPS*</w:t>
            </w:r>
          </w:p>
        </w:tc>
        <w:tc>
          <w:tcPr>
            <w:tcW w:w="1100" w:type="dxa"/>
            <w:vAlign w:val="bottom"/>
          </w:tcPr>
          <w:p>
            <w:pPr>
              <w:jc w:val="right"/>
              <w:ind w:right="25"/>
              <w:spacing w:after="0"/>
              <w:rPr>
                <w:sz w:val="20"/>
                <w:szCs w:val="20"/>
                <w:color w:val="auto"/>
              </w:rPr>
            </w:pPr>
            <w:r>
              <w:rPr>
                <w:rFonts w:ascii="Arial" w:cs="Arial" w:eastAsia="Arial" w:hAnsi="Arial"/>
                <w:sz w:val="15"/>
                <w:szCs w:val="15"/>
                <w:color w:val="auto"/>
              </w:rPr>
              <w:t>$2.33</w:t>
            </w:r>
          </w:p>
        </w:tc>
        <w:tc>
          <w:tcPr>
            <w:tcW w:w="1420" w:type="dxa"/>
            <w:vAlign w:val="bottom"/>
          </w:tcPr>
          <w:p>
            <w:pPr>
              <w:jc w:val="right"/>
              <w:ind w:right="385"/>
              <w:spacing w:after="0"/>
              <w:rPr>
                <w:sz w:val="20"/>
                <w:szCs w:val="20"/>
                <w:color w:val="auto"/>
              </w:rPr>
            </w:pPr>
            <w:r>
              <w:rPr>
                <w:rFonts w:ascii="Arial" w:cs="Arial" w:eastAsia="Arial" w:hAnsi="Arial"/>
                <w:sz w:val="15"/>
                <w:szCs w:val="15"/>
                <w:color w:val="auto"/>
              </w:rPr>
              <w:t>$2.45</w:t>
            </w:r>
          </w:p>
        </w:tc>
        <w:tc>
          <w:tcPr>
            <w:tcW w:w="1060" w:type="dxa"/>
            <w:vAlign w:val="bottom"/>
          </w:tcPr>
          <w:p>
            <w:pPr>
              <w:jc w:val="right"/>
              <w:spacing w:after="0"/>
              <w:rPr>
                <w:sz w:val="20"/>
                <w:szCs w:val="20"/>
                <w:color w:val="auto"/>
              </w:rPr>
            </w:pPr>
            <w:r>
              <w:rPr>
                <w:rFonts w:ascii="Arial" w:cs="Arial" w:eastAsia="Arial" w:hAnsi="Arial"/>
                <w:sz w:val="15"/>
                <w:szCs w:val="15"/>
                <w:color w:val="auto"/>
              </w:rPr>
              <w:t>$2.57</w:t>
            </w:r>
          </w:p>
        </w:tc>
        <w:tc>
          <w:tcPr>
            <w:tcW w:w="300" w:type="dxa"/>
            <w:vAlign w:val="bottom"/>
          </w:tcPr>
          <w:p>
            <w:pPr>
              <w:spacing w:after="0"/>
              <w:rPr>
                <w:sz w:val="21"/>
                <w:szCs w:val="21"/>
                <w:color w:val="auto"/>
              </w:rPr>
            </w:pPr>
          </w:p>
        </w:tc>
        <w:tc>
          <w:tcPr>
            <w:tcW w:w="12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color w:val="auto"/>
              </w:rPr>
              <w:t>$2.50</w:t>
            </w:r>
          </w:p>
        </w:tc>
        <w:tc>
          <w:tcPr>
            <w:tcW w:w="1400" w:type="dxa"/>
            <w:vAlign w:val="bottom"/>
          </w:tcPr>
          <w:p>
            <w:pPr>
              <w:jc w:val="right"/>
              <w:ind w:right="305"/>
              <w:spacing w:after="0"/>
              <w:rPr>
                <w:sz w:val="20"/>
                <w:szCs w:val="20"/>
                <w:color w:val="auto"/>
              </w:rPr>
            </w:pPr>
            <w:r>
              <w:rPr>
                <w:rFonts w:ascii="Arial" w:cs="Arial" w:eastAsia="Arial" w:hAnsi="Arial"/>
                <w:sz w:val="15"/>
                <w:szCs w:val="15"/>
                <w:color w:val="auto"/>
              </w:rPr>
              <w:t>161.11 %</w:t>
            </w:r>
          </w:p>
        </w:tc>
        <w:tc>
          <w:tcPr>
            <w:tcW w:w="1160" w:type="dxa"/>
            <w:vAlign w:val="bottom"/>
          </w:tcPr>
          <w:p>
            <w:pPr>
              <w:jc w:val="right"/>
              <w:spacing w:after="0"/>
              <w:rPr>
                <w:sz w:val="20"/>
                <w:szCs w:val="20"/>
                <w:color w:val="auto"/>
              </w:rPr>
            </w:pPr>
            <w:r>
              <w:rPr>
                <w:rFonts w:ascii="Arial" w:cs="Arial" w:eastAsia="Arial" w:hAnsi="Arial"/>
                <w:sz w:val="15"/>
                <w:szCs w:val="15"/>
                <w:color w:val="auto"/>
              </w:rPr>
              <w:t>96.67 %</w:t>
            </w:r>
          </w:p>
        </w:tc>
      </w:tr>
      <w:tr>
        <w:trPr>
          <w:trHeight w:val="236"/>
        </w:trPr>
        <w:tc>
          <w:tcPr>
            <w:tcW w:w="3580" w:type="dxa"/>
            <w:vAlign w:val="bottom"/>
            <w:tcBorders>
              <w:top w:val="single" w:sz="8" w:color="808080"/>
            </w:tcBorders>
          </w:tcPr>
          <w:p>
            <w:pPr>
              <w:ind w:left="20"/>
              <w:spacing w:after="0"/>
              <w:rPr>
                <w:sz w:val="20"/>
                <w:szCs w:val="20"/>
                <w:color w:val="auto"/>
              </w:rPr>
            </w:pPr>
            <w:r>
              <w:rPr>
                <w:rFonts w:ascii="Arial" w:cs="Arial" w:eastAsia="Arial" w:hAnsi="Arial"/>
                <w:sz w:val="15"/>
                <w:szCs w:val="15"/>
                <w:color w:val="auto"/>
              </w:rPr>
              <w:t>SAIDI</w:t>
            </w:r>
          </w:p>
        </w:tc>
        <w:tc>
          <w:tcPr>
            <w:tcW w:w="1100" w:type="dxa"/>
            <w:vAlign w:val="bottom"/>
            <w:tcBorders>
              <w:top w:val="single" w:sz="8" w:color="808080"/>
            </w:tcBorders>
          </w:tcPr>
          <w:p>
            <w:pPr>
              <w:jc w:val="right"/>
              <w:ind w:right="25"/>
              <w:spacing w:after="0"/>
              <w:rPr>
                <w:sz w:val="20"/>
                <w:szCs w:val="20"/>
                <w:color w:val="auto"/>
              </w:rPr>
            </w:pPr>
            <w:r>
              <w:rPr>
                <w:rFonts w:ascii="Arial" w:cs="Arial" w:eastAsia="Arial" w:hAnsi="Arial"/>
                <w:sz w:val="15"/>
                <w:szCs w:val="15"/>
                <w:color w:val="auto"/>
              </w:rPr>
              <w:t>74</w:t>
            </w:r>
          </w:p>
        </w:tc>
        <w:tc>
          <w:tcPr>
            <w:tcW w:w="1420" w:type="dxa"/>
            <w:vAlign w:val="bottom"/>
            <w:tcBorders>
              <w:top w:val="single" w:sz="8" w:color="808080"/>
            </w:tcBorders>
          </w:tcPr>
          <w:p>
            <w:pPr>
              <w:jc w:val="right"/>
              <w:ind w:right="385"/>
              <w:spacing w:after="0"/>
              <w:rPr>
                <w:sz w:val="20"/>
                <w:szCs w:val="20"/>
                <w:color w:val="auto"/>
              </w:rPr>
            </w:pPr>
            <w:r>
              <w:rPr>
                <w:rFonts w:ascii="Arial" w:cs="Arial" w:eastAsia="Arial" w:hAnsi="Arial"/>
                <w:sz w:val="15"/>
                <w:szCs w:val="15"/>
                <w:color w:val="auto"/>
              </w:rPr>
              <w:t>43</w:t>
            </w:r>
          </w:p>
        </w:tc>
        <w:tc>
          <w:tcPr>
            <w:tcW w:w="1060" w:type="dxa"/>
            <w:vAlign w:val="bottom"/>
            <w:tcBorders>
              <w:top w:val="single" w:sz="8" w:color="808080"/>
            </w:tcBorders>
          </w:tcPr>
          <w:p>
            <w:pPr>
              <w:jc w:val="right"/>
              <w:spacing w:after="0"/>
              <w:rPr>
                <w:sz w:val="20"/>
                <w:szCs w:val="20"/>
                <w:color w:val="auto"/>
              </w:rPr>
            </w:pPr>
            <w:r>
              <w:rPr>
                <w:rFonts w:ascii="Arial" w:cs="Arial" w:eastAsia="Arial" w:hAnsi="Arial"/>
                <w:sz w:val="15"/>
                <w:szCs w:val="15"/>
                <w:color w:val="auto"/>
              </w:rPr>
              <w:t>25</w:t>
            </w:r>
          </w:p>
        </w:tc>
        <w:tc>
          <w:tcPr>
            <w:tcW w:w="300" w:type="dxa"/>
            <w:vAlign w:val="bottom"/>
            <w:tcBorders>
              <w:top w:val="single" w:sz="8" w:color="808080"/>
            </w:tcBorders>
          </w:tcPr>
          <w:p>
            <w:pPr>
              <w:spacing w:after="0"/>
              <w:rPr>
                <w:sz w:val="20"/>
                <w:szCs w:val="20"/>
                <w:color w:val="auto"/>
              </w:rPr>
            </w:pPr>
          </w:p>
        </w:tc>
        <w:tc>
          <w:tcPr>
            <w:tcW w:w="1200" w:type="dxa"/>
            <w:vAlign w:val="bottom"/>
            <w:tcBorders>
              <w:top w:val="single" w:sz="8" w:color="808080"/>
              <w:bottom w:val="single" w:sz="8" w:color="EDEDED"/>
            </w:tcBorders>
            <w:shd w:val="clear" w:color="auto" w:fill="EDEDED"/>
          </w:tcPr>
          <w:p>
            <w:pPr>
              <w:jc w:val="right"/>
              <w:spacing w:after="0"/>
              <w:rPr>
                <w:sz w:val="20"/>
                <w:szCs w:val="20"/>
                <w:color w:val="auto"/>
              </w:rPr>
            </w:pPr>
            <w:r>
              <w:rPr>
                <w:rFonts w:ascii="Arial" w:cs="Arial" w:eastAsia="Arial" w:hAnsi="Arial"/>
                <w:sz w:val="15"/>
                <w:szCs w:val="15"/>
                <w:color w:val="auto"/>
              </w:rPr>
              <w:t>44</w:t>
            </w:r>
          </w:p>
        </w:tc>
        <w:tc>
          <w:tcPr>
            <w:tcW w:w="1400" w:type="dxa"/>
            <w:vAlign w:val="bottom"/>
            <w:tcBorders>
              <w:top w:val="single" w:sz="8" w:color="808080"/>
            </w:tcBorders>
          </w:tcPr>
          <w:p>
            <w:pPr>
              <w:jc w:val="right"/>
              <w:ind w:right="305"/>
              <w:spacing w:after="0"/>
              <w:rPr>
                <w:sz w:val="20"/>
                <w:szCs w:val="20"/>
                <w:color w:val="auto"/>
              </w:rPr>
            </w:pPr>
            <w:r>
              <w:rPr>
                <w:rFonts w:ascii="Arial" w:cs="Arial" w:eastAsia="Arial" w:hAnsi="Arial"/>
                <w:sz w:val="15"/>
                <w:szCs w:val="15"/>
                <w:color w:val="auto"/>
              </w:rPr>
              <w:t>98.39 %</w:t>
            </w:r>
          </w:p>
        </w:tc>
        <w:tc>
          <w:tcPr>
            <w:tcW w:w="1160" w:type="dxa"/>
            <w:vAlign w:val="bottom"/>
            <w:tcBorders>
              <w:top w:val="single" w:sz="8" w:color="808080"/>
            </w:tcBorders>
          </w:tcPr>
          <w:p>
            <w:pPr>
              <w:jc w:val="right"/>
              <w:spacing w:after="0"/>
              <w:rPr>
                <w:sz w:val="20"/>
                <w:szCs w:val="20"/>
                <w:color w:val="auto"/>
              </w:rPr>
            </w:pPr>
            <w:r>
              <w:rPr>
                <w:rFonts w:ascii="Arial" w:cs="Arial" w:eastAsia="Arial" w:hAnsi="Arial"/>
                <w:sz w:val="15"/>
                <w:szCs w:val="15"/>
                <w:color w:val="auto"/>
              </w:rPr>
              <w:t>14.76 %</w:t>
            </w:r>
          </w:p>
        </w:tc>
      </w:tr>
      <w:tr>
        <w:trPr>
          <w:trHeight w:val="237"/>
        </w:trPr>
        <w:tc>
          <w:tcPr>
            <w:tcW w:w="3580" w:type="dxa"/>
            <w:vAlign w:val="bottom"/>
            <w:tcBorders>
              <w:top w:val="single" w:sz="8" w:color="808080"/>
            </w:tcBorders>
          </w:tcPr>
          <w:p>
            <w:pPr>
              <w:ind w:left="20"/>
              <w:spacing w:after="0"/>
              <w:rPr>
                <w:sz w:val="20"/>
                <w:szCs w:val="20"/>
                <w:color w:val="auto"/>
              </w:rPr>
            </w:pPr>
            <w:r>
              <w:rPr>
                <w:rFonts w:ascii="Arial" w:cs="Arial" w:eastAsia="Arial" w:hAnsi="Arial"/>
                <w:sz w:val="15"/>
                <w:szCs w:val="15"/>
                <w:color w:val="auto"/>
              </w:rPr>
              <w:t>SAIFI</w:t>
            </w:r>
          </w:p>
        </w:tc>
        <w:tc>
          <w:tcPr>
            <w:tcW w:w="1100" w:type="dxa"/>
            <w:vAlign w:val="bottom"/>
            <w:tcBorders>
              <w:top w:val="single" w:sz="8" w:color="808080"/>
            </w:tcBorders>
          </w:tcPr>
          <w:p>
            <w:pPr>
              <w:jc w:val="right"/>
              <w:ind w:right="25"/>
              <w:spacing w:after="0"/>
              <w:rPr>
                <w:sz w:val="20"/>
                <w:szCs w:val="20"/>
                <w:color w:val="auto"/>
              </w:rPr>
            </w:pPr>
            <w:r>
              <w:rPr>
                <w:rFonts w:ascii="Arial" w:cs="Arial" w:eastAsia="Arial" w:hAnsi="Arial"/>
                <w:sz w:val="15"/>
                <w:szCs w:val="15"/>
                <w:color w:val="auto"/>
              </w:rPr>
              <w:t>0.71</w:t>
            </w:r>
          </w:p>
        </w:tc>
        <w:tc>
          <w:tcPr>
            <w:tcW w:w="1420" w:type="dxa"/>
            <w:vAlign w:val="bottom"/>
            <w:tcBorders>
              <w:top w:val="single" w:sz="8" w:color="808080"/>
            </w:tcBorders>
          </w:tcPr>
          <w:p>
            <w:pPr>
              <w:jc w:val="right"/>
              <w:ind w:right="385"/>
              <w:spacing w:after="0"/>
              <w:rPr>
                <w:sz w:val="20"/>
                <w:szCs w:val="20"/>
                <w:color w:val="auto"/>
              </w:rPr>
            </w:pPr>
            <w:r>
              <w:rPr>
                <w:rFonts w:ascii="Arial" w:cs="Arial" w:eastAsia="Arial" w:hAnsi="Arial"/>
                <w:sz w:val="15"/>
                <w:szCs w:val="15"/>
                <w:color w:val="auto"/>
              </w:rPr>
              <w:t>0.54</w:t>
            </w:r>
          </w:p>
        </w:tc>
        <w:tc>
          <w:tcPr>
            <w:tcW w:w="1060" w:type="dxa"/>
            <w:vAlign w:val="bottom"/>
            <w:tcBorders>
              <w:top w:val="single" w:sz="8" w:color="808080"/>
            </w:tcBorders>
          </w:tcPr>
          <w:p>
            <w:pPr>
              <w:jc w:val="right"/>
              <w:spacing w:after="0"/>
              <w:rPr>
                <w:sz w:val="20"/>
                <w:szCs w:val="20"/>
                <w:color w:val="auto"/>
              </w:rPr>
            </w:pPr>
            <w:r>
              <w:rPr>
                <w:rFonts w:ascii="Arial" w:cs="Arial" w:eastAsia="Arial" w:hAnsi="Arial"/>
                <w:sz w:val="15"/>
                <w:szCs w:val="15"/>
                <w:color w:val="auto"/>
              </w:rPr>
              <w:t>0.38</w:t>
            </w:r>
          </w:p>
        </w:tc>
        <w:tc>
          <w:tcPr>
            <w:tcW w:w="300" w:type="dxa"/>
            <w:vAlign w:val="bottom"/>
            <w:tcBorders>
              <w:top w:val="single" w:sz="8" w:color="808080"/>
            </w:tcBorders>
          </w:tcPr>
          <w:p>
            <w:pPr>
              <w:spacing w:after="0"/>
              <w:rPr>
                <w:sz w:val="20"/>
                <w:szCs w:val="20"/>
                <w:color w:val="auto"/>
              </w:rPr>
            </w:pPr>
          </w:p>
        </w:tc>
        <w:tc>
          <w:tcPr>
            <w:tcW w:w="1200" w:type="dxa"/>
            <w:vAlign w:val="bottom"/>
            <w:tcBorders>
              <w:top w:val="single" w:sz="8" w:color="808080"/>
              <w:bottom w:val="single" w:sz="8" w:color="EDEDED"/>
            </w:tcBorders>
            <w:shd w:val="clear" w:color="auto" w:fill="EDEDED"/>
          </w:tcPr>
          <w:p>
            <w:pPr>
              <w:jc w:val="right"/>
              <w:spacing w:after="0"/>
              <w:rPr>
                <w:sz w:val="20"/>
                <w:szCs w:val="20"/>
                <w:color w:val="auto"/>
              </w:rPr>
            </w:pPr>
            <w:r>
              <w:rPr>
                <w:rFonts w:ascii="Arial" w:cs="Arial" w:eastAsia="Arial" w:hAnsi="Arial"/>
                <w:sz w:val="15"/>
                <w:szCs w:val="15"/>
                <w:color w:val="auto"/>
              </w:rPr>
              <w:t>0.51</w:t>
            </w:r>
          </w:p>
        </w:tc>
        <w:tc>
          <w:tcPr>
            <w:tcW w:w="1400" w:type="dxa"/>
            <w:vAlign w:val="bottom"/>
            <w:tcBorders>
              <w:top w:val="single" w:sz="8" w:color="808080"/>
            </w:tcBorders>
          </w:tcPr>
          <w:p>
            <w:pPr>
              <w:jc w:val="right"/>
              <w:ind w:right="305"/>
              <w:spacing w:after="0"/>
              <w:rPr>
                <w:sz w:val="20"/>
                <w:szCs w:val="20"/>
                <w:color w:val="auto"/>
              </w:rPr>
            </w:pPr>
            <w:r>
              <w:rPr>
                <w:rFonts w:ascii="Arial" w:cs="Arial" w:eastAsia="Arial" w:hAnsi="Arial"/>
                <w:sz w:val="15"/>
                <w:szCs w:val="15"/>
                <w:color w:val="auto"/>
              </w:rPr>
              <w:t>118.75 %</w:t>
            </w:r>
          </w:p>
        </w:tc>
        <w:tc>
          <w:tcPr>
            <w:tcW w:w="1160" w:type="dxa"/>
            <w:vAlign w:val="bottom"/>
            <w:tcBorders>
              <w:top w:val="single" w:sz="8" w:color="808080"/>
            </w:tcBorders>
          </w:tcPr>
          <w:p>
            <w:pPr>
              <w:jc w:val="right"/>
              <w:spacing w:after="0"/>
              <w:rPr>
                <w:sz w:val="20"/>
                <w:szCs w:val="20"/>
                <w:color w:val="auto"/>
              </w:rPr>
            </w:pPr>
            <w:r>
              <w:rPr>
                <w:rFonts w:ascii="Arial" w:cs="Arial" w:eastAsia="Arial" w:hAnsi="Arial"/>
                <w:sz w:val="15"/>
                <w:szCs w:val="15"/>
                <w:color w:val="auto"/>
              </w:rPr>
              <w:t>17.81 %</w:t>
            </w:r>
          </w:p>
        </w:tc>
      </w:tr>
      <w:tr>
        <w:trPr>
          <w:trHeight w:val="217"/>
        </w:trPr>
        <w:tc>
          <w:tcPr>
            <w:tcW w:w="3580" w:type="dxa"/>
            <w:vAlign w:val="bottom"/>
            <w:tcBorders>
              <w:top w:val="single" w:sz="8" w:color="808080"/>
            </w:tcBorders>
          </w:tcPr>
          <w:p>
            <w:pPr>
              <w:ind w:left="20"/>
              <w:spacing w:after="0"/>
              <w:rPr>
                <w:sz w:val="20"/>
                <w:szCs w:val="20"/>
                <w:color w:val="auto"/>
              </w:rPr>
            </w:pPr>
            <w:r>
              <w:rPr>
                <w:rFonts w:ascii="Arial" w:cs="Arial" w:eastAsia="Arial" w:hAnsi="Arial"/>
                <w:sz w:val="15"/>
                <w:szCs w:val="15"/>
                <w:color w:val="auto"/>
              </w:rPr>
              <w:t>Customer Service</w:t>
            </w:r>
          </w:p>
        </w:tc>
        <w:tc>
          <w:tcPr>
            <w:tcW w:w="1100" w:type="dxa"/>
            <w:vAlign w:val="bottom"/>
            <w:tcBorders>
              <w:top w:val="single" w:sz="8" w:color="808080"/>
            </w:tcBorders>
          </w:tcPr>
          <w:p>
            <w:pPr>
              <w:jc w:val="right"/>
              <w:ind w:right="25"/>
              <w:spacing w:after="0"/>
              <w:rPr>
                <w:sz w:val="20"/>
                <w:szCs w:val="20"/>
                <w:color w:val="auto"/>
              </w:rPr>
            </w:pPr>
            <w:r>
              <w:rPr>
                <w:rFonts w:ascii="Arial" w:cs="Arial" w:eastAsia="Arial" w:hAnsi="Arial"/>
                <w:sz w:val="15"/>
                <w:szCs w:val="15"/>
                <w:color w:val="auto"/>
              </w:rPr>
              <w:t>7.77</w:t>
            </w:r>
          </w:p>
        </w:tc>
        <w:tc>
          <w:tcPr>
            <w:tcW w:w="1420" w:type="dxa"/>
            <w:vAlign w:val="bottom"/>
            <w:tcBorders>
              <w:top w:val="single" w:sz="8" w:color="808080"/>
            </w:tcBorders>
          </w:tcPr>
          <w:p>
            <w:pPr>
              <w:jc w:val="right"/>
              <w:ind w:right="385"/>
              <w:spacing w:after="0"/>
              <w:rPr>
                <w:sz w:val="20"/>
                <w:szCs w:val="20"/>
                <w:color w:val="auto"/>
              </w:rPr>
            </w:pPr>
            <w:r>
              <w:rPr>
                <w:rFonts w:ascii="Arial" w:cs="Arial" w:eastAsia="Arial" w:hAnsi="Arial"/>
                <w:sz w:val="15"/>
                <w:szCs w:val="15"/>
                <w:color w:val="auto"/>
              </w:rPr>
              <w:t>8.02</w:t>
            </w:r>
          </w:p>
        </w:tc>
        <w:tc>
          <w:tcPr>
            <w:tcW w:w="1060" w:type="dxa"/>
            <w:vAlign w:val="bottom"/>
            <w:tcBorders>
              <w:top w:val="single" w:sz="8" w:color="808080"/>
            </w:tcBorders>
          </w:tcPr>
          <w:p>
            <w:pPr>
              <w:jc w:val="right"/>
              <w:spacing w:after="0"/>
              <w:rPr>
                <w:sz w:val="20"/>
                <w:szCs w:val="20"/>
                <w:color w:val="auto"/>
              </w:rPr>
            </w:pPr>
            <w:r>
              <w:rPr>
                <w:rFonts w:ascii="Arial" w:cs="Arial" w:eastAsia="Arial" w:hAnsi="Arial"/>
                <w:sz w:val="15"/>
                <w:szCs w:val="15"/>
                <w:color w:val="auto"/>
              </w:rPr>
              <w:t>8.35</w:t>
            </w:r>
          </w:p>
        </w:tc>
        <w:tc>
          <w:tcPr>
            <w:tcW w:w="300" w:type="dxa"/>
            <w:vAlign w:val="bottom"/>
            <w:tcBorders>
              <w:top w:val="single" w:sz="8" w:color="808080"/>
            </w:tcBorders>
          </w:tcPr>
          <w:p>
            <w:pPr>
              <w:spacing w:after="0"/>
              <w:rPr>
                <w:sz w:val="18"/>
                <w:szCs w:val="18"/>
                <w:color w:val="auto"/>
              </w:rPr>
            </w:pPr>
          </w:p>
        </w:tc>
        <w:tc>
          <w:tcPr>
            <w:tcW w:w="1200" w:type="dxa"/>
            <w:vAlign w:val="bottom"/>
            <w:tcBorders>
              <w:top w:val="single" w:sz="8" w:color="808080"/>
              <w:bottom w:val="single" w:sz="8" w:color="EDEDED"/>
            </w:tcBorders>
            <w:shd w:val="clear" w:color="auto" w:fill="EDEDED"/>
          </w:tcPr>
          <w:p>
            <w:pPr>
              <w:jc w:val="right"/>
              <w:spacing w:after="0"/>
              <w:rPr>
                <w:sz w:val="20"/>
                <w:szCs w:val="20"/>
                <w:color w:val="auto"/>
              </w:rPr>
            </w:pPr>
            <w:r>
              <w:rPr>
                <w:rFonts w:ascii="Arial" w:cs="Arial" w:eastAsia="Arial" w:hAnsi="Arial"/>
                <w:sz w:val="15"/>
                <w:szCs w:val="15"/>
                <w:color w:val="auto"/>
              </w:rPr>
              <w:t>7.89</w:t>
            </w:r>
          </w:p>
        </w:tc>
        <w:tc>
          <w:tcPr>
            <w:tcW w:w="1400" w:type="dxa"/>
            <w:vAlign w:val="bottom"/>
            <w:tcBorders>
              <w:top w:val="single" w:sz="8" w:color="808080"/>
            </w:tcBorders>
          </w:tcPr>
          <w:p>
            <w:pPr>
              <w:jc w:val="right"/>
              <w:ind w:right="305"/>
              <w:spacing w:after="0"/>
              <w:rPr>
                <w:sz w:val="20"/>
                <w:szCs w:val="20"/>
                <w:color w:val="auto"/>
              </w:rPr>
            </w:pPr>
            <w:r>
              <w:rPr>
                <w:rFonts w:ascii="Arial" w:cs="Arial" w:eastAsia="Arial" w:hAnsi="Arial"/>
                <w:sz w:val="15"/>
                <w:szCs w:val="15"/>
                <w:color w:val="auto"/>
              </w:rPr>
              <w:t>74.00 %</w:t>
            </w:r>
          </w:p>
        </w:tc>
        <w:tc>
          <w:tcPr>
            <w:tcW w:w="1160" w:type="dxa"/>
            <w:vAlign w:val="bottom"/>
            <w:tcBorders>
              <w:top w:val="single" w:sz="8" w:color="808080"/>
            </w:tcBorders>
          </w:tcPr>
          <w:p>
            <w:pPr>
              <w:jc w:val="right"/>
              <w:spacing w:after="0"/>
              <w:rPr>
                <w:sz w:val="20"/>
                <w:szCs w:val="20"/>
                <w:color w:val="auto"/>
              </w:rPr>
            </w:pPr>
            <w:r>
              <w:rPr>
                <w:rFonts w:ascii="Arial" w:cs="Arial" w:eastAsia="Arial" w:hAnsi="Arial"/>
                <w:sz w:val="15"/>
                <w:szCs w:val="15"/>
                <w:color w:val="auto"/>
              </w:rPr>
              <w:t>7.40 %</w:t>
            </w:r>
          </w:p>
        </w:tc>
      </w:tr>
      <w:tr>
        <w:trPr>
          <w:trHeight w:val="20"/>
        </w:trPr>
        <w:tc>
          <w:tcPr>
            <w:tcW w:w="3580" w:type="dxa"/>
            <w:vAlign w:val="bottom"/>
            <w:shd w:val="clear" w:color="auto" w:fill="808080"/>
          </w:tcPr>
          <w:p>
            <w:pPr>
              <w:spacing w:after="0" w:line="20" w:lineRule="exact"/>
              <w:rPr>
                <w:sz w:val="1"/>
                <w:szCs w:val="1"/>
                <w:color w:val="auto"/>
              </w:rPr>
            </w:pPr>
          </w:p>
        </w:tc>
        <w:tc>
          <w:tcPr>
            <w:tcW w:w="1100" w:type="dxa"/>
            <w:vAlign w:val="bottom"/>
            <w:shd w:val="clear" w:color="auto" w:fill="808080"/>
          </w:tcPr>
          <w:p>
            <w:pPr>
              <w:spacing w:after="0" w:line="20" w:lineRule="exact"/>
              <w:rPr>
                <w:sz w:val="1"/>
                <w:szCs w:val="1"/>
                <w:color w:val="auto"/>
              </w:rPr>
            </w:pPr>
          </w:p>
        </w:tc>
        <w:tc>
          <w:tcPr>
            <w:tcW w:w="1420" w:type="dxa"/>
            <w:vAlign w:val="bottom"/>
            <w:shd w:val="clear" w:color="auto" w:fill="808080"/>
          </w:tcPr>
          <w:p>
            <w:pPr>
              <w:spacing w:after="0" w:line="20" w:lineRule="exact"/>
              <w:rPr>
                <w:sz w:val="1"/>
                <w:szCs w:val="1"/>
                <w:color w:val="auto"/>
              </w:rPr>
            </w:pPr>
          </w:p>
        </w:tc>
        <w:tc>
          <w:tcPr>
            <w:tcW w:w="1060" w:type="dxa"/>
            <w:vAlign w:val="bottom"/>
            <w:shd w:val="clear" w:color="auto" w:fill="808080"/>
          </w:tcPr>
          <w:p>
            <w:pPr>
              <w:spacing w:after="0" w:line="20" w:lineRule="exact"/>
              <w:rPr>
                <w:sz w:val="1"/>
                <w:szCs w:val="1"/>
                <w:color w:val="auto"/>
              </w:rPr>
            </w:pPr>
          </w:p>
        </w:tc>
        <w:tc>
          <w:tcPr>
            <w:tcW w:w="300" w:type="dxa"/>
            <w:vAlign w:val="bottom"/>
            <w:shd w:val="clear" w:color="auto" w:fill="80808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60" w:type="dxa"/>
            <w:vAlign w:val="bottom"/>
          </w:tcPr>
          <w:p>
            <w:pPr>
              <w:spacing w:after="0"/>
              <w:rPr>
                <w:sz w:val="18"/>
                <w:szCs w:val="18"/>
                <w:color w:val="auto"/>
              </w:rPr>
            </w:pPr>
          </w:p>
        </w:tc>
        <w:tc>
          <w:tcPr>
            <w:tcW w:w="2800" w:type="dxa"/>
            <w:vAlign w:val="bottom"/>
          </w:tcPr>
          <w:p>
            <w:pPr>
              <w:ind w:left="320"/>
              <w:spacing w:after="0"/>
              <w:rPr>
                <w:sz w:val="20"/>
                <w:szCs w:val="20"/>
                <w:color w:val="auto"/>
              </w:rPr>
            </w:pPr>
            <w:r>
              <w:rPr>
                <w:rFonts w:ascii="Arial" w:cs="Arial" w:eastAsia="Arial" w:hAnsi="Arial"/>
                <w:sz w:val="15"/>
                <w:szCs w:val="15"/>
                <w:b w:val="1"/>
                <w:bCs w:val="1"/>
                <w:color w:val="auto"/>
              </w:rPr>
              <w:t>Performance:</w:t>
            </w: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136.64 %</w:t>
            </w:r>
          </w:p>
        </w:tc>
        <w:tc>
          <w:tcPr>
            <w:tcW w:w="0" w:type="dxa"/>
            <w:vAlign w:val="bottom"/>
          </w:tcPr>
          <w:p>
            <w:pPr>
              <w:spacing w:after="0"/>
              <w:rPr>
                <w:sz w:val="1"/>
                <w:szCs w:val="1"/>
                <w:color w:val="auto"/>
              </w:rPr>
            </w:pPr>
          </w:p>
        </w:tc>
      </w:tr>
      <w:tr>
        <w:trPr>
          <w:trHeight w:val="25"/>
        </w:trPr>
        <w:tc>
          <w:tcPr>
            <w:tcW w:w="7160" w:type="dxa"/>
            <w:vAlign w:val="bottom"/>
          </w:tcPr>
          <w:p>
            <w:pPr>
              <w:spacing w:after="0"/>
              <w:rPr>
                <w:sz w:val="2"/>
                <w:szCs w:val="2"/>
                <w:color w:val="auto"/>
              </w:rPr>
            </w:pPr>
          </w:p>
        </w:tc>
        <w:tc>
          <w:tcPr>
            <w:tcW w:w="2800" w:type="dxa"/>
            <w:vAlign w:val="bottom"/>
            <w:tcBorders>
              <w:bottom w:val="single" w:sz="8" w:color="808080"/>
            </w:tcBorders>
          </w:tcPr>
          <w:p>
            <w:pPr>
              <w:spacing w:after="0"/>
              <w:rPr>
                <w:sz w:val="2"/>
                <w:szCs w:val="2"/>
                <w:color w:val="auto"/>
              </w:rPr>
            </w:pPr>
          </w:p>
        </w:tc>
        <w:tc>
          <w:tcPr>
            <w:tcW w:w="126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160" w:type="dxa"/>
            <w:vAlign w:val="bottom"/>
          </w:tcPr>
          <w:p>
            <w:pPr>
              <w:spacing w:after="0"/>
              <w:rPr>
                <w:sz w:val="16"/>
                <w:szCs w:val="16"/>
                <w:color w:val="auto"/>
              </w:rPr>
            </w:pPr>
          </w:p>
        </w:tc>
        <w:tc>
          <w:tcPr>
            <w:tcW w:w="2800" w:type="dxa"/>
            <w:vAlign w:val="bottom"/>
          </w:tcPr>
          <w:p>
            <w:pPr>
              <w:ind w:left="320"/>
              <w:spacing w:after="0"/>
              <w:rPr>
                <w:sz w:val="20"/>
                <w:szCs w:val="20"/>
                <w:color w:val="auto"/>
              </w:rPr>
            </w:pPr>
            <w:r>
              <w:rPr>
                <w:rFonts w:ascii="Arial" w:cs="Arial" w:eastAsia="Arial" w:hAnsi="Arial"/>
                <w:sz w:val="15"/>
                <w:szCs w:val="15"/>
                <w:b w:val="1"/>
                <w:bCs w:val="1"/>
                <w:color w:val="auto"/>
              </w:rPr>
              <w:t>Responsible Business</w:t>
            </w:r>
          </w:p>
        </w:tc>
        <w:tc>
          <w:tcPr>
            <w:tcW w:w="12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100.00 %</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18"/>
                <w:szCs w:val="18"/>
                <w:color w:val="auto"/>
              </w:rPr>
            </w:pPr>
          </w:p>
        </w:tc>
        <w:tc>
          <w:tcPr>
            <w:tcW w:w="2800" w:type="dxa"/>
            <w:vAlign w:val="bottom"/>
            <w:tcBorders>
              <w:bottom w:val="single" w:sz="8" w:color="808080"/>
            </w:tcBorders>
          </w:tcPr>
          <w:p>
            <w:pPr>
              <w:ind w:left="320"/>
              <w:spacing w:after="0"/>
              <w:rPr>
                <w:sz w:val="20"/>
                <w:szCs w:val="20"/>
                <w:color w:val="auto"/>
              </w:rPr>
            </w:pPr>
            <w:r>
              <w:rPr>
                <w:rFonts w:ascii="Arial" w:cs="Arial" w:eastAsia="Arial" w:hAnsi="Arial"/>
                <w:sz w:val="15"/>
                <w:szCs w:val="15"/>
                <w:b w:val="1"/>
                <w:bCs w:val="1"/>
                <w:color w:val="auto"/>
              </w:rPr>
              <w:t>Modifier:</w:t>
            </w:r>
          </w:p>
        </w:tc>
        <w:tc>
          <w:tcPr>
            <w:tcW w:w="1260" w:type="dxa"/>
            <w:vAlign w:val="bottom"/>
            <w:tcBorders>
              <w:bottom w:val="single" w:sz="8" w:color="80808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60" w:type="dxa"/>
            <w:vAlign w:val="bottom"/>
          </w:tcPr>
          <w:p>
            <w:pPr>
              <w:spacing w:after="0"/>
              <w:rPr>
                <w:sz w:val="18"/>
                <w:szCs w:val="18"/>
                <w:color w:val="auto"/>
              </w:rPr>
            </w:pPr>
          </w:p>
        </w:tc>
        <w:tc>
          <w:tcPr>
            <w:tcW w:w="2800" w:type="dxa"/>
            <w:vAlign w:val="bottom"/>
          </w:tcPr>
          <w:p>
            <w:pPr>
              <w:ind w:left="320"/>
              <w:spacing w:after="0"/>
              <w:rPr>
                <w:sz w:val="20"/>
                <w:szCs w:val="20"/>
                <w:color w:val="auto"/>
              </w:rPr>
            </w:pPr>
            <w:r>
              <w:rPr>
                <w:rFonts w:ascii="Arial" w:cs="Arial" w:eastAsia="Arial" w:hAnsi="Arial"/>
                <w:sz w:val="15"/>
                <w:szCs w:val="15"/>
                <w:b w:val="1"/>
                <w:bCs w:val="1"/>
                <w:color w:val="auto"/>
              </w:rPr>
              <w:t>Final Performance Factor:</w:t>
            </w: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136.64 %</w:t>
            </w:r>
          </w:p>
        </w:tc>
        <w:tc>
          <w:tcPr>
            <w:tcW w:w="0" w:type="dxa"/>
            <w:vAlign w:val="bottom"/>
          </w:tcPr>
          <w:p>
            <w:pPr>
              <w:spacing w:after="0"/>
              <w:rPr>
                <w:sz w:val="1"/>
                <w:szCs w:val="1"/>
                <w:color w:val="auto"/>
              </w:rPr>
            </w:pPr>
          </w:p>
        </w:tc>
      </w:tr>
      <w:tr>
        <w:trPr>
          <w:trHeight w:val="25"/>
        </w:trPr>
        <w:tc>
          <w:tcPr>
            <w:tcW w:w="7160" w:type="dxa"/>
            <w:vAlign w:val="bottom"/>
            <w:tcBorders>
              <w:bottom w:val="single" w:sz="8" w:color="808080"/>
            </w:tcBorders>
          </w:tcPr>
          <w:p>
            <w:pPr>
              <w:spacing w:after="0"/>
              <w:rPr>
                <w:sz w:val="2"/>
                <w:szCs w:val="2"/>
                <w:color w:val="auto"/>
              </w:rPr>
            </w:pPr>
          </w:p>
        </w:tc>
        <w:tc>
          <w:tcPr>
            <w:tcW w:w="2800" w:type="dxa"/>
            <w:vAlign w:val="bottom"/>
            <w:tcBorders>
              <w:bottom w:val="single" w:sz="8" w:color="808080"/>
            </w:tcBorders>
          </w:tcPr>
          <w:p>
            <w:pPr>
              <w:spacing w:after="0"/>
              <w:rPr>
                <w:sz w:val="2"/>
                <w:szCs w:val="2"/>
                <w:color w:val="auto"/>
              </w:rPr>
            </w:pPr>
          </w:p>
        </w:tc>
        <w:tc>
          <w:tcPr>
            <w:tcW w:w="126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460"/>
        <w:spacing w:after="0" w:line="275" w:lineRule="auto"/>
        <w:rPr>
          <w:sz w:val="20"/>
          <w:szCs w:val="20"/>
          <w:color w:val="auto"/>
        </w:rPr>
      </w:pPr>
      <w:r>
        <w:rPr>
          <w:rFonts w:ascii="Arial" w:cs="Arial" w:eastAsia="Arial" w:hAnsi="Arial"/>
          <w:sz w:val="16"/>
          <w:szCs w:val="16"/>
          <w:color w:val="auto"/>
        </w:rPr>
        <w:t>AIP targets are set and expressed as a percentage of base salary. At the end of the year, the performance factor is calculated based on the weighted average of the actual results for each of the performance metrics. The final AIP award is calculated by multiplying the target award by the performance factor. Final awards can range from 0% to 200% of target.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There are no individual performance modifiers for Exelon’s executive officers, including the NEOs.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actual AIP payout amounts awarded to Exelon’s NEOs.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40" w:type="dxa"/>
            <w:vAlign w:val="bottom"/>
          </w:tcPr>
          <w:p>
            <w:pPr>
              <w:spacing w:after="0"/>
              <w:rPr>
                <w:sz w:val="16"/>
                <w:szCs w:val="16"/>
                <w:color w:val="auto"/>
              </w:rPr>
            </w:pPr>
          </w:p>
        </w:tc>
        <w:tc>
          <w:tcPr>
            <w:tcW w:w="3780" w:type="dxa"/>
            <w:vAlign w:val="bottom"/>
            <w:vMerge w:val="restart"/>
          </w:tcPr>
          <w:p>
            <w:pPr>
              <w:jc w:val="right"/>
              <w:ind w:right="185"/>
              <w:spacing w:after="0"/>
              <w:rPr>
                <w:sz w:val="20"/>
                <w:szCs w:val="20"/>
                <w:color w:val="auto"/>
              </w:rPr>
            </w:pPr>
            <w:r>
              <w:rPr>
                <w:rFonts w:ascii="Arial" w:cs="Arial" w:eastAsia="Arial" w:hAnsi="Arial"/>
                <w:sz w:val="14"/>
                <w:szCs w:val="14"/>
                <w:b w:val="1"/>
                <w:bCs w:val="1"/>
                <w:color w:val="170D67"/>
              </w:rPr>
              <w:t>AIP Target</w:t>
            </w:r>
          </w:p>
        </w:tc>
        <w:tc>
          <w:tcPr>
            <w:tcW w:w="1540" w:type="dxa"/>
            <w:vAlign w:val="bottom"/>
          </w:tcPr>
          <w:p>
            <w:pPr>
              <w:jc w:val="right"/>
              <w:ind w:right="225"/>
              <w:spacing w:after="0"/>
              <w:rPr>
                <w:sz w:val="20"/>
                <w:szCs w:val="20"/>
                <w:color w:val="auto"/>
              </w:rPr>
            </w:pPr>
            <w:r>
              <w:rPr>
                <w:rFonts w:ascii="Arial" w:cs="Arial" w:eastAsia="Arial" w:hAnsi="Arial"/>
                <w:sz w:val="14"/>
                <w:szCs w:val="14"/>
                <w:b w:val="1"/>
                <w:bCs w:val="1"/>
                <w:color w:val="170D67"/>
              </w:rPr>
              <w:t>Dollar Value of</w:t>
            </w:r>
          </w:p>
        </w:tc>
        <w:tc>
          <w:tcPr>
            <w:tcW w:w="1420" w:type="dxa"/>
            <w:vAlign w:val="bottom"/>
            <w:vMerge w:val="restart"/>
          </w:tcPr>
          <w:p>
            <w:pPr>
              <w:jc w:val="right"/>
              <w:ind w:right="185"/>
              <w:spacing w:after="0"/>
              <w:rPr>
                <w:sz w:val="20"/>
                <w:szCs w:val="20"/>
                <w:color w:val="auto"/>
              </w:rPr>
            </w:pPr>
            <w:r>
              <w:rPr>
                <w:rFonts w:ascii="Arial" w:cs="Arial" w:eastAsia="Arial" w:hAnsi="Arial"/>
                <w:sz w:val="14"/>
                <w:szCs w:val="14"/>
                <w:b w:val="1"/>
                <w:bCs w:val="1"/>
                <w:color w:val="170D67"/>
              </w:rPr>
              <w:t>Performance</w:t>
            </w:r>
          </w:p>
        </w:tc>
        <w:tc>
          <w:tcPr>
            <w:tcW w:w="1040" w:type="dxa"/>
            <w:vAlign w:val="bottom"/>
            <w:shd w:val="clear" w:color="auto" w:fill="EDEDED"/>
          </w:tcPr>
          <w:p>
            <w:pPr>
              <w:jc w:val="right"/>
              <w:spacing w:after="0"/>
              <w:rPr>
                <w:sz w:val="20"/>
                <w:szCs w:val="20"/>
                <w:color w:val="auto"/>
              </w:rPr>
            </w:pPr>
            <w:r>
              <w:rPr>
                <w:rFonts w:ascii="Arial" w:cs="Arial" w:eastAsia="Arial" w:hAnsi="Arial"/>
                <w:sz w:val="14"/>
                <w:szCs w:val="14"/>
                <w:b w:val="1"/>
                <w:bCs w:val="1"/>
                <w:color w:val="170D67"/>
              </w:rPr>
              <w:t>Actual</w:t>
            </w: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3780" w:type="dxa"/>
            <w:vAlign w:val="bottom"/>
            <w:vMerge w:val="continue"/>
          </w:tcPr>
          <w:p>
            <w:pPr>
              <w:spacing w:after="0"/>
              <w:rPr>
                <w:sz w:val="14"/>
                <w:szCs w:val="14"/>
                <w:color w:val="auto"/>
              </w:rPr>
            </w:pPr>
          </w:p>
        </w:tc>
        <w:tc>
          <w:tcPr>
            <w:tcW w:w="1540" w:type="dxa"/>
            <w:vAlign w:val="bottom"/>
          </w:tcPr>
          <w:p>
            <w:pPr>
              <w:jc w:val="right"/>
              <w:ind w:right="225"/>
              <w:spacing w:after="0"/>
              <w:rPr>
                <w:sz w:val="20"/>
                <w:szCs w:val="20"/>
                <w:color w:val="auto"/>
              </w:rPr>
            </w:pPr>
            <w:r>
              <w:rPr>
                <w:rFonts w:ascii="Arial" w:cs="Arial" w:eastAsia="Arial" w:hAnsi="Arial"/>
                <w:sz w:val="14"/>
                <w:szCs w:val="14"/>
                <w:b w:val="1"/>
                <w:bCs w:val="1"/>
                <w:color w:val="170D67"/>
              </w:rPr>
              <w:t>AIP Target</w:t>
            </w:r>
          </w:p>
        </w:tc>
        <w:tc>
          <w:tcPr>
            <w:tcW w:w="1420" w:type="dxa"/>
            <w:vAlign w:val="bottom"/>
            <w:vMerge w:val="continue"/>
          </w:tcPr>
          <w:p>
            <w:pPr>
              <w:spacing w:after="0"/>
              <w:rPr>
                <w:sz w:val="14"/>
                <w:szCs w:val="14"/>
                <w:color w:val="auto"/>
              </w:rPr>
            </w:pPr>
          </w:p>
        </w:tc>
        <w:tc>
          <w:tcPr>
            <w:tcW w:w="1040" w:type="dxa"/>
            <w:vAlign w:val="bottom"/>
            <w:shd w:val="clear" w:color="auto" w:fill="EDEDED"/>
          </w:tcPr>
          <w:p>
            <w:pPr>
              <w:jc w:val="right"/>
              <w:spacing w:after="0"/>
              <w:rPr>
                <w:sz w:val="20"/>
                <w:szCs w:val="20"/>
                <w:color w:val="auto"/>
              </w:rPr>
            </w:pPr>
            <w:r>
              <w:rPr>
                <w:rFonts w:ascii="Arial" w:cs="Arial" w:eastAsia="Arial" w:hAnsi="Arial"/>
                <w:sz w:val="14"/>
                <w:szCs w:val="14"/>
                <w:b w:val="1"/>
                <w:bCs w:val="1"/>
                <w:color w:val="170D67"/>
              </w:rPr>
              <w:t>Award</w:t>
            </w:r>
          </w:p>
        </w:tc>
        <w:tc>
          <w:tcPr>
            <w:tcW w:w="0" w:type="dxa"/>
            <w:vAlign w:val="bottom"/>
          </w:tcPr>
          <w:p>
            <w:pPr>
              <w:spacing w:after="0"/>
              <w:rPr>
                <w:sz w:val="1"/>
                <w:szCs w:val="1"/>
                <w:color w:val="auto"/>
              </w:rPr>
            </w:pPr>
          </w:p>
        </w:tc>
      </w:tr>
      <w:tr>
        <w:trPr>
          <w:trHeight w:val="211"/>
        </w:trPr>
        <w:tc>
          <w:tcPr>
            <w:tcW w:w="3440" w:type="dxa"/>
            <w:vAlign w:val="bottom"/>
            <w:tcBorders>
              <w:bottom w:val="single" w:sz="8" w:color="170D67"/>
            </w:tcBorders>
          </w:tcPr>
          <w:p>
            <w:pPr>
              <w:ind w:left="20"/>
              <w:spacing w:after="0"/>
              <w:rPr>
                <w:sz w:val="20"/>
                <w:szCs w:val="20"/>
                <w:color w:val="auto"/>
              </w:rPr>
            </w:pPr>
            <w:r>
              <w:rPr>
                <w:rFonts w:ascii="Arial" w:cs="Arial" w:eastAsia="Arial" w:hAnsi="Arial"/>
                <w:sz w:val="14"/>
                <w:szCs w:val="14"/>
                <w:b w:val="1"/>
                <w:bCs w:val="1"/>
                <w:color w:val="170D67"/>
              </w:rPr>
              <w:t>Name</w:t>
            </w:r>
          </w:p>
        </w:tc>
        <w:tc>
          <w:tcPr>
            <w:tcW w:w="3780" w:type="dxa"/>
            <w:vAlign w:val="bottom"/>
            <w:tcBorders>
              <w:bottom w:val="single" w:sz="8" w:color="170D67"/>
            </w:tcBorders>
          </w:tcPr>
          <w:p>
            <w:pPr>
              <w:jc w:val="right"/>
              <w:ind w:right="185"/>
              <w:spacing w:after="0"/>
              <w:rPr>
                <w:sz w:val="20"/>
                <w:szCs w:val="20"/>
                <w:color w:val="auto"/>
              </w:rPr>
            </w:pPr>
            <w:r>
              <w:rPr>
                <w:rFonts w:ascii="Arial" w:cs="Arial" w:eastAsia="Arial" w:hAnsi="Arial"/>
                <w:sz w:val="14"/>
                <w:szCs w:val="14"/>
                <w:b w:val="1"/>
                <w:bCs w:val="1"/>
                <w:color w:val="170D67"/>
              </w:rPr>
              <w:t>(% of Salary)</w:t>
            </w:r>
          </w:p>
        </w:tc>
        <w:tc>
          <w:tcPr>
            <w:tcW w:w="1540" w:type="dxa"/>
            <w:vAlign w:val="bottom"/>
            <w:tcBorders>
              <w:bottom w:val="single" w:sz="8" w:color="170D67"/>
            </w:tcBorders>
          </w:tcPr>
          <w:p>
            <w:pPr>
              <w:jc w:val="right"/>
              <w:ind w:right="225"/>
              <w:spacing w:after="0"/>
              <w:rPr>
                <w:sz w:val="20"/>
                <w:szCs w:val="20"/>
                <w:color w:val="auto"/>
              </w:rPr>
            </w:pPr>
            <w:r>
              <w:rPr>
                <w:rFonts w:ascii="Arial" w:cs="Arial" w:eastAsia="Arial" w:hAnsi="Arial"/>
                <w:sz w:val="14"/>
                <w:szCs w:val="14"/>
                <w:b w:val="1"/>
                <w:bCs w:val="1"/>
                <w:color w:val="170D67"/>
              </w:rPr>
              <w:t>($)</w:t>
            </w:r>
          </w:p>
        </w:tc>
        <w:tc>
          <w:tcPr>
            <w:tcW w:w="1420" w:type="dxa"/>
            <w:vAlign w:val="bottom"/>
            <w:tcBorders>
              <w:bottom w:val="single" w:sz="8" w:color="170D67"/>
            </w:tcBorders>
          </w:tcPr>
          <w:p>
            <w:pPr>
              <w:jc w:val="right"/>
              <w:ind w:right="185"/>
              <w:spacing w:after="0"/>
              <w:rPr>
                <w:sz w:val="20"/>
                <w:szCs w:val="20"/>
                <w:color w:val="auto"/>
              </w:rPr>
            </w:pPr>
            <w:r>
              <w:rPr>
                <w:rFonts w:ascii="Arial" w:cs="Arial" w:eastAsia="Arial" w:hAnsi="Arial"/>
                <w:sz w:val="14"/>
                <w:szCs w:val="14"/>
                <w:b w:val="1"/>
                <w:bCs w:val="1"/>
                <w:color w:val="170D67"/>
              </w:rPr>
              <w:t>Factor</w:t>
            </w:r>
          </w:p>
        </w:tc>
        <w:tc>
          <w:tcPr>
            <w:tcW w:w="1040" w:type="dxa"/>
            <w:vAlign w:val="bottom"/>
            <w:tcBorders>
              <w:bottom w:val="single" w:sz="8" w:color="170D67"/>
            </w:tcBorders>
            <w:shd w:val="clear" w:color="auto" w:fill="EDEDED"/>
          </w:tcPr>
          <w:p>
            <w:pPr>
              <w:jc w:val="right"/>
              <w:spacing w:after="0"/>
              <w:rPr>
                <w:sz w:val="20"/>
                <w:szCs w:val="20"/>
                <w:color w:val="auto"/>
              </w:rPr>
            </w:pPr>
            <w:r>
              <w:rPr>
                <w:rFonts w:ascii="Arial" w:cs="Arial" w:eastAsia="Arial" w:hAnsi="Arial"/>
                <w:sz w:val="14"/>
                <w:szCs w:val="14"/>
                <w:b w:val="1"/>
                <w:bCs w:val="1"/>
                <w:color w:val="170D67"/>
              </w:rPr>
              <w:t>($)</w:t>
            </w:r>
          </w:p>
        </w:tc>
        <w:tc>
          <w:tcPr>
            <w:tcW w:w="0" w:type="dxa"/>
            <w:vAlign w:val="bottom"/>
          </w:tcPr>
          <w:p>
            <w:pPr>
              <w:spacing w:after="0"/>
              <w:rPr>
                <w:sz w:val="1"/>
                <w:szCs w:val="1"/>
                <w:color w:val="auto"/>
              </w:rPr>
            </w:pPr>
          </w:p>
        </w:tc>
      </w:tr>
      <w:tr>
        <w:trPr>
          <w:trHeight w:val="238"/>
        </w:trPr>
        <w:tc>
          <w:tcPr>
            <w:tcW w:w="3440" w:type="dxa"/>
            <w:vAlign w:val="bottom"/>
          </w:tcPr>
          <w:p>
            <w:pPr>
              <w:ind w:left="20"/>
              <w:spacing w:after="0"/>
              <w:rPr>
                <w:sz w:val="20"/>
                <w:szCs w:val="20"/>
                <w:color w:val="auto"/>
              </w:rPr>
            </w:pPr>
            <w:r>
              <w:rPr>
                <w:rFonts w:ascii="Arial" w:cs="Arial" w:eastAsia="Arial" w:hAnsi="Arial"/>
                <w:sz w:val="15"/>
                <w:szCs w:val="15"/>
                <w:color w:val="auto"/>
              </w:rPr>
              <w:t>Butler</w:t>
            </w:r>
          </w:p>
        </w:tc>
        <w:tc>
          <w:tcPr>
            <w:tcW w:w="3780" w:type="dxa"/>
            <w:vAlign w:val="bottom"/>
          </w:tcPr>
          <w:p>
            <w:pPr>
              <w:jc w:val="right"/>
              <w:ind w:right="185"/>
              <w:spacing w:after="0"/>
              <w:rPr>
                <w:sz w:val="20"/>
                <w:szCs w:val="20"/>
                <w:color w:val="auto"/>
              </w:rPr>
            </w:pPr>
            <w:r>
              <w:rPr>
                <w:rFonts w:ascii="Arial" w:cs="Arial" w:eastAsia="Arial" w:hAnsi="Arial"/>
                <w:sz w:val="15"/>
                <w:szCs w:val="15"/>
                <w:color w:val="auto"/>
              </w:rPr>
              <w:t>150.00 %</w:t>
            </w:r>
          </w:p>
        </w:tc>
        <w:tc>
          <w:tcPr>
            <w:tcW w:w="1540" w:type="dxa"/>
            <w:vAlign w:val="bottom"/>
          </w:tcPr>
          <w:p>
            <w:pPr>
              <w:jc w:val="right"/>
              <w:ind w:right="265"/>
              <w:spacing w:after="0"/>
              <w:rPr>
                <w:sz w:val="20"/>
                <w:szCs w:val="20"/>
                <w:color w:val="auto"/>
              </w:rPr>
            </w:pPr>
            <w:r>
              <w:rPr>
                <w:rFonts w:ascii="Arial" w:cs="Arial" w:eastAsia="Arial" w:hAnsi="Arial"/>
                <w:sz w:val="15"/>
                <w:szCs w:val="15"/>
                <w:color w:val="auto"/>
              </w:rPr>
              <w:t>1,932,000</w:t>
            </w:r>
          </w:p>
        </w:tc>
        <w:tc>
          <w:tcPr>
            <w:tcW w:w="1420" w:type="dxa"/>
            <w:vAlign w:val="bottom"/>
          </w:tcPr>
          <w:p>
            <w:pPr>
              <w:jc w:val="right"/>
              <w:ind w:right="205"/>
              <w:spacing w:after="0"/>
              <w:rPr>
                <w:sz w:val="20"/>
                <w:szCs w:val="20"/>
                <w:color w:val="auto"/>
              </w:rPr>
            </w:pPr>
            <w:r>
              <w:rPr>
                <w:rFonts w:ascii="Arial" w:cs="Arial" w:eastAsia="Arial" w:hAnsi="Arial"/>
                <w:sz w:val="15"/>
                <w:szCs w:val="15"/>
                <w:color w:val="auto"/>
              </w:rPr>
              <w:t>136.64 %</w:t>
            </w:r>
          </w:p>
        </w:tc>
        <w:tc>
          <w:tcPr>
            <w:tcW w:w="10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color w:val="auto"/>
              </w:rPr>
              <w:t>2,639,885</w:t>
            </w:r>
          </w:p>
        </w:tc>
        <w:tc>
          <w:tcPr>
            <w:tcW w:w="0" w:type="dxa"/>
            <w:vAlign w:val="bottom"/>
          </w:tcPr>
          <w:p>
            <w:pPr>
              <w:spacing w:after="0"/>
              <w:rPr>
                <w:sz w:val="1"/>
                <w:szCs w:val="1"/>
                <w:color w:val="auto"/>
              </w:rPr>
            </w:pPr>
          </w:p>
        </w:tc>
      </w:tr>
      <w:tr>
        <w:trPr>
          <w:trHeight w:val="237"/>
        </w:trPr>
        <w:tc>
          <w:tcPr>
            <w:tcW w:w="3440" w:type="dxa"/>
            <w:vAlign w:val="bottom"/>
            <w:tcBorders>
              <w:top w:val="single" w:sz="8" w:color="808080"/>
            </w:tcBorders>
          </w:tcPr>
          <w:p>
            <w:pPr>
              <w:ind w:left="20"/>
              <w:spacing w:after="0"/>
              <w:rPr>
                <w:sz w:val="20"/>
                <w:szCs w:val="20"/>
                <w:color w:val="auto"/>
              </w:rPr>
            </w:pPr>
            <w:r>
              <w:rPr>
                <w:rFonts w:ascii="Arial" w:cs="Arial" w:eastAsia="Arial" w:hAnsi="Arial"/>
                <w:sz w:val="15"/>
                <w:szCs w:val="15"/>
                <w:color w:val="auto"/>
              </w:rPr>
              <w:t>Jones</w:t>
            </w:r>
          </w:p>
        </w:tc>
        <w:tc>
          <w:tcPr>
            <w:tcW w:w="3780" w:type="dxa"/>
            <w:vAlign w:val="bottom"/>
            <w:tcBorders>
              <w:top w:val="single" w:sz="8" w:color="808080"/>
            </w:tcBorders>
          </w:tcPr>
          <w:p>
            <w:pPr>
              <w:jc w:val="right"/>
              <w:ind w:right="185"/>
              <w:spacing w:after="0"/>
              <w:rPr>
                <w:sz w:val="20"/>
                <w:szCs w:val="20"/>
                <w:color w:val="auto"/>
              </w:rPr>
            </w:pPr>
            <w:r>
              <w:rPr>
                <w:rFonts w:ascii="Arial" w:cs="Arial" w:eastAsia="Arial" w:hAnsi="Arial"/>
                <w:sz w:val="15"/>
                <w:szCs w:val="15"/>
                <w:color w:val="auto"/>
              </w:rPr>
              <w:t>90.00 %</w:t>
            </w:r>
          </w:p>
        </w:tc>
        <w:tc>
          <w:tcPr>
            <w:tcW w:w="1540" w:type="dxa"/>
            <w:vAlign w:val="bottom"/>
            <w:tcBorders>
              <w:top w:val="single" w:sz="8" w:color="808080"/>
            </w:tcBorders>
          </w:tcPr>
          <w:p>
            <w:pPr>
              <w:jc w:val="right"/>
              <w:ind w:right="265"/>
              <w:spacing w:after="0"/>
              <w:rPr>
                <w:sz w:val="20"/>
                <w:szCs w:val="20"/>
                <w:color w:val="auto"/>
              </w:rPr>
            </w:pPr>
            <w:r>
              <w:rPr>
                <w:rFonts w:ascii="Arial" w:cs="Arial" w:eastAsia="Arial" w:hAnsi="Arial"/>
                <w:sz w:val="15"/>
                <w:szCs w:val="15"/>
                <w:color w:val="auto"/>
              </w:rPr>
              <w:t>650,988</w:t>
            </w:r>
          </w:p>
        </w:tc>
        <w:tc>
          <w:tcPr>
            <w:tcW w:w="1420" w:type="dxa"/>
            <w:vAlign w:val="bottom"/>
            <w:tcBorders>
              <w:top w:val="single" w:sz="8" w:color="808080"/>
            </w:tcBorders>
          </w:tcPr>
          <w:p>
            <w:pPr>
              <w:jc w:val="right"/>
              <w:ind w:right="205"/>
              <w:spacing w:after="0"/>
              <w:rPr>
                <w:sz w:val="20"/>
                <w:szCs w:val="20"/>
                <w:color w:val="auto"/>
              </w:rPr>
            </w:pPr>
            <w:r>
              <w:rPr>
                <w:rFonts w:ascii="Arial" w:cs="Arial" w:eastAsia="Arial" w:hAnsi="Arial"/>
                <w:sz w:val="15"/>
                <w:szCs w:val="15"/>
                <w:color w:val="auto"/>
              </w:rPr>
              <w:t>136.64 %</w:t>
            </w:r>
          </w:p>
        </w:tc>
        <w:tc>
          <w:tcPr>
            <w:tcW w:w="1040" w:type="dxa"/>
            <w:vAlign w:val="bottom"/>
            <w:tcBorders>
              <w:top w:val="single" w:sz="8" w:color="808080"/>
              <w:bottom w:val="single" w:sz="8" w:color="EDEDED"/>
            </w:tcBorders>
            <w:shd w:val="clear" w:color="auto" w:fill="EDEDED"/>
          </w:tcPr>
          <w:p>
            <w:pPr>
              <w:jc w:val="right"/>
              <w:spacing w:after="0"/>
              <w:rPr>
                <w:sz w:val="20"/>
                <w:szCs w:val="20"/>
                <w:color w:val="auto"/>
              </w:rPr>
            </w:pPr>
            <w:r>
              <w:rPr>
                <w:rFonts w:ascii="Arial" w:cs="Arial" w:eastAsia="Arial" w:hAnsi="Arial"/>
                <w:sz w:val="15"/>
                <w:szCs w:val="15"/>
                <w:color w:val="auto"/>
              </w:rPr>
              <w:t>889,510</w:t>
            </w:r>
          </w:p>
        </w:tc>
        <w:tc>
          <w:tcPr>
            <w:tcW w:w="0" w:type="dxa"/>
            <w:vAlign w:val="bottom"/>
          </w:tcPr>
          <w:p>
            <w:pPr>
              <w:spacing w:after="0"/>
              <w:rPr>
                <w:sz w:val="1"/>
                <w:szCs w:val="1"/>
                <w:color w:val="auto"/>
              </w:rPr>
            </w:pPr>
          </w:p>
        </w:tc>
      </w:tr>
      <w:tr>
        <w:trPr>
          <w:trHeight w:val="236"/>
        </w:trPr>
        <w:tc>
          <w:tcPr>
            <w:tcW w:w="3440" w:type="dxa"/>
            <w:vAlign w:val="bottom"/>
            <w:tcBorders>
              <w:top w:val="single" w:sz="8" w:color="808080"/>
            </w:tcBorders>
          </w:tcPr>
          <w:p>
            <w:pPr>
              <w:ind w:left="20"/>
              <w:spacing w:after="0"/>
              <w:rPr>
                <w:sz w:val="20"/>
                <w:szCs w:val="20"/>
                <w:color w:val="auto"/>
              </w:rPr>
            </w:pPr>
            <w:r>
              <w:rPr>
                <w:rFonts w:ascii="Arial" w:cs="Arial" w:eastAsia="Arial" w:hAnsi="Arial"/>
                <w:sz w:val="15"/>
                <w:szCs w:val="15"/>
                <w:color w:val="auto"/>
              </w:rPr>
              <w:t>Littleton</w:t>
            </w:r>
          </w:p>
        </w:tc>
        <w:tc>
          <w:tcPr>
            <w:tcW w:w="3780" w:type="dxa"/>
            <w:vAlign w:val="bottom"/>
            <w:tcBorders>
              <w:top w:val="single" w:sz="8" w:color="808080"/>
            </w:tcBorders>
          </w:tcPr>
          <w:p>
            <w:pPr>
              <w:jc w:val="right"/>
              <w:ind w:right="185"/>
              <w:spacing w:after="0"/>
              <w:rPr>
                <w:sz w:val="20"/>
                <w:szCs w:val="20"/>
                <w:color w:val="auto"/>
              </w:rPr>
            </w:pPr>
            <w:r>
              <w:rPr>
                <w:rFonts w:ascii="Arial" w:cs="Arial" w:eastAsia="Arial" w:hAnsi="Arial"/>
                <w:sz w:val="15"/>
                <w:szCs w:val="15"/>
                <w:color w:val="auto"/>
              </w:rPr>
              <w:t>90.00 %</w:t>
            </w:r>
          </w:p>
        </w:tc>
        <w:tc>
          <w:tcPr>
            <w:tcW w:w="1540" w:type="dxa"/>
            <w:vAlign w:val="bottom"/>
            <w:tcBorders>
              <w:top w:val="single" w:sz="8" w:color="808080"/>
            </w:tcBorders>
          </w:tcPr>
          <w:p>
            <w:pPr>
              <w:jc w:val="right"/>
              <w:ind w:right="265"/>
              <w:spacing w:after="0"/>
              <w:rPr>
                <w:sz w:val="20"/>
                <w:szCs w:val="20"/>
                <w:color w:val="auto"/>
              </w:rPr>
            </w:pPr>
            <w:r>
              <w:rPr>
                <w:rFonts w:ascii="Arial" w:cs="Arial" w:eastAsia="Arial" w:hAnsi="Arial"/>
                <w:sz w:val="15"/>
                <w:szCs w:val="15"/>
                <w:color w:val="auto"/>
              </w:rPr>
              <w:t>626,652</w:t>
            </w:r>
          </w:p>
        </w:tc>
        <w:tc>
          <w:tcPr>
            <w:tcW w:w="1420" w:type="dxa"/>
            <w:vAlign w:val="bottom"/>
            <w:tcBorders>
              <w:top w:val="single" w:sz="8" w:color="808080"/>
            </w:tcBorders>
          </w:tcPr>
          <w:p>
            <w:pPr>
              <w:jc w:val="right"/>
              <w:ind w:right="205"/>
              <w:spacing w:after="0"/>
              <w:rPr>
                <w:sz w:val="20"/>
                <w:szCs w:val="20"/>
                <w:color w:val="auto"/>
              </w:rPr>
            </w:pPr>
            <w:r>
              <w:rPr>
                <w:rFonts w:ascii="Arial" w:cs="Arial" w:eastAsia="Arial" w:hAnsi="Arial"/>
                <w:sz w:val="15"/>
                <w:szCs w:val="15"/>
                <w:color w:val="auto"/>
              </w:rPr>
              <w:t>136.64 %</w:t>
            </w:r>
          </w:p>
        </w:tc>
        <w:tc>
          <w:tcPr>
            <w:tcW w:w="1040" w:type="dxa"/>
            <w:vAlign w:val="bottom"/>
            <w:tcBorders>
              <w:top w:val="single" w:sz="8" w:color="808080"/>
              <w:bottom w:val="single" w:sz="8" w:color="EDEDED"/>
            </w:tcBorders>
            <w:shd w:val="clear" w:color="auto" w:fill="EDEDED"/>
          </w:tcPr>
          <w:p>
            <w:pPr>
              <w:jc w:val="right"/>
              <w:spacing w:after="0"/>
              <w:rPr>
                <w:sz w:val="20"/>
                <w:szCs w:val="20"/>
                <w:color w:val="auto"/>
              </w:rPr>
            </w:pPr>
            <w:r>
              <w:rPr>
                <w:rFonts w:ascii="Arial" w:cs="Arial" w:eastAsia="Arial" w:hAnsi="Arial"/>
                <w:sz w:val="15"/>
                <w:szCs w:val="15"/>
                <w:color w:val="auto"/>
              </w:rPr>
              <w:t>856,257</w:t>
            </w:r>
          </w:p>
        </w:tc>
        <w:tc>
          <w:tcPr>
            <w:tcW w:w="0" w:type="dxa"/>
            <w:vAlign w:val="bottom"/>
          </w:tcPr>
          <w:p>
            <w:pPr>
              <w:spacing w:after="0"/>
              <w:rPr>
                <w:sz w:val="1"/>
                <w:szCs w:val="1"/>
                <w:color w:val="auto"/>
              </w:rPr>
            </w:pPr>
          </w:p>
        </w:tc>
      </w:tr>
      <w:tr>
        <w:trPr>
          <w:trHeight w:val="237"/>
        </w:trPr>
        <w:tc>
          <w:tcPr>
            <w:tcW w:w="3440" w:type="dxa"/>
            <w:vAlign w:val="bottom"/>
            <w:tcBorders>
              <w:top w:val="single" w:sz="8" w:color="808080"/>
            </w:tcBorders>
          </w:tcPr>
          <w:p>
            <w:pPr>
              <w:ind w:left="20"/>
              <w:spacing w:after="0"/>
              <w:rPr>
                <w:sz w:val="20"/>
                <w:szCs w:val="20"/>
                <w:color w:val="auto"/>
              </w:rPr>
            </w:pPr>
            <w:r>
              <w:rPr>
                <w:rFonts w:ascii="Arial" w:cs="Arial" w:eastAsia="Arial" w:hAnsi="Arial"/>
                <w:sz w:val="15"/>
                <w:szCs w:val="15"/>
                <w:color w:val="auto"/>
              </w:rPr>
              <w:t>Glockner</w:t>
            </w:r>
          </w:p>
        </w:tc>
        <w:tc>
          <w:tcPr>
            <w:tcW w:w="3780" w:type="dxa"/>
            <w:vAlign w:val="bottom"/>
            <w:tcBorders>
              <w:top w:val="single" w:sz="8" w:color="808080"/>
            </w:tcBorders>
          </w:tcPr>
          <w:p>
            <w:pPr>
              <w:jc w:val="right"/>
              <w:ind w:right="185"/>
              <w:spacing w:after="0"/>
              <w:rPr>
                <w:sz w:val="20"/>
                <w:szCs w:val="20"/>
                <w:color w:val="auto"/>
              </w:rPr>
            </w:pPr>
            <w:r>
              <w:rPr>
                <w:rFonts w:ascii="Arial" w:cs="Arial" w:eastAsia="Arial" w:hAnsi="Arial"/>
                <w:sz w:val="15"/>
                <w:szCs w:val="15"/>
                <w:color w:val="auto"/>
              </w:rPr>
              <w:t>80.00 %</w:t>
            </w:r>
          </w:p>
        </w:tc>
        <w:tc>
          <w:tcPr>
            <w:tcW w:w="1540" w:type="dxa"/>
            <w:vAlign w:val="bottom"/>
            <w:tcBorders>
              <w:top w:val="single" w:sz="8" w:color="808080"/>
            </w:tcBorders>
          </w:tcPr>
          <w:p>
            <w:pPr>
              <w:jc w:val="right"/>
              <w:ind w:right="265"/>
              <w:spacing w:after="0"/>
              <w:rPr>
                <w:sz w:val="20"/>
                <w:szCs w:val="20"/>
                <w:color w:val="auto"/>
              </w:rPr>
            </w:pPr>
            <w:r>
              <w:rPr>
                <w:rFonts w:ascii="Arial" w:cs="Arial" w:eastAsia="Arial" w:hAnsi="Arial"/>
                <w:sz w:val="15"/>
                <w:szCs w:val="15"/>
                <w:color w:val="auto"/>
              </w:rPr>
              <w:t>532,301</w:t>
            </w:r>
          </w:p>
        </w:tc>
        <w:tc>
          <w:tcPr>
            <w:tcW w:w="1420" w:type="dxa"/>
            <w:vAlign w:val="bottom"/>
            <w:tcBorders>
              <w:top w:val="single" w:sz="8" w:color="808080"/>
            </w:tcBorders>
          </w:tcPr>
          <w:p>
            <w:pPr>
              <w:jc w:val="right"/>
              <w:ind w:right="205"/>
              <w:spacing w:after="0"/>
              <w:rPr>
                <w:sz w:val="20"/>
                <w:szCs w:val="20"/>
                <w:color w:val="auto"/>
              </w:rPr>
            </w:pPr>
            <w:r>
              <w:rPr>
                <w:rFonts w:ascii="Arial" w:cs="Arial" w:eastAsia="Arial" w:hAnsi="Arial"/>
                <w:sz w:val="15"/>
                <w:szCs w:val="15"/>
                <w:color w:val="auto"/>
              </w:rPr>
              <w:t>136.64 %</w:t>
            </w:r>
          </w:p>
        </w:tc>
        <w:tc>
          <w:tcPr>
            <w:tcW w:w="1040" w:type="dxa"/>
            <w:vAlign w:val="bottom"/>
            <w:tcBorders>
              <w:top w:val="single" w:sz="8" w:color="808080"/>
              <w:bottom w:val="single" w:sz="8" w:color="EDEDED"/>
            </w:tcBorders>
            <w:shd w:val="clear" w:color="auto" w:fill="EDEDED"/>
          </w:tcPr>
          <w:p>
            <w:pPr>
              <w:jc w:val="right"/>
              <w:spacing w:after="0"/>
              <w:rPr>
                <w:sz w:val="20"/>
                <w:szCs w:val="20"/>
                <w:color w:val="auto"/>
              </w:rPr>
            </w:pPr>
            <w:r>
              <w:rPr>
                <w:rFonts w:ascii="Arial" w:cs="Arial" w:eastAsia="Arial" w:hAnsi="Arial"/>
                <w:sz w:val="15"/>
                <w:szCs w:val="15"/>
                <w:color w:val="auto"/>
              </w:rPr>
              <w:t>727,336</w:t>
            </w:r>
          </w:p>
        </w:tc>
        <w:tc>
          <w:tcPr>
            <w:tcW w:w="0" w:type="dxa"/>
            <w:vAlign w:val="bottom"/>
          </w:tcPr>
          <w:p>
            <w:pPr>
              <w:spacing w:after="0"/>
              <w:rPr>
                <w:sz w:val="1"/>
                <w:szCs w:val="1"/>
                <w:color w:val="auto"/>
              </w:rPr>
            </w:pPr>
          </w:p>
        </w:tc>
      </w:tr>
      <w:tr>
        <w:trPr>
          <w:trHeight w:val="217"/>
        </w:trPr>
        <w:tc>
          <w:tcPr>
            <w:tcW w:w="3440" w:type="dxa"/>
            <w:vAlign w:val="bottom"/>
            <w:tcBorders>
              <w:top w:val="single" w:sz="8" w:color="808080"/>
            </w:tcBorders>
          </w:tcPr>
          <w:p>
            <w:pPr>
              <w:ind w:left="20"/>
              <w:spacing w:after="0"/>
              <w:rPr>
                <w:sz w:val="20"/>
                <w:szCs w:val="20"/>
                <w:color w:val="auto"/>
              </w:rPr>
            </w:pPr>
            <w:r>
              <w:rPr>
                <w:rFonts w:ascii="Arial" w:cs="Arial" w:eastAsia="Arial" w:hAnsi="Arial"/>
                <w:sz w:val="15"/>
                <w:szCs w:val="15"/>
                <w:color w:val="auto"/>
              </w:rPr>
              <w:t>Innocenzo</w:t>
            </w:r>
            <w:r>
              <w:rPr>
                <w:rFonts w:ascii="Arial" w:cs="Arial" w:eastAsia="Arial" w:hAnsi="Arial"/>
                <w:sz w:val="9"/>
                <w:szCs w:val="9"/>
                <w:color w:val="auto"/>
              </w:rPr>
              <w:t>1</w:t>
            </w:r>
          </w:p>
        </w:tc>
        <w:tc>
          <w:tcPr>
            <w:tcW w:w="3780" w:type="dxa"/>
            <w:vAlign w:val="bottom"/>
            <w:tcBorders>
              <w:top w:val="single" w:sz="8" w:color="808080"/>
            </w:tcBorders>
          </w:tcPr>
          <w:p>
            <w:pPr>
              <w:jc w:val="right"/>
              <w:ind w:right="185"/>
              <w:spacing w:after="0"/>
              <w:rPr>
                <w:sz w:val="20"/>
                <w:szCs w:val="20"/>
                <w:color w:val="auto"/>
              </w:rPr>
            </w:pPr>
            <w:r>
              <w:rPr>
                <w:rFonts w:ascii="Arial" w:cs="Arial" w:eastAsia="Arial" w:hAnsi="Arial"/>
                <w:sz w:val="15"/>
                <w:szCs w:val="15"/>
                <w:color w:val="auto"/>
              </w:rPr>
              <w:t>86.06 %</w:t>
            </w:r>
          </w:p>
        </w:tc>
        <w:tc>
          <w:tcPr>
            <w:tcW w:w="1540" w:type="dxa"/>
            <w:vAlign w:val="bottom"/>
            <w:tcBorders>
              <w:top w:val="single" w:sz="8" w:color="808080"/>
            </w:tcBorders>
          </w:tcPr>
          <w:p>
            <w:pPr>
              <w:jc w:val="right"/>
              <w:ind w:right="265"/>
              <w:spacing w:after="0"/>
              <w:rPr>
                <w:sz w:val="20"/>
                <w:szCs w:val="20"/>
                <w:color w:val="auto"/>
              </w:rPr>
            </w:pPr>
            <w:r>
              <w:rPr>
                <w:rFonts w:ascii="Arial" w:cs="Arial" w:eastAsia="Arial" w:hAnsi="Arial"/>
                <w:sz w:val="15"/>
                <w:szCs w:val="15"/>
                <w:color w:val="auto"/>
              </w:rPr>
              <w:t>567,574</w:t>
            </w:r>
          </w:p>
        </w:tc>
        <w:tc>
          <w:tcPr>
            <w:tcW w:w="1420" w:type="dxa"/>
            <w:vAlign w:val="bottom"/>
            <w:tcBorders>
              <w:top w:val="single" w:sz="8" w:color="808080"/>
            </w:tcBorders>
          </w:tcPr>
          <w:p>
            <w:pPr>
              <w:jc w:val="right"/>
              <w:ind w:right="205"/>
              <w:spacing w:after="0"/>
              <w:rPr>
                <w:sz w:val="20"/>
                <w:szCs w:val="20"/>
                <w:color w:val="auto"/>
              </w:rPr>
            </w:pPr>
            <w:r>
              <w:rPr>
                <w:rFonts w:ascii="Arial" w:cs="Arial" w:eastAsia="Arial" w:hAnsi="Arial"/>
                <w:sz w:val="15"/>
                <w:szCs w:val="15"/>
                <w:color w:val="auto"/>
              </w:rPr>
              <w:t>133.22 %</w:t>
            </w:r>
          </w:p>
        </w:tc>
        <w:tc>
          <w:tcPr>
            <w:tcW w:w="1040" w:type="dxa"/>
            <w:vAlign w:val="bottom"/>
            <w:tcBorders>
              <w:top w:val="single" w:sz="8" w:color="808080"/>
              <w:bottom w:val="single" w:sz="8" w:color="EDEDED"/>
            </w:tcBorders>
            <w:shd w:val="clear" w:color="auto" w:fill="EDEDED"/>
          </w:tcPr>
          <w:p>
            <w:pPr>
              <w:jc w:val="right"/>
              <w:spacing w:after="0"/>
              <w:rPr>
                <w:sz w:val="20"/>
                <w:szCs w:val="20"/>
                <w:color w:val="auto"/>
              </w:rPr>
            </w:pPr>
            <w:r>
              <w:rPr>
                <w:rFonts w:ascii="Arial" w:cs="Arial" w:eastAsia="Arial" w:hAnsi="Arial"/>
                <w:sz w:val="15"/>
                <w:szCs w:val="15"/>
                <w:color w:val="auto"/>
              </w:rPr>
              <w:t>756,130</w:t>
            </w:r>
          </w:p>
        </w:tc>
        <w:tc>
          <w:tcPr>
            <w:tcW w:w="0" w:type="dxa"/>
            <w:vAlign w:val="bottom"/>
          </w:tcPr>
          <w:p>
            <w:pPr>
              <w:spacing w:after="0"/>
              <w:rPr>
                <w:sz w:val="1"/>
                <w:szCs w:val="1"/>
                <w:color w:val="auto"/>
              </w:rPr>
            </w:pPr>
          </w:p>
        </w:tc>
      </w:tr>
      <w:tr>
        <w:trPr>
          <w:trHeight w:val="20"/>
        </w:trPr>
        <w:tc>
          <w:tcPr>
            <w:tcW w:w="3440" w:type="dxa"/>
            <w:vAlign w:val="bottom"/>
            <w:shd w:val="clear" w:color="auto" w:fill="808080"/>
          </w:tcPr>
          <w:p>
            <w:pPr>
              <w:spacing w:after="0" w:line="20" w:lineRule="exact"/>
              <w:rPr>
                <w:sz w:val="1"/>
                <w:szCs w:val="1"/>
                <w:color w:val="auto"/>
              </w:rPr>
            </w:pPr>
          </w:p>
        </w:tc>
        <w:tc>
          <w:tcPr>
            <w:tcW w:w="3780" w:type="dxa"/>
            <w:vAlign w:val="bottom"/>
            <w:shd w:val="clear" w:color="auto" w:fill="808080"/>
          </w:tcPr>
          <w:p>
            <w:pPr>
              <w:spacing w:after="0" w:line="20" w:lineRule="exact"/>
              <w:rPr>
                <w:sz w:val="1"/>
                <w:szCs w:val="1"/>
                <w:color w:val="auto"/>
              </w:rPr>
            </w:pPr>
          </w:p>
        </w:tc>
        <w:tc>
          <w:tcPr>
            <w:tcW w:w="1540" w:type="dxa"/>
            <w:vAlign w:val="bottom"/>
            <w:shd w:val="clear" w:color="auto" w:fill="808080"/>
          </w:tcPr>
          <w:p>
            <w:pPr>
              <w:spacing w:after="0" w:line="20" w:lineRule="exact"/>
              <w:rPr>
                <w:sz w:val="1"/>
                <w:szCs w:val="1"/>
                <w:color w:val="auto"/>
              </w:rPr>
            </w:pPr>
          </w:p>
        </w:tc>
        <w:tc>
          <w:tcPr>
            <w:tcW w:w="1420" w:type="dxa"/>
            <w:vAlign w:val="bottom"/>
            <w:shd w:val="clear" w:color="auto" w:fill="808080"/>
          </w:tcPr>
          <w:p>
            <w:pPr>
              <w:spacing w:after="0" w:line="20" w:lineRule="exact"/>
              <w:rPr>
                <w:sz w:val="1"/>
                <w:szCs w:val="1"/>
                <w:color w:val="auto"/>
              </w:rPr>
            </w:pPr>
          </w:p>
        </w:tc>
        <w:tc>
          <w:tcPr>
            <w:tcW w:w="104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260" w:right="140" w:hanging="252"/>
        <w:spacing w:after="0" w:line="325" w:lineRule="auto"/>
        <w:tabs>
          <w:tab w:leader="none" w:pos="263" w:val="left"/>
        </w:tabs>
        <w:numPr>
          <w:ilvl w:val="0"/>
          <w:numId w:val="112"/>
        </w:numPr>
        <w:rPr>
          <w:rFonts w:ascii="Arial" w:cs="Arial" w:eastAsia="Arial" w:hAnsi="Arial"/>
          <w:sz w:val="8"/>
          <w:szCs w:val="8"/>
          <w:color w:val="auto"/>
        </w:rPr>
      </w:pPr>
      <w:r>
        <w:rPr>
          <w:rFonts w:ascii="Arial" w:cs="Arial" w:eastAsia="Arial" w:hAnsi="Arial"/>
          <w:sz w:val="14"/>
          <w:szCs w:val="14"/>
          <w:color w:val="auto"/>
        </w:rPr>
        <w:t>Mr. Innocenzo served as CEO of PECO before his promotion to COO of Exelon on April 1, 2024. His actual 2024 AIP payout was prorated based on his salary, AIP target, time served as PECO CEO and Exelon COO, and achievement of respective PECO and Exelon AIP goals.</w:t>
      </w:r>
    </w:p>
    <w:p>
      <w:pPr>
        <w:spacing w:after="0" w:line="200" w:lineRule="exact"/>
        <w:rPr>
          <w:sz w:val="20"/>
          <w:szCs w:val="20"/>
          <w:color w:val="auto"/>
        </w:rPr>
      </w:pPr>
    </w:p>
    <w:p>
      <w:pPr>
        <w:spacing w:after="0" w:line="336" w:lineRule="exact"/>
        <w:rPr>
          <w:sz w:val="20"/>
          <w:szCs w:val="20"/>
          <w:color w:val="auto"/>
        </w:rPr>
      </w:pPr>
    </w:p>
    <w:p>
      <w:pPr>
        <w:ind w:left="480" w:hanging="454"/>
        <w:spacing w:after="0"/>
        <w:tabs>
          <w:tab w:leader="none" w:pos="480" w:val="left"/>
        </w:tabs>
        <w:numPr>
          <w:ilvl w:val="0"/>
          <w:numId w:val="11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6" w:name="page57"/>
    <w:bookmarkEnd w:id="56"/>
    <w:p>
      <w:pPr>
        <w:jc w:val="right"/>
        <w:spacing w:after="0"/>
        <w:rPr>
          <w:sz w:val="20"/>
          <w:szCs w:val="20"/>
          <w:color w:val="auto"/>
        </w:rPr>
      </w:pPr>
      <w:r>
        <w:rPr>
          <w:rFonts w:ascii="Arial" w:cs="Arial" w:eastAsia="Arial" w:hAnsi="Arial"/>
          <w:sz w:val="13"/>
          <w:szCs w:val="13"/>
          <w:b w:val="1"/>
          <w:bCs w:val="1"/>
          <w:color w:val="auto"/>
        </w:rPr>
        <w:t>Compensation Discussion &amp; Analysis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Long-Term Incentive Program (LTIP)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LTIP Overview &amp; Goal Setting Process</w:t>
      </w:r>
    </w:p>
    <w:p>
      <w:pPr>
        <w:spacing w:after="0" w:line="122"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The TMCC grants long-term equity incentive awards annually at its first regular meeting each year. Once the total target equity incentive award is determined, the value is split between RSUs (33%) and performance shares (67%). RSUs vest ratably over three years and are not subject to performance metrics. RSUs receive dividend equivalents that are reinvested in additional units and remain subject to the same vesting conditions as the underlying awards.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performance metrics underlying the 2022 - 2024 performance share awards are listed below.</w:t>
      </w:r>
    </w:p>
    <w:p>
      <w:pPr>
        <w:spacing w:after="0" w:line="185" w:lineRule="exact"/>
        <w:rPr>
          <w:sz w:val="20"/>
          <w:szCs w:val="20"/>
          <w:color w:val="auto"/>
        </w:rPr>
      </w:pPr>
    </w:p>
    <w:tbl>
      <w:tblPr>
        <w:tblLayout w:type="fixed"/>
        <w:tblInd w:w="400" w:type="dxa"/>
        <w:tblCellMar>
          <w:top w:w="0" w:type="dxa"/>
          <w:left w:w="0" w:type="dxa"/>
          <w:bottom w:w="0" w:type="dxa"/>
          <w:right w:w="0" w:type="dxa"/>
        </w:tblCellMar>
      </w:tblPr>
      <w:tr>
        <w:trPr>
          <w:trHeight w:val="196"/>
        </w:trPr>
        <w:tc>
          <w:tcPr>
            <w:tcW w:w="4580" w:type="dxa"/>
            <w:vAlign w:val="bottom"/>
          </w:tcPr>
          <w:p>
            <w:pPr>
              <w:ind w:left="20"/>
              <w:spacing w:after="0"/>
              <w:rPr>
                <w:sz w:val="20"/>
                <w:szCs w:val="20"/>
                <w:color w:val="auto"/>
              </w:rPr>
            </w:pPr>
            <w:r>
              <w:rPr>
                <w:rFonts w:ascii="Arial" w:cs="Arial" w:eastAsia="Arial" w:hAnsi="Arial"/>
                <w:sz w:val="14"/>
                <w:szCs w:val="14"/>
                <w:b w:val="1"/>
                <w:bCs w:val="1"/>
                <w:color w:val="170D67"/>
              </w:rPr>
              <w:t>Metrics</w:t>
            </w:r>
          </w:p>
        </w:tc>
        <w:tc>
          <w:tcPr>
            <w:tcW w:w="1080" w:type="dxa"/>
            <w:vAlign w:val="bottom"/>
          </w:tcPr>
          <w:p>
            <w:pPr>
              <w:ind w:left="340"/>
              <w:spacing w:after="0"/>
              <w:rPr>
                <w:sz w:val="20"/>
                <w:szCs w:val="20"/>
                <w:color w:val="auto"/>
              </w:rPr>
            </w:pPr>
            <w:r>
              <w:rPr>
                <w:rFonts w:ascii="Arial" w:cs="Arial" w:eastAsia="Arial" w:hAnsi="Arial"/>
                <w:sz w:val="14"/>
                <w:szCs w:val="14"/>
                <w:b w:val="1"/>
                <w:bCs w:val="1"/>
                <w:color w:val="170D67"/>
              </w:rPr>
              <w:t>Weight</w:t>
            </w:r>
          </w:p>
        </w:tc>
        <w:tc>
          <w:tcPr>
            <w:tcW w:w="5160" w:type="dxa"/>
            <w:vAlign w:val="bottom"/>
          </w:tcPr>
          <w:p>
            <w:pPr>
              <w:ind w:left="280"/>
              <w:spacing w:after="0"/>
              <w:rPr>
                <w:sz w:val="20"/>
                <w:szCs w:val="20"/>
                <w:color w:val="auto"/>
              </w:rPr>
            </w:pPr>
            <w:r>
              <w:rPr>
                <w:rFonts w:ascii="Arial" w:cs="Arial" w:eastAsia="Arial" w:hAnsi="Arial"/>
                <w:sz w:val="14"/>
                <w:szCs w:val="14"/>
                <w:b w:val="1"/>
                <w:bCs w:val="1"/>
                <w:color w:val="170D67"/>
              </w:rPr>
              <w:t>Purpose</w:t>
            </w:r>
          </w:p>
        </w:tc>
        <w:tc>
          <w:tcPr>
            <w:tcW w:w="0" w:type="dxa"/>
            <w:vAlign w:val="bottom"/>
          </w:tcPr>
          <w:p>
            <w:pPr>
              <w:spacing w:after="0"/>
              <w:rPr>
                <w:sz w:val="1"/>
                <w:szCs w:val="1"/>
                <w:color w:val="auto"/>
              </w:rPr>
            </w:pPr>
          </w:p>
        </w:tc>
      </w:tr>
      <w:tr>
        <w:trPr>
          <w:trHeight w:val="29"/>
        </w:trPr>
        <w:tc>
          <w:tcPr>
            <w:tcW w:w="4580" w:type="dxa"/>
            <w:vAlign w:val="bottom"/>
            <w:tcBorders>
              <w:bottom w:val="single" w:sz="8" w:color="170D67"/>
            </w:tcBorders>
          </w:tcPr>
          <w:p>
            <w:pPr>
              <w:spacing w:after="0"/>
              <w:rPr>
                <w:sz w:val="2"/>
                <w:szCs w:val="2"/>
                <w:color w:val="auto"/>
              </w:rPr>
            </w:pPr>
          </w:p>
        </w:tc>
        <w:tc>
          <w:tcPr>
            <w:tcW w:w="1080" w:type="dxa"/>
            <w:vAlign w:val="bottom"/>
            <w:tcBorders>
              <w:bottom w:val="single" w:sz="8" w:color="170D67"/>
            </w:tcBorders>
          </w:tcPr>
          <w:p>
            <w:pPr>
              <w:spacing w:after="0"/>
              <w:rPr>
                <w:sz w:val="2"/>
                <w:szCs w:val="2"/>
                <w:color w:val="auto"/>
              </w:rPr>
            </w:pPr>
          </w:p>
        </w:tc>
        <w:tc>
          <w:tcPr>
            <w:tcW w:w="5160" w:type="dxa"/>
            <w:vAlign w:val="bottom"/>
            <w:tcBorders>
              <w:bottom w:val="single" w:sz="8" w:color="170D67"/>
            </w:tcBorders>
          </w:tcPr>
          <w:p>
            <w:pPr>
              <w:spacing w:after="0"/>
              <w:rPr>
                <w:sz w:val="2"/>
                <w:szCs w:val="2"/>
                <w:color w:val="auto"/>
              </w:rPr>
            </w:pPr>
          </w:p>
        </w:tc>
        <w:tc>
          <w:tcPr>
            <w:tcW w:w="0" w:type="dxa"/>
            <w:vAlign w:val="bottom"/>
          </w:tcPr>
          <w:p>
            <w:pPr>
              <w:spacing w:after="0"/>
              <w:rPr>
                <w:sz w:val="1"/>
                <w:szCs w:val="1"/>
                <w:color w:val="auto"/>
              </w:rPr>
            </w:pPr>
          </w:p>
        </w:tc>
      </w:tr>
      <w:tr>
        <w:trPr>
          <w:trHeight w:val="410"/>
        </w:trPr>
        <w:tc>
          <w:tcPr>
            <w:tcW w:w="4580" w:type="dxa"/>
            <w:vAlign w:val="bottom"/>
            <w:vMerge w:val="restart"/>
          </w:tcPr>
          <w:p>
            <w:pPr>
              <w:ind w:left="20"/>
              <w:spacing w:after="0"/>
              <w:rPr>
                <w:sz w:val="20"/>
                <w:szCs w:val="20"/>
                <w:color w:val="auto"/>
              </w:rPr>
            </w:pPr>
            <w:r>
              <w:rPr>
                <w:rFonts w:ascii="Arial" w:cs="Arial" w:eastAsia="Arial" w:hAnsi="Arial"/>
                <w:sz w:val="16"/>
                <w:szCs w:val="16"/>
                <w:b w:val="1"/>
                <w:bCs w:val="1"/>
                <w:color w:val="170D67"/>
              </w:rPr>
              <w:t>Utility Earned ROE*</w:t>
            </w:r>
          </w:p>
        </w:tc>
        <w:tc>
          <w:tcPr>
            <w:tcW w:w="1080" w:type="dxa"/>
            <w:vAlign w:val="bottom"/>
          </w:tcPr>
          <w:p>
            <w:pPr>
              <w:spacing w:after="0"/>
              <w:rPr>
                <w:sz w:val="24"/>
                <w:szCs w:val="24"/>
                <w:color w:val="auto"/>
              </w:rPr>
            </w:pPr>
          </w:p>
        </w:tc>
        <w:tc>
          <w:tcPr>
            <w:tcW w:w="5160" w:type="dxa"/>
            <w:vAlign w:val="bottom"/>
          </w:tcPr>
          <w:p>
            <w:pPr>
              <w:ind w:left="280"/>
              <w:spacing w:after="0"/>
              <w:rPr>
                <w:sz w:val="20"/>
                <w:szCs w:val="20"/>
                <w:color w:val="auto"/>
              </w:rPr>
            </w:pPr>
            <w:r>
              <w:rPr>
                <w:rFonts w:ascii="Arial" w:cs="Arial" w:eastAsia="Arial" w:hAnsi="Arial"/>
                <w:sz w:val="16"/>
                <w:szCs w:val="16"/>
                <w:color w:val="212529"/>
              </w:rPr>
              <w:t>Measure of value created by utility businesses. Aligned with our</w:t>
            </w:r>
          </w:p>
        </w:tc>
        <w:tc>
          <w:tcPr>
            <w:tcW w:w="0" w:type="dxa"/>
            <w:vAlign w:val="bottom"/>
          </w:tcPr>
          <w:p>
            <w:pPr>
              <w:spacing w:after="0"/>
              <w:rPr>
                <w:sz w:val="1"/>
                <w:szCs w:val="1"/>
                <w:color w:val="auto"/>
              </w:rPr>
            </w:pPr>
          </w:p>
        </w:tc>
      </w:tr>
      <w:tr>
        <w:trPr>
          <w:trHeight w:val="109"/>
        </w:trPr>
        <w:tc>
          <w:tcPr>
            <w:tcW w:w="4580" w:type="dxa"/>
            <w:vAlign w:val="bottom"/>
            <w:vMerge w:val="continue"/>
          </w:tcPr>
          <w:p>
            <w:pPr>
              <w:spacing w:after="0"/>
              <w:rPr>
                <w:sz w:val="9"/>
                <w:szCs w:val="9"/>
                <w:color w:val="auto"/>
              </w:rPr>
            </w:pPr>
          </w:p>
        </w:tc>
        <w:tc>
          <w:tcPr>
            <w:tcW w:w="1080" w:type="dxa"/>
            <w:vAlign w:val="bottom"/>
            <w:vMerge w:val="restart"/>
          </w:tcPr>
          <w:p>
            <w:pPr>
              <w:ind w:left="340"/>
              <w:spacing w:after="0"/>
              <w:rPr>
                <w:sz w:val="20"/>
                <w:szCs w:val="20"/>
                <w:color w:val="auto"/>
              </w:rPr>
            </w:pPr>
            <w:r>
              <w:rPr>
                <w:rFonts w:ascii="Arial" w:cs="Arial" w:eastAsia="Arial" w:hAnsi="Arial"/>
                <w:sz w:val="15"/>
                <w:szCs w:val="15"/>
                <w:b w:val="1"/>
                <w:bCs w:val="1"/>
                <w:color w:val="170D67"/>
              </w:rPr>
              <w:t>33.3%</w:t>
            </w:r>
          </w:p>
        </w:tc>
        <w:tc>
          <w:tcPr>
            <w:tcW w:w="5160" w:type="dxa"/>
            <w:vAlign w:val="bottom"/>
            <w:vMerge w:val="restart"/>
          </w:tcPr>
          <w:p>
            <w:pPr>
              <w:ind w:left="280"/>
              <w:spacing w:after="0"/>
              <w:rPr>
                <w:sz w:val="20"/>
                <w:szCs w:val="20"/>
                <w:color w:val="auto"/>
              </w:rPr>
            </w:pPr>
            <w:r>
              <w:rPr>
                <w:rFonts w:ascii="Arial" w:cs="Arial" w:eastAsia="Arial" w:hAnsi="Arial"/>
                <w:sz w:val="16"/>
                <w:szCs w:val="16"/>
                <w:color w:val="212529"/>
              </w:rPr>
              <w:t>strategy to invest in our utilities where we can earn an</w:t>
            </w:r>
          </w:p>
        </w:tc>
        <w:tc>
          <w:tcPr>
            <w:tcW w:w="0" w:type="dxa"/>
            <w:vAlign w:val="bottom"/>
          </w:tcPr>
          <w:p>
            <w:pPr>
              <w:spacing w:after="0"/>
              <w:rPr>
                <w:sz w:val="1"/>
                <w:szCs w:val="1"/>
                <w:color w:val="auto"/>
              </w:rPr>
            </w:pPr>
          </w:p>
        </w:tc>
      </w:tr>
      <w:tr>
        <w:trPr>
          <w:trHeight w:val="108"/>
        </w:trPr>
        <w:tc>
          <w:tcPr>
            <w:tcW w:w="4580" w:type="dxa"/>
            <w:vAlign w:val="bottom"/>
            <w:vMerge w:val="restart"/>
          </w:tcPr>
          <w:p>
            <w:pPr>
              <w:ind w:left="20"/>
              <w:spacing w:after="0"/>
              <w:rPr>
                <w:sz w:val="20"/>
                <w:szCs w:val="20"/>
                <w:color w:val="auto"/>
              </w:rPr>
            </w:pPr>
            <w:r>
              <w:rPr>
                <w:rFonts w:ascii="Arial" w:cs="Arial" w:eastAsia="Arial" w:hAnsi="Arial"/>
                <w:sz w:val="16"/>
                <w:szCs w:val="16"/>
                <w:color w:val="auto"/>
              </w:rPr>
              <w:t>Average utility ROE weighted by year-end rate base.</w:t>
            </w:r>
          </w:p>
        </w:tc>
        <w:tc>
          <w:tcPr>
            <w:tcW w:w="1080" w:type="dxa"/>
            <w:vAlign w:val="bottom"/>
            <w:vMerge w:val="continue"/>
          </w:tcPr>
          <w:p>
            <w:pPr>
              <w:spacing w:after="0"/>
              <w:rPr>
                <w:sz w:val="9"/>
                <w:szCs w:val="9"/>
                <w:color w:val="auto"/>
              </w:rPr>
            </w:pPr>
          </w:p>
        </w:tc>
        <w:tc>
          <w:tcPr>
            <w:tcW w:w="5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5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160" w:type="dxa"/>
            <w:vAlign w:val="bottom"/>
            <w:vMerge w:val="restart"/>
          </w:tcPr>
          <w:p>
            <w:pPr>
              <w:ind w:left="280"/>
              <w:spacing w:after="0"/>
              <w:rPr>
                <w:sz w:val="20"/>
                <w:szCs w:val="20"/>
                <w:color w:val="auto"/>
              </w:rPr>
            </w:pPr>
            <w:r>
              <w:rPr>
                <w:rFonts w:ascii="Arial" w:cs="Arial" w:eastAsia="Arial" w:hAnsi="Arial"/>
                <w:sz w:val="16"/>
                <w:szCs w:val="16"/>
                <w:color w:val="212529"/>
              </w:rPr>
              <w:t>appropriate return.</w:t>
            </w:r>
          </w:p>
        </w:tc>
        <w:tc>
          <w:tcPr>
            <w:tcW w:w="0" w:type="dxa"/>
            <w:vAlign w:val="bottom"/>
          </w:tcPr>
          <w:p>
            <w:pPr>
              <w:spacing w:after="0"/>
              <w:rPr>
                <w:sz w:val="1"/>
                <w:szCs w:val="1"/>
                <w:color w:val="auto"/>
              </w:rPr>
            </w:pPr>
          </w:p>
        </w:tc>
      </w:tr>
      <w:tr>
        <w:trPr>
          <w:trHeight w:val="108"/>
        </w:trPr>
        <w:tc>
          <w:tcPr>
            <w:tcW w:w="45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4580" w:type="dxa"/>
            <w:vAlign w:val="bottom"/>
            <w:tcBorders>
              <w:bottom w:val="single" w:sz="8" w:color="949599"/>
            </w:tcBorders>
          </w:tcPr>
          <w:p>
            <w:pPr>
              <w:spacing w:after="0"/>
              <w:rPr>
                <w:sz w:val="11"/>
                <w:szCs w:val="11"/>
                <w:color w:val="auto"/>
              </w:rPr>
            </w:pPr>
          </w:p>
        </w:tc>
        <w:tc>
          <w:tcPr>
            <w:tcW w:w="1080" w:type="dxa"/>
            <w:vAlign w:val="bottom"/>
            <w:tcBorders>
              <w:bottom w:val="single" w:sz="8" w:color="949599"/>
            </w:tcBorders>
          </w:tcPr>
          <w:p>
            <w:pPr>
              <w:spacing w:after="0"/>
              <w:rPr>
                <w:sz w:val="11"/>
                <w:szCs w:val="11"/>
                <w:color w:val="auto"/>
              </w:rPr>
            </w:pPr>
          </w:p>
        </w:tc>
        <w:tc>
          <w:tcPr>
            <w:tcW w:w="5160" w:type="dxa"/>
            <w:vAlign w:val="bottom"/>
            <w:tcBorders>
              <w:bottom w:val="single" w:sz="8" w:color="949599"/>
            </w:tcBorders>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4580" w:type="dxa"/>
            <w:vAlign w:val="bottom"/>
          </w:tcPr>
          <w:p>
            <w:pPr>
              <w:ind w:left="20"/>
              <w:spacing w:after="0"/>
              <w:rPr>
                <w:sz w:val="20"/>
                <w:szCs w:val="20"/>
                <w:color w:val="auto"/>
              </w:rPr>
            </w:pPr>
            <w:r>
              <w:rPr>
                <w:rFonts w:ascii="Arial" w:cs="Arial" w:eastAsia="Arial" w:hAnsi="Arial"/>
                <w:sz w:val="16"/>
                <w:szCs w:val="16"/>
                <w:b w:val="1"/>
                <w:bCs w:val="1"/>
                <w:color w:val="170D67"/>
              </w:rPr>
              <w:t>Utility Net Income*</w:t>
            </w:r>
          </w:p>
        </w:tc>
        <w:tc>
          <w:tcPr>
            <w:tcW w:w="1080" w:type="dxa"/>
            <w:vAlign w:val="bottom"/>
          </w:tcPr>
          <w:p>
            <w:pPr>
              <w:spacing w:after="0"/>
              <w:rPr>
                <w:sz w:val="24"/>
                <w:szCs w:val="24"/>
                <w:color w:val="auto"/>
              </w:rPr>
            </w:pPr>
          </w:p>
        </w:tc>
        <w:tc>
          <w:tcPr>
            <w:tcW w:w="5160" w:type="dxa"/>
            <w:vAlign w:val="bottom"/>
            <w:vMerge w:val="restart"/>
          </w:tcPr>
          <w:p>
            <w:pPr>
              <w:ind w:left="280"/>
              <w:spacing w:after="0"/>
              <w:rPr>
                <w:sz w:val="20"/>
                <w:szCs w:val="20"/>
                <w:color w:val="auto"/>
              </w:rPr>
            </w:pPr>
            <w:r>
              <w:rPr>
                <w:rFonts w:ascii="Arial" w:cs="Arial" w:eastAsia="Arial" w:hAnsi="Arial"/>
                <w:sz w:val="16"/>
                <w:szCs w:val="16"/>
                <w:color w:val="212529"/>
              </w:rPr>
              <w:t>Measures financial performance of the utilities. Aligned with our</w:t>
            </w:r>
          </w:p>
        </w:tc>
        <w:tc>
          <w:tcPr>
            <w:tcW w:w="0" w:type="dxa"/>
            <w:vAlign w:val="bottom"/>
          </w:tcPr>
          <w:p>
            <w:pPr>
              <w:spacing w:after="0"/>
              <w:rPr>
                <w:sz w:val="1"/>
                <w:szCs w:val="1"/>
                <w:color w:val="auto"/>
              </w:rPr>
            </w:pPr>
          </w:p>
        </w:tc>
      </w:tr>
      <w:tr>
        <w:trPr>
          <w:trHeight w:val="107"/>
        </w:trPr>
        <w:tc>
          <w:tcPr>
            <w:tcW w:w="4580" w:type="dxa"/>
            <w:vAlign w:val="bottom"/>
            <w:vMerge w:val="restart"/>
          </w:tcPr>
          <w:p>
            <w:pPr>
              <w:ind w:left="20"/>
              <w:spacing w:after="0"/>
              <w:rPr>
                <w:sz w:val="20"/>
                <w:szCs w:val="20"/>
                <w:color w:val="auto"/>
              </w:rPr>
            </w:pPr>
            <w:r>
              <w:rPr>
                <w:rFonts w:ascii="Arial" w:cs="Arial" w:eastAsia="Arial" w:hAnsi="Arial"/>
                <w:sz w:val="16"/>
                <w:szCs w:val="16"/>
                <w:color w:val="auto"/>
              </w:rPr>
              <w:t>Aggregate utility adjusted (non-GAAP) operating earnings*,</w:t>
            </w:r>
          </w:p>
        </w:tc>
        <w:tc>
          <w:tcPr>
            <w:tcW w:w="1080" w:type="dxa"/>
            <w:vAlign w:val="bottom"/>
            <w:vMerge w:val="restart"/>
          </w:tcPr>
          <w:p>
            <w:pPr>
              <w:ind w:left="340"/>
              <w:spacing w:after="0"/>
              <w:rPr>
                <w:sz w:val="20"/>
                <w:szCs w:val="20"/>
                <w:color w:val="auto"/>
              </w:rPr>
            </w:pPr>
            <w:r>
              <w:rPr>
                <w:rFonts w:ascii="Arial" w:cs="Arial" w:eastAsia="Arial" w:hAnsi="Arial"/>
                <w:sz w:val="15"/>
                <w:szCs w:val="15"/>
                <w:b w:val="1"/>
                <w:bCs w:val="1"/>
                <w:color w:val="170D67"/>
              </w:rPr>
              <w:t>33.3%</w:t>
            </w:r>
          </w:p>
        </w:tc>
        <w:tc>
          <w:tcPr>
            <w:tcW w:w="5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5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5160" w:type="dxa"/>
            <w:vAlign w:val="bottom"/>
            <w:vMerge w:val="restart"/>
          </w:tcPr>
          <w:p>
            <w:pPr>
              <w:ind w:left="280"/>
              <w:spacing w:after="0"/>
              <w:rPr>
                <w:sz w:val="20"/>
                <w:szCs w:val="20"/>
                <w:color w:val="auto"/>
              </w:rPr>
            </w:pPr>
            <w:r>
              <w:rPr>
                <w:rFonts w:ascii="Arial" w:cs="Arial" w:eastAsia="Arial" w:hAnsi="Arial"/>
                <w:sz w:val="16"/>
                <w:szCs w:val="16"/>
                <w:color w:val="212529"/>
              </w:rPr>
              <w:t>strategy to grow our regulated utility business.</w:t>
            </w:r>
          </w:p>
        </w:tc>
        <w:tc>
          <w:tcPr>
            <w:tcW w:w="0" w:type="dxa"/>
            <w:vAlign w:val="bottom"/>
          </w:tcPr>
          <w:p>
            <w:pPr>
              <w:spacing w:after="0"/>
              <w:rPr>
                <w:sz w:val="1"/>
                <w:szCs w:val="1"/>
                <w:color w:val="auto"/>
              </w:rPr>
            </w:pPr>
          </w:p>
        </w:tc>
      </w:tr>
      <w:tr>
        <w:trPr>
          <w:trHeight w:val="107"/>
        </w:trPr>
        <w:tc>
          <w:tcPr>
            <w:tcW w:w="4580" w:type="dxa"/>
            <w:vAlign w:val="bottom"/>
            <w:vMerge w:val="restart"/>
          </w:tcPr>
          <w:p>
            <w:pPr>
              <w:ind w:left="20"/>
              <w:spacing w:after="0"/>
              <w:rPr>
                <w:sz w:val="20"/>
                <w:szCs w:val="20"/>
                <w:color w:val="auto"/>
              </w:rPr>
            </w:pPr>
            <w:r>
              <w:rPr>
                <w:rFonts w:ascii="Arial" w:cs="Arial" w:eastAsia="Arial" w:hAnsi="Arial"/>
                <w:sz w:val="16"/>
                <w:szCs w:val="16"/>
                <w:color w:val="auto"/>
              </w:rPr>
              <w:t>including Exelon hold-co net operating income (loss).</w:t>
            </w:r>
          </w:p>
        </w:tc>
        <w:tc>
          <w:tcPr>
            <w:tcW w:w="1080" w:type="dxa"/>
            <w:vAlign w:val="bottom"/>
          </w:tcPr>
          <w:p>
            <w:pPr>
              <w:spacing w:after="0"/>
              <w:rPr>
                <w:sz w:val="9"/>
                <w:szCs w:val="9"/>
                <w:color w:val="auto"/>
              </w:rPr>
            </w:pPr>
          </w:p>
        </w:tc>
        <w:tc>
          <w:tcPr>
            <w:tcW w:w="5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5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4580" w:type="dxa"/>
            <w:vAlign w:val="bottom"/>
            <w:tcBorders>
              <w:bottom w:val="single" w:sz="8" w:color="949599"/>
            </w:tcBorders>
          </w:tcPr>
          <w:p>
            <w:pPr>
              <w:spacing w:after="0"/>
              <w:rPr>
                <w:sz w:val="9"/>
                <w:szCs w:val="9"/>
                <w:color w:val="auto"/>
              </w:rPr>
            </w:pPr>
          </w:p>
        </w:tc>
        <w:tc>
          <w:tcPr>
            <w:tcW w:w="1080" w:type="dxa"/>
            <w:vAlign w:val="bottom"/>
            <w:tcBorders>
              <w:bottom w:val="single" w:sz="8" w:color="949599"/>
            </w:tcBorders>
          </w:tcPr>
          <w:p>
            <w:pPr>
              <w:spacing w:after="0"/>
              <w:rPr>
                <w:sz w:val="9"/>
                <w:szCs w:val="9"/>
                <w:color w:val="auto"/>
              </w:rPr>
            </w:pPr>
          </w:p>
        </w:tc>
        <w:tc>
          <w:tcPr>
            <w:tcW w:w="5160" w:type="dxa"/>
            <w:vAlign w:val="bottom"/>
            <w:tcBorders>
              <w:bottom w:val="single" w:sz="8" w:color="949599"/>
            </w:tcBorders>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4580" w:type="dxa"/>
            <w:vAlign w:val="bottom"/>
            <w:vMerge w:val="restart"/>
          </w:tcPr>
          <w:p>
            <w:pPr>
              <w:ind w:left="20"/>
              <w:spacing w:after="0"/>
              <w:rPr>
                <w:sz w:val="20"/>
                <w:szCs w:val="20"/>
                <w:color w:val="auto"/>
              </w:rPr>
            </w:pPr>
            <w:r>
              <w:rPr>
                <w:rFonts w:ascii="Arial" w:cs="Arial" w:eastAsia="Arial" w:hAnsi="Arial"/>
                <w:sz w:val="16"/>
                <w:szCs w:val="16"/>
                <w:b w:val="1"/>
                <w:bCs w:val="1"/>
                <w:color w:val="170D67"/>
              </w:rPr>
              <w:t>Exelon CFO/Debt*</w:t>
            </w:r>
          </w:p>
        </w:tc>
        <w:tc>
          <w:tcPr>
            <w:tcW w:w="1080" w:type="dxa"/>
            <w:vAlign w:val="bottom"/>
          </w:tcPr>
          <w:p>
            <w:pPr>
              <w:spacing w:after="0"/>
              <w:rPr>
                <w:sz w:val="24"/>
                <w:szCs w:val="24"/>
                <w:color w:val="auto"/>
              </w:rPr>
            </w:pPr>
          </w:p>
        </w:tc>
        <w:tc>
          <w:tcPr>
            <w:tcW w:w="5160" w:type="dxa"/>
            <w:vAlign w:val="bottom"/>
          </w:tcPr>
          <w:p>
            <w:pPr>
              <w:ind w:left="280"/>
              <w:spacing w:after="0"/>
              <w:rPr>
                <w:sz w:val="20"/>
                <w:szCs w:val="20"/>
                <w:color w:val="auto"/>
              </w:rPr>
            </w:pPr>
            <w:r>
              <w:rPr>
                <w:rFonts w:ascii="Arial" w:cs="Arial" w:eastAsia="Arial" w:hAnsi="Arial"/>
                <w:sz w:val="16"/>
                <w:szCs w:val="16"/>
                <w:color w:val="212529"/>
              </w:rPr>
              <w:t>Key ratio for determining our credit rating and thereby our access</w:t>
            </w:r>
          </w:p>
        </w:tc>
        <w:tc>
          <w:tcPr>
            <w:tcW w:w="0" w:type="dxa"/>
            <w:vAlign w:val="bottom"/>
          </w:tcPr>
          <w:p>
            <w:pPr>
              <w:spacing w:after="0"/>
              <w:rPr>
                <w:sz w:val="1"/>
                <w:szCs w:val="1"/>
                <w:color w:val="auto"/>
              </w:rPr>
            </w:pPr>
          </w:p>
        </w:tc>
      </w:tr>
      <w:tr>
        <w:trPr>
          <w:trHeight w:val="109"/>
        </w:trPr>
        <w:tc>
          <w:tcPr>
            <w:tcW w:w="4580" w:type="dxa"/>
            <w:vAlign w:val="bottom"/>
            <w:vMerge w:val="continue"/>
          </w:tcPr>
          <w:p>
            <w:pPr>
              <w:spacing w:after="0"/>
              <w:rPr>
                <w:sz w:val="9"/>
                <w:szCs w:val="9"/>
                <w:color w:val="auto"/>
              </w:rPr>
            </w:pPr>
          </w:p>
        </w:tc>
        <w:tc>
          <w:tcPr>
            <w:tcW w:w="1080" w:type="dxa"/>
            <w:vAlign w:val="bottom"/>
            <w:vMerge w:val="restart"/>
          </w:tcPr>
          <w:p>
            <w:pPr>
              <w:ind w:left="340"/>
              <w:spacing w:after="0"/>
              <w:rPr>
                <w:sz w:val="20"/>
                <w:szCs w:val="20"/>
                <w:color w:val="auto"/>
              </w:rPr>
            </w:pPr>
            <w:r>
              <w:rPr>
                <w:rFonts w:ascii="Arial" w:cs="Arial" w:eastAsia="Arial" w:hAnsi="Arial"/>
                <w:sz w:val="15"/>
                <w:szCs w:val="15"/>
                <w:b w:val="1"/>
                <w:bCs w:val="1"/>
                <w:color w:val="170D67"/>
              </w:rPr>
              <w:t>33.4%</w:t>
            </w:r>
          </w:p>
        </w:tc>
        <w:tc>
          <w:tcPr>
            <w:tcW w:w="5160" w:type="dxa"/>
            <w:vAlign w:val="bottom"/>
            <w:vMerge w:val="restart"/>
          </w:tcPr>
          <w:p>
            <w:pPr>
              <w:ind w:left="280"/>
              <w:spacing w:after="0"/>
              <w:rPr>
                <w:sz w:val="20"/>
                <w:szCs w:val="20"/>
                <w:color w:val="auto"/>
              </w:rPr>
            </w:pPr>
            <w:r>
              <w:rPr>
                <w:rFonts w:ascii="Arial" w:cs="Arial" w:eastAsia="Arial" w:hAnsi="Arial"/>
                <w:sz w:val="16"/>
                <w:szCs w:val="16"/>
                <w:color w:val="212529"/>
              </w:rPr>
              <w:t>to capital. Aligned with our strategy to generate free cash and</w:t>
            </w:r>
          </w:p>
        </w:tc>
        <w:tc>
          <w:tcPr>
            <w:tcW w:w="0" w:type="dxa"/>
            <w:vAlign w:val="bottom"/>
          </w:tcPr>
          <w:p>
            <w:pPr>
              <w:spacing w:after="0"/>
              <w:rPr>
                <w:sz w:val="1"/>
                <w:szCs w:val="1"/>
                <w:color w:val="auto"/>
              </w:rPr>
            </w:pPr>
          </w:p>
        </w:tc>
      </w:tr>
      <w:tr>
        <w:trPr>
          <w:trHeight w:val="108"/>
        </w:trPr>
        <w:tc>
          <w:tcPr>
            <w:tcW w:w="4580" w:type="dxa"/>
            <w:vAlign w:val="bottom"/>
            <w:vMerge w:val="restart"/>
          </w:tcPr>
          <w:p>
            <w:pPr>
              <w:ind w:left="20"/>
              <w:spacing w:after="0"/>
              <w:rPr>
                <w:sz w:val="20"/>
                <w:szCs w:val="20"/>
                <w:color w:val="auto"/>
              </w:rPr>
            </w:pPr>
            <w:r>
              <w:rPr>
                <w:rFonts w:ascii="Arial" w:cs="Arial" w:eastAsia="Arial" w:hAnsi="Arial"/>
                <w:sz w:val="16"/>
                <w:szCs w:val="16"/>
                <w:color w:val="auto"/>
              </w:rPr>
              <w:t>Ratio of cash from operations to total debt.</w:t>
            </w:r>
          </w:p>
        </w:tc>
        <w:tc>
          <w:tcPr>
            <w:tcW w:w="1080" w:type="dxa"/>
            <w:vAlign w:val="bottom"/>
            <w:vMerge w:val="continue"/>
          </w:tcPr>
          <w:p>
            <w:pPr>
              <w:spacing w:after="0"/>
              <w:rPr>
                <w:sz w:val="9"/>
                <w:szCs w:val="9"/>
                <w:color w:val="auto"/>
              </w:rPr>
            </w:pPr>
          </w:p>
        </w:tc>
        <w:tc>
          <w:tcPr>
            <w:tcW w:w="5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5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160" w:type="dxa"/>
            <w:vAlign w:val="bottom"/>
            <w:vMerge w:val="restart"/>
          </w:tcPr>
          <w:p>
            <w:pPr>
              <w:ind w:left="280"/>
              <w:spacing w:after="0"/>
              <w:rPr>
                <w:sz w:val="20"/>
                <w:szCs w:val="20"/>
                <w:color w:val="auto"/>
              </w:rPr>
            </w:pPr>
            <w:r>
              <w:rPr>
                <w:rFonts w:ascii="Arial" w:cs="Arial" w:eastAsia="Arial" w:hAnsi="Arial"/>
                <w:sz w:val="16"/>
                <w:szCs w:val="16"/>
                <w:color w:val="212529"/>
              </w:rPr>
              <w:t>reduce debt.</w:t>
            </w:r>
          </w:p>
        </w:tc>
        <w:tc>
          <w:tcPr>
            <w:tcW w:w="0" w:type="dxa"/>
            <w:vAlign w:val="bottom"/>
          </w:tcPr>
          <w:p>
            <w:pPr>
              <w:spacing w:after="0"/>
              <w:rPr>
                <w:sz w:val="1"/>
                <w:szCs w:val="1"/>
                <w:color w:val="auto"/>
              </w:rPr>
            </w:pPr>
          </w:p>
        </w:tc>
      </w:tr>
      <w:tr>
        <w:trPr>
          <w:trHeight w:val="108"/>
        </w:trPr>
        <w:tc>
          <w:tcPr>
            <w:tcW w:w="45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4580" w:type="dxa"/>
            <w:vAlign w:val="bottom"/>
            <w:tcBorders>
              <w:bottom w:val="single" w:sz="8" w:color="949599"/>
            </w:tcBorders>
          </w:tcPr>
          <w:p>
            <w:pPr>
              <w:spacing w:after="0"/>
              <w:rPr>
                <w:sz w:val="11"/>
                <w:szCs w:val="11"/>
                <w:color w:val="auto"/>
              </w:rPr>
            </w:pPr>
          </w:p>
        </w:tc>
        <w:tc>
          <w:tcPr>
            <w:tcW w:w="1080" w:type="dxa"/>
            <w:vAlign w:val="bottom"/>
            <w:tcBorders>
              <w:bottom w:val="single" w:sz="8" w:color="949599"/>
            </w:tcBorders>
          </w:tcPr>
          <w:p>
            <w:pPr>
              <w:spacing w:after="0"/>
              <w:rPr>
                <w:sz w:val="11"/>
                <w:szCs w:val="11"/>
                <w:color w:val="auto"/>
              </w:rPr>
            </w:pPr>
          </w:p>
        </w:tc>
        <w:tc>
          <w:tcPr>
            <w:tcW w:w="5160" w:type="dxa"/>
            <w:vAlign w:val="bottom"/>
            <w:tcBorders>
              <w:bottom w:val="single" w:sz="8" w:color="949599"/>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-1713865</wp:posOffset>
            </wp:positionV>
            <wp:extent cx="120015" cy="17145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0015" cy="171450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LTIP Goal Setting and Rigor</w:t>
      </w:r>
    </w:p>
    <w:p>
      <w:pPr>
        <w:spacing w:after="0" w:line="122"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color w:val="auto"/>
        </w:rPr>
        <w:t>Performance share targets are based on external commitments and performance scales aligned to industry standards. The 2022-2024 performance scale range for the Utility Earned ROE and Utility Net Income metrics were based on setting threshold performance at 90% and distinguished performance at 110% of target, with target performance set in line with external commitments. Target performance for the Exelon CFO/Debt metric is intended to align performance with the expectations of credit rating agencies.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The TMCC used the following process to determine performance share award targets:</w:t>
      </w:r>
    </w:p>
    <w:p>
      <w:pPr>
        <w:spacing w:after="0" w:line="127" w:lineRule="exact"/>
        <w:rPr>
          <w:sz w:val="20"/>
          <w:szCs w:val="20"/>
          <w:color w:val="auto"/>
        </w:rPr>
      </w:pPr>
    </w:p>
    <w:p>
      <w:pPr>
        <w:ind w:left="200" w:right="380" w:hanging="192"/>
        <w:spacing w:after="0" w:line="321" w:lineRule="auto"/>
        <w:tabs>
          <w:tab w:leader="none" w:pos="170" w:val="left"/>
        </w:tabs>
        <w:numPr>
          <w:ilvl w:val="0"/>
          <w:numId w:val="114"/>
        </w:numPr>
        <w:rPr>
          <w:rFonts w:ascii="Arial" w:cs="Arial" w:eastAsia="Arial" w:hAnsi="Arial"/>
          <w:sz w:val="16"/>
          <w:szCs w:val="16"/>
          <w:b w:val="1"/>
          <w:bCs w:val="1"/>
          <w:color w:val="170D67"/>
        </w:rPr>
      </w:pPr>
      <w:r>
        <w:rPr>
          <w:rFonts w:ascii="Arial" w:cs="Arial" w:eastAsia="Arial" w:hAnsi="Arial"/>
          <w:sz w:val="16"/>
          <w:szCs w:val="16"/>
          <w:color w:val="auto"/>
        </w:rPr>
        <w:t>Performance targets (including threshold, target, and distinguished levels) for each of the metrics are set in January or February of each performance cycle.</w:t>
      </w:r>
    </w:p>
    <w:p>
      <w:pPr>
        <w:spacing w:after="0" w:line="7" w:lineRule="exact"/>
        <w:rPr>
          <w:rFonts w:ascii="Arial" w:cs="Arial" w:eastAsia="Arial" w:hAnsi="Arial"/>
          <w:sz w:val="16"/>
          <w:szCs w:val="16"/>
          <w:b w:val="1"/>
          <w:bCs w:val="1"/>
          <w:color w:val="170D67"/>
        </w:rPr>
      </w:pPr>
    </w:p>
    <w:p>
      <w:pPr>
        <w:ind w:left="200" w:hanging="192"/>
        <w:spacing w:after="0" w:line="289" w:lineRule="auto"/>
        <w:tabs>
          <w:tab w:leader="none" w:pos="170" w:val="left"/>
        </w:tabs>
        <w:numPr>
          <w:ilvl w:val="0"/>
          <w:numId w:val="114"/>
        </w:numPr>
        <w:rPr>
          <w:rFonts w:ascii="Arial" w:cs="Arial" w:eastAsia="Arial" w:hAnsi="Arial"/>
          <w:sz w:val="16"/>
          <w:szCs w:val="16"/>
          <w:b w:val="1"/>
          <w:bCs w:val="1"/>
          <w:color w:val="170D67"/>
        </w:rPr>
      </w:pPr>
      <w:r>
        <w:rPr>
          <w:rFonts w:ascii="Arial" w:cs="Arial" w:eastAsia="Arial" w:hAnsi="Arial"/>
          <w:sz w:val="16"/>
          <w:szCs w:val="16"/>
          <w:color w:val="auto"/>
        </w:rPr>
        <w:t>We do not disclose actual three-year targets used in our performance share award cycles until each cycle has been completed. We feel it is important to safeguard the confidentiality of our long-term outlook on projected performance, especially in light of changes in our industry, with our peer companies, and the overall utility market. This policy supports the propriety of our long-standing disclosure practices to only issue public annual performance guidance as part of our financial disclosure policies.</w:t>
      </w:r>
    </w:p>
    <w:p>
      <w:pPr>
        <w:spacing w:after="0" w:line="31" w:lineRule="exact"/>
        <w:rPr>
          <w:rFonts w:ascii="Arial" w:cs="Arial" w:eastAsia="Arial" w:hAnsi="Arial"/>
          <w:sz w:val="16"/>
          <w:szCs w:val="16"/>
          <w:b w:val="1"/>
          <w:bCs w:val="1"/>
          <w:color w:val="170D67"/>
        </w:rPr>
      </w:pPr>
    </w:p>
    <w:p>
      <w:pPr>
        <w:ind w:left="200" w:right="240" w:hanging="192"/>
        <w:spacing w:after="0" w:line="304" w:lineRule="auto"/>
        <w:tabs>
          <w:tab w:leader="none" w:pos="170" w:val="left"/>
        </w:tabs>
        <w:numPr>
          <w:ilvl w:val="0"/>
          <w:numId w:val="114"/>
        </w:numPr>
        <w:rPr>
          <w:rFonts w:ascii="Arial" w:cs="Arial" w:eastAsia="Arial" w:hAnsi="Arial"/>
          <w:sz w:val="16"/>
          <w:szCs w:val="16"/>
          <w:b w:val="1"/>
          <w:bCs w:val="1"/>
          <w:color w:val="170D67"/>
        </w:rPr>
      </w:pPr>
      <w:r>
        <w:rPr>
          <w:rFonts w:ascii="Arial" w:cs="Arial" w:eastAsia="Arial" w:hAnsi="Arial"/>
          <w:sz w:val="16"/>
          <w:szCs w:val="16"/>
          <w:color w:val="auto"/>
        </w:rPr>
        <w:t>At the end of the three-year cycle, the performance factor is calculated based on the weighted average of the actual results for each of the performance metrics.</w:t>
      </w:r>
    </w:p>
    <w:p>
      <w:pPr>
        <w:spacing w:after="0" w:line="60"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To ensure adequate rigor for the financial targets applicable to the 2022-2024 performance share award cycle, targets were aligned to Exelon’s long-range business plan and external commitments.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780"/>
              <w:spacing w:after="0"/>
              <w:rPr>
                <w:sz w:val="20"/>
                <w:szCs w:val="20"/>
                <w:color w:val="auto"/>
              </w:rPr>
            </w:pPr>
            <w:r>
              <w:rPr>
                <w:rFonts w:ascii="Arial" w:cs="Arial" w:eastAsia="Arial" w:hAnsi="Arial"/>
                <w:sz w:val="14"/>
                <w:szCs w:val="14"/>
                <w:color w:val="auto"/>
              </w:rPr>
              <w:t>2025 ׀ Exelon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53</w:t>
            </w:r>
          </w:p>
        </w:tc>
      </w:tr>
      <w:tr>
        <w:trPr>
          <w:trHeight w:val="225"/>
        </w:trPr>
        <w:tc>
          <w:tcPr>
            <w:tcW w:w="1092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3"/>
          <w:szCs w:val="13"/>
          <w:b w:val="1"/>
          <w:bCs w:val="1"/>
          <w:color w:val="auto"/>
        </w:rPr>
        <w:t>Compensation Discussion &amp; Analysis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2022 - 2024 LTIP Performance</w:t>
      </w:r>
    </w:p>
    <w:p>
      <w:pPr>
        <w:spacing w:after="0" w:line="122" w:lineRule="exact"/>
        <w:rPr>
          <w:sz w:val="20"/>
          <w:szCs w:val="20"/>
          <w:color w:val="auto"/>
        </w:rPr>
      </w:pPr>
    </w:p>
    <w:p>
      <w:pPr>
        <w:ind w:right="780"/>
        <w:spacing w:after="0" w:line="321" w:lineRule="auto"/>
        <w:rPr>
          <w:sz w:val="20"/>
          <w:szCs w:val="20"/>
          <w:color w:val="auto"/>
        </w:rPr>
      </w:pPr>
      <w:r>
        <w:rPr>
          <w:rFonts w:ascii="Arial" w:cs="Arial" w:eastAsia="Arial" w:hAnsi="Arial"/>
          <w:sz w:val="16"/>
          <w:szCs w:val="16"/>
          <w:color w:val="auto"/>
        </w:rPr>
        <w:t>The following table details the threshold, target, and distinguished (or maximum) performance goals, and the results achieved for the 2022 – 2024 performance cycle.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160" w:type="dxa"/>
            <w:vAlign w:val="bottom"/>
          </w:tcPr>
          <w:p>
            <w:pPr>
              <w:spacing w:after="0"/>
              <w:rPr>
                <w:sz w:val="17"/>
                <w:szCs w:val="17"/>
                <w:color w:val="auto"/>
              </w:rPr>
            </w:pPr>
          </w:p>
        </w:tc>
        <w:tc>
          <w:tcPr>
            <w:tcW w:w="1580" w:type="dxa"/>
            <w:vAlign w:val="bottom"/>
            <w:tcBorders>
              <w:bottom w:val="single" w:sz="8" w:color="170D67"/>
            </w:tcBorders>
          </w:tcPr>
          <w:p>
            <w:pPr>
              <w:spacing w:after="0"/>
              <w:rPr>
                <w:sz w:val="17"/>
                <w:szCs w:val="17"/>
                <w:color w:val="auto"/>
              </w:rPr>
            </w:pPr>
          </w:p>
        </w:tc>
        <w:tc>
          <w:tcPr>
            <w:tcW w:w="1760" w:type="dxa"/>
            <w:vAlign w:val="bottom"/>
            <w:tcBorders>
              <w:bottom w:val="single" w:sz="8" w:color="170D67"/>
            </w:tcBorders>
          </w:tcPr>
          <w:p>
            <w:pPr>
              <w:jc w:val="right"/>
              <w:ind w:right="306"/>
              <w:spacing w:after="0"/>
              <w:rPr>
                <w:sz w:val="20"/>
                <w:szCs w:val="20"/>
                <w:color w:val="auto"/>
              </w:rPr>
            </w:pPr>
            <w:r>
              <w:rPr>
                <w:rFonts w:ascii="Arial" w:cs="Arial" w:eastAsia="Arial" w:hAnsi="Arial"/>
                <w:sz w:val="14"/>
                <w:szCs w:val="14"/>
                <w:b w:val="1"/>
                <w:bCs w:val="1"/>
                <w:color w:val="170D67"/>
              </w:rPr>
              <w:t>Performance Scale</w:t>
            </w:r>
          </w:p>
        </w:tc>
        <w:tc>
          <w:tcPr>
            <w:tcW w:w="1280" w:type="dxa"/>
            <w:vAlign w:val="bottom"/>
            <w:tcBorders>
              <w:bottom w:val="single" w:sz="8" w:color="170D67"/>
            </w:tcBorders>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Borders>
              <w:bottom w:val="single" w:sz="8" w:color="EDEDED"/>
            </w:tcBorders>
          </w:tcPr>
          <w:p>
            <w:pPr>
              <w:spacing w:after="0"/>
              <w:rPr>
                <w:sz w:val="17"/>
                <w:szCs w:val="17"/>
                <w:color w:val="auto"/>
              </w:rPr>
            </w:pPr>
          </w:p>
        </w:tc>
        <w:tc>
          <w:tcPr>
            <w:tcW w:w="17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0"/>
        </w:trPr>
        <w:tc>
          <w:tcPr>
            <w:tcW w:w="21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170D67"/>
              </w:rPr>
              <w:t>Threshold</w:t>
            </w:r>
          </w:p>
        </w:tc>
        <w:tc>
          <w:tcPr>
            <w:tcW w:w="1760" w:type="dxa"/>
            <w:vAlign w:val="bottom"/>
          </w:tcPr>
          <w:p>
            <w:pPr>
              <w:jc w:val="right"/>
              <w:ind w:right="226"/>
              <w:spacing w:after="0"/>
              <w:rPr>
                <w:sz w:val="20"/>
                <w:szCs w:val="20"/>
                <w:color w:val="auto"/>
              </w:rPr>
            </w:pPr>
            <w:r>
              <w:rPr>
                <w:rFonts w:ascii="Arial" w:cs="Arial" w:eastAsia="Arial" w:hAnsi="Arial"/>
                <w:sz w:val="14"/>
                <w:szCs w:val="14"/>
                <w:b w:val="1"/>
                <w:bCs w:val="1"/>
                <w:color w:val="170D67"/>
              </w:rPr>
              <w:t>Target</w:t>
            </w:r>
          </w:p>
        </w:tc>
        <w:tc>
          <w:tcPr>
            <w:tcW w:w="1480" w:type="dxa"/>
            <w:vAlign w:val="bottom"/>
            <w:gridSpan w:val="2"/>
          </w:tcPr>
          <w:p>
            <w:pPr>
              <w:ind w:left="300"/>
              <w:spacing w:after="0"/>
              <w:rPr>
                <w:sz w:val="20"/>
                <w:szCs w:val="20"/>
                <w:color w:val="auto"/>
              </w:rPr>
            </w:pPr>
            <w:r>
              <w:rPr>
                <w:rFonts w:ascii="Arial" w:cs="Arial" w:eastAsia="Arial" w:hAnsi="Arial"/>
                <w:sz w:val="14"/>
                <w:szCs w:val="14"/>
                <w:b w:val="1"/>
                <w:bCs w:val="1"/>
                <w:color w:val="170D67"/>
              </w:rPr>
              <w:t>Distinguished</w:t>
            </w:r>
          </w:p>
        </w:tc>
        <w:tc>
          <w:tcPr>
            <w:tcW w:w="1340" w:type="dxa"/>
            <w:vAlign w:val="bottom"/>
            <w:shd w:val="clear" w:color="auto" w:fill="EDEDED"/>
          </w:tcPr>
          <w:p>
            <w:pPr>
              <w:jc w:val="right"/>
              <w:spacing w:after="0"/>
              <w:rPr>
                <w:sz w:val="20"/>
                <w:szCs w:val="20"/>
                <w:color w:val="auto"/>
              </w:rPr>
            </w:pPr>
            <w:r>
              <w:rPr>
                <w:rFonts w:ascii="Arial" w:cs="Arial" w:eastAsia="Arial" w:hAnsi="Arial"/>
                <w:sz w:val="14"/>
                <w:szCs w:val="14"/>
                <w:b w:val="1"/>
                <w:bCs w:val="1"/>
                <w:color w:val="170D67"/>
              </w:rPr>
              <w:t>Final Plan</w:t>
            </w:r>
          </w:p>
        </w:tc>
        <w:tc>
          <w:tcPr>
            <w:tcW w:w="1740" w:type="dxa"/>
            <w:vAlign w:val="bottom"/>
          </w:tcPr>
          <w:p>
            <w:pPr>
              <w:jc w:val="right"/>
              <w:ind w:right="185"/>
              <w:spacing w:after="0"/>
              <w:rPr>
                <w:sz w:val="20"/>
                <w:szCs w:val="20"/>
                <w:color w:val="auto"/>
              </w:rPr>
            </w:pPr>
            <w:r>
              <w:rPr>
                <w:rFonts w:ascii="Arial" w:cs="Arial" w:eastAsia="Arial" w:hAnsi="Arial"/>
                <w:sz w:val="14"/>
                <w:szCs w:val="14"/>
                <w:b w:val="1"/>
                <w:bCs w:val="1"/>
                <w:color w:val="170D67"/>
              </w:rPr>
              <w:t>Performance</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170D67"/>
              </w:rPr>
              <w:t>Weighted</w:t>
            </w:r>
          </w:p>
        </w:tc>
      </w:tr>
      <w:tr>
        <w:trPr>
          <w:trHeight w:val="219"/>
        </w:trPr>
        <w:tc>
          <w:tcPr>
            <w:tcW w:w="2160" w:type="dxa"/>
            <w:vAlign w:val="bottom"/>
            <w:tcBorders>
              <w:bottom w:val="single" w:sz="8" w:color="170D67"/>
            </w:tcBorders>
          </w:tcPr>
          <w:p>
            <w:pPr>
              <w:ind w:left="20"/>
              <w:spacing w:after="0"/>
              <w:rPr>
                <w:sz w:val="20"/>
                <w:szCs w:val="20"/>
                <w:color w:val="auto"/>
              </w:rPr>
            </w:pPr>
            <w:r>
              <w:rPr>
                <w:rFonts w:ascii="Arial" w:cs="Arial" w:eastAsia="Arial" w:hAnsi="Arial"/>
                <w:sz w:val="14"/>
                <w:szCs w:val="14"/>
                <w:b w:val="1"/>
                <w:bCs w:val="1"/>
                <w:color w:val="170D67"/>
              </w:rPr>
              <w:t>LTIP (3-yr) Metrics:</w:t>
            </w:r>
          </w:p>
        </w:tc>
        <w:tc>
          <w:tcPr>
            <w:tcW w:w="1580" w:type="dxa"/>
            <w:vAlign w:val="bottom"/>
            <w:tcBorders>
              <w:bottom w:val="single" w:sz="8" w:color="170D67"/>
            </w:tcBorders>
          </w:tcPr>
          <w:p>
            <w:pPr>
              <w:jc w:val="right"/>
              <w:spacing w:after="0"/>
              <w:rPr>
                <w:sz w:val="20"/>
                <w:szCs w:val="20"/>
                <w:color w:val="auto"/>
              </w:rPr>
            </w:pPr>
            <w:r>
              <w:rPr>
                <w:rFonts w:ascii="Arial" w:cs="Arial" w:eastAsia="Arial" w:hAnsi="Arial"/>
                <w:sz w:val="14"/>
                <w:szCs w:val="14"/>
                <w:b w:val="1"/>
                <w:bCs w:val="1"/>
                <w:color w:val="170D67"/>
              </w:rPr>
              <w:t>(50%)</w:t>
            </w:r>
          </w:p>
        </w:tc>
        <w:tc>
          <w:tcPr>
            <w:tcW w:w="1760" w:type="dxa"/>
            <w:vAlign w:val="bottom"/>
            <w:tcBorders>
              <w:bottom w:val="single" w:sz="8" w:color="170D67"/>
            </w:tcBorders>
          </w:tcPr>
          <w:p>
            <w:pPr>
              <w:jc w:val="right"/>
              <w:ind w:right="226"/>
              <w:spacing w:after="0"/>
              <w:rPr>
                <w:sz w:val="20"/>
                <w:szCs w:val="20"/>
                <w:color w:val="auto"/>
              </w:rPr>
            </w:pPr>
            <w:r>
              <w:rPr>
                <w:rFonts w:ascii="Arial" w:cs="Arial" w:eastAsia="Arial" w:hAnsi="Arial"/>
                <w:sz w:val="14"/>
                <w:szCs w:val="14"/>
                <w:b w:val="1"/>
                <w:bCs w:val="1"/>
                <w:color w:val="170D67"/>
              </w:rPr>
              <w:t>(100%)</w:t>
            </w:r>
          </w:p>
        </w:tc>
        <w:tc>
          <w:tcPr>
            <w:tcW w:w="1280" w:type="dxa"/>
            <w:vAlign w:val="bottom"/>
            <w:tcBorders>
              <w:bottom w:val="single" w:sz="8" w:color="170D67"/>
            </w:tcBorders>
          </w:tcPr>
          <w:p>
            <w:pPr>
              <w:jc w:val="right"/>
              <w:spacing w:after="0"/>
              <w:rPr>
                <w:sz w:val="20"/>
                <w:szCs w:val="20"/>
                <w:color w:val="auto"/>
              </w:rPr>
            </w:pPr>
            <w:r>
              <w:rPr>
                <w:rFonts w:ascii="Arial" w:cs="Arial" w:eastAsia="Arial" w:hAnsi="Arial"/>
                <w:sz w:val="14"/>
                <w:szCs w:val="14"/>
                <w:b w:val="1"/>
                <w:bCs w:val="1"/>
                <w:color w:val="170D67"/>
              </w:rPr>
              <w:t>(150%)</w:t>
            </w:r>
          </w:p>
        </w:tc>
        <w:tc>
          <w:tcPr>
            <w:tcW w:w="200" w:type="dxa"/>
            <w:vAlign w:val="bottom"/>
            <w:tcBorders>
              <w:bottom w:val="single" w:sz="8" w:color="170D67"/>
            </w:tcBorders>
          </w:tcPr>
          <w:p>
            <w:pPr>
              <w:spacing w:after="0"/>
              <w:rPr>
                <w:sz w:val="19"/>
                <w:szCs w:val="19"/>
                <w:color w:val="auto"/>
              </w:rPr>
            </w:pPr>
          </w:p>
        </w:tc>
        <w:tc>
          <w:tcPr>
            <w:tcW w:w="1340" w:type="dxa"/>
            <w:vAlign w:val="bottom"/>
            <w:tcBorders>
              <w:bottom w:val="single" w:sz="8" w:color="170D67"/>
            </w:tcBorders>
            <w:shd w:val="clear" w:color="auto" w:fill="EDEDED"/>
          </w:tcPr>
          <w:p>
            <w:pPr>
              <w:jc w:val="right"/>
              <w:spacing w:after="0"/>
              <w:rPr>
                <w:sz w:val="20"/>
                <w:szCs w:val="20"/>
                <w:color w:val="auto"/>
              </w:rPr>
            </w:pPr>
            <w:r>
              <w:rPr>
                <w:rFonts w:ascii="Arial" w:cs="Arial" w:eastAsia="Arial" w:hAnsi="Arial"/>
                <w:sz w:val="14"/>
                <w:szCs w:val="14"/>
                <w:b w:val="1"/>
                <w:bCs w:val="1"/>
                <w:color w:val="170D67"/>
              </w:rPr>
              <w:t>Performance</w:t>
            </w:r>
          </w:p>
        </w:tc>
        <w:tc>
          <w:tcPr>
            <w:tcW w:w="1740" w:type="dxa"/>
            <w:vAlign w:val="bottom"/>
            <w:tcBorders>
              <w:bottom w:val="single" w:sz="8" w:color="170D67"/>
            </w:tcBorders>
          </w:tcPr>
          <w:p>
            <w:pPr>
              <w:jc w:val="right"/>
              <w:ind w:right="185"/>
              <w:spacing w:after="0"/>
              <w:rPr>
                <w:sz w:val="20"/>
                <w:szCs w:val="20"/>
                <w:color w:val="auto"/>
              </w:rPr>
            </w:pPr>
            <w:r>
              <w:rPr>
                <w:rFonts w:ascii="Arial" w:cs="Arial" w:eastAsia="Arial" w:hAnsi="Arial"/>
                <w:sz w:val="14"/>
                <w:szCs w:val="14"/>
                <w:b w:val="1"/>
                <w:bCs w:val="1"/>
                <w:color w:val="170D67"/>
              </w:rPr>
              <w:t>as % of Target</w:t>
            </w:r>
          </w:p>
        </w:tc>
        <w:tc>
          <w:tcPr>
            <w:tcW w:w="1160" w:type="dxa"/>
            <w:vAlign w:val="bottom"/>
            <w:tcBorders>
              <w:bottom w:val="single" w:sz="8" w:color="170D67"/>
            </w:tcBorders>
          </w:tcPr>
          <w:p>
            <w:pPr>
              <w:jc w:val="right"/>
              <w:spacing w:after="0"/>
              <w:rPr>
                <w:sz w:val="20"/>
                <w:szCs w:val="20"/>
                <w:color w:val="auto"/>
              </w:rPr>
            </w:pPr>
            <w:r>
              <w:rPr>
                <w:rFonts w:ascii="Arial" w:cs="Arial" w:eastAsia="Arial" w:hAnsi="Arial"/>
                <w:sz w:val="14"/>
                <w:szCs w:val="14"/>
                <w:b w:val="1"/>
                <w:bCs w:val="1"/>
                <w:color w:val="170D67"/>
              </w:rPr>
              <w:t>Performance</w:t>
            </w:r>
          </w:p>
        </w:tc>
      </w:tr>
      <w:tr>
        <w:trPr>
          <w:trHeight w:val="243"/>
        </w:trPr>
        <w:tc>
          <w:tcPr>
            <w:tcW w:w="2160" w:type="dxa"/>
            <w:vAlign w:val="bottom"/>
          </w:tcPr>
          <w:p>
            <w:pPr>
              <w:ind w:left="20"/>
              <w:spacing w:after="0"/>
              <w:rPr>
                <w:sz w:val="20"/>
                <w:szCs w:val="20"/>
                <w:color w:val="auto"/>
              </w:rPr>
            </w:pPr>
            <w:r>
              <w:rPr>
                <w:rFonts w:ascii="Arial" w:cs="Arial" w:eastAsia="Arial" w:hAnsi="Arial"/>
                <w:sz w:val="15"/>
                <w:szCs w:val="15"/>
                <w:color w:val="auto"/>
              </w:rPr>
              <w:t>Utility Earned ROE*</w:t>
            </w:r>
          </w:p>
        </w:tc>
        <w:tc>
          <w:tcPr>
            <w:tcW w:w="1580" w:type="dxa"/>
            <w:vAlign w:val="bottom"/>
          </w:tcPr>
          <w:p>
            <w:pPr>
              <w:jc w:val="right"/>
              <w:spacing w:after="0"/>
              <w:rPr>
                <w:sz w:val="20"/>
                <w:szCs w:val="20"/>
                <w:color w:val="auto"/>
              </w:rPr>
            </w:pPr>
            <w:r>
              <w:rPr>
                <w:rFonts w:ascii="Arial" w:cs="Arial" w:eastAsia="Arial" w:hAnsi="Arial"/>
                <w:sz w:val="15"/>
                <w:szCs w:val="15"/>
                <w:color w:val="auto"/>
              </w:rPr>
              <w:t>8.3%</w:t>
            </w:r>
          </w:p>
        </w:tc>
        <w:tc>
          <w:tcPr>
            <w:tcW w:w="1760" w:type="dxa"/>
            <w:vAlign w:val="bottom"/>
          </w:tcPr>
          <w:p>
            <w:pPr>
              <w:jc w:val="right"/>
              <w:ind w:right="226"/>
              <w:spacing w:after="0"/>
              <w:rPr>
                <w:sz w:val="20"/>
                <w:szCs w:val="20"/>
                <w:color w:val="auto"/>
              </w:rPr>
            </w:pPr>
            <w:r>
              <w:rPr>
                <w:rFonts w:ascii="Arial" w:cs="Arial" w:eastAsia="Arial" w:hAnsi="Arial"/>
                <w:sz w:val="15"/>
                <w:szCs w:val="15"/>
                <w:color w:val="auto"/>
              </w:rPr>
              <w:t>9.2%</w:t>
            </w:r>
          </w:p>
        </w:tc>
        <w:tc>
          <w:tcPr>
            <w:tcW w:w="1280" w:type="dxa"/>
            <w:vAlign w:val="bottom"/>
          </w:tcPr>
          <w:p>
            <w:pPr>
              <w:jc w:val="right"/>
              <w:spacing w:after="0"/>
              <w:rPr>
                <w:sz w:val="20"/>
                <w:szCs w:val="20"/>
                <w:color w:val="auto"/>
              </w:rPr>
            </w:pPr>
            <w:r>
              <w:rPr>
                <w:rFonts w:ascii="Arial" w:cs="Arial" w:eastAsia="Arial" w:hAnsi="Arial"/>
                <w:sz w:val="15"/>
                <w:szCs w:val="15"/>
                <w:color w:val="auto"/>
              </w:rPr>
              <w:t>10.1%</w:t>
            </w:r>
          </w:p>
        </w:tc>
        <w:tc>
          <w:tcPr>
            <w:tcW w:w="200" w:type="dxa"/>
            <w:vAlign w:val="bottom"/>
          </w:tcPr>
          <w:p>
            <w:pPr>
              <w:spacing w:after="0"/>
              <w:rPr>
                <w:sz w:val="21"/>
                <w:szCs w:val="21"/>
                <w:color w:val="auto"/>
              </w:rPr>
            </w:pPr>
          </w:p>
        </w:tc>
        <w:tc>
          <w:tcPr>
            <w:tcW w:w="13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5"/>
                <w:szCs w:val="15"/>
                <w:color w:val="auto"/>
              </w:rPr>
              <w:t>9.3 %</w:t>
            </w:r>
          </w:p>
        </w:tc>
        <w:tc>
          <w:tcPr>
            <w:tcW w:w="1740" w:type="dxa"/>
            <w:vAlign w:val="bottom"/>
          </w:tcPr>
          <w:p>
            <w:pPr>
              <w:jc w:val="right"/>
              <w:ind w:right="185"/>
              <w:spacing w:after="0"/>
              <w:rPr>
                <w:sz w:val="20"/>
                <w:szCs w:val="20"/>
                <w:color w:val="auto"/>
              </w:rPr>
            </w:pPr>
            <w:r>
              <w:rPr>
                <w:rFonts w:ascii="Arial" w:cs="Arial" w:eastAsia="Arial" w:hAnsi="Arial"/>
                <w:sz w:val="15"/>
                <w:szCs w:val="15"/>
                <w:color w:val="auto"/>
              </w:rPr>
              <w:t>103.96 %</w:t>
            </w:r>
          </w:p>
        </w:tc>
        <w:tc>
          <w:tcPr>
            <w:tcW w:w="1160" w:type="dxa"/>
            <w:vAlign w:val="bottom"/>
          </w:tcPr>
          <w:p>
            <w:pPr>
              <w:jc w:val="right"/>
              <w:spacing w:after="0"/>
              <w:rPr>
                <w:sz w:val="20"/>
                <w:szCs w:val="20"/>
                <w:color w:val="auto"/>
              </w:rPr>
            </w:pPr>
            <w:r>
              <w:rPr>
                <w:rFonts w:ascii="Arial" w:cs="Arial" w:eastAsia="Arial" w:hAnsi="Arial"/>
                <w:sz w:val="15"/>
                <w:szCs w:val="15"/>
                <w:color w:val="auto"/>
              </w:rPr>
              <w:t>34.62 %</w:t>
            </w:r>
          </w:p>
        </w:tc>
      </w:tr>
      <w:tr>
        <w:trPr>
          <w:trHeight w:val="237"/>
        </w:trPr>
        <w:tc>
          <w:tcPr>
            <w:tcW w:w="2160" w:type="dxa"/>
            <w:vAlign w:val="bottom"/>
            <w:tcBorders>
              <w:top w:val="single" w:sz="8" w:color="808080"/>
            </w:tcBorders>
          </w:tcPr>
          <w:p>
            <w:pPr>
              <w:ind w:left="20"/>
              <w:spacing w:after="0"/>
              <w:rPr>
                <w:sz w:val="20"/>
                <w:szCs w:val="20"/>
                <w:color w:val="auto"/>
              </w:rPr>
            </w:pPr>
            <w:r>
              <w:rPr>
                <w:rFonts w:ascii="Arial" w:cs="Arial" w:eastAsia="Arial" w:hAnsi="Arial"/>
                <w:sz w:val="15"/>
                <w:szCs w:val="15"/>
                <w:color w:val="auto"/>
              </w:rPr>
              <w:t>Utility Net Income* ($M)</w:t>
            </w:r>
          </w:p>
        </w:tc>
        <w:tc>
          <w:tcPr>
            <w:tcW w:w="1580" w:type="dxa"/>
            <w:vAlign w:val="bottom"/>
            <w:tcBorders>
              <w:top w:val="single" w:sz="8" w:color="808080"/>
            </w:tcBorders>
          </w:tcPr>
          <w:p>
            <w:pPr>
              <w:jc w:val="right"/>
              <w:spacing w:after="0"/>
              <w:rPr>
                <w:sz w:val="20"/>
                <w:szCs w:val="20"/>
                <w:color w:val="auto"/>
              </w:rPr>
            </w:pPr>
            <w:r>
              <w:rPr>
                <w:rFonts w:ascii="Arial" w:cs="Arial" w:eastAsia="Arial" w:hAnsi="Arial"/>
                <w:sz w:val="15"/>
                <w:szCs w:val="15"/>
                <w:color w:val="auto"/>
              </w:rPr>
              <w:t>$6,457</w:t>
            </w:r>
          </w:p>
        </w:tc>
        <w:tc>
          <w:tcPr>
            <w:tcW w:w="1760" w:type="dxa"/>
            <w:vAlign w:val="bottom"/>
            <w:tcBorders>
              <w:top w:val="single" w:sz="8" w:color="808080"/>
            </w:tcBorders>
          </w:tcPr>
          <w:p>
            <w:pPr>
              <w:jc w:val="right"/>
              <w:ind w:right="226"/>
              <w:spacing w:after="0"/>
              <w:rPr>
                <w:sz w:val="20"/>
                <w:szCs w:val="20"/>
                <w:color w:val="auto"/>
              </w:rPr>
            </w:pPr>
            <w:r>
              <w:rPr>
                <w:rFonts w:ascii="Arial" w:cs="Arial" w:eastAsia="Arial" w:hAnsi="Arial"/>
                <w:sz w:val="15"/>
                <w:szCs w:val="15"/>
                <w:color w:val="auto"/>
              </w:rPr>
              <w:t>$7,174</w:t>
            </w:r>
          </w:p>
        </w:tc>
        <w:tc>
          <w:tcPr>
            <w:tcW w:w="1280" w:type="dxa"/>
            <w:vAlign w:val="bottom"/>
            <w:tcBorders>
              <w:top w:val="single" w:sz="8" w:color="808080"/>
            </w:tcBorders>
          </w:tcPr>
          <w:p>
            <w:pPr>
              <w:jc w:val="right"/>
              <w:spacing w:after="0"/>
              <w:rPr>
                <w:sz w:val="20"/>
                <w:szCs w:val="20"/>
                <w:color w:val="auto"/>
              </w:rPr>
            </w:pPr>
            <w:r>
              <w:rPr>
                <w:rFonts w:ascii="Arial" w:cs="Arial" w:eastAsia="Arial" w:hAnsi="Arial"/>
                <w:sz w:val="15"/>
                <w:szCs w:val="15"/>
                <w:color w:val="auto"/>
              </w:rPr>
              <w:t>$7,891</w:t>
            </w:r>
          </w:p>
        </w:tc>
        <w:tc>
          <w:tcPr>
            <w:tcW w:w="200" w:type="dxa"/>
            <w:vAlign w:val="bottom"/>
            <w:tcBorders>
              <w:top w:val="single" w:sz="8" w:color="808080"/>
            </w:tcBorders>
          </w:tcPr>
          <w:p>
            <w:pPr>
              <w:spacing w:after="0"/>
              <w:rPr>
                <w:sz w:val="20"/>
                <w:szCs w:val="20"/>
                <w:color w:val="auto"/>
              </w:rPr>
            </w:pPr>
          </w:p>
        </w:tc>
        <w:tc>
          <w:tcPr>
            <w:tcW w:w="1340" w:type="dxa"/>
            <w:vAlign w:val="bottom"/>
            <w:tcBorders>
              <w:top w:val="single" w:sz="8" w:color="808080"/>
              <w:bottom w:val="single" w:sz="8" w:color="EDEDED"/>
            </w:tcBorders>
            <w:shd w:val="clear" w:color="auto" w:fill="EDEDED"/>
          </w:tcPr>
          <w:p>
            <w:pPr>
              <w:jc w:val="right"/>
              <w:spacing w:after="0"/>
              <w:rPr>
                <w:sz w:val="20"/>
                <w:szCs w:val="20"/>
                <w:color w:val="auto"/>
              </w:rPr>
            </w:pPr>
            <w:r>
              <w:rPr>
                <w:rFonts w:ascii="Arial" w:cs="Arial" w:eastAsia="Arial" w:hAnsi="Arial"/>
                <w:sz w:val="15"/>
                <w:szCs w:val="15"/>
                <w:color w:val="auto"/>
              </w:rPr>
              <w:t>$7,123</w:t>
            </w:r>
          </w:p>
        </w:tc>
        <w:tc>
          <w:tcPr>
            <w:tcW w:w="1740" w:type="dxa"/>
            <w:vAlign w:val="bottom"/>
            <w:tcBorders>
              <w:top w:val="single" w:sz="8" w:color="808080"/>
            </w:tcBorders>
          </w:tcPr>
          <w:p>
            <w:pPr>
              <w:jc w:val="right"/>
              <w:ind w:right="185"/>
              <w:spacing w:after="0"/>
              <w:rPr>
                <w:sz w:val="20"/>
                <w:szCs w:val="20"/>
                <w:color w:val="auto"/>
              </w:rPr>
            </w:pPr>
            <w:r>
              <w:rPr>
                <w:rFonts w:ascii="Arial" w:cs="Arial" w:eastAsia="Arial" w:hAnsi="Arial"/>
                <w:sz w:val="15"/>
                <w:szCs w:val="15"/>
                <w:color w:val="auto"/>
              </w:rPr>
              <w:t>96.45 %</w:t>
            </w:r>
          </w:p>
        </w:tc>
        <w:tc>
          <w:tcPr>
            <w:tcW w:w="1160" w:type="dxa"/>
            <w:vAlign w:val="bottom"/>
            <w:tcBorders>
              <w:top w:val="single" w:sz="8" w:color="808080"/>
            </w:tcBorders>
          </w:tcPr>
          <w:p>
            <w:pPr>
              <w:jc w:val="right"/>
              <w:spacing w:after="0"/>
              <w:rPr>
                <w:sz w:val="20"/>
                <w:szCs w:val="20"/>
                <w:color w:val="auto"/>
              </w:rPr>
            </w:pPr>
            <w:r>
              <w:rPr>
                <w:rFonts w:ascii="Arial" w:cs="Arial" w:eastAsia="Arial" w:hAnsi="Arial"/>
                <w:sz w:val="15"/>
                <w:szCs w:val="15"/>
                <w:color w:val="auto"/>
              </w:rPr>
              <w:t>32.12 %</w:t>
            </w:r>
          </w:p>
        </w:tc>
      </w:tr>
      <w:tr>
        <w:trPr>
          <w:trHeight w:val="237"/>
        </w:trPr>
        <w:tc>
          <w:tcPr>
            <w:tcW w:w="2160" w:type="dxa"/>
            <w:vAlign w:val="bottom"/>
            <w:tcBorders>
              <w:top w:val="single" w:sz="8" w:color="808080"/>
            </w:tcBorders>
          </w:tcPr>
          <w:p>
            <w:pPr>
              <w:ind w:left="20"/>
              <w:spacing w:after="0"/>
              <w:rPr>
                <w:sz w:val="20"/>
                <w:szCs w:val="20"/>
                <w:color w:val="auto"/>
              </w:rPr>
            </w:pPr>
            <w:r>
              <w:rPr>
                <w:rFonts w:ascii="Arial" w:cs="Arial" w:eastAsia="Arial" w:hAnsi="Arial"/>
                <w:sz w:val="15"/>
                <w:szCs w:val="15"/>
                <w:color w:val="auto"/>
              </w:rPr>
              <w:t>Exelon CFO/Debt* (%)</w:t>
            </w:r>
          </w:p>
        </w:tc>
        <w:tc>
          <w:tcPr>
            <w:tcW w:w="1580" w:type="dxa"/>
            <w:vAlign w:val="bottom"/>
            <w:tcBorders>
              <w:top w:val="single" w:sz="8" w:color="808080"/>
            </w:tcBorders>
          </w:tcPr>
          <w:p>
            <w:pPr>
              <w:jc w:val="right"/>
              <w:spacing w:after="0"/>
              <w:rPr>
                <w:sz w:val="20"/>
                <w:szCs w:val="20"/>
                <w:color w:val="auto"/>
              </w:rPr>
            </w:pPr>
            <w:r>
              <w:rPr>
                <w:rFonts w:ascii="Arial" w:cs="Arial" w:eastAsia="Arial" w:hAnsi="Arial"/>
                <w:sz w:val="15"/>
                <w:szCs w:val="15"/>
                <w:color w:val="auto"/>
              </w:rPr>
              <w:t>&gt;=12.0%&lt;12.5%</w:t>
            </w:r>
          </w:p>
        </w:tc>
        <w:tc>
          <w:tcPr>
            <w:tcW w:w="1760" w:type="dxa"/>
            <w:vAlign w:val="bottom"/>
            <w:tcBorders>
              <w:top w:val="single" w:sz="8" w:color="808080"/>
            </w:tcBorders>
          </w:tcPr>
          <w:p>
            <w:pPr>
              <w:jc w:val="right"/>
              <w:ind w:right="226"/>
              <w:spacing w:after="0"/>
              <w:rPr>
                <w:sz w:val="20"/>
                <w:szCs w:val="20"/>
                <w:color w:val="auto"/>
              </w:rPr>
            </w:pPr>
            <w:r>
              <w:rPr>
                <w:rFonts w:ascii="Arial" w:cs="Arial" w:eastAsia="Arial" w:hAnsi="Arial"/>
                <w:sz w:val="15"/>
                <w:szCs w:val="15"/>
                <w:color w:val="auto"/>
              </w:rPr>
              <w:t>&gt;=13.0%&lt;14.0%</w:t>
            </w:r>
          </w:p>
        </w:tc>
        <w:tc>
          <w:tcPr>
            <w:tcW w:w="1280" w:type="dxa"/>
            <w:vAlign w:val="bottom"/>
            <w:tcBorders>
              <w:top w:val="single" w:sz="8" w:color="808080"/>
            </w:tcBorders>
          </w:tcPr>
          <w:p>
            <w:pPr>
              <w:jc w:val="right"/>
              <w:spacing w:after="0"/>
              <w:rPr>
                <w:sz w:val="20"/>
                <w:szCs w:val="20"/>
                <w:color w:val="auto"/>
              </w:rPr>
            </w:pPr>
            <w:r>
              <w:rPr>
                <w:rFonts w:ascii="Arial" w:cs="Arial" w:eastAsia="Arial" w:hAnsi="Arial"/>
                <w:sz w:val="15"/>
                <w:szCs w:val="15"/>
                <w:color w:val="auto"/>
              </w:rPr>
              <w:t>&gt;=15.0%</w:t>
            </w:r>
          </w:p>
        </w:tc>
        <w:tc>
          <w:tcPr>
            <w:tcW w:w="200" w:type="dxa"/>
            <w:vAlign w:val="bottom"/>
            <w:tcBorders>
              <w:top w:val="single" w:sz="8" w:color="808080"/>
            </w:tcBorders>
          </w:tcPr>
          <w:p>
            <w:pPr>
              <w:spacing w:after="0"/>
              <w:rPr>
                <w:sz w:val="20"/>
                <w:szCs w:val="20"/>
                <w:color w:val="auto"/>
              </w:rPr>
            </w:pPr>
          </w:p>
        </w:tc>
        <w:tc>
          <w:tcPr>
            <w:tcW w:w="1340" w:type="dxa"/>
            <w:vAlign w:val="bottom"/>
            <w:tcBorders>
              <w:top w:val="single" w:sz="8" w:color="808080"/>
              <w:bottom w:val="single" w:sz="8" w:color="EDEDED"/>
            </w:tcBorders>
            <w:shd w:val="clear" w:color="auto" w:fill="EDEDED"/>
          </w:tcPr>
          <w:p>
            <w:pPr>
              <w:jc w:val="right"/>
              <w:spacing w:after="0"/>
              <w:rPr>
                <w:sz w:val="20"/>
                <w:szCs w:val="20"/>
                <w:color w:val="auto"/>
              </w:rPr>
            </w:pPr>
            <w:r>
              <w:rPr>
                <w:rFonts w:ascii="Arial" w:cs="Arial" w:eastAsia="Arial" w:hAnsi="Arial"/>
                <w:sz w:val="15"/>
                <w:szCs w:val="15"/>
                <w:color w:val="auto"/>
              </w:rPr>
              <w:t>12.9 %</w:t>
            </w:r>
          </w:p>
        </w:tc>
        <w:tc>
          <w:tcPr>
            <w:tcW w:w="1740" w:type="dxa"/>
            <w:vAlign w:val="bottom"/>
            <w:tcBorders>
              <w:top w:val="single" w:sz="8" w:color="808080"/>
            </w:tcBorders>
          </w:tcPr>
          <w:p>
            <w:pPr>
              <w:jc w:val="right"/>
              <w:ind w:right="185"/>
              <w:spacing w:after="0"/>
              <w:rPr>
                <w:sz w:val="20"/>
                <w:szCs w:val="20"/>
                <w:color w:val="auto"/>
              </w:rPr>
            </w:pPr>
            <w:r>
              <w:rPr>
                <w:rFonts w:ascii="Arial" w:cs="Arial" w:eastAsia="Arial" w:hAnsi="Arial"/>
                <w:sz w:val="15"/>
                <w:szCs w:val="15"/>
                <w:color w:val="auto"/>
              </w:rPr>
              <w:t>75.00 %</w:t>
            </w:r>
          </w:p>
        </w:tc>
        <w:tc>
          <w:tcPr>
            <w:tcW w:w="1160" w:type="dxa"/>
            <w:vAlign w:val="bottom"/>
            <w:tcBorders>
              <w:top w:val="single" w:sz="8" w:color="808080"/>
            </w:tcBorders>
          </w:tcPr>
          <w:p>
            <w:pPr>
              <w:jc w:val="right"/>
              <w:spacing w:after="0"/>
              <w:rPr>
                <w:sz w:val="20"/>
                <w:szCs w:val="20"/>
                <w:color w:val="auto"/>
              </w:rPr>
            </w:pPr>
            <w:r>
              <w:rPr>
                <w:rFonts w:ascii="Arial" w:cs="Arial" w:eastAsia="Arial" w:hAnsi="Arial"/>
                <w:sz w:val="15"/>
                <w:szCs w:val="15"/>
                <w:color w:val="auto"/>
              </w:rPr>
              <w:t>25.05 %</w:t>
            </w:r>
          </w:p>
        </w:tc>
      </w:tr>
      <w:tr>
        <w:trPr>
          <w:trHeight w:val="211"/>
        </w:trPr>
        <w:tc>
          <w:tcPr>
            <w:tcW w:w="2160" w:type="dxa"/>
            <w:vAlign w:val="bottom"/>
            <w:tcBorders>
              <w:top w:val="single" w:sz="8" w:color="808080"/>
            </w:tcBorders>
          </w:tcPr>
          <w:p>
            <w:pPr>
              <w:spacing w:after="0"/>
              <w:rPr>
                <w:sz w:val="18"/>
                <w:szCs w:val="18"/>
                <w:color w:val="auto"/>
              </w:rPr>
            </w:pPr>
          </w:p>
        </w:tc>
        <w:tc>
          <w:tcPr>
            <w:tcW w:w="1580" w:type="dxa"/>
            <w:vAlign w:val="bottom"/>
            <w:tcBorders>
              <w:top w:val="single" w:sz="8" w:color="808080"/>
            </w:tcBorders>
          </w:tcPr>
          <w:p>
            <w:pPr>
              <w:spacing w:after="0"/>
              <w:rPr>
                <w:sz w:val="18"/>
                <w:szCs w:val="18"/>
                <w:color w:val="auto"/>
              </w:rPr>
            </w:pPr>
          </w:p>
        </w:tc>
        <w:tc>
          <w:tcPr>
            <w:tcW w:w="1760" w:type="dxa"/>
            <w:vAlign w:val="bottom"/>
            <w:tcBorders>
              <w:top w:val="single" w:sz="8" w:color="808080"/>
            </w:tcBorders>
          </w:tcPr>
          <w:p>
            <w:pPr>
              <w:spacing w:after="0"/>
              <w:rPr>
                <w:sz w:val="18"/>
                <w:szCs w:val="18"/>
                <w:color w:val="auto"/>
              </w:rPr>
            </w:pPr>
          </w:p>
        </w:tc>
        <w:tc>
          <w:tcPr>
            <w:tcW w:w="1280" w:type="dxa"/>
            <w:vAlign w:val="bottom"/>
            <w:tcBorders>
              <w:top w:val="single" w:sz="8" w:color="808080"/>
            </w:tcBorders>
          </w:tcPr>
          <w:p>
            <w:pPr>
              <w:spacing w:after="0"/>
              <w:rPr>
                <w:sz w:val="18"/>
                <w:szCs w:val="18"/>
                <w:color w:val="auto"/>
              </w:rPr>
            </w:pPr>
          </w:p>
        </w:tc>
        <w:tc>
          <w:tcPr>
            <w:tcW w:w="200" w:type="dxa"/>
            <w:vAlign w:val="bottom"/>
            <w:tcBorders>
              <w:top w:val="single" w:sz="8" w:color="808080"/>
            </w:tcBorders>
          </w:tcPr>
          <w:p>
            <w:pPr>
              <w:spacing w:after="0"/>
              <w:rPr>
                <w:sz w:val="18"/>
                <w:szCs w:val="18"/>
                <w:color w:val="auto"/>
              </w:rPr>
            </w:pPr>
          </w:p>
        </w:tc>
        <w:tc>
          <w:tcPr>
            <w:tcW w:w="3080" w:type="dxa"/>
            <w:vAlign w:val="bottom"/>
            <w:tcBorders>
              <w:top w:val="single" w:sz="8" w:color="808080"/>
            </w:tcBorders>
            <w:gridSpan w:val="2"/>
          </w:tcPr>
          <w:p>
            <w:pPr>
              <w:jc w:val="right"/>
              <w:ind w:right="185"/>
              <w:spacing w:after="0"/>
              <w:rPr>
                <w:sz w:val="20"/>
                <w:szCs w:val="20"/>
                <w:color w:val="auto"/>
              </w:rPr>
            </w:pPr>
            <w:r>
              <w:rPr>
                <w:rFonts w:ascii="Arial" w:cs="Arial" w:eastAsia="Arial" w:hAnsi="Arial"/>
                <w:sz w:val="15"/>
                <w:szCs w:val="15"/>
                <w:b w:val="1"/>
                <w:bCs w:val="1"/>
                <w:color w:val="auto"/>
              </w:rPr>
              <w:t>2022– 2024 Performance Factor</w:t>
            </w:r>
          </w:p>
        </w:tc>
        <w:tc>
          <w:tcPr>
            <w:tcW w:w="1160" w:type="dxa"/>
            <w:vAlign w:val="bottom"/>
            <w:tcBorders>
              <w:top w:val="single" w:sz="8" w:color="808080"/>
            </w:tcBorders>
          </w:tcPr>
          <w:p>
            <w:pPr>
              <w:jc w:val="right"/>
              <w:spacing w:after="0"/>
              <w:rPr>
                <w:sz w:val="20"/>
                <w:szCs w:val="20"/>
                <w:color w:val="auto"/>
              </w:rPr>
            </w:pPr>
            <w:r>
              <w:rPr>
                <w:rFonts w:ascii="Arial" w:cs="Arial" w:eastAsia="Arial" w:hAnsi="Arial"/>
                <w:sz w:val="15"/>
                <w:szCs w:val="15"/>
                <w:b w:val="1"/>
                <w:bCs w:val="1"/>
                <w:color w:val="auto"/>
              </w:rPr>
              <w:t>91.79 %</w:t>
            </w:r>
          </w:p>
        </w:tc>
      </w:tr>
      <w:tr>
        <w:trPr>
          <w:trHeight w:val="25"/>
        </w:trPr>
        <w:tc>
          <w:tcPr>
            <w:tcW w:w="2160" w:type="dxa"/>
            <w:vAlign w:val="bottom"/>
            <w:tcBorders>
              <w:bottom w:val="single" w:sz="8" w:color="808080"/>
            </w:tcBorders>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176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200" w:type="dxa"/>
            <w:vAlign w:val="bottom"/>
            <w:tcBorders>
              <w:bottom w:val="single" w:sz="8" w:color="808080"/>
            </w:tcBorders>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1740" w:type="dxa"/>
            <w:vAlign w:val="bottom"/>
            <w:tcBorders>
              <w:bottom w:val="single" w:sz="8" w:color="808080"/>
            </w:tcBorders>
          </w:tcPr>
          <w:p>
            <w:pPr>
              <w:spacing w:after="0"/>
              <w:rPr>
                <w:sz w:val="2"/>
                <w:szCs w:val="2"/>
                <w:color w:val="auto"/>
              </w:rPr>
            </w:pPr>
          </w:p>
        </w:tc>
        <w:tc>
          <w:tcPr>
            <w:tcW w:w="1160" w:type="dxa"/>
            <w:vAlign w:val="bottom"/>
            <w:tcBorders>
              <w:bottom w:val="single" w:sz="8" w:color="808080"/>
            </w:tcBorders>
          </w:tcPr>
          <w:p>
            <w:pPr>
              <w:spacing w:after="0"/>
              <w:rPr>
                <w:sz w:val="2"/>
                <w:szCs w:val="2"/>
                <w:color w:val="auto"/>
              </w:rPr>
            </w:pPr>
          </w:p>
        </w:tc>
      </w:tr>
    </w:tbl>
    <w:p>
      <w:pPr>
        <w:spacing w:after="0" w:line="17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performance factor is subject to a TSR modifier that compares Exelon’s performance relative to the performance of the PHLX Utility Sector Index (UTY) on a point-by-point basis for the full three-year performance cycle. The TSR modifier is calculated by subtracting the TSR of the UTY over the same performance period from Exelon’s TSR for the period. The final factor is calculated by multiplying the performance factor x (100% + TSR Modifier). The final factor is applied to the individual’s target equity incentive award to determine the final award.</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the 2022-2024 LTIP, the TMCC approved a payout of </w:t>
      </w:r>
      <w:r>
        <w:rPr>
          <w:rFonts w:ascii="Arial" w:cs="Arial" w:eastAsia="Arial" w:hAnsi="Arial"/>
          <w:sz w:val="16"/>
          <w:szCs w:val="16"/>
          <w:b w:val="1"/>
          <w:bCs w:val="1"/>
          <w:color w:val="auto"/>
        </w:rPr>
        <w:t>83.76%</w:t>
      </w:r>
      <w:r>
        <w:rPr>
          <w:rFonts w:ascii="Arial" w:cs="Arial" w:eastAsia="Arial" w:hAnsi="Arial"/>
          <w:sz w:val="16"/>
          <w:szCs w:val="16"/>
          <w:color w:val="auto"/>
        </w:rPr>
        <w:t>, based on 2022 - 2024 performance and the application of a negative TSR modifier.</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40"/>
        <w:spacing w:after="0"/>
        <w:rPr>
          <w:sz w:val="20"/>
          <w:szCs w:val="20"/>
          <w:color w:val="auto"/>
        </w:rPr>
      </w:pPr>
      <w:r>
        <w:rPr>
          <w:rFonts w:ascii="Arial" w:cs="Arial" w:eastAsia="Arial" w:hAnsi="Arial"/>
          <w:sz w:val="16"/>
          <w:szCs w:val="16"/>
          <w:color w:val="FFFFFF"/>
        </w:rPr>
        <w:t>Performance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1714500" cy="3771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714500" cy="377190"/>
                    </a:xfrm>
                    <a:prstGeom prst="rect">
                      <a:avLst/>
                    </a:prstGeom>
                    <a:noFill/>
                  </pic:spPr>
                </pic:pic>
              </a:graphicData>
            </a:graphic>
          </wp:anchor>
        </w:drawing>
      </w:r>
    </w:p>
    <w:p>
      <w:pPr>
        <w:spacing w:after="0" w:line="390"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91.79%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x</w:t>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x</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80" w:type="dxa"/>
            <w:vAlign w:val="bottom"/>
          </w:tcPr>
          <w:p>
            <w:pPr>
              <w:spacing w:after="0"/>
              <w:rPr>
                <w:sz w:val="18"/>
                <w:szCs w:val="18"/>
                <w:color w:val="auto"/>
              </w:rPr>
            </w:pPr>
          </w:p>
        </w:tc>
        <w:tc>
          <w:tcPr>
            <w:tcW w:w="2760" w:type="dxa"/>
            <w:vAlign w:val="bottom"/>
            <w:gridSpan w:val="2"/>
          </w:tcPr>
          <w:p>
            <w:pPr>
              <w:ind w:left="20"/>
              <w:spacing w:after="0"/>
              <w:rPr>
                <w:sz w:val="20"/>
                <w:szCs w:val="20"/>
                <w:color w:val="auto"/>
              </w:rPr>
            </w:pPr>
            <w:r>
              <w:rPr>
                <w:rFonts w:ascii="Arial" w:cs="Arial" w:eastAsia="Arial" w:hAnsi="Arial"/>
                <w:sz w:val="16"/>
                <w:szCs w:val="16"/>
                <w:color w:val="auto"/>
              </w:rPr>
              <w:t>2022-2024 Exelon TSR</w:t>
            </w:r>
          </w:p>
        </w:tc>
        <w:tc>
          <w:tcPr>
            <w:tcW w:w="8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1.78%</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80" w:type="dxa"/>
            <w:vAlign w:val="bottom"/>
          </w:tcPr>
          <w:p>
            <w:pPr>
              <w:spacing w:after="0"/>
              <w:rPr>
                <w:sz w:val="23"/>
                <w:szCs w:val="23"/>
                <w:color w:val="auto"/>
              </w:rPr>
            </w:pPr>
          </w:p>
        </w:tc>
        <w:tc>
          <w:tcPr>
            <w:tcW w:w="2760" w:type="dxa"/>
            <w:vAlign w:val="bottom"/>
            <w:gridSpan w:val="2"/>
          </w:tcPr>
          <w:p>
            <w:pPr>
              <w:ind w:left="20"/>
              <w:spacing w:after="0"/>
              <w:rPr>
                <w:sz w:val="20"/>
                <w:szCs w:val="20"/>
                <w:color w:val="auto"/>
              </w:rPr>
            </w:pPr>
            <w:r>
              <w:rPr>
                <w:rFonts w:ascii="Arial" w:cs="Arial" w:eastAsia="Arial" w:hAnsi="Arial"/>
                <w:sz w:val="16"/>
                <w:szCs w:val="16"/>
                <w:color w:val="auto"/>
              </w:rPr>
              <w:t>2022-2024 UTY TSR</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10.52%</w:t>
            </w:r>
          </w:p>
        </w:tc>
        <w:tc>
          <w:tcPr>
            <w:tcW w:w="2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4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2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6"/>
                <w:szCs w:val="16"/>
                <w:b w:val="1"/>
                <w:bCs w:val="1"/>
                <w:color w:val="auto"/>
                <w:w w:val="99"/>
              </w:rPr>
              <w:t>TSR Modifier:</w:t>
            </w:r>
          </w:p>
        </w:tc>
        <w:tc>
          <w:tcPr>
            <w:tcW w:w="1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(8.74)</w:t>
            </w: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Arial" w:cs="Arial" w:eastAsia="Arial" w:hAnsi="Arial"/>
                <w:sz w:val="25"/>
                <w:szCs w:val="25"/>
                <w:b w:val="1"/>
                <w:bCs w:val="1"/>
                <w:color w:val="auto"/>
                <w:w w:val="95"/>
              </w:rPr>
              <w:t>=</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1560" w:type="dxa"/>
            <w:vAlign w:val="bottom"/>
            <w:gridSpan w:val="2"/>
            <w:shd w:val="clear" w:color="auto" w:fill="170D67"/>
          </w:tcPr>
          <w:p>
            <w:pPr>
              <w:jc w:val="right"/>
              <w:ind w:right="79"/>
              <w:spacing w:after="0"/>
              <w:rPr>
                <w:sz w:val="20"/>
                <w:szCs w:val="20"/>
                <w:color w:val="auto"/>
              </w:rPr>
            </w:pPr>
            <w:r>
              <w:rPr>
                <w:rFonts w:ascii="Arial" w:cs="Arial" w:eastAsia="Arial" w:hAnsi="Arial"/>
                <w:sz w:val="16"/>
                <w:szCs w:val="16"/>
                <w:color w:val="FFFFFF"/>
              </w:rPr>
              <w:t>(100%   +</w:t>
            </w:r>
          </w:p>
        </w:tc>
        <w:tc>
          <w:tcPr>
            <w:tcW w:w="1680" w:type="dxa"/>
            <w:vAlign w:val="bottom"/>
            <w:shd w:val="clear" w:color="auto" w:fill="170D67"/>
          </w:tcPr>
          <w:p>
            <w:pPr>
              <w:jc w:val="right"/>
              <w:ind w:right="539"/>
              <w:spacing w:after="0"/>
              <w:rPr>
                <w:sz w:val="20"/>
                <w:szCs w:val="20"/>
                <w:color w:val="auto"/>
              </w:rPr>
            </w:pPr>
            <w:r>
              <w:rPr>
                <w:rFonts w:ascii="Arial" w:cs="Arial" w:eastAsia="Arial" w:hAnsi="Arial"/>
                <w:sz w:val="16"/>
                <w:szCs w:val="16"/>
                <w:color w:val="FFFFFF"/>
              </w:rPr>
              <w:t>TSR Modifier)</w:t>
            </w:r>
          </w:p>
        </w:tc>
        <w:tc>
          <w:tcPr>
            <w:tcW w:w="8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shd w:val="clear" w:color="auto" w:fill="3A5CFF"/>
          </w:tcPr>
          <w:p>
            <w:pPr>
              <w:spacing w:after="0"/>
              <w:rPr>
                <w:sz w:val="24"/>
                <w:szCs w:val="24"/>
                <w:color w:val="auto"/>
              </w:rPr>
            </w:pPr>
          </w:p>
        </w:tc>
        <w:tc>
          <w:tcPr>
            <w:tcW w:w="2760" w:type="dxa"/>
            <w:vAlign w:val="bottom"/>
            <w:shd w:val="clear" w:color="auto" w:fill="3A5CFF"/>
          </w:tcPr>
          <w:p>
            <w:pPr>
              <w:jc w:val="center"/>
              <w:ind w:right="439"/>
              <w:spacing w:after="0"/>
              <w:rPr>
                <w:sz w:val="20"/>
                <w:szCs w:val="20"/>
                <w:color w:val="auto"/>
              </w:rPr>
            </w:pPr>
            <w:r>
              <w:rPr>
                <w:rFonts w:ascii="Arial" w:cs="Arial" w:eastAsia="Arial" w:hAnsi="Arial"/>
                <w:sz w:val="16"/>
                <w:szCs w:val="16"/>
                <w:color w:val="FFFFFF"/>
              </w:rPr>
              <w:t>Overall Award Payout</w:t>
            </w:r>
          </w:p>
        </w:tc>
        <w:tc>
          <w:tcPr>
            <w:tcW w:w="0" w:type="dxa"/>
            <w:vAlign w:val="bottom"/>
          </w:tcPr>
          <w:p>
            <w:pPr>
              <w:spacing w:after="0"/>
              <w:rPr>
                <w:sz w:val="1"/>
                <w:szCs w:val="1"/>
                <w:color w:val="auto"/>
              </w:rPr>
            </w:pPr>
          </w:p>
        </w:tc>
      </w:tr>
      <w:tr>
        <w:trPr>
          <w:trHeight w:val="122"/>
        </w:trPr>
        <w:tc>
          <w:tcPr>
            <w:tcW w:w="480" w:type="dxa"/>
            <w:vAlign w:val="bottom"/>
            <w:shd w:val="clear" w:color="auto" w:fill="170D67"/>
          </w:tcPr>
          <w:p>
            <w:pPr>
              <w:spacing w:after="0"/>
              <w:rPr>
                <w:sz w:val="10"/>
                <w:szCs w:val="10"/>
                <w:color w:val="auto"/>
              </w:rPr>
            </w:pPr>
          </w:p>
        </w:tc>
        <w:tc>
          <w:tcPr>
            <w:tcW w:w="1080" w:type="dxa"/>
            <w:vAlign w:val="bottom"/>
            <w:shd w:val="clear" w:color="auto" w:fill="170D67"/>
          </w:tcPr>
          <w:p>
            <w:pPr>
              <w:spacing w:after="0"/>
              <w:rPr>
                <w:sz w:val="10"/>
                <w:szCs w:val="10"/>
                <w:color w:val="auto"/>
              </w:rPr>
            </w:pPr>
          </w:p>
        </w:tc>
        <w:tc>
          <w:tcPr>
            <w:tcW w:w="1680" w:type="dxa"/>
            <w:vAlign w:val="bottom"/>
            <w:shd w:val="clear" w:color="auto" w:fill="170D67"/>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25"/>
                <w:szCs w:val="25"/>
                <w:b w:val="1"/>
                <w:bCs w:val="1"/>
                <w:color w:val="auto"/>
                <w:w w:val="95"/>
              </w:rPr>
              <w:t>=</w:t>
            </w:r>
          </w:p>
        </w:tc>
        <w:tc>
          <w:tcPr>
            <w:tcW w:w="340" w:type="dxa"/>
            <w:vAlign w:val="bottom"/>
          </w:tcPr>
          <w:p>
            <w:pPr>
              <w:spacing w:after="0"/>
              <w:rPr>
                <w:sz w:val="10"/>
                <w:szCs w:val="10"/>
                <w:color w:val="auto"/>
              </w:rPr>
            </w:pPr>
          </w:p>
        </w:tc>
        <w:tc>
          <w:tcPr>
            <w:tcW w:w="520" w:type="dxa"/>
            <w:vAlign w:val="bottom"/>
            <w:shd w:val="clear" w:color="auto" w:fill="3A5CFF"/>
          </w:tcPr>
          <w:p>
            <w:pPr>
              <w:spacing w:after="0"/>
              <w:rPr>
                <w:sz w:val="10"/>
                <w:szCs w:val="10"/>
                <w:color w:val="auto"/>
              </w:rPr>
            </w:pPr>
          </w:p>
        </w:tc>
        <w:tc>
          <w:tcPr>
            <w:tcW w:w="2760" w:type="dxa"/>
            <w:vAlign w:val="bottom"/>
            <w:shd w:val="clear" w:color="auto" w:fill="3A5CFF"/>
          </w:tcPr>
          <w:p>
            <w:pPr>
              <w:spacing w:after="0"/>
              <w:rPr>
                <w:sz w:val="10"/>
                <w:szCs w:val="10"/>
                <w:color w:val="auto"/>
              </w:rPr>
            </w:pPr>
          </w:p>
        </w:tc>
        <w:tc>
          <w:tcPr>
            <w:tcW w:w="0" w:type="dxa"/>
            <w:vAlign w:val="bottom"/>
          </w:tcPr>
          <w:p>
            <w:pPr>
              <w:spacing w:after="0"/>
              <w:rPr>
                <w:sz w:val="1"/>
                <w:szCs w:val="1"/>
                <w:color w:val="auto"/>
              </w:rPr>
            </w:pPr>
          </w:p>
        </w:tc>
      </w:tr>
      <w:tr>
        <w:trPr>
          <w:trHeight w:val="472"/>
        </w:trPr>
        <w:tc>
          <w:tcPr>
            <w:tcW w:w="1560" w:type="dxa"/>
            <w:vAlign w:val="bottom"/>
            <w:gridSpan w:val="2"/>
          </w:tcPr>
          <w:p>
            <w:pPr>
              <w:jc w:val="right"/>
              <w:ind w:right="279"/>
              <w:spacing w:after="0"/>
              <w:rPr>
                <w:sz w:val="20"/>
                <w:szCs w:val="20"/>
                <w:color w:val="auto"/>
              </w:rPr>
            </w:pPr>
            <w:r>
              <w:rPr>
                <w:rFonts w:ascii="Arial" w:cs="Arial" w:eastAsia="Arial" w:hAnsi="Arial"/>
                <w:sz w:val="16"/>
                <w:szCs w:val="16"/>
                <w:color w:val="auto"/>
              </w:rPr>
              <w:t>(100%</w:t>
            </w:r>
          </w:p>
        </w:tc>
        <w:tc>
          <w:tcPr>
            <w:tcW w:w="1680" w:type="dxa"/>
            <w:vAlign w:val="bottom"/>
          </w:tcPr>
          <w:p>
            <w:pPr>
              <w:jc w:val="right"/>
              <w:ind w:right="659"/>
              <w:spacing w:after="0"/>
              <w:rPr>
                <w:sz w:val="20"/>
                <w:szCs w:val="20"/>
                <w:color w:val="auto"/>
              </w:rPr>
            </w:pPr>
            <w:r>
              <w:rPr>
                <w:rFonts w:ascii="Arial" w:cs="Arial" w:eastAsia="Arial" w:hAnsi="Arial"/>
                <w:sz w:val="16"/>
                <w:szCs w:val="16"/>
                <w:color w:val="auto"/>
              </w:rPr>
              <w:t>+   (8.74%))</w:t>
            </w:r>
          </w:p>
        </w:tc>
        <w:tc>
          <w:tcPr>
            <w:tcW w:w="800" w:type="dxa"/>
            <w:vAlign w:val="bottom"/>
            <w:vMerge w:val="continue"/>
          </w:tcPr>
          <w:p>
            <w:pPr>
              <w:spacing w:after="0"/>
              <w:rPr>
                <w:sz w:val="24"/>
                <w:szCs w:val="24"/>
                <w:color w:val="auto"/>
              </w:rPr>
            </w:pPr>
          </w:p>
        </w:tc>
        <w:tc>
          <w:tcPr>
            <w:tcW w:w="3620" w:type="dxa"/>
            <w:vAlign w:val="bottom"/>
            <w:gridSpan w:val="3"/>
          </w:tcPr>
          <w:p>
            <w:pPr>
              <w:jc w:val="right"/>
              <w:ind w:right="1279"/>
              <w:spacing w:after="0"/>
              <w:rPr>
                <w:sz w:val="20"/>
                <w:szCs w:val="20"/>
                <w:color w:val="auto"/>
              </w:rPr>
            </w:pPr>
            <w:r>
              <w:rPr>
                <w:rFonts w:ascii="Arial" w:cs="Arial" w:eastAsia="Arial" w:hAnsi="Arial"/>
                <w:sz w:val="16"/>
                <w:szCs w:val="16"/>
                <w:b w:val="1"/>
                <w:bCs w:val="1"/>
                <w:color w:val="auto"/>
              </w:rPr>
              <w:t>83.76%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2340" w:space="720"/>
            <w:col w:w="140" w:space="360"/>
            <w:col w:w="7660"/>
          </w:cols>
          <w:pgMar w:left="320" w:top="122" w:right="35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2022 - 2024 LTIP Payout Determinations</w:t>
      </w:r>
    </w:p>
    <w:p>
      <w:pPr>
        <w:spacing w:after="0" w:line="122" w:lineRule="exact"/>
        <w:rPr>
          <w:sz w:val="20"/>
          <w:szCs w:val="20"/>
          <w:color w:val="auto"/>
        </w:rPr>
      </w:pPr>
    </w:p>
    <w:p>
      <w:pPr>
        <w:ind w:right="380"/>
        <w:spacing w:after="0" w:line="321" w:lineRule="auto"/>
        <w:rPr>
          <w:sz w:val="20"/>
          <w:szCs w:val="20"/>
          <w:color w:val="auto"/>
        </w:rPr>
      </w:pPr>
      <w:r>
        <w:rPr>
          <w:rFonts w:ascii="Arial" w:cs="Arial" w:eastAsia="Arial" w:hAnsi="Arial"/>
          <w:sz w:val="16"/>
          <w:szCs w:val="16"/>
          <w:color w:val="auto"/>
        </w:rPr>
        <w:t>The following table shows how the payout formula was calculated and actual performance share amounts awarded for 2022-2024 as determined by the TMCC.</w:t>
      </w:r>
    </w:p>
    <w:p>
      <w:pPr>
        <w:spacing w:after="0" w:line="34"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Pursuant to the terms of the long-term incentive program, performance share award payouts are settled in the form of 50% shares of Exelon common stock and 50% in cash, unless participants have achieved 200% or more of their stock ownership requirement as of the measurement date of June 30, 2024, in which case performance share award payouts are settled 100% in cash. Beginning with the 2024 - 2026 performance share cycle, all performance share awards will be paid out in shares, regardless of stock ownership levels.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170D67"/>
              </w:rPr>
              <w:t>Award</w:t>
            </w:r>
          </w:p>
        </w:tc>
      </w:tr>
      <w:tr>
        <w:trPr>
          <w:trHeight w:val="175"/>
        </w:trPr>
        <w:tc>
          <w:tcPr>
            <w:tcW w:w="3000" w:type="dxa"/>
            <w:vAlign w:val="bottom"/>
          </w:tcPr>
          <w:p>
            <w:pPr>
              <w:spacing w:after="0"/>
              <w:rPr>
                <w:sz w:val="15"/>
                <w:szCs w:val="15"/>
                <w:color w:val="auto"/>
              </w:rPr>
            </w:pPr>
          </w:p>
        </w:tc>
        <w:tc>
          <w:tcPr>
            <w:tcW w:w="3620" w:type="dxa"/>
            <w:vAlign w:val="bottom"/>
          </w:tcPr>
          <w:p>
            <w:pPr>
              <w:jc w:val="right"/>
              <w:ind w:right="405"/>
              <w:spacing w:after="0"/>
              <w:rPr>
                <w:sz w:val="20"/>
                <w:szCs w:val="20"/>
                <w:color w:val="auto"/>
              </w:rPr>
            </w:pPr>
            <w:r>
              <w:rPr>
                <w:rFonts w:ascii="Arial" w:cs="Arial" w:eastAsia="Arial" w:hAnsi="Arial"/>
                <w:sz w:val="14"/>
                <w:szCs w:val="14"/>
                <w:b w:val="1"/>
                <w:bCs w:val="1"/>
                <w:color w:val="170D67"/>
              </w:rPr>
              <w:t>Target</w:t>
            </w:r>
          </w:p>
        </w:tc>
        <w:tc>
          <w:tcPr>
            <w:tcW w:w="1880" w:type="dxa"/>
            <w:vAlign w:val="bottom"/>
          </w:tcPr>
          <w:p>
            <w:pPr>
              <w:spacing w:after="0"/>
              <w:rPr>
                <w:sz w:val="15"/>
                <w:szCs w:val="15"/>
                <w:color w:val="auto"/>
              </w:rPr>
            </w:pPr>
          </w:p>
        </w:tc>
        <w:tc>
          <w:tcPr>
            <w:tcW w:w="1580" w:type="dxa"/>
            <w:vAlign w:val="bottom"/>
          </w:tcPr>
          <w:p>
            <w:pPr>
              <w:jc w:val="right"/>
              <w:ind w:right="305"/>
              <w:spacing w:after="0"/>
              <w:rPr>
                <w:sz w:val="20"/>
                <w:szCs w:val="20"/>
                <w:color w:val="auto"/>
              </w:rPr>
            </w:pPr>
            <w:r>
              <w:rPr>
                <w:rFonts w:ascii="Arial" w:cs="Arial" w:eastAsia="Arial" w:hAnsi="Arial"/>
                <w:sz w:val="14"/>
                <w:szCs w:val="14"/>
                <w:b w:val="1"/>
                <w:bCs w:val="1"/>
                <w:color w:val="170D67"/>
              </w:rPr>
              <w:t>Final</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170D67"/>
              </w:rPr>
              <w:t>Value</w:t>
            </w:r>
          </w:p>
        </w:tc>
      </w:tr>
      <w:tr>
        <w:trPr>
          <w:trHeight w:val="162"/>
        </w:trPr>
        <w:tc>
          <w:tcPr>
            <w:tcW w:w="3000" w:type="dxa"/>
            <w:vAlign w:val="bottom"/>
          </w:tcPr>
          <w:p>
            <w:pPr>
              <w:spacing w:after="0"/>
              <w:rPr>
                <w:sz w:val="14"/>
                <w:szCs w:val="14"/>
                <w:color w:val="auto"/>
              </w:rPr>
            </w:pPr>
          </w:p>
        </w:tc>
        <w:tc>
          <w:tcPr>
            <w:tcW w:w="3620" w:type="dxa"/>
            <w:vAlign w:val="bottom"/>
          </w:tcPr>
          <w:p>
            <w:pPr>
              <w:jc w:val="right"/>
              <w:ind w:right="405"/>
              <w:spacing w:after="0"/>
              <w:rPr>
                <w:sz w:val="20"/>
                <w:szCs w:val="20"/>
                <w:color w:val="auto"/>
              </w:rPr>
            </w:pPr>
            <w:r>
              <w:rPr>
                <w:rFonts w:ascii="Arial" w:cs="Arial" w:eastAsia="Arial" w:hAnsi="Arial"/>
                <w:sz w:val="14"/>
                <w:szCs w:val="14"/>
                <w:b w:val="1"/>
                <w:bCs w:val="1"/>
                <w:color w:val="170D67"/>
              </w:rPr>
              <w:t>Performance</w:t>
            </w:r>
          </w:p>
        </w:tc>
        <w:tc>
          <w:tcPr>
            <w:tcW w:w="1880" w:type="dxa"/>
            <w:vAlign w:val="bottom"/>
          </w:tcPr>
          <w:p>
            <w:pPr>
              <w:jc w:val="right"/>
              <w:ind w:right="465"/>
              <w:spacing w:after="0"/>
              <w:rPr>
                <w:sz w:val="20"/>
                <w:szCs w:val="20"/>
                <w:color w:val="auto"/>
              </w:rPr>
            </w:pPr>
            <w:r>
              <w:rPr>
                <w:rFonts w:ascii="Arial" w:cs="Arial" w:eastAsia="Arial" w:hAnsi="Arial"/>
                <w:sz w:val="14"/>
                <w:szCs w:val="14"/>
                <w:b w:val="1"/>
                <w:bCs w:val="1"/>
                <w:color w:val="170D67"/>
              </w:rPr>
              <w:t>Performance</w:t>
            </w:r>
          </w:p>
        </w:tc>
        <w:tc>
          <w:tcPr>
            <w:tcW w:w="1580" w:type="dxa"/>
            <w:vAlign w:val="bottom"/>
          </w:tcPr>
          <w:p>
            <w:pPr>
              <w:jc w:val="right"/>
              <w:ind w:right="305"/>
              <w:spacing w:after="0"/>
              <w:rPr>
                <w:sz w:val="20"/>
                <w:szCs w:val="20"/>
                <w:color w:val="auto"/>
              </w:rPr>
            </w:pPr>
            <w:r>
              <w:rPr>
                <w:rFonts w:ascii="Arial" w:cs="Arial" w:eastAsia="Arial" w:hAnsi="Arial"/>
                <w:sz w:val="14"/>
                <w:szCs w:val="14"/>
                <w:b w:val="1"/>
                <w:bCs w:val="1"/>
                <w:color w:val="170D67"/>
              </w:rPr>
              <w:t>Award</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170D67"/>
              </w:rPr>
              <w:t>($)</w:t>
            </w:r>
          </w:p>
        </w:tc>
      </w:tr>
      <w:tr>
        <w:trPr>
          <w:trHeight w:val="219"/>
        </w:trPr>
        <w:tc>
          <w:tcPr>
            <w:tcW w:w="3000" w:type="dxa"/>
            <w:vAlign w:val="bottom"/>
            <w:tcBorders>
              <w:bottom w:val="single" w:sz="8" w:color="170D67"/>
            </w:tcBorders>
          </w:tcPr>
          <w:p>
            <w:pPr>
              <w:ind w:left="20"/>
              <w:spacing w:after="0"/>
              <w:rPr>
                <w:sz w:val="20"/>
                <w:szCs w:val="20"/>
                <w:color w:val="auto"/>
              </w:rPr>
            </w:pPr>
            <w:r>
              <w:rPr>
                <w:rFonts w:ascii="Arial" w:cs="Arial" w:eastAsia="Arial" w:hAnsi="Arial"/>
                <w:sz w:val="14"/>
                <w:szCs w:val="14"/>
                <w:b w:val="1"/>
                <w:bCs w:val="1"/>
                <w:color w:val="170D67"/>
              </w:rPr>
              <w:t>NEO</w:t>
            </w:r>
          </w:p>
        </w:tc>
        <w:tc>
          <w:tcPr>
            <w:tcW w:w="3620" w:type="dxa"/>
            <w:vAlign w:val="bottom"/>
            <w:tcBorders>
              <w:bottom w:val="single" w:sz="8" w:color="170D67"/>
            </w:tcBorders>
          </w:tcPr>
          <w:p>
            <w:pPr>
              <w:jc w:val="right"/>
              <w:ind w:right="405"/>
              <w:spacing w:after="0"/>
              <w:rPr>
                <w:sz w:val="20"/>
                <w:szCs w:val="20"/>
                <w:color w:val="auto"/>
              </w:rPr>
            </w:pPr>
            <w:r>
              <w:rPr>
                <w:rFonts w:ascii="Arial" w:cs="Arial" w:eastAsia="Arial" w:hAnsi="Arial"/>
                <w:sz w:val="14"/>
                <w:szCs w:val="14"/>
                <w:b w:val="1"/>
                <w:bCs w:val="1"/>
                <w:color w:val="170D67"/>
              </w:rPr>
              <w:t>Share Award</w:t>
            </w:r>
          </w:p>
        </w:tc>
        <w:tc>
          <w:tcPr>
            <w:tcW w:w="1880" w:type="dxa"/>
            <w:vAlign w:val="bottom"/>
            <w:tcBorders>
              <w:bottom w:val="single" w:sz="8" w:color="170D67"/>
            </w:tcBorders>
          </w:tcPr>
          <w:p>
            <w:pPr>
              <w:jc w:val="right"/>
              <w:ind w:right="465"/>
              <w:spacing w:after="0"/>
              <w:rPr>
                <w:sz w:val="20"/>
                <w:szCs w:val="20"/>
                <w:color w:val="auto"/>
              </w:rPr>
            </w:pPr>
            <w:r>
              <w:rPr>
                <w:rFonts w:ascii="Arial" w:cs="Arial" w:eastAsia="Arial" w:hAnsi="Arial"/>
                <w:sz w:val="14"/>
                <w:szCs w:val="14"/>
                <w:b w:val="1"/>
                <w:bCs w:val="1"/>
                <w:color w:val="170D67"/>
              </w:rPr>
              <w:t>Factor</w:t>
            </w:r>
          </w:p>
        </w:tc>
        <w:tc>
          <w:tcPr>
            <w:tcW w:w="1580" w:type="dxa"/>
            <w:vAlign w:val="bottom"/>
            <w:tcBorders>
              <w:bottom w:val="single" w:sz="8" w:color="170D67"/>
            </w:tcBorders>
          </w:tcPr>
          <w:p>
            <w:pPr>
              <w:jc w:val="right"/>
              <w:ind w:right="305"/>
              <w:spacing w:after="0"/>
              <w:rPr>
                <w:sz w:val="20"/>
                <w:szCs w:val="20"/>
                <w:color w:val="auto"/>
              </w:rPr>
            </w:pPr>
            <w:r>
              <w:rPr>
                <w:rFonts w:ascii="Arial" w:cs="Arial" w:eastAsia="Arial" w:hAnsi="Arial"/>
                <w:sz w:val="14"/>
                <w:szCs w:val="14"/>
                <w:b w:val="1"/>
                <w:bCs w:val="1"/>
                <w:color w:val="170D67"/>
              </w:rPr>
              <w:t>(# shares)</w:t>
            </w:r>
          </w:p>
        </w:tc>
        <w:tc>
          <w:tcPr>
            <w:tcW w:w="1140" w:type="dxa"/>
            <w:vAlign w:val="bottom"/>
            <w:tcBorders>
              <w:bottom w:val="single" w:sz="8" w:color="170D67"/>
            </w:tcBorders>
          </w:tcPr>
          <w:p>
            <w:pPr>
              <w:jc w:val="right"/>
              <w:spacing w:after="0"/>
              <w:rPr>
                <w:sz w:val="20"/>
                <w:szCs w:val="20"/>
                <w:color w:val="auto"/>
              </w:rPr>
            </w:pPr>
            <w:r>
              <w:rPr>
                <w:rFonts w:ascii="Arial" w:cs="Arial" w:eastAsia="Arial" w:hAnsi="Arial"/>
                <w:sz w:val="14"/>
                <w:szCs w:val="14"/>
                <w:b w:val="1"/>
                <w:bCs w:val="1"/>
                <w:color w:val="170D67"/>
              </w:rPr>
              <w:t>(Note 1)</w:t>
            </w:r>
          </w:p>
        </w:tc>
      </w:tr>
      <w:tr>
        <w:trPr>
          <w:trHeight w:val="210"/>
        </w:trPr>
        <w:tc>
          <w:tcPr>
            <w:tcW w:w="3000" w:type="dxa"/>
            <w:vAlign w:val="bottom"/>
          </w:tcPr>
          <w:p>
            <w:pPr>
              <w:ind w:left="20"/>
              <w:spacing w:after="0"/>
              <w:rPr>
                <w:sz w:val="20"/>
                <w:szCs w:val="20"/>
                <w:color w:val="auto"/>
              </w:rPr>
            </w:pPr>
            <w:r>
              <w:rPr>
                <w:rFonts w:ascii="Arial" w:cs="Arial" w:eastAsia="Arial" w:hAnsi="Arial"/>
                <w:sz w:val="15"/>
                <w:szCs w:val="15"/>
                <w:color w:val="auto"/>
              </w:rPr>
              <w:t>Butler</w:t>
            </w:r>
          </w:p>
        </w:tc>
        <w:tc>
          <w:tcPr>
            <w:tcW w:w="3620" w:type="dxa"/>
            <w:vAlign w:val="bottom"/>
          </w:tcPr>
          <w:p>
            <w:pPr>
              <w:jc w:val="right"/>
              <w:ind w:right="445"/>
              <w:spacing w:after="0"/>
              <w:rPr>
                <w:sz w:val="20"/>
                <w:szCs w:val="20"/>
                <w:color w:val="auto"/>
              </w:rPr>
            </w:pPr>
            <w:r>
              <w:rPr>
                <w:rFonts w:ascii="Arial" w:cs="Arial" w:eastAsia="Arial" w:hAnsi="Arial"/>
                <w:sz w:val="15"/>
                <w:szCs w:val="15"/>
                <w:color w:val="auto"/>
              </w:rPr>
              <w:t>49,757</w:t>
            </w:r>
          </w:p>
        </w:tc>
        <w:tc>
          <w:tcPr>
            <w:tcW w:w="1880" w:type="dxa"/>
            <w:vAlign w:val="bottom"/>
          </w:tcPr>
          <w:p>
            <w:pPr>
              <w:jc w:val="right"/>
              <w:ind w:right="465"/>
              <w:spacing w:after="0"/>
              <w:rPr>
                <w:sz w:val="20"/>
                <w:szCs w:val="20"/>
                <w:color w:val="auto"/>
              </w:rPr>
            </w:pPr>
            <w:r>
              <w:rPr>
                <w:rFonts w:ascii="Arial" w:cs="Arial" w:eastAsia="Arial" w:hAnsi="Arial"/>
                <w:sz w:val="15"/>
                <w:szCs w:val="15"/>
                <w:color w:val="auto"/>
              </w:rPr>
              <w:t>83.76 %</w:t>
            </w:r>
          </w:p>
        </w:tc>
        <w:tc>
          <w:tcPr>
            <w:tcW w:w="1580" w:type="dxa"/>
            <w:vAlign w:val="bottom"/>
          </w:tcPr>
          <w:p>
            <w:pPr>
              <w:jc w:val="right"/>
              <w:ind w:right="365"/>
              <w:spacing w:after="0"/>
              <w:rPr>
                <w:sz w:val="20"/>
                <w:szCs w:val="20"/>
                <w:color w:val="auto"/>
              </w:rPr>
            </w:pPr>
            <w:r>
              <w:rPr>
                <w:rFonts w:ascii="Arial" w:cs="Arial" w:eastAsia="Arial" w:hAnsi="Arial"/>
                <w:sz w:val="15"/>
                <w:szCs w:val="15"/>
                <w:color w:val="auto"/>
              </w:rPr>
              <w:t>41,676</w:t>
            </w:r>
          </w:p>
        </w:tc>
        <w:tc>
          <w:tcPr>
            <w:tcW w:w="1140" w:type="dxa"/>
            <w:vAlign w:val="bottom"/>
          </w:tcPr>
          <w:p>
            <w:pPr>
              <w:jc w:val="right"/>
              <w:spacing w:after="0"/>
              <w:rPr>
                <w:sz w:val="20"/>
                <w:szCs w:val="20"/>
                <w:color w:val="auto"/>
              </w:rPr>
            </w:pPr>
            <w:r>
              <w:rPr>
                <w:rFonts w:ascii="Arial" w:cs="Arial" w:eastAsia="Arial" w:hAnsi="Arial"/>
                <w:sz w:val="15"/>
                <w:szCs w:val="15"/>
                <w:color w:val="auto"/>
              </w:rPr>
              <w:t>1,690,814</w:t>
            </w:r>
          </w:p>
        </w:tc>
      </w:tr>
      <w:tr>
        <w:trPr>
          <w:trHeight w:val="33"/>
        </w:trPr>
        <w:tc>
          <w:tcPr>
            <w:tcW w:w="3000" w:type="dxa"/>
            <w:vAlign w:val="bottom"/>
            <w:tcBorders>
              <w:bottom w:val="single" w:sz="8" w:color="808080"/>
            </w:tcBorders>
          </w:tcPr>
          <w:p>
            <w:pPr>
              <w:spacing w:after="0"/>
              <w:rPr>
                <w:sz w:val="2"/>
                <w:szCs w:val="2"/>
                <w:color w:val="auto"/>
              </w:rPr>
            </w:pPr>
          </w:p>
        </w:tc>
        <w:tc>
          <w:tcPr>
            <w:tcW w:w="3620" w:type="dxa"/>
            <w:vAlign w:val="bottom"/>
            <w:tcBorders>
              <w:bottom w:val="single" w:sz="8" w:color="808080"/>
            </w:tcBorders>
          </w:tcPr>
          <w:p>
            <w:pPr>
              <w:spacing w:after="0"/>
              <w:rPr>
                <w:sz w:val="2"/>
                <w:szCs w:val="2"/>
                <w:color w:val="auto"/>
              </w:rPr>
            </w:pPr>
          </w:p>
        </w:tc>
        <w:tc>
          <w:tcPr>
            <w:tcW w:w="1880" w:type="dxa"/>
            <w:vAlign w:val="bottom"/>
            <w:tcBorders>
              <w:bottom w:val="single" w:sz="8" w:color="808080"/>
            </w:tcBorders>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1140" w:type="dxa"/>
            <w:vAlign w:val="bottom"/>
            <w:tcBorders>
              <w:bottom w:val="single" w:sz="8" w:color="808080"/>
            </w:tcBorders>
          </w:tcPr>
          <w:p>
            <w:pPr>
              <w:spacing w:after="0"/>
              <w:rPr>
                <w:sz w:val="2"/>
                <w:szCs w:val="2"/>
                <w:color w:val="auto"/>
              </w:rPr>
            </w:pPr>
          </w:p>
        </w:tc>
      </w:tr>
      <w:tr>
        <w:trPr>
          <w:trHeight w:val="203"/>
        </w:trPr>
        <w:tc>
          <w:tcPr>
            <w:tcW w:w="3000" w:type="dxa"/>
            <w:vAlign w:val="bottom"/>
          </w:tcPr>
          <w:p>
            <w:pPr>
              <w:ind w:left="20"/>
              <w:spacing w:after="0"/>
              <w:rPr>
                <w:sz w:val="20"/>
                <w:szCs w:val="20"/>
                <w:color w:val="auto"/>
              </w:rPr>
            </w:pPr>
            <w:r>
              <w:rPr>
                <w:rFonts w:ascii="Arial" w:cs="Arial" w:eastAsia="Arial" w:hAnsi="Arial"/>
                <w:sz w:val="15"/>
                <w:szCs w:val="15"/>
                <w:color w:val="auto"/>
              </w:rPr>
              <w:t>Jones</w:t>
            </w:r>
          </w:p>
        </w:tc>
        <w:tc>
          <w:tcPr>
            <w:tcW w:w="3620" w:type="dxa"/>
            <w:vAlign w:val="bottom"/>
          </w:tcPr>
          <w:p>
            <w:pPr>
              <w:jc w:val="right"/>
              <w:ind w:right="445"/>
              <w:spacing w:after="0"/>
              <w:rPr>
                <w:sz w:val="20"/>
                <w:szCs w:val="20"/>
                <w:color w:val="auto"/>
              </w:rPr>
            </w:pPr>
            <w:r>
              <w:rPr>
                <w:rFonts w:ascii="Arial" w:cs="Arial" w:eastAsia="Arial" w:hAnsi="Arial"/>
                <w:sz w:val="15"/>
                <w:szCs w:val="15"/>
                <w:color w:val="auto"/>
              </w:rPr>
              <w:t>7,775</w:t>
            </w:r>
          </w:p>
        </w:tc>
        <w:tc>
          <w:tcPr>
            <w:tcW w:w="1880" w:type="dxa"/>
            <w:vAlign w:val="bottom"/>
          </w:tcPr>
          <w:p>
            <w:pPr>
              <w:jc w:val="right"/>
              <w:ind w:right="465"/>
              <w:spacing w:after="0"/>
              <w:rPr>
                <w:sz w:val="20"/>
                <w:szCs w:val="20"/>
                <w:color w:val="auto"/>
              </w:rPr>
            </w:pPr>
            <w:r>
              <w:rPr>
                <w:rFonts w:ascii="Arial" w:cs="Arial" w:eastAsia="Arial" w:hAnsi="Arial"/>
                <w:sz w:val="15"/>
                <w:szCs w:val="15"/>
                <w:color w:val="auto"/>
              </w:rPr>
              <w:t>83.76 %</w:t>
            </w:r>
          </w:p>
        </w:tc>
        <w:tc>
          <w:tcPr>
            <w:tcW w:w="1580" w:type="dxa"/>
            <w:vAlign w:val="bottom"/>
          </w:tcPr>
          <w:p>
            <w:pPr>
              <w:jc w:val="right"/>
              <w:ind w:right="365"/>
              <w:spacing w:after="0"/>
              <w:rPr>
                <w:sz w:val="20"/>
                <w:szCs w:val="20"/>
                <w:color w:val="auto"/>
              </w:rPr>
            </w:pPr>
            <w:r>
              <w:rPr>
                <w:rFonts w:ascii="Arial" w:cs="Arial" w:eastAsia="Arial" w:hAnsi="Arial"/>
                <w:sz w:val="15"/>
                <w:szCs w:val="15"/>
                <w:color w:val="auto"/>
              </w:rPr>
              <w:t>6,512</w:t>
            </w:r>
          </w:p>
        </w:tc>
        <w:tc>
          <w:tcPr>
            <w:tcW w:w="1140" w:type="dxa"/>
            <w:vAlign w:val="bottom"/>
          </w:tcPr>
          <w:p>
            <w:pPr>
              <w:jc w:val="right"/>
              <w:spacing w:after="0"/>
              <w:rPr>
                <w:sz w:val="20"/>
                <w:szCs w:val="20"/>
                <w:color w:val="auto"/>
              </w:rPr>
            </w:pPr>
            <w:r>
              <w:rPr>
                <w:rFonts w:ascii="Arial" w:cs="Arial" w:eastAsia="Arial" w:hAnsi="Arial"/>
                <w:sz w:val="15"/>
                <w:szCs w:val="15"/>
                <w:color w:val="auto"/>
              </w:rPr>
              <w:t>264,206</w:t>
            </w:r>
          </w:p>
        </w:tc>
      </w:tr>
      <w:tr>
        <w:trPr>
          <w:trHeight w:val="33"/>
        </w:trPr>
        <w:tc>
          <w:tcPr>
            <w:tcW w:w="3000" w:type="dxa"/>
            <w:vAlign w:val="bottom"/>
            <w:tcBorders>
              <w:bottom w:val="single" w:sz="8" w:color="808080"/>
            </w:tcBorders>
          </w:tcPr>
          <w:p>
            <w:pPr>
              <w:spacing w:after="0"/>
              <w:rPr>
                <w:sz w:val="2"/>
                <w:szCs w:val="2"/>
                <w:color w:val="auto"/>
              </w:rPr>
            </w:pPr>
          </w:p>
        </w:tc>
        <w:tc>
          <w:tcPr>
            <w:tcW w:w="3620" w:type="dxa"/>
            <w:vAlign w:val="bottom"/>
            <w:tcBorders>
              <w:bottom w:val="single" w:sz="8" w:color="808080"/>
            </w:tcBorders>
          </w:tcPr>
          <w:p>
            <w:pPr>
              <w:spacing w:after="0"/>
              <w:rPr>
                <w:sz w:val="2"/>
                <w:szCs w:val="2"/>
                <w:color w:val="auto"/>
              </w:rPr>
            </w:pPr>
          </w:p>
        </w:tc>
        <w:tc>
          <w:tcPr>
            <w:tcW w:w="1880" w:type="dxa"/>
            <w:vAlign w:val="bottom"/>
            <w:tcBorders>
              <w:bottom w:val="single" w:sz="8" w:color="808080"/>
            </w:tcBorders>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1140" w:type="dxa"/>
            <w:vAlign w:val="bottom"/>
            <w:tcBorders>
              <w:bottom w:val="single" w:sz="8" w:color="808080"/>
            </w:tcBorders>
          </w:tcPr>
          <w:p>
            <w:pPr>
              <w:spacing w:after="0"/>
              <w:rPr>
                <w:sz w:val="2"/>
                <w:szCs w:val="2"/>
                <w:color w:val="auto"/>
              </w:rPr>
            </w:pPr>
          </w:p>
        </w:tc>
      </w:tr>
      <w:tr>
        <w:trPr>
          <w:trHeight w:val="203"/>
        </w:trPr>
        <w:tc>
          <w:tcPr>
            <w:tcW w:w="3000" w:type="dxa"/>
            <w:vAlign w:val="bottom"/>
          </w:tcPr>
          <w:p>
            <w:pPr>
              <w:ind w:left="20"/>
              <w:spacing w:after="0"/>
              <w:rPr>
                <w:sz w:val="20"/>
                <w:szCs w:val="20"/>
                <w:color w:val="auto"/>
              </w:rPr>
            </w:pPr>
            <w:r>
              <w:rPr>
                <w:rFonts w:ascii="Arial" w:cs="Arial" w:eastAsia="Arial" w:hAnsi="Arial"/>
                <w:sz w:val="15"/>
                <w:szCs w:val="15"/>
                <w:color w:val="auto"/>
              </w:rPr>
              <w:t>Littleton</w:t>
            </w:r>
          </w:p>
        </w:tc>
        <w:tc>
          <w:tcPr>
            <w:tcW w:w="3620" w:type="dxa"/>
            <w:vAlign w:val="bottom"/>
          </w:tcPr>
          <w:p>
            <w:pPr>
              <w:jc w:val="right"/>
              <w:ind w:right="445"/>
              <w:spacing w:after="0"/>
              <w:rPr>
                <w:sz w:val="20"/>
                <w:szCs w:val="20"/>
                <w:color w:val="auto"/>
              </w:rPr>
            </w:pPr>
            <w:r>
              <w:rPr>
                <w:rFonts w:ascii="Arial" w:cs="Arial" w:eastAsia="Arial" w:hAnsi="Arial"/>
                <w:sz w:val="15"/>
                <w:szCs w:val="15"/>
                <w:color w:val="auto"/>
              </w:rPr>
              <w:t>20,991</w:t>
            </w:r>
          </w:p>
        </w:tc>
        <w:tc>
          <w:tcPr>
            <w:tcW w:w="1880" w:type="dxa"/>
            <w:vAlign w:val="bottom"/>
          </w:tcPr>
          <w:p>
            <w:pPr>
              <w:jc w:val="right"/>
              <w:ind w:right="465"/>
              <w:spacing w:after="0"/>
              <w:rPr>
                <w:sz w:val="20"/>
                <w:szCs w:val="20"/>
                <w:color w:val="auto"/>
              </w:rPr>
            </w:pPr>
            <w:r>
              <w:rPr>
                <w:rFonts w:ascii="Arial" w:cs="Arial" w:eastAsia="Arial" w:hAnsi="Arial"/>
                <w:sz w:val="15"/>
                <w:szCs w:val="15"/>
                <w:color w:val="auto"/>
              </w:rPr>
              <w:t>83.76 %</w:t>
            </w:r>
          </w:p>
        </w:tc>
        <w:tc>
          <w:tcPr>
            <w:tcW w:w="1580" w:type="dxa"/>
            <w:vAlign w:val="bottom"/>
          </w:tcPr>
          <w:p>
            <w:pPr>
              <w:jc w:val="right"/>
              <w:ind w:right="365"/>
              <w:spacing w:after="0"/>
              <w:rPr>
                <w:sz w:val="20"/>
                <w:szCs w:val="20"/>
                <w:color w:val="auto"/>
              </w:rPr>
            </w:pPr>
            <w:r>
              <w:rPr>
                <w:rFonts w:ascii="Arial" w:cs="Arial" w:eastAsia="Arial" w:hAnsi="Arial"/>
                <w:sz w:val="15"/>
                <w:szCs w:val="15"/>
                <w:color w:val="auto"/>
              </w:rPr>
              <w:t>17,582</w:t>
            </w:r>
          </w:p>
        </w:tc>
        <w:tc>
          <w:tcPr>
            <w:tcW w:w="1140" w:type="dxa"/>
            <w:vAlign w:val="bottom"/>
          </w:tcPr>
          <w:p>
            <w:pPr>
              <w:jc w:val="right"/>
              <w:spacing w:after="0"/>
              <w:rPr>
                <w:sz w:val="20"/>
                <w:szCs w:val="20"/>
                <w:color w:val="auto"/>
              </w:rPr>
            </w:pPr>
            <w:r>
              <w:rPr>
                <w:rFonts w:ascii="Arial" w:cs="Arial" w:eastAsia="Arial" w:hAnsi="Arial"/>
                <w:sz w:val="15"/>
                <w:szCs w:val="15"/>
                <w:color w:val="auto"/>
              </w:rPr>
              <w:t>713,304</w:t>
            </w:r>
          </w:p>
        </w:tc>
      </w:tr>
      <w:tr>
        <w:trPr>
          <w:trHeight w:val="33"/>
        </w:trPr>
        <w:tc>
          <w:tcPr>
            <w:tcW w:w="3000" w:type="dxa"/>
            <w:vAlign w:val="bottom"/>
            <w:tcBorders>
              <w:bottom w:val="single" w:sz="8" w:color="808080"/>
            </w:tcBorders>
          </w:tcPr>
          <w:p>
            <w:pPr>
              <w:spacing w:after="0"/>
              <w:rPr>
                <w:sz w:val="2"/>
                <w:szCs w:val="2"/>
                <w:color w:val="auto"/>
              </w:rPr>
            </w:pPr>
          </w:p>
        </w:tc>
        <w:tc>
          <w:tcPr>
            <w:tcW w:w="3620" w:type="dxa"/>
            <w:vAlign w:val="bottom"/>
            <w:tcBorders>
              <w:bottom w:val="single" w:sz="8" w:color="808080"/>
            </w:tcBorders>
          </w:tcPr>
          <w:p>
            <w:pPr>
              <w:spacing w:after="0"/>
              <w:rPr>
                <w:sz w:val="2"/>
                <w:szCs w:val="2"/>
                <w:color w:val="auto"/>
              </w:rPr>
            </w:pPr>
          </w:p>
        </w:tc>
        <w:tc>
          <w:tcPr>
            <w:tcW w:w="1880" w:type="dxa"/>
            <w:vAlign w:val="bottom"/>
            <w:tcBorders>
              <w:bottom w:val="single" w:sz="8" w:color="808080"/>
            </w:tcBorders>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1140" w:type="dxa"/>
            <w:vAlign w:val="bottom"/>
            <w:tcBorders>
              <w:bottom w:val="single" w:sz="8" w:color="808080"/>
            </w:tcBorders>
          </w:tcPr>
          <w:p>
            <w:pPr>
              <w:spacing w:after="0"/>
              <w:rPr>
                <w:sz w:val="2"/>
                <w:szCs w:val="2"/>
                <w:color w:val="auto"/>
              </w:rPr>
            </w:pPr>
          </w:p>
        </w:tc>
      </w:tr>
      <w:tr>
        <w:trPr>
          <w:trHeight w:val="203"/>
        </w:trPr>
        <w:tc>
          <w:tcPr>
            <w:tcW w:w="3000" w:type="dxa"/>
            <w:vAlign w:val="bottom"/>
          </w:tcPr>
          <w:p>
            <w:pPr>
              <w:ind w:left="20"/>
              <w:spacing w:after="0"/>
              <w:rPr>
                <w:sz w:val="20"/>
                <w:szCs w:val="20"/>
                <w:color w:val="auto"/>
              </w:rPr>
            </w:pPr>
            <w:r>
              <w:rPr>
                <w:rFonts w:ascii="Arial" w:cs="Arial" w:eastAsia="Arial" w:hAnsi="Arial"/>
                <w:sz w:val="15"/>
                <w:szCs w:val="15"/>
                <w:color w:val="auto"/>
              </w:rPr>
              <w:t>Glockner</w:t>
            </w:r>
          </w:p>
        </w:tc>
        <w:tc>
          <w:tcPr>
            <w:tcW w:w="3620" w:type="dxa"/>
            <w:vAlign w:val="bottom"/>
          </w:tcPr>
          <w:p>
            <w:pPr>
              <w:jc w:val="right"/>
              <w:ind w:right="445"/>
              <w:spacing w:after="0"/>
              <w:rPr>
                <w:sz w:val="20"/>
                <w:szCs w:val="20"/>
                <w:color w:val="auto"/>
              </w:rPr>
            </w:pPr>
            <w:r>
              <w:rPr>
                <w:rFonts w:ascii="Arial" w:cs="Arial" w:eastAsia="Arial" w:hAnsi="Arial"/>
                <w:sz w:val="15"/>
                <w:szCs w:val="15"/>
                <w:color w:val="auto"/>
              </w:rPr>
              <w:t>22,080</w:t>
            </w:r>
          </w:p>
        </w:tc>
        <w:tc>
          <w:tcPr>
            <w:tcW w:w="1880" w:type="dxa"/>
            <w:vAlign w:val="bottom"/>
          </w:tcPr>
          <w:p>
            <w:pPr>
              <w:jc w:val="right"/>
              <w:ind w:right="465"/>
              <w:spacing w:after="0"/>
              <w:rPr>
                <w:sz w:val="20"/>
                <w:szCs w:val="20"/>
                <w:color w:val="auto"/>
              </w:rPr>
            </w:pPr>
            <w:r>
              <w:rPr>
                <w:rFonts w:ascii="Arial" w:cs="Arial" w:eastAsia="Arial" w:hAnsi="Arial"/>
                <w:sz w:val="15"/>
                <w:szCs w:val="15"/>
                <w:color w:val="auto"/>
              </w:rPr>
              <w:t>83.76 %</w:t>
            </w:r>
          </w:p>
        </w:tc>
        <w:tc>
          <w:tcPr>
            <w:tcW w:w="1580" w:type="dxa"/>
            <w:vAlign w:val="bottom"/>
          </w:tcPr>
          <w:p>
            <w:pPr>
              <w:jc w:val="right"/>
              <w:ind w:right="365"/>
              <w:spacing w:after="0"/>
              <w:rPr>
                <w:sz w:val="20"/>
                <w:szCs w:val="20"/>
                <w:color w:val="auto"/>
              </w:rPr>
            </w:pPr>
            <w:r>
              <w:rPr>
                <w:rFonts w:ascii="Arial" w:cs="Arial" w:eastAsia="Arial" w:hAnsi="Arial"/>
                <w:sz w:val="15"/>
                <w:szCs w:val="15"/>
                <w:color w:val="auto"/>
              </w:rPr>
              <w:t>18,494</w:t>
            </w:r>
          </w:p>
        </w:tc>
        <w:tc>
          <w:tcPr>
            <w:tcW w:w="1140" w:type="dxa"/>
            <w:vAlign w:val="bottom"/>
          </w:tcPr>
          <w:p>
            <w:pPr>
              <w:jc w:val="right"/>
              <w:spacing w:after="0"/>
              <w:rPr>
                <w:sz w:val="20"/>
                <w:szCs w:val="20"/>
                <w:color w:val="auto"/>
              </w:rPr>
            </w:pPr>
            <w:r>
              <w:rPr>
                <w:rFonts w:ascii="Arial" w:cs="Arial" w:eastAsia="Arial" w:hAnsi="Arial"/>
                <w:sz w:val="15"/>
                <w:szCs w:val="15"/>
                <w:color w:val="auto"/>
              </w:rPr>
              <w:t>750,310</w:t>
            </w:r>
          </w:p>
        </w:tc>
      </w:tr>
      <w:tr>
        <w:trPr>
          <w:trHeight w:val="33"/>
        </w:trPr>
        <w:tc>
          <w:tcPr>
            <w:tcW w:w="3000" w:type="dxa"/>
            <w:vAlign w:val="bottom"/>
            <w:tcBorders>
              <w:bottom w:val="single" w:sz="8" w:color="808080"/>
            </w:tcBorders>
          </w:tcPr>
          <w:p>
            <w:pPr>
              <w:spacing w:after="0"/>
              <w:rPr>
                <w:sz w:val="2"/>
                <w:szCs w:val="2"/>
                <w:color w:val="auto"/>
              </w:rPr>
            </w:pPr>
          </w:p>
        </w:tc>
        <w:tc>
          <w:tcPr>
            <w:tcW w:w="3620" w:type="dxa"/>
            <w:vAlign w:val="bottom"/>
            <w:tcBorders>
              <w:bottom w:val="single" w:sz="8" w:color="808080"/>
            </w:tcBorders>
          </w:tcPr>
          <w:p>
            <w:pPr>
              <w:spacing w:after="0"/>
              <w:rPr>
                <w:sz w:val="2"/>
                <w:szCs w:val="2"/>
                <w:color w:val="auto"/>
              </w:rPr>
            </w:pPr>
          </w:p>
        </w:tc>
        <w:tc>
          <w:tcPr>
            <w:tcW w:w="1880" w:type="dxa"/>
            <w:vAlign w:val="bottom"/>
            <w:tcBorders>
              <w:bottom w:val="single" w:sz="8" w:color="808080"/>
            </w:tcBorders>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1140" w:type="dxa"/>
            <w:vAlign w:val="bottom"/>
            <w:tcBorders>
              <w:bottom w:val="single" w:sz="8" w:color="808080"/>
            </w:tcBorders>
          </w:tcPr>
          <w:p>
            <w:pPr>
              <w:spacing w:after="0"/>
              <w:rPr>
                <w:sz w:val="2"/>
                <w:szCs w:val="2"/>
                <w:color w:val="auto"/>
              </w:rPr>
            </w:pPr>
          </w:p>
        </w:tc>
      </w:tr>
      <w:tr>
        <w:trPr>
          <w:trHeight w:val="204"/>
        </w:trPr>
        <w:tc>
          <w:tcPr>
            <w:tcW w:w="3000" w:type="dxa"/>
            <w:vAlign w:val="bottom"/>
          </w:tcPr>
          <w:p>
            <w:pPr>
              <w:ind w:left="20"/>
              <w:spacing w:after="0"/>
              <w:rPr>
                <w:sz w:val="20"/>
                <w:szCs w:val="20"/>
                <w:color w:val="auto"/>
              </w:rPr>
            </w:pPr>
            <w:r>
              <w:rPr>
                <w:rFonts w:ascii="Arial" w:cs="Arial" w:eastAsia="Arial" w:hAnsi="Arial"/>
                <w:sz w:val="15"/>
                <w:szCs w:val="15"/>
                <w:color w:val="auto"/>
              </w:rPr>
              <w:t>Innocenzo</w:t>
            </w:r>
          </w:p>
        </w:tc>
        <w:tc>
          <w:tcPr>
            <w:tcW w:w="3620" w:type="dxa"/>
            <w:vAlign w:val="bottom"/>
          </w:tcPr>
          <w:p>
            <w:pPr>
              <w:jc w:val="right"/>
              <w:ind w:right="445"/>
              <w:spacing w:after="0"/>
              <w:rPr>
                <w:sz w:val="20"/>
                <w:szCs w:val="20"/>
                <w:color w:val="auto"/>
              </w:rPr>
            </w:pPr>
            <w:r>
              <w:rPr>
                <w:rFonts w:ascii="Arial" w:cs="Arial" w:eastAsia="Arial" w:hAnsi="Arial"/>
                <w:sz w:val="15"/>
                <w:szCs w:val="15"/>
                <w:color w:val="auto"/>
              </w:rPr>
              <w:t>12,838</w:t>
            </w:r>
          </w:p>
        </w:tc>
        <w:tc>
          <w:tcPr>
            <w:tcW w:w="1880" w:type="dxa"/>
            <w:vAlign w:val="bottom"/>
          </w:tcPr>
          <w:p>
            <w:pPr>
              <w:jc w:val="right"/>
              <w:ind w:right="465"/>
              <w:spacing w:after="0"/>
              <w:rPr>
                <w:sz w:val="20"/>
                <w:szCs w:val="20"/>
                <w:color w:val="auto"/>
              </w:rPr>
            </w:pPr>
            <w:r>
              <w:rPr>
                <w:rFonts w:ascii="Arial" w:cs="Arial" w:eastAsia="Arial" w:hAnsi="Arial"/>
                <w:sz w:val="15"/>
                <w:szCs w:val="15"/>
                <w:color w:val="auto"/>
              </w:rPr>
              <w:t>83.76 %</w:t>
            </w:r>
          </w:p>
        </w:tc>
        <w:tc>
          <w:tcPr>
            <w:tcW w:w="1580" w:type="dxa"/>
            <w:vAlign w:val="bottom"/>
          </w:tcPr>
          <w:p>
            <w:pPr>
              <w:jc w:val="right"/>
              <w:ind w:right="365"/>
              <w:spacing w:after="0"/>
              <w:rPr>
                <w:sz w:val="20"/>
                <w:szCs w:val="20"/>
                <w:color w:val="auto"/>
              </w:rPr>
            </w:pPr>
            <w:r>
              <w:rPr>
                <w:rFonts w:ascii="Arial" w:cs="Arial" w:eastAsia="Arial" w:hAnsi="Arial"/>
                <w:sz w:val="15"/>
                <w:szCs w:val="15"/>
                <w:color w:val="auto"/>
              </w:rPr>
              <w:t>10,753</w:t>
            </w:r>
          </w:p>
        </w:tc>
        <w:tc>
          <w:tcPr>
            <w:tcW w:w="1140" w:type="dxa"/>
            <w:vAlign w:val="bottom"/>
          </w:tcPr>
          <w:p>
            <w:pPr>
              <w:jc w:val="right"/>
              <w:spacing w:after="0"/>
              <w:rPr>
                <w:sz w:val="20"/>
                <w:szCs w:val="20"/>
                <w:color w:val="auto"/>
              </w:rPr>
            </w:pPr>
            <w:r>
              <w:rPr>
                <w:rFonts w:ascii="Arial" w:cs="Arial" w:eastAsia="Arial" w:hAnsi="Arial"/>
                <w:sz w:val="15"/>
                <w:szCs w:val="15"/>
                <w:color w:val="auto"/>
              </w:rPr>
              <w:t>436,254</w:t>
            </w:r>
          </w:p>
        </w:tc>
      </w:tr>
      <w:tr>
        <w:trPr>
          <w:trHeight w:val="33"/>
        </w:trPr>
        <w:tc>
          <w:tcPr>
            <w:tcW w:w="3000" w:type="dxa"/>
            <w:vAlign w:val="bottom"/>
            <w:tcBorders>
              <w:bottom w:val="single" w:sz="8" w:color="6D6D6D"/>
            </w:tcBorders>
          </w:tcPr>
          <w:p>
            <w:pPr>
              <w:spacing w:after="0"/>
              <w:rPr>
                <w:sz w:val="2"/>
                <w:szCs w:val="2"/>
                <w:color w:val="auto"/>
              </w:rPr>
            </w:pPr>
          </w:p>
        </w:tc>
        <w:tc>
          <w:tcPr>
            <w:tcW w:w="3620" w:type="dxa"/>
            <w:vAlign w:val="bottom"/>
            <w:tcBorders>
              <w:bottom w:val="single" w:sz="8" w:color="6D6D6D"/>
            </w:tcBorders>
          </w:tcPr>
          <w:p>
            <w:pPr>
              <w:spacing w:after="0"/>
              <w:rPr>
                <w:sz w:val="2"/>
                <w:szCs w:val="2"/>
                <w:color w:val="auto"/>
              </w:rPr>
            </w:pPr>
          </w:p>
        </w:tc>
        <w:tc>
          <w:tcPr>
            <w:tcW w:w="1880" w:type="dxa"/>
            <w:vAlign w:val="bottom"/>
            <w:tcBorders>
              <w:bottom w:val="single" w:sz="8" w:color="6D6D6D"/>
            </w:tcBorders>
          </w:tcPr>
          <w:p>
            <w:pPr>
              <w:spacing w:after="0"/>
              <w:rPr>
                <w:sz w:val="2"/>
                <w:szCs w:val="2"/>
                <w:color w:val="auto"/>
              </w:rPr>
            </w:pPr>
          </w:p>
        </w:tc>
        <w:tc>
          <w:tcPr>
            <w:tcW w:w="1580" w:type="dxa"/>
            <w:vAlign w:val="bottom"/>
            <w:tcBorders>
              <w:bottom w:val="single" w:sz="8" w:color="6D6D6D"/>
            </w:tcBorders>
          </w:tcPr>
          <w:p>
            <w:pPr>
              <w:spacing w:after="0"/>
              <w:rPr>
                <w:sz w:val="2"/>
                <w:szCs w:val="2"/>
                <w:color w:val="auto"/>
              </w:rPr>
            </w:pPr>
          </w:p>
        </w:tc>
        <w:tc>
          <w:tcPr>
            <w:tcW w:w="1140" w:type="dxa"/>
            <w:vAlign w:val="bottom"/>
            <w:tcBorders>
              <w:bottom w:val="single" w:sz="8" w:color="6D6D6D"/>
            </w:tcBorders>
          </w:tcPr>
          <w:p>
            <w:pPr>
              <w:spacing w:after="0"/>
              <w:rPr>
                <w:sz w:val="2"/>
                <w:szCs w:val="2"/>
                <w:color w:val="auto"/>
              </w:rPr>
            </w:pPr>
          </w:p>
        </w:tc>
      </w:tr>
    </w:tbl>
    <w:p>
      <w:pPr>
        <w:spacing w:after="0" w:line="180" w:lineRule="exact"/>
        <w:rPr>
          <w:sz w:val="20"/>
          <w:szCs w:val="20"/>
          <w:color w:val="auto"/>
        </w:rPr>
      </w:pPr>
    </w:p>
    <w:p>
      <w:pPr>
        <w:ind w:left="280" w:hanging="272"/>
        <w:spacing w:after="0"/>
        <w:tabs>
          <w:tab w:leader="none" w:pos="280" w:val="left"/>
        </w:tabs>
        <w:numPr>
          <w:ilvl w:val="0"/>
          <w:numId w:val="115"/>
        </w:numPr>
        <w:rPr>
          <w:rFonts w:ascii="Arial" w:cs="Arial" w:eastAsia="Arial" w:hAnsi="Arial"/>
          <w:sz w:val="9"/>
          <w:szCs w:val="9"/>
          <w:color w:val="auto"/>
        </w:rPr>
      </w:pPr>
      <w:r>
        <w:rPr>
          <w:rFonts w:ascii="Arial" w:cs="Arial" w:eastAsia="Arial" w:hAnsi="Arial"/>
          <w:sz w:val="14"/>
          <w:szCs w:val="14"/>
          <w:color w:val="auto"/>
        </w:rPr>
        <w:t>Award values calculated based on Exelon’s closing stock price on February 3, 2025 of $40.57.</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80" w:hanging="454"/>
        <w:spacing w:after="0"/>
        <w:tabs>
          <w:tab w:leader="none" w:pos="480" w:val="left"/>
        </w:tabs>
        <w:numPr>
          <w:ilvl w:val="0"/>
          <w:numId w:val="11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8" w:name="page59"/>
    <w:bookmarkEnd w:id="58"/>
    <w:p>
      <w:pPr>
        <w:jc w:val="right"/>
        <w:spacing w:after="0"/>
        <w:rPr>
          <w:sz w:val="20"/>
          <w:szCs w:val="20"/>
          <w:color w:val="auto"/>
        </w:rPr>
      </w:pPr>
      <w:r>
        <w:rPr>
          <w:rFonts w:ascii="Arial" w:cs="Arial" w:eastAsia="Arial" w:hAnsi="Arial"/>
          <w:sz w:val="13"/>
          <w:szCs w:val="13"/>
          <w:b w:val="1"/>
          <w:bCs w:val="1"/>
          <w:color w:val="auto"/>
        </w:rPr>
        <w:t>Compensation Discussion &amp; Analysis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Other Benefits</w:t>
      </w:r>
    </w:p>
    <w:p>
      <w:pPr>
        <w:spacing w:after="0" w:line="193" w:lineRule="exact"/>
        <w:rPr>
          <w:sz w:val="20"/>
          <w:szCs w:val="20"/>
          <w:color w:val="auto"/>
        </w:rPr>
      </w:pPr>
    </w:p>
    <w:p>
      <w:pPr>
        <w:ind w:right="420"/>
        <w:spacing w:after="0" w:line="304" w:lineRule="auto"/>
        <w:rPr>
          <w:sz w:val="20"/>
          <w:szCs w:val="20"/>
          <w:color w:val="auto"/>
        </w:rPr>
      </w:pPr>
      <w:r>
        <w:rPr>
          <w:rFonts w:ascii="Arial" w:cs="Arial" w:eastAsia="Arial" w:hAnsi="Arial"/>
          <w:sz w:val="16"/>
          <w:szCs w:val="16"/>
          <w:color w:val="auto"/>
        </w:rPr>
        <w:t>We provide limited perquisites to our executive officers, consistent with the Company’s goal of providing market-based compensation and benefits. The TMCC has approved the following perquisites:</w:t>
      </w:r>
    </w:p>
    <w:p>
      <w:pPr>
        <w:spacing w:after="0" w:line="60" w:lineRule="exact"/>
        <w:rPr>
          <w:sz w:val="20"/>
          <w:szCs w:val="20"/>
          <w:color w:val="auto"/>
        </w:rPr>
      </w:pPr>
    </w:p>
    <w:p>
      <w:pPr>
        <w:jc w:val="both"/>
        <w:ind w:left="200" w:right="120" w:hanging="192"/>
        <w:spacing w:after="0" w:line="292" w:lineRule="auto"/>
        <w:tabs>
          <w:tab w:leader="none" w:pos="170"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Limited tax assistance </w:t>
      </w:r>
      <w:r>
        <w:rPr>
          <w:rFonts w:ascii="Arial" w:cs="Arial" w:eastAsia="Arial" w:hAnsi="Arial"/>
          <w:sz w:val="16"/>
          <w:szCs w:val="16"/>
          <w:color w:val="auto"/>
        </w:rPr>
        <w:t>is provided when: employees are required to relocate; work outside their state of home residence and encounter double taxation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states and localities where tax credits are not permitted in home state tax filings; and travel and lodging is required of certain executives in connection with regulatory requirements in connection with the Company’s 2016 acquisition of Pepco Holdings, Inc.</w:t>
      </w:r>
    </w:p>
    <w:p>
      <w:pPr>
        <w:spacing w:after="0" w:line="30" w:lineRule="exact"/>
        <w:rPr>
          <w:rFonts w:ascii="Arial" w:cs="Arial" w:eastAsia="Arial" w:hAnsi="Arial"/>
          <w:sz w:val="16"/>
          <w:szCs w:val="16"/>
          <w:b w:val="1"/>
          <w:bCs w:val="1"/>
          <w:color w:val="auto"/>
        </w:rPr>
      </w:pPr>
    </w:p>
    <w:p>
      <w:pPr>
        <w:ind w:left="200" w:right="140" w:hanging="192"/>
        <w:spacing w:after="0" w:line="282" w:lineRule="auto"/>
        <w:tabs>
          <w:tab w:leader="none" w:pos="170"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Transportation related benefits </w:t>
      </w:r>
      <w:r>
        <w:rPr>
          <w:rFonts w:ascii="Arial" w:cs="Arial" w:eastAsia="Arial" w:hAnsi="Arial"/>
          <w:sz w:val="16"/>
          <w:szCs w:val="16"/>
          <w:color w:val="auto"/>
        </w:rPr>
        <w:t>including limited personal use of corporate aircraft for certain executives, including spouse, domestic partner, other</w:t>
      </w:r>
      <w:r>
        <w:rPr>
          <w:rFonts w:ascii="Arial" w:cs="Arial" w:eastAsia="Arial" w:hAnsi="Arial"/>
          <w:sz w:val="16"/>
          <w:szCs w:val="16"/>
          <w:b w:val="1"/>
          <w:bCs w:val="1"/>
          <w:color w:val="auto"/>
        </w:rPr>
        <w:t xml:space="preserve"> </w:t>
      </w:r>
      <w:r>
        <w:rPr>
          <w:rFonts w:ascii="Arial" w:cs="Arial" w:eastAsia="Arial" w:hAnsi="Arial"/>
          <w:sz w:val="16"/>
          <w:szCs w:val="16"/>
          <w:color w:val="auto"/>
        </w:rPr>
        <w:t>family members or guests. These benefits allow certain of our executives to perform job duties in a safe, secure environment and promotes effective use of their time. Personal use of corporate aircraft by all executives is subject to approval by the CEO in accordance with the corporate aviation policy. With respect to the CEO’s usage of the corporate aircraft, the Committee approves an annual jet usage cap. For 2024, the Committee approved an annual corporate jet usage cap for Mr. Butler of the lesser of 100 hours and $300,000 of aggregate incremental cost.</w:t>
      </w:r>
    </w:p>
    <w:p>
      <w:pPr>
        <w:spacing w:after="0" w:line="80" w:lineRule="exact"/>
        <w:rPr>
          <w:sz w:val="20"/>
          <w:szCs w:val="20"/>
          <w:color w:val="auto"/>
        </w:rPr>
      </w:pPr>
    </w:p>
    <w:p>
      <w:pPr>
        <w:ind w:left="200" w:right="140"/>
        <w:spacing w:after="0" w:line="292" w:lineRule="auto"/>
        <w:rPr>
          <w:sz w:val="20"/>
          <w:szCs w:val="20"/>
          <w:color w:val="auto"/>
        </w:rPr>
      </w:pPr>
      <w:r>
        <w:rPr>
          <w:rFonts w:ascii="Arial" w:cs="Arial" w:eastAsia="Arial" w:hAnsi="Arial"/>
          <w:sz w:val="16"/>
          <w:szCs w:val="16"/>
          <w:color w:val="auto"/>
        </w:rPr>
        <w:t>Exelon also offers Company cars and driver services for NEOs and certain other officers enabling the effective performance of their duties among the Company’s various offices and facilities. Certain NEOs are also entitled to limited personal use of the Company’s cars and drivers including for purposes of commuting to work locations.</w:t>
      </w:r>
    </w:p>
    <w:p>
      <w:pPr>
        <w:spacing w:after="0" w:line="71" w:lineRule="exact"/>
        <w:rPr>
          <w:sz w:val="20"/>
          <w:szCs w:val="20"/>
          <w:color w:val="auto"/>
        </w:rPr>
      </w:pPr>
    </w:p>
    <w:p>
      <w:pPr>
        <w:ind w:left="200" w:right="300" w:hanging="192"/>
        <w:spacing w:after="0" w:line="304" w:lineRule="auto"/>
        <w:tabs>
          <w:tab w:leader="none" w:pos="170" w:val="left"/>
        </w:tabs>
        <w:numPr>
          <w:ilvl w:val="0"/>
          <w:numId w:val="1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Travel and lodging benefits </w:t>
      </w:r>
      <w:r>
        <w:rPr>
          <w:rFonts w:ascii="Arial" w:cs="Arial" w:eastAsia="Arial" w:hAnsi="Arial"/>
          <w:sz w:val="16"/>
          <w:szCs w:val="16"/>
          <w:color w:val="auto"/>
        </w:rPr>
        <w:t>provided to certain executives pursuant to regulatory commitments in connection with the Company’s 2016 acquisition of</w:t>
      </w:r>
      <w:r>
        <w:rPr>
          <w:rFonts w:ascii="Arial" w:cs="Arial" w:eastAsia="Arial" w:hAnsi="Arial"/>
          <w:sz w:val="16"/>
          <w:szCs w:val="16"/>
          <w:b w:val="1"/>
          <w:bCs w:val="1"/>
          <w:color w:val="auto"/>
        </w:rPr>
        <w:t xml:space="preserve"> </w:t>
      </w:r>
      <w:r>
        <w:rPr>
          <w:rFonts w:ascii="Arial" w:cs="Arial" w:eastAsia="Arial" w:hAnsi="Arial"/>
          <w:sz w:val="16"/>
          <w:szCs w:val="16"/>
          <w:color w:val="auto"/>
        </w:rPr>
        <w:t>Pepco Holdings, Inc.</w:t>
      </w:r>
    </w:p>
    <w:p>
      <w:pPr>
        <w:spacing w:after="0" w:line="19" w:lineRule="exact"/>
        <w:rPr>
          <w:rFonts w:ascii="Arial" w:cs="Arial" w:eastAsia="Arial" w:hAnsi="Arial"/>
          <w:sz w:val="16"/>
          <w:szCs w:val="16"/>
          <w:b w:val="1"/>
          <w:bCs w:val="1"/>
          <w:color w:val="auto"/>
        </w:rPr>
      </w:pPr>
    </w:p>
    <w:p>
      <w:pPr>
        <w:ind w:left="180" w:hanging="172"/>
        <w:spacing w:after="0"/>
        <w:tabs>
          <w:tab w:leader="none" w:pos="180" w:val="left"/>
        </w:tabs>
        <w:numPr>
          <w:ilvl w:val="0"/>
          <w:numId w:val="118"/>
        </w:numPr>
        <w:rPr>
          <w:rFonts w:ascii="Arial" w:cs="Arial" w:eastAsia="Arial" w:hAnsi="Arial"/>
          <w:sz w:val="16"/>
          <w:szCs w:val="16"/>
          <w:b w:val="1"/>
          <w:bCs w:val="1"/>
          <w:color w:val="auto"/>
          <w:strike w:val="1"/>
        </w:rPr>
      </w:pPr>
      <w:r>
        <w:rPr>
          <w:rFonts w:ascii="Arial" w:cs="Arial" w:eastAsia="Arial" w:hAnsi="Arial"/>
          <w:sz w:val="16"/>
          <w:szCs w:val="16"/>
          <w:b w:val="1"/>
          <w:bCs w:val="1"/>
          <w:color w:val="auto"/>
        </w:rPr>
        <w:t xml:space="preserve">Personal use of corporate-leased skyboxes </w:t>
      </w:r>
      <w:r>
        <w:rPr>
          <w:rFonts w:ascii="Arial" w:cs="Arial" w:eastAsia="Arial" w:hAnsi="Arial"/>
          <w:sz w:val="16"/>
          <w:szCs w:val="16"/>
          <w:color w:val="auto"/>
        </w:rPr>
        <w:t>for cultural, entertainment, or sporting events is provided to certain executives.</w:t>
      </w:r>
    </w:p>
    <w:p>
      <w:pPr>
        <w:spacing w:after="0" w:line="99" w:lineRule="exact"/>
        <w:rPr>
          <w:rFonts w:ascii="Arial" w:cs="Arial" w:eastAsia="Arial" w:hAnsi="Arial"/>
          <w:sz w:val="16"/>
          <w:szCs w:val="16"/>
          <w:b w:val="1"/>
          <w:bCs w:val="1"/>
          <w:color w:val="auto"/>
          <w:strike w:val="1"/>
        </w:rPr>
      </w:pPr>
    </w:p>
    <w:p>
      <w:pPr>
        <w:ind w:left="180" w:hanging="172"/>
        <w:spacing w:after="0"/>
        <w:tabs>
          <w:tab w:leader="none" w:pos="180" w:val="left"/>
        </w:tabs>
        <w:numPr>
          <w:ilvl w:val="0"/>
          <w:numId w:val="118"/>
        </w:numPr>
        <w:rPr>
          <w:rFonts w:ascii="Arial" w:cs="Arial" w:eastAsia="Arial" w:hAnsi="Arial"/>
          <w:sz w:val="16"/>
          <w:szCs w:val="16"/>
          <w:b w:val="1"/>
          <w:bCs w:val="1"/>
          <w:color w:val="auto"/>
        </w:rPr>
      </w:pPr>
      <w:r>
        <w:rPr>
          <w:rFonts w:ascii="Arial" w:cs="Arial" w:eastAsia="Arial" w:hAnsi="Arial"/>
          <w:sz w:val="16"/>
          <w:szCs w:val="16"/>
          <w:b w:val="1"/>
          <w:bCs w:val="1"/>
          <w:color w:val="auto"/>
        </w:rPr>
        <w:t>Personal financial planning services and physical examinations.</w:t>
      </w:r>
    </w:p>
    <w:p>
      <w:pPr>
        <w:spacing w:after="0" w:line="99" w:lineRule="exact"/>
        <w:rPr>
          <w:rFonts w:ascii="Arial" w:cs="Arial" w:eastAsia="Arial" w:hAnsi="Arial"/>
          <w:sz w:val="16"/>
          <w:szCs w:val="16"/>
          <w:b w:val="1"/>
          <w:bCs w:val="1"/>
          <w:color w:val="auto"/>
        </w:rPr>
      </w:pPr>
    </w:p>
    <w:p>
      <w:pPr>
        <w:ind w:left="180" w:hanging="172"/>
        <w:spacing w:after="0"/>
        <w:tabs>
          <w:tab w:leader="none" w:pos="180" w:val="left"/>
        </w:tabs>
        <w:numPr>
          <w:ilvl w:val="0"/>
          <w:numId w:val="1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Bring Your Own Device (BYOD) </w:t>
      </w:r>
      <w:r>
        <w:rPr>
          <w:rFonts w:ascii="Arial" w:cs="Arial" w:eastAsia="Arial" w:hAnsi="Arial"/>
          <w:sz w:val="16"/>
          <w:szCs w:val="16"/>
          <w:color w:val="auto"/>
        </w:rPr>
        <w:t>benefit provides a stipend toward personal mobile device plans.</w:t>
      </w:r>
    </w:p>
    <w:p>
      <w:pPr>
        <w:spacing w:after="0" w:line="99" w:lineRule="exact"/>
        <w:rPr>
          <w:rFonts w:ascii="Arial" w:cs="Arial" w:eastAsia="Arial" w:hAnsi="Arial"/>
          <w:sz w:val="16"/>
          <w:szCs w:val="16"/>
          <w:b w:val="1"/>
          <w:bCs w:val="1"/>
          <w:color w:val="auto"/>
        </w:rPr>
      </w:pPr>
    </w:p>
    <w:p>
      <w:pPr>
        <w:ind w:left="200" w:right="180" w:hanging="192"/>
        <w:spacing w:after="0" w:line="289" w:lineRule="auto"/>
        <w:tabs>
          <w:tab w:leader="none" w:pos="170" w:val="left"/>
        </w:tabs>
        <w:numPr>
          <w:ilvl w:val="0"/>
          <w:numId w:val="1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Relocation benefits </w:t>
      </w:r>
      <w:r>
        <w:rPr>
          <w:rFonts w:ascii="Arial" w:cs="Arial" w:eastAsia="Arial" w:hAnsi="Arial"/>
          <w:sz w:val="16"/>
          <w:szCs w:val="16"/>
          <w:color w:val="auto"/>
        </w:rPr>
        <w:t>pursuant to Exelon’s relocation benefits program for management-level employees (Relocation Program). The Relocation Program</w:t>
      </w:r>
      <w:r>
        <w:rPr>
          <w:rFonts w:ascii="Arial" w:cs="Arial" w:eastAsia="Arial" w:hAnsi="Arial"/>
          <w:sz w:val="16"/>
          <w:szCs w:val="16"/>
          <w:b w:val="1"/>
          <w:bCs w:val="1"/>
          <w:color w:val="auto"/>
        </w:rPr>
        <w:t xml:space="preserve"> </w:t>
      </w:r>
      <w:r>
        <w:rPr>
          <w:rFonts w:ascii="Arial" w:cs="Arial" w:eastAsia="Arial" w:hAnsi="Arial"/>
          <w:sz w:val="16"/>
          <w:szCs w:val="16"/>
          <w:color w:val="auto"/>
        </w:rPr>
        <w:t>enables Exelon to attract and retain top talent and to select new executive hires from the broadest possible pool of qualified candidates both externally and internally across Exelon’s geographic footprint. Providing comprehensive relocation support ensures that executives can transition seamlessly into their new roles, allowing them to focus on strategic leadership and driving long-term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-1093470</wp:posOffset>
            </wp:positionV>
            <wp:extent cx="5777865" cy="1200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777865" cy="12001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Stock Ownership and Trading Requirements</w:t>
      </w:r>
    </w:p>
    <w:p>
      <w:pPr>
        <w:spacing w:after="0" w:line="112" w:lineRule="exact"/>
        <w:rPr>
          <w:sz w:val="20"/>
          <w:szCs w:val="20"/>
          <w:color w:val="auto"/>
        </w:rPr>
      </w:pPr>
    </w:p>
    <w:p>
      <w:pPr>
        <w:ind w:right="300"/>
        <w:spacing w:after="0" w:line="289" w:lineRule="auto"/>
        <w:rPr>
          <w:sz w:val="20"/>
          <w:szCs w:val="20"/>
          <w:color w:val="auto"/>
        </w:rPr>
      </w:pPr>
      <w:r>
        <w:rPr>
          <w:rFonts w:ascii="Arial" w:cs="Arial" w:eastAsia="Arial" w:hAnsi="Arial"/>
          <w:sz w:val="16"/>
          <w:szCs w:val="16"/>
          <w:color w:val="auto"/>
        </w:rPr>
        <w:t>To strengthen the alignment of executive interests with those of shareholders, executives at the vice president level or above are required to own certain multiples of base salary of Exelon common stock within five years of the date of hiring or promotion to a new position. The table below reflects stock ownership as of the annual measurement date of June 30, 2024. For additional details about NEO stock ownership, please see the Beneficial Ownership Table.</w:t>
      </w:r>
    </w:p>
    <w:p>
      <w:pPr>
        <w:sectPr>
          <w:pgSz w:w="11900" w:h="16838" w:orient="portrait"/>
          <w:cols w:equalWidth="0" w:num="1">
            <w:col w:w="11240"/>
          </w:cols>
          <w:pgMar w:left="320" w:top="122" w:right="339" w:bottom="1440" w:gutter="0" w:footer="0" w:header="0"/>
        </w:sectPr>
      </w:pPr>
    </w:p>
    <w:p>
      <w:pPr>
        <w:spacing w:after="0" w:line="234" w:lineRule="exact"/>
        <w:rPr>
          <w:sz w:val="20"/>
          <w:szCs w:val="20"/>
          <w:color w:val="auto"/>
        </w:rPr>
      </w:pPr>
    </w:p>
    <w:p>
      <w:pPr>
        <w:ind w:left="20"/>
        <w:spacing w:after="0" w:line="279" w:lineRule="auto"/>
        <w:rPr>
          <w:sz w:val="20"/>
          <w:szCs w:val="20"/>
          <w:color w:val="auto"/>
        </w:rPr>
      </w:pPr>
      <w:r>
        <w:rPr>
          <w:rFonts w:ascii="Arial" w:cs="Arial" w:eastAsia="Arial" w:hAnsi="Arial"/>
          <w:sz w:val="16"/>
          <w:szCs w:val="16"/>
          <w:color w:val="auto"/>
        </w:rPr>
        <w:t>The following types of ownership count towards meeting the stock ownership guidelines: restricted shares and restricted stock units (RSUs); shares acquired and held through the exercise of stock options; shares held in the Exelon Corporation Deferred Compensation Plan, dividend reinvestment plan, and/or Employee Savings Plan; and common shares beneficially owned directly or indirectly, including shares held in trust. Shares underlying performance share awards do not count toward the stock ownership requirement.</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2540" w:type="dxa"/>
            <w:vAlign w:val="bottom"/>
          </w:tcPr>
          <w:p>
            <w:pPr>
              <w:spacing w:after="0"/>
              <w:rPr>
                <w:sz w:val="19"/>
                <w:szCs w:val="19"/>
                <w:color w:val="auto"/>
              </w:rPr>
            </w:pPr>
          </w:p>
        </w:tc>
        <w:tc>
          <w:tcPr>
            <w:tcW w:w="2900" w:type="dxa"/>
            <w:vAlign w:val="bottom"/>
            <w:tcBorders>
              <w:bottom w:val="single" w:sz="8" w:color="170D67"/>
            </w:tcBorders>
            <w:gridSpan w:val="2"/>
          </w:tcPr>
          <w:p>
            <w:pPr>
              <w:ind w:left="700"/>
              <w:spacing w:after="0"/>
              <w:rPr>
                <w:sz w:val="20"/>
                <w:szCs w:val="20"/>
                <w:color w:val="auto"/>
              </w:rPr>
            </w:pPr>
            <w:r>
              <w:rPr>
                <w:rFonts w:ascii="Arial" w:cs="Arial" w:eastAsia="Arial" w:hAnsi="Arial"/>
                <w:sz w:val="16"/>
                <w:szCs w:val="16"/>
                <w:b w:val="1"/>
                <w:bCs w:val="1"/>
                <w:color w:val="170D67"/>
              </w:rPr>
              <w:t>As of June 30, 2024</w:t>
            </w:r>
          </w:p>
        </w:tc>
      </w:tr>
      <w:tr>
        <w:trPr>
          <w:trHeight w:val="199"/>
        </w:trPr>
        <w:tc>
          <w:tcPr>
            <w:tcW w:w="254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170D67"/>
              </w:rPr>
              <w:t>Required</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170D67"/>
              </w:rPr>
              <w:t>Actual</w:t>
            </w:r>
          </w:p>
        </w:tc>
      </w:tr>
      <w:tr>
        <w:trPr>
          <w:trHeight w:val="240"/>
        </w:trPr>
        <w:tc>
          <w:tcPr>
            <w:tcW w:w="2540" w:type="dxa"/>
            <w:vAlign w:val="bottom"/>
            <w:tcBorders>
              <w:bottom w:val="single" w:sz="8" w:color="170D67"/>
            </w:tcBorders>
          </w:tcPr>
          <w:p>
            <w:pPr>
              <w:ind w:left="20"/>
              <w:spacing w:after="0"/>
              <w:rPr>
                <w:sz w:val="20"/>
                <w:szCs w:val="20"/>
                <w:color w:val="auto"/>
              </w:rPr>
            </w:pPr>
            <w:r>
              <w:rPr>
                <w:rFonts w:ascii="Arial" w:cs="Arial" w:eastAsia="Arial" w:hAnsi="Arial"/>
                <w:sz w:val="16"/>
                <w:szCs w:val="16"/>
                <w:b w:val="1"/>
                <w:bCs w:val="1"/>
                <w:color w:val="170D67"/>
              </w:rPr>
              <w:t>NEO</w:t>
            </w:r>
          </w:p>
        </w:tc>
        <w:tc>
          <w:tcPr>
            <w:tcW w:w="1440" w:type="dxa"/>
            <w:vAlign w:val="bottom"/>
            <w:tcBorders>
              <w:bottom w:val="single" w:sz="8" w:color="170D67"/>
            </w:tcBorders>
          </w:tcPr>
          <w:p>
            <w:pPr>
              <w:jc w:val="center"/>
              <w:spacing w:after="0"/>
              <w:rPr>
                <w:sz w:val="20"/>
                <w:szCs w:val="20"/>
                <w:color w:val="auto"/>
              </w:rPr>
            </w:pPr>
            <w:r>
              <w:rPr>
                <w:rFonts w:ascii="Arial" w:cs="Arial" w:eastAsia="Arial" w:hAnsi="Arial"/>
                <w:sz w:val="16"/>
                <w:szCs w:val="16"/>
                <w:b w:val="1"/>
                <w:bCs w:val="1"/>
                <w:color w:val="170D67"/>
              </w:rPr>
              <w:t>Ownership</w:t>
            </w:r>
          </w:p>
        </w:tc>
        <w:tc>
          <w:tcPr>
            <w:tcW w:w="1460" w:type="dxa"/>
            <w:vAlign w:val="bottom"/>
            <w:tcBorders>
              <w:bottom w:val="single" w:sz="8" w:color="170D67"/>
            </w:tcBorders>
          </w:tcPr>
          <w:p>
            <w:pPr>
              <w:jc w:val="center"/>
              <w:spacing w:after="0"/>
              <w:rPr>
                <w:sz w:val="20"/>
                <w:szCs w:val="20"/>
                <w:color w:val="auto"/>
              </w:rPr>
            </w:pPr>
            <w:r>
              <w:rPr>
                <w:rFonts w:ascii="Arial" w:cs="Arial" w:eastAsia="Arial" w:hAnsi="Arial"/>
                <w:sz w:val="16"/>
                <w:szCs w:val="16"/>
                <w:b w:val="1"/>
                <w:bCs w:val="1"/>
                <w:color w:val="170D67"/>
              </w:rPr>
              <w:t>Ownership</w:t>
            </w:r>
          </w:p>
        </w:tc>
      </w:tr>
      <w:tr>
        <w:trPr>
          <w:trHeight w:val="234"/>
        </w:trPr>
        <w:tc>
          <w:tcPr>
            <w:tcW w:w="2540" w:type="dxa"/>
            <w:vAlign w:val="bottom"/>
            <w:tcBorders>
              <w:bottom w:val="single" w:sz="8" w:color="808080"/>
            </w:tcBorders>
          </w:tcPr>
          <w:p>
            <w:pPr>
              <w:ind w:left="20"/>
              <w:spacing w:after="0"/>
              <w:rPr>
                <w:sz w:val="20"/>
                <w:szCs w:val="20"/>
                <w:color w:val="auto"/>
              </w:rPr>
            </w:pPr>
            <w:r>
              <w:rPr>
                <w:rFonts w:ascii="Arial" w:cs="Arial" w:eastAsia="Arial" w:hAnsi="Arial"/>
                <w:sz w:val="16"/>
                <w:szCs w:val="16"/>
                <w:color w:val="auto"/>
              </w:rPr>
              <w:t>Butler</w:t>
            </w:r>
          </w:p>
        </w:tc>
        <w:tc>
          <w:tcPr>
            <w:tcW w:w="144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w w:val="94"/>
              </w:rPr>
              <w:t>6x</w:t>
            </w:r>
          </w:p>
        </w:tc>
        <w:tc>
          <w:tcPr>
            <w:tcW w:w="146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8.4x</w:t>
            </w:r>
          </w:p>
        </w:tc>
      </w:tr>
      <w:tr>
        <w:trPr>
          <w:trHeight w:val="236"/>
        </w:trPr>
        <w:tc>
          <w:tcPr>
            <w:tcW w:w="2540" w:type="dxa"/>
            <w:vAlign w:val="bottom"/>
            <w:tcBorders>
              <w:bottom w:val="single" w:sz="8" w:color="808080"/>
            </w:tcBorders>
          </w:tcPr>
          <w:p>
            <w:pPr>
              <w:ind w:left="20"/>
              <w:spacing w:after="0"/>
              <w:rPr>
                <w:sz w:val="20"/>
                <w:szCs w:val="20"/>
                <w:color w:val="auto"/>
              </w:rPr>
            </w:pPr>
            <w:r>
              <w:rPr>
                <w:rFonts w:ascii="Arial" w:cs="Arial" w:eastAsia="Arial" w:hAnsi="Arial"/>
                <w:sz w:val="16"/>
                <w:szCs w:val="16"/>
                <w:color w:val="auto"/>
              </w:rPr>
              <w:t>Jones</w:t>
            </w:r>
          </w:p>
        </w:tc>
        <w:tc>
          <w:tcPr>
            <w:tcW w:w="144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w w:val="94"/>
              </w:rPr>
              <w:t>3x</w:t>
            </w:r>
          </w:p>
        </w:tc>
        <w:tc>
          <w:tcPr>
            <w:tcW w:w="146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3.0x</w:t>
            </w:r>
          </w:p>
        </w:tc>
      </w:tr>
      <w:tr>
        <w:trPr>
          <w:trHeight w:val="237"/>
        </w:trPr>
        <w:tc>
          <w:tcPr>
            <w:tcW w:w="2540" w:type="dxa"/>
            <w:vAlign w:val="bottom"/>
            <w:tcBorders>
              <w:bottom w:val="single" w:sz="8" w:color="808080"/>
            </w:tcBorders>
          </w:tcPr>
          <w:p>
            <w:pPr>
              <w:ind w:left="20"/>
              <w:spacing w:after="0"/>
              <w:rPr>
                <w:sz w:val="20"/>
                <w:szCs w:val="20"/>
                <w:color w:val="auto"/>
              </w:rPr>
            </w:pPr>
            <w:r>
              <w:rPr>
                <w:rFonts w:ascii="Arial" w:cs="Arial" w:eastAsia="Arial" w:hAnsi="Arial"/>
                <w:sz w:val="16"/>
                <w:szCs w:val="16"/>
                <w:color w:val="auto"/>
              </w:rPr>
              <w:t>Littleton</w:t>
            </w:r>
          </w:p>
        </w:tc>
        <w:tc>
          <w:tcPr>
            <w:tcW w:w="144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w w:val="94"/>
              </w:rPr>
              <w:t>3x</w:t>
            </w:r>
          </w:p>
        </w:tc>
        <w:tc>
          <w:tcPr>
            <w:tcW w:w="146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4.0x</w:t>
            </w:r>
          </w:p>
        </w:tc>
      </w:tr>
      <w:tr>
        <w:trPr>
          <w:trHeight w:val="236"/>
        </w:trPr>
        <w:tc>
          <w:tcPr>
            <w:tcW w:w="2540" w:type="dxa"/>
            <w:vAlign w:val="bottom"/>
            <w:tcBorders>
              <w:bottom w:val="single" w:sz="8" w:color="808080"/>
            </w:tcBorders>
          </w:tcPr>
          <w:p>
            <w:pPr>
              <w:ind w:left="20"/>
              <w:spacing w:after="0"/>
              <w:rPr>
                <w:sz w:val="20"/>
                <w:szCs w:val="20"/>
                <w:color w:val="auto"/>
              </w:rPr>
            </w:pPr>
            <w:r>
              <w:rPr>
                <w:rFonts w:ascii="Arial" w:cs="Arial" w:eastAsia="Arial" w:hAnsi="Arial"/>
                <w:sz w:val="16"/>
                <w:szCs w:val="16"/>
                <w:color w:val="auto"/>
              </w:rPr>
              <w:t>Glockner</w:t>
            </w:r>
          </w:p>
        </w:tc>
        <w:tc>
          <w:tcPr>
            <w:tcW w:w="144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w w:val="94"/>
              </w:rPr>
              <w:t>3x</w:t>
            </w:r>
          </w:p>
        </w:tc>
        <w:tc>
          <w:tcPr>
            <w:tcW w:w="146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3.7x</w:t>
            </w:r>
          </w:p>
        </w:tc>
      </w:tr>
      <w:tr>
        <w:trPr>
          <w:trHeight w:val="237"/>
        </w:trPr>
        <w:tc>
          <w:tcPr>
            <w:tcW w:w="2540" w:type="dxa"/>
            <w:vAlign w:val="bottom"/>
            <w:tcBorders>
              <w:bottom w:val="single" w:sz="8" w:color="808080"/>
            </w:tcBorders>
          </w:tcPr>
          <w:p>
            <w:pPr>
              <w:ind w:left="20"/>
              <w:spacing w:after="0"/>
              <w:rPr>
                <w:sz w:val="20"/>
                <w:szCs w:val="20"/>
                <w:color w:val="auto"/>
              </w:rPr>
            </w:pPr>
            <w:r>
              <w:rPr>
                <w:rFonts w:ascii="Arial" w:cs="Arial" w:eastAsia="Arial" w:hAnsi="Arial"/>
                <w:sz w:val="16"/>
                <w:szCs w:val="16"/>
                <w:color w:val="auto"/>
              </w:rPr>
              <w:t>Innocenzo</w:t>
            </w:r>
          </w:p>
        </w:tc>
        <w:tc>
          <w:tcPr>
            <w:tcW w:w="144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w w:val="94"/>
              </w:rPr>
              <w:t>3x</w:t>
            </w:r>
          </w:p>
        </w:tc>
        <w:tc>
          <w:tcPr>
            <w:tcW w:w="1460" w:type="dxa"/>
            <w:vAlign w:val="bottom"/>
            <w:tcBorders>
              <w:bottom w:val="single" w:sz="8" w:color="808080"/>
            </w:tcBorders>
          </w:tcPr>
          <w:p>
            <w:pPr>
              <w:jc w:val="center"/>
              <w:spacing w:after="0"/>
              <w:rPr>
                <w:sz w:val="20"/>
                <w:szCs w:val="20"/>
                <w:color w:val="auto"/>
              </w:rPr>
            </w:pPr>
            <w:r>
              <w:rPr>
                <w:rFonts w:ascii="Arial" w:cs="Arial" w:eastAsia="Arial" w:hAnsi="Arial"/>
                <w:sz w:val="16"/>
                <w:szCs w:val="16"/>
                <w:color w:val="auto"/>
              </w:rPr>
              <w:t>5.0x</w:t>
            </w:r>
          </w:p>
        </w:tc>
      </w:tr>
    </w:tbl>
    <w:p>
      <w:pPr>
        <w:spacing w:after="0" w:line="200" w:lineRule="exact"/>
        <w:rPr>
          <w:sz w:val="20"/>
          <w:szCs w:val="20"/>
          <w:color w:val="auto"/>
        </w:rPr>
      </w:pPr>
    </w:p>
    <w:p>
      <w:pPr>
        <w:sectPr>
          <w:pgSz w:w="11900" w:h="16838" w:orient="portrait"/>
          <w:cols w:equalWidth="0" w:num="2">
            <w:col w:w="5520" w:space="260"/>
            <w:col w:w="546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780"/>
              <w:spacing w:after="0"/>
              <w:rPr>
                <w:sz w:val="20"/>
                <w:szCs w:val="20"/>
                <w:color w:val="auto"/>
              </w:rPr>
            </w:pPr>
            <w:r>
              <w:rPr>
                <w:rFonts w:ascii="Arial" w:cs="Arial" w:eastAsia="Arial" w:hAnsi="Arial"/>
                <w:sz w:val="14"/>
                <w:szCs w:val="14"/>
                <w:color w:val="auto"/>
              </w:rPr>
              <w:t>2025 ׀ Exelon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55</w:t>
            </w:r>
          </w:p>
        </w:tc>
      </w:tr>
      <w:tr>
        <w:trPr>
          <w:trHeight w:val="225"/>
        </w:trPr>
        <w:tc>
          <w:tcPr>
            <w:tcW w:w="1092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3"/>
          <w:szCs w:val="13"/>
          <w:b w:val="1"/>
          <w:bCs w:val="1"/>
          <w:color w:val="auto"/>
        </w:rPr>
        <w:t>Compensation Discussion &amp; Analysis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Insider Trading Policy and Requirements</w:t>
      </w:r>
    </w:p>
    <w:p>
      <w:pPr>
        <w:spacing w:after="0" w:line="11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Exelon has adopted an insider trading policy setting forth policies and procedures governing the purchase, sale, and other dispositions of Exelon’s securities. The policy applies to all Exelon personnel, including directors, officers, employees, and other covered persons. If a covered person has material nonpublic information relating to Exelon, it is the Company’s policy that neither that person nor any related person may buy, sell, gift, or recommend securities of the Company. Our insider trading policy also includes provisions that prohibit covered persons from engaging in short sales, put or call options, hedging transactions, pledging, or other derivative transactions involving Exelon stock. Exelon also follows procedures for the sale or repurchase of its own securities.</w:t>
      </w:r>
    </w:p>
    <w:p>
      <w:pPr>
        <w:spacing w:after="0" w:line="288"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We believe our insider trading policy and procedures are reasonably designed to promote compliance with insider trading laws, rules and regulations and the Nasdaq listing standards. A copy of our Insider Trading Policy was filed as Exhibit 19.1 to Exelon’s 2024 Annual Report on Form 10-K.</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Timing of Equity Grants</w:t>
      </w:r>
    </w:p>
    <w:p>
      <w:pPr>
        <w:spacing w:after="0" w:line="112"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Equity awards are discretionary and are generally granted to our NEOs and other officers at the first regular meeting of the TMCC each year. In certain circumstances, including the hiring or promotion of an officer, the TMCC may approve grants to be effective at other times. Exelon does not currently grant stock options to its employees and has not issued any stock options since 2012.</w:t>
      </w:r>
    </w:p>
    <w:p>
      <w:pPr>
        <w:spacing w:after="0" w:line="71" w:lineRule="exact"/>
        <w:rPr>
          <w:sz w:val="20"/>
          <w:szCs w:val="20"/>
          <w:color w:val="auto"/>
        </w:rPr>
      </w:pPr>
    </w:p>
    <w:p>
      <w:pPr>
        <w:ind w:right="340"/>
        <w:spacing w:after="0" w:line="292" w:lineRule="auto"/>
        <w:rPr>
          <w:sz w:val="20"/>
          <w:szCs w:val="20"/>
          <w:color w:val="auto"/>
        </w:rPr>
      </w:pPr>
      <w:r>
        <w:rPr>
          <w:rFonts w:ascii="Arial" w:cs="Arial" w:eastAsia="Arial" w:hAnsi="Arial"/>
          <w:sz w:val="16"/>
          <w:szCs w:val="16"/>
          <w:color w:val="auto"/>
        </w:rPr>
        <w:t>Eligible employees, including our named executive officers, may voluntarily enroll in the employee stock purchase plan (ESPP) to purchase shares at a discount using payroll deductions accumulated during the prior three-month period. Purchase dates under the ESPP are generally the last trading day of each quarter.</w:t>
      </w:r>
    </w:p>
    <w:p>
      <w:pPr>
        <w:spacing w:after="0" w:line="71"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The TMCC did not take material nonpublic information into account when determining the timing and terms of equity awards in 2024, and Exelon does not time the disclosure of material nonpublic information for the purpose of affecting the value of executive compensation.</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Recoupment of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Discretionary Clawback Policy</w:t>
      </w:r>
    </w:p>
    <w:p>
      <w:pPr>
        <w:spacing w:after="0" w:line="122" w:lineRule="exact"/>
        <w:rPr>
          <w:sz w:val="20"/>
          <w:szCs w:val="20"/>
          <w:color w:val="auto"/>
        </w:rPr>
      </w:pPr>
    </w:p>
    <w:p>
      <w:pPr>
        <w:ind w:right="460"/>
        <w:spacing w:after="0" w:line="321" w:lineRule="auto"/>
        <w:rPr>
          <w:sz w:val="20"/>
          <w:szCs w:val="20"/>
          <w:color w:val="auto"/>
        </w:rPr>
      </w:pPr>
      <w:r>
        <w:rPr>
          <w:rFonts w:ascii="Arial" w:cs="Arial" w:eastAsia="Arial" w:hAnsi="Arial"/>
          <w:sz w:val="16"/>
          <w:szCs w:val="16"/>
          <w:color w:val="auto"/>
        </w:rPr>
        <w:t>The Board of Directors’ Clawback Policy provides discretionary ability to claw back incentive compensation when deemed appropriate in the event of a financial restatement or a significant financial loss or serious reputational harm.</w:t>
      </w:r>
    </w:p>
    <w:p>
      <w:pPr>
        <w:spacing w:after="0" w:line="48"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i w:val="1"/>
          <w:iCs w:val="1"/>
          <w:u w:val="single" w:color="auto"/>
          <w:color w:val="auto"/>
        </w:rPr>
        <w:t>Financial Restatement</w:t>
      </w:r>
      <w:r>
        <w:rPr>
          <w:rFonts w:ascii="Arial" w:cs="Arial" w:eastAsia="Arial" w:hAnsi="Arial"/>
          <w:sz w:val="16"/>
          <w:szCs w:val="16"/>
          <w:color w:val="auto"/>
        </w:rPr>
        <w:t>: Under the current policy, the Board will recoup incentive compensation if it determines that (a) the incentive compensation was</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achievement of financial or other results that were subsequently restated or corrected, (b) the incentive plan participant engaged in fraud or intentional misconduct that caused or contributed to the need for restatement or correction, (c) a lower incentive plan award would have been made to the participant based on the restated or corrected results, and (d) recoupment is not precluded by applicable law or employment agreements.</w:t>
      </w:r>
    </w:p>
    <w:p>
      <w:pPr>
        <w:spacing w:after="0" w:line="77"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i w:val="1"/>
          <w:iCs w:val="1"/>
          <w:u w:val="single" w:color="auto"/>
          <w:color w:val="auto"/>
        </w:rPr>
        <w:t>Financial Loss or Reputational Harm</w:t>
      </w:r>
      <w:r>
        <w:rPr>
          <w:rFonts w:ascii="Arial" w:cs="Arial" w:eastAsia="Arial" w:hAnsi="Arial"/>
          <w:sz w:val="16"/>
          <w:szCs w:val="16"/>
          <w:color w:val="auto"/>
        </w:rPr>
        <w:t>: The Board or the TMCC may also seek to recoup incentive compensation paid or payable to current or former</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plan participants if, in its sole discretion, the Board or TMCC determines that the current or former incentive plan participant breached a restrictive covenant or engaged or participated in misconduct or intentional or reckless acts or omissions or serious neglect of responsibilities that caused or contributed to a significant financial loss or serious reputational harm to Exelon or its subsidiaries regardless of whether a financial statement restatement or correction of incentive plan results was required, and recoupment is not precluded by applicable law or employment agreements.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Mandatory Financial Restatement Compensation Recoupment Policy</w:t>
      </w:r>
    </w:p>
    <w:p>
      <w:pPr>
        <w:spacing w:after="0" w:line="12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2023, the Board adopted the Financial Restatement Compensation Recoupment Policy which complies with Nasdaq listing standards and SEC rules. The policy provides for the mandatory recoupment of certain incentive-based compensation awarded to current and former executive officers, in the event of an accounting restatement resulting from material noncompliance with financial reporting requirements under federal securities laws. Under the policy, if the incentive-based compensation received by an executive exceeds the amount of incentive-based compensation that otherwise would have been received had it been calculated based on the restated amounts, the Company will recoup such erroneously awarded compensation.</w:t>
      </w:r>
    </w:p>
    <w:p>
      <w:pPr>
        <w:spacing w:after="0" w:line="200" w:lineRule="exact"/>
        <w:rPr>
          <w:sz w:val="20"/>
          <w:szCs w:val="20"/>
          <w:color w:val="auto"/>
        </w:rPr>
      </w:pPr>
    </w:p>
    <w:p>
      <w:pPr>
        <w:spacing w:after="0" w:line="392" w:lineRule="exact"/>
        <w:rPr>
          <w:sz w:val="20"/>
          <w:szCs w:val="20"/>
          <w:color w:val="auto"/>
        </w:rPr>
      </w:pPr>
    </w:p>
    <w:p>
      <w:pPr>
        <w:ind w:left="480" w:hanging="454"/>
        <w:spacing w:after="0"/>
        <w:tabs>
          <w:tab w:leader="none" w:pos="480" w:val="left"/>
        </w:tabs>
        <w:numPr>
          <w:ilvl w:val="0"/>
          <w:numId w:val="119"/>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3"/>
          <w:szCs w:val="13"/>
          <w:b w:val="1"/>
          <w:bCs w:val="1"/>
          <w:color w:val="auto"/>
        </w:rPr>
        <w:t>Compensation Discussion &amp; Analysis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Peer Group Used for Benchmarking 2024 Executive Compensation</w:t>
      </w:r>
    </w:p>
    <w:p>
      <w:pPr>
        <w:spacing w:after="0" w:line="11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use a blended peer group for assessing our executive compensation program that consists of two subgroups: energy services peers and general industry peers. The peer group is more heavily weighted in energy services companies that are comparable in business, size, and complexity to Exelon. We use a blended peer group because Exelon’s market for attracting talent includes general industry peers. Exelon evaluates its peer group on an annual basis and adjusts for changes with our energy and general industry peers when needed.</w:t>
      </w:r>
    </w:p>
    <w:p>
      <w:pPr>
        <w:spacing w:after="0" w:line="72"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For 2024, we removed ConocoPhillips and added Waste Management Services, which is more similar to Exelon in size, has primarily US-based operations and is a capital intensive business. The 2024 compensation peer group is comprised of thirteen energy services companies and five general industry companies.</w:t>
      </w:r>
    </w:p>
    <w:p>
      <w:pPr>
        <w:spacing w:after="0" w:line="99"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3340" w:type="dxa"/>
            <w:vAlign w:val="bottom"/>
            <w:tcBorders>
              <w:left w:val="single" w:sz="8" w:color="E8E7EA"/>
            </w:tcBorders>
            <w:shd w:val="clear" w:color="auto" w:fill="E8E7EA"/>
          </w:tcPr>
          <w:p>
            <w:pPr>
              <w:spacing w:after="0"/>
              <w:rPr>
                <w:sz w:val="16"/>
                <w:szCs w:val="16"/>
                <w:color w:val="auto"/>
              </w:rPr>
            </w:pPr>
          </w:p>
        </w:tc>
        <w:tc>
          <w:tcPr>
            <w:tcW w:w="1560" w:type="dxa"/>
            <w:vAlign w:val="bottom"/>
            <w:shd w:val="clear" w:color="auto" w:fill="E8E7EA"/>
          </w:tcPr>
          <w:p>
            <w:pPr>
              <w:spacing w:after="0"/>
              <w:rPr>
                <w:sz w:val="16"/>
                <w:szCs w:val="16"/>
                <w:color w:val="auto"/>
              </w:rPr>
            </w:pPr>
          </w:p>
        </w:tc>
        <w:tc>
          <w:tcPr>
            <w:tcW w:w="1520" w:type="dxa"/>
            <w:vAlign w:val="bottom"/>
            <w:shd w:val="clear" w:color="auto" w:fill="E8E7EA"/>
          </w:tcPr>
          <w:p>
            <w:pPr>
              <w:jc w:val="right"/>
              <w:spacing w:after="0"/>
              <w:rPr>
                <w:sz w:val="20"/>
                <w:szCs w:val="20"/>
                <w:color w:val="auto"/>
              </w:rPr>
            </w:pPr>
            <w:r>
              <w:rPr>
                <w:rFonts w:ascii="Arial" w:cs="Arial" w:eastAsia="Arial" w:hAnsi="Arial"/>
                <w:sz w:val="14"/>
                <w:szCs w:val="14"/>
                <w:b w:val="1"/>
                <w:bCs w:val="1"/>
                <w:color w:val="170D67"/>
              </w:rPr>
              <w:t>Trailing 4Q Revenue</w:t>
            </w:r>
          </w:p>
        </w:tc>
        <w:tc>
          <w:tcPr>
            <w:tcW w:w="1960" w:type="dxa"/>
            <w:vAlign w:val="bottom"/>
            <w:shd w:val="clear" w:color="auto" w:fill="E8E7EA"/>
          </w:tcPr>
          <w:p>
            <w:pPr>
              <w:jc w:val="right"/>
              <w:ind w:right="300"/>
              <w:spacing w:after="0"/>
              <w:rPr>
                <w:sz w:val="20"/>
                <w:szCs w:val="20"/>
                <w:color w:val="auto"/>
              </w:rPr>
            </w:pPr>
            <w:r>
              <w:rPr>
                <w:rFonts w:ascii="Arial" w:cs="Arial" w:eastAsia="Arial" w:hAnsi="Arial"/>
                <w:sz w:val="14"/>
                <w:szCs w:val="14"/>
                <w:b w:val="1"/>
                <w:bCs w:val="1"/>
                <w:color w:val="170D67"/>
              </w:rPr>
              <w:t>% of Revenue Outside</w:t>
            </w:r>
          </w:p>
        </w:tc>
        <w:tc>
          <w:tcPr>
            <w:tcW w:w="1700" w:type="dxa"/>
            <w:vAlign w:val="bottom"/>
            <w:shd w:val="clear" w:color="auto" w:fill="E8E7EA"/>
          </w:tcPr>
          <w:p>
            <w:pPr>
              <w:jc w:val="right"/>
              <w:ind w:right="460"/>
              <w:spacing w:after="0"/>
              <w:rPr>
                <w:sz w:val="20"/>
                <w:szCs w:val="20"/>
                <w:color w:val="auto"/>
              </w:rPr>
            </w:pPr>
            <w:r>
              <w:rPr>
                <w:rFonts w:ascii="Arial" w:cs="Arial" w:eastAsia="Arial" w:hAnsi="Arial"/>
                <w:sz w:val="14"/>
                <w:szCs w:val="14"/>
                <w:b w:val="1"/>
                <w:bCs w:val="1"/>
                <w:color w:val="170D67"/>
              </w:rPr>
              <w:t>Market Cap</w:t>
            </w:r>
          </w:p>
        </w:tc>
        <w:tc>
          <w:tcPr>
            <w:tcW w:w="1140" w:type="dxa"/>
            <w:vAlign w:val="bottom"/>
            <w:shd w:val="clear" w:color="auto" w:fill="E8E7EA"/>
          </w:tcPr>
          <w:p>
            <w:pPr>
              <w:jc w:val="right"/>
              <w:spacing w:after="0"/>
              <w:rPr>
                <w:sz w:val="20"/>
                <w:szCs w:val="20"/>
                <w:color w:val="auto"/>
              </w:rPr>
            </w:pPr>
            <w:r>
              <w:rPr>
                <w:rFonts w:ascii="Arial" w:cs="Arial" w:eastAsia="Arial" w:hAnsi="Arial"/>
                <w:sz w:val="14"/>
                <w:szCs w:val="14"/>
                <w:b w:val="1"/>
                <w:bCs w:val="1"/>
                <w:color w:val="170D67"/>
              </w:rPr>
              <w:t>Capital</w:t>
            </w:r>
          </w:p>
        </w:tc>
      </w:tr>
      <w:tr>
        <w:trPr>
          <w:trHeight w:val="205"/>
        </w:trPr>
        <w:tc>
          <w:tcPr>
            <w:tcW w:w="3340" w:type="dxa"/>
            <w:vAlign w:val="bottom"/>
            <w:tcBorders>
              <w:left w:val="single" w:sz="8" w:color="E8E7EA"/>
              <w:bottom w:val="single" w:sz="8" w:color="170D67"/>
            </w:tcBorders>
            <w:shd w:val="clear" w:color="auto" w:fill="E8E7EA"/>
          </w:tcPr>
          <w:p>
            <w:pPr>
              <w:ind w:left="160"/>
              <w:spacing w:after="0"/>
              <w:rPr>
                <w:sz w:val="20"/>
                <w:szCs w:val="20"/>
                <w:color w:val="auto"/>
              </w:rPr>
            </w:pPr>
            <w:r>
              <w:rPr>
                <w:rFonts w:ascii="Arial" w:cs="Arial" w:eastAsia="Arial" w:hAnsi="Arial"/>
                <w:sz w:val="14"/>
                <w:szCs w:val="14"/>
                <w:b w:val="1"/>
                <w:bCs w:val="1"/>
                <w:color w:val="170D67"/>
              </w:rPr>
              <w:t>Energy Services Peers</w:t>
            </w:r>
            <w:r>
              <w:rPr>
                <w:rFonts w:ascii="Arial" w:cs="Arial" w:eastAsia="Arial" w:hAnsi="Arial"/>
                <w:sz w:val="9"/>
                <w:szCs w:val="9"/>
                <w:b w:val="1"/>
                <w:bCs w:val="1"/>
                <w:color w:val="170D67"/>
              </w:rPr>
              <w:t>1</w:t>
            </w:r>
          </w:p>
        </w:tc>
        <w:tc>
          <w:tcPr>
            <w:tcW w:w="1560" w:type="dxa"/>
            <w:vAlign w:val="bottom"/>
            <w:tcBorders>
              <w:bottom w:val="single" w:sz="8" w:color="170D67"/>
            </w:tcBorders>
            <w:shd w:val="clear" w:color="auto" w:fill="E8E7EA"/>
          </w:tcPr>
          <w:p>
            <w:pPr>
              <w:jc w:val="right"/>
              <w:spacing w:after="0"/>
              <w:rPr>
                <w:sz w:val="20"/>
                <w:szCs w:val="20"/>
                <w:color w:val="auto"/>
              </w:rPr>
            </w:pPr>
            <w:r>
              <w:rPr>
                <w:rFonts w:ascii="Arial" w:cs="Arial" w:eastAsia="Arial" w:hAnsi="Arial"/>
                <w:sz w:val="14"/>
                <w:szCs w:val="14"/>
                <w:b w:val="1"/>
                <w:bCs w:val="1"/>
                <w:color w:val="170D67"/>
              </w:rPr>
              <w:t>Ticker</w:t>
            </w:r>
          </w:p>
        </w:tc>
        <w:tc>
          <w:tcPr>
            <w:tcW w:w="1520" w:type="dxa"/>
            <w:vAlign w:val="bottom"/>
            <w:tcBorders>
              <w:bottom w:val="single" w:sz="8" w:color="170D67"/>
            </w:tcBorders>
            <w:shd w:val="clear" w:color="auto" w:fill="E8E7EA"/>
          </w:tcPr>
          <w:p>
            <w:pPr>
              <w:jc w:val="right"/>
              <w:spacing w:after="0"/>
              <w:rPr>
                <w:sz w:val="20"/>
                <w:szCs w:val="20"/>
                <w:color w:val="auto"/>
              </w:rPr>
            </w:pPr>
            <w:r>
              <w:rPr>
                <w:rFonts w:ascii="Arial" w:cs="Arial" w:eastAsia="Arial" w:hAnsi="Arial"/>
                <w:sz w:val="14"/>
                <w:szCs w:val="14"/>
                <w:b w:val="1"/>
                <w:bCs w:val="1"/>
                <w:color w:val="170D67"/>
              </w:rPr>
              <w:t>($ in M)</w:t>
            </w:r>
          </w:p>
        </w:tc>
        <w:tc>
          <w:tcPr>
            <w:tcW w:w="1960" w:type="dxa"/>
            <w:vAlign w:val="bottom"/>
            <w:tcBorders>
              <w:bottom w:val="single" w:sz="8" w:color="170D67"/>
            </w:tcBorders>
            <w:shd w:val="clear" w:color="auto" w:fill="E8E7EA"/>
          </w:tcPr>
          <w:p>
            <w:pPr>
              <w:jc w:val="right"/>
              <w:ind w:right="300"/>
              <w:spacing w:after="0"/>
              <w:rPr>
                <w:sz w:val="20"/>
                <w:szCs w:val="20"/>
                <w:color w:val="auto"/>
              </w:rPr>
            </w:pPr>
            <w:r>
              <w:rPr>
                <w:rFonts w:ascii="Arial" w:cs="Arial" w:eastAsia="Arial" w:hAnsi="Arial"/>
                <w:sz w:val="14"/>
                <w:szCs w:val="14"/>
                <w:b w:val="1"/>
                <w:bCs w:val="1"/>
                <w:color w:val="170D67"/>
              </w:rPr>
              <w:t>of U.S.</w:t>
            </w:r>
          </w:p>
        </w:tc>
        <w:tc>
          <w:tcPr>
            <w:tcW w:w="1700" w:type="dxa"/>
            <w:vAlign w:val="bottom"/>
            <w:tcBorders>
              <w:bottom w:val="single" w:sz="8" w:color="170D67"/>
            </w:tcBorders>
            <w:shd w:val="clear" w:color="auto" w:fill="E8E7EA"/>
          </w:tcPr>
          <w:p>
            <w:pPr>
              <w:jc w:val="right"/>
              <w:ind w:right="460"/>
              <w:spacing w:after="0"/>
              <w:rPr>
                <w:sz w:val="20"/>
                <w:szCs w:val="20"/>
                <w:color w:val="auto"/>
              </w:rPr>
            </w:pPr>
            <w:r>
              <w:rPr>
                <w:rFonts w:ascii="Arial" w:cs="Arial" w:eastAsia="Arial" w:hAnsi="Arial"/>
                <w:sz w:val="14"/>
                <w:szCs w:val="14"/>
                <w:b w:val="1"/>
                <w:bCs w:val="1"/>
                <w:color w:val="170D67"/>
              </w:rPr>
              <w:t>($ in M)</w:t>
            </w:r>
          </w:p>
        </w:tc>
        <w:tc>
          <w:tcPr>
            <w:tcW w:w="1140" w:type="dxa"/>
            <w:vAlign w:val="bottom"/>
            <w:tcBorders>
              <w:bottom w:val="single" w:sz="8" w:color="170D67"/>
            </w:tcBorders>
            <w:shd w:val="clear" w:color="auto" w:fill="E8E7EA"/>
          </w:tcPr>
          <w:p>
            <w:pPr>
              <w:jc w:val="right"/>
              <w:spacing w:after="0"/>
              <w:rPr>
                <w:sz w:val="20"/>
                <w:szCs w:val="20"/>
                <w:color w:val="auto"/>
              </w:rPr>
            </w:pPr>
            <w:r>
              <w:rPr>
                <w:rFonts w:ascii="Arial" w:cs="Arial" w:eastAsia="Arial" w:hAnsi="Arial"/>
                <w:sz w:val="14"/>
                <w:szCs w:val="14"/>
                <w:b w:val="1"/>
                <w:bCs w:val="1"/>
                <w:color w:val="170D67"/>
              </w:rPr>
              <w:t>Intensity</w:t>
            </w:r>
          </w:p>
        </w:tc>
      </w:tr>
      <w:tr>
        <w:trPr>
          <w:trHeight w:val="228"/>
        </w:trPr>
        <w:tc>
          <w:tcPr>
            <w:tcW w:w="3340" w:type="dxa"/>
            <w:vAlign w:val="bottom"/>
            <w:tcBorders>
              <w:left w:val="single" w:sz="8" w:color="6E06C1"/>
            </w:tcBorders>
          </w:tcPr>
          <w:p>
            <w:pPr>
              <w:ind w:left="160"/>
              <w:spacing w:after="0"/>
              <w:rPr>
                <w:sz w:val="20"/>
                <w:szCs w:val="20"/>
                <w:color w:val="auto"/>
              </w:rPr>
            </w:pPr>
            <w:r>
              <w:rPr>
                <w:rFonts w:ascii="Arial" w:cs="Arial" w:eastAsia="Arial" w:hAnsi="Arial"/>
                <w:sz w:val="16"/>
                <w:szCs w:val="16"/>
                <w:color w:val="auto"/>
              </w:rPr>
              <w:t>American Electric Power Co.</w:t>
            </w:r>
          </w:p>
        </w:tc>
        <w:tc>
          <w:tcPr>
            <w:tcW w:w="1560" w:type="dxa"/>
            <w:vAlign w:val="bottom"/>
          </w:tcPr>
          <w:p>
            <w:pPr>
              <w:jc w:val="right"/>
              <w:spacing w:after="0"/>
              <w:rPr>
                <w:sz w:val="20"/>
                <w:szCs w:val="20"/>
                <w:color w:val="auto"/>
              </w:rPr>
            </w:pPr>
            <w:r>
              <w:rPr>
                <w:rFonts w:ascii="Arial" w:cs="Arial" w:eastAsia="Arial" w:hAnsi="Arial"/>
                <w:sz w:val="16"/>
                <w:szCs w:val="16"/>
                <w:color w:val="auto"/>
              </w:rPr>
              <w:t>AEP</w:t>
            </w:r>
          </w:p>
        </w:tc>
        <w:tc>
          <w:tcPr>
            <w:tcW w:w="1520" w:type="dxa"/>
            <w:vAlign w:val="bottom"/>
          </w:tcPr>
          <w:p>
            <w:pPr>
              <w:jc w:val="right"/>
              <w:spacing w:after="0"/>
              <w:rPr>
                <w:sz w:val="20"/>
                <w:szCs w:val="20"/>
                <w:color w:val="auto"/>
              </w:rPr>
            </w:pPr>
            <w:r>
              <w:rPr>
                <w:rFonts w:ascii="Arial" w:cs="Arial" w:eastAsia="Arial" w:hAnsi="Arial"/>
                <w:sz w:val="16"/>
                <w:szCs w:val="16"/>
                <w:color w:val="auto"/>
              </w:rPr>
              <w:t>$19,524</w:t>
            </w:r>
          </w:p>
        </w:tc>
        <w:tc>
          <w:tcPr>
            <w:tcW w:w="1960" w:type="dxa"/>
            <w:vAlign w:val="bottom"/>
          </w:tcPr>
          <w:p>
            <w:pPr>
              <w:jc w:val="right"/>
              <w:ind w:right="300"/>
              <w:spacing w:after="0"/>
              <w:rPr>
                <w:sz w:val="20"/>
                <w:szCs w:val="20"/>
                <w:color w:val="auto"/>
              </w:rPr>
            </w:pPr>
            <w:r>
              <w:rPr>
                <w:rFonts w:ascii="Arial" w:cs="Arial" w:eastAsia="Arial" w:hAnsi="Arial"/>
                <w:sz w:val="16"/>
                <w:szCs w:val="16"/>
                <w:color w:val="auto"/>
              </w:rPr>
              <w:t>0 %</w:t>
            </w:r>
          </w:p>
        </w:tc>
        <w:tc>
          <w:tcPr>
            <w:tcW w:w="1700" w:type="dxa"/>
            <w:vAlign w:val="bottom"/>
          </w:tcPr>
          <w:p>
            <w:pPr>
              <w:jc w:val="right"/>
              <w:ind w:right="460"/>
              <w:spacing w:after="0"/>
              <w:rPr>
                <w:sz w:val="20"/>
                <w:szCs w:val="20"/>
                <w:color w:val="auto"/>
              </w:rPr>
            </w:pPr>
            <w:r>
              <w:rPr>
                <w:rFonts w:ascii="Arial" w:cs="Arial" w:eastAsia="Arial" w:hAnsi="Arial"/>
                <w:sz w:val="16"/>
                <w:szCs w:val="16"/>
                <w:color w:val="auto"/>
              </w:rPr>
              <w:t>$51,743</w:t>
            </w:r>
          </w:p>
        </w:tc>
        <w:tc>
          <w:tcPr>
            <w:tcW w:w="1140" w:type="dxa"/>
            <w:vAlign w:val="bottom"/>
          </w:tcPr>
          <w:p>
            <w:pPr>
              <w:jc w:val="right"/>
              <w:spacing w:after="0"/>
              <w:rPr>
                <w:sz w:val="20"/>
                <w:szCs w:val="20"/>
                <w:color w:val="auto"/>
              </w:rPr>
            </w:pPr>
            <w:r>
              <w:rPr>
                <w:rFonts w:ascii="Arial" w:cs="Arial" w:eastAsia="Arial" w:hAnsi="Arial"/>
                <w:sz w:val="16"/>
                <w:szCs w:val="16"/>
                <w:color w:val="auto"/>
              </w:rPr>
              <w:t>84 %</w:t>
            </w:r>
          </w:p>
        </w:tc>
      </w:tr>
      <w:tr>
        <w:trPr>
          <w:trHeight w:val="43"/>
        </w:trPr>
        <w:tc>
          <w:tcPr>
            <w:tcW w:w="3340" w:type="dxa"/>
            <w:vAlign w:val="bottom"/>
            <w:tcBorders>
              <w:left w:val="single" w:sz="8" w:color="6E06C1"/>
              <w:bottom w:val="single" w:sz="8" w:color="6D6D6D"/>
            </w:tcBorders>
          </w:tcPr>
          <w:p>
            <w:pPr>
              <w:spacing w:after="0"/>
              <w:rPr>
                <w:sz w:val="3"/>
                <w:szCs w:val="3"/>
                <w:color w:val="auto"/>
              </w:rPr>
            </w:pPr>
          </w:p>
        </w:tc>
        <w:tc>
          <w:tcPr>
            <w:tcW w:w="1560" w:type="dxa"/>
            <w:vAlign w:val="bottom"/>
            <w:tcBorders>
              <w:bottom w:val="single" w:sz="8" w:color="6D6D6D"/>
            </w:tcBorders>
          </w:tcPr>
          <w:p>
            <w:pPr>
              <w:spacing w:after="0"/>
              <w:rPr>
                <w:sz w:val="3"/>
                <w:szCs w:val="3"/>
                <w:color w:val="auto"/>
              </w:rPr>
            </w:pPr>
          </w:p>
        </w:tc>
        <w:tc>
          <w:tcPr>
            <w:tcW w:w="1520" w:type="dxa"/>
            <w:vAlign w:val="bottom"/>
            <w:tcBorders>
              <w:bottom w:val="single" w:sz="8" w:color="6D6D6D"/>
            </w:tcBorders>
          </w:tcPr>
          <w:p>
            <w:pPr>
              <w:spacing w:after="0"/>
              <w:rPr>
                <w:sz w:val="3"/>
                <w:szCs w:val="3"/>
                <w:color w:val="auto"/>
              </w:rPr>
            </w:pPr>
          </w:p>
        </w:tc>
        <w:tc>
          <w:tcPr>
            <w:tcW w:w="1960" w:type="dxa"/>
            <w:vAlign w:val="bottom"/>
            <w:tcBorders>
              <w:bottom w:val="single" w:sz="8" w:color="6D6D6D"/>
            </w:tcBorders>
          </w:tcPr>
          <w:p>
            <w:pPr>
              <w:spacing w:after="0"/>
              <w:rPr>
                <w:sz w:val="3"/>
                <w:szCs w:val="3"/>
                <w:color w:val="auto"/>
              </w:rPr>
            </w:pPr>
          </w:p>
        </w:tc>
        <w:tc>
          <w:tcPr>
            <w:tcW w:w="1700" w:type="dxa"/>
            <w:vAlign w:val="bottom"/>
            <w:tcBorders>
              <w:bottom w:val="single" w:sz="8" w:color="6D6D6D"/>
            </w:tcBorders>
          </w:tcPr>
          <w:p>
            <w:pPr>
              <w:spacing w:after="0"/>
              <w:rPr>
                <w:sz w:val="3"/>
                <w:szCs w:val="3"/>
                <w:color w:val="auto"/>
              </w:rPr>
            </w:pPr>
          </w:p>
        </w:tc>
        <w:tc>
          <w:tcPr>
            <w:tcW w:w="1140" w:type="dxa"/>
            <w:vAlign w:val="bottom"/>
            <w:tcBorders>
              <w:bottom w:val="single" w:sz="8" w:color="6D6D6D"/>
            </w:tcBorders>
          </w:tcPr>
          <w:p>
            <w:pPr>
              <w:spacing w:after="0"/>
              <w:rPr>
                <w:sz w:val="3"/>
                <w:szCs w:val="3"/>
                <w:color w:val="auto"/>
              </w:rPr>
            </w:pPr>
          </w:p>
        </w:tc>
      </w:tr>
      <w:tr>
        <w:trPr>
          <w:trHeight w:val="221"/>
        </w:trPr>
        <w:tc>
          <w:tcPr>
            <w:tcW w:w="3340" w:type="dxa"/>
            <w:vAlign w:val="bottom"/>
            <w:tcBorders>
              <w:left w:val="single" w:sz="8" w:color="6E06C1"/>
            </w:tcBorders>
          </w:tcPr>
          <w:p>
            <w:pPr>
              <w:ind w:left="160"/>
              <w:spacing w:after="0"/>
              <w:rPr>
                <w:sz w:val="20"/>
                <w:szCs w:val="20"/>
                <w:color w:val="auto"/>
              </w:rPr>
            </w:pPr>
            <w:r>
              <w:rPr>
                <w:rFonts w:ascii="Arial" w:cs="Arial" w:eastAsia="Arial" w:hAnsi="Arial"/>
                <w:sz w:val="16"/>
                <w:szCs w:val="16"/>
                <w:color w:val="auto"/>
              </w:rPr>
              <w:t>Consolidated Edison, Inc.</w:t>
            </w:r>
          </w:p>
        </w:tc>
        <w:tc>
          <w:tcPr>
            <w:tcW w:w="1560" w:type="dxa"/>
            <w:vAlign w:val="bottom"/>
          </w:tcPr>
          <w:p>
            <w:pPr>
              <w:jc w:val="right"/>
              <w:spacing w:after="0"/>
              <w:rPr>
                <w:sz w:val="20"/>
                <w:szCs w:val="20"/>
                <w:color w:val="auto"/>
              </w:rPr>
            </w:pPr>
            <w:r>
              <w:rPr>
                <w:rFonts w:ascii="Arial" w:cs="Arial" w:eastAsia="Arial" w:hAnsi="Arial"/>
                <w:sz w:val="16"/>
                <w:szCs w:val="16"/>
                <w:color w:val="auto"/>
              </w:rPr>
              <w:t>ED</w:t>
            </w:r>
          </w:p>
        </w:tc>
        <w:tc>
          <w:tcPr>
            <w:tcW w:w="1520" w:type="dxa"/>
            <w:vAlign w:val="bottom"/>
          </w:tcPr>
          <w:p>
            <w:pPr>
              <w:jc w:val="right"/>
              <w:spacing w:after="0"/>
              <w:rPr>
                <w:sz w:val="20"/>
                <w:szCs w:val="20"/>
                <w:color w:val="auto"/>
              </w:rPr>
            </w:pPr>
            <w:r>
              <w:rPr>
                <w:rFonts w:ascii="Arial" w:cs="Arial" w:eastAsia="Arial" w:hAnsi="Arial"/>
                <w:sz w:val="16"/>
                <w:szCs w:val="16"/>
                <w:color w:val="auto"/>
              </w:rPr>
              <w:t>$14,811</w:t>
            </w:r>
          </w:p>
        </w:tc>
        <w:tc>
          <w:tcPr>
            <w:tcW w:w="1960" w:type="dxa"/>
            <w:vAlign w:val="bottom"/>
          </w:tcPr>
          <w:p>
            <w:pPr>
              <w:jc w:val="right"/>
              <w:ind w:right="300"/>
              <w:spacing w:after="0"/>
              <w:rPr>
                <w:sz w:val="20"/>
                <w:szCs w:val="20"/>
                <w:color w:val="auto"/>
              </w:rPr>
            </w:pPr>
            <w:r>
              <w:rPr>
                <w:rFonts w:ascii="Arial" w:cs="Arial" w:eastAsia="Arial" w:hAnsi="Arial"/>
                <w:sz w:val="16"/>
                <w:szCs w:val="16"/>
                <w:color w:val="auto"/>
              </w:rPr>
              <w:t>0 %</w:t>
            </w:r>
          </w:p>
        </w:tc>
        <w:tc>
          <w:tcPr>
            <w:tcW w:w="1700" w:type="dxa"/>
            <w:vAlign w:val="bottom"/>
          </w:tcPr>
          <w:p>
            <w:pPr>
              <w:jc w:val="right"/>
              <w:ind w:right="460"/>
              <w:spacing w:after="0"/>
              <w:rPr>
                <w:sz w:val="20"/>
                <w:szCs w:val="20"/>
                <w:color w:val="auto"/>
              </w:rPr>
            </w:pPr>
            <w:r>
              <w:rPr>
                <w:rFonts w:ascii="Arial" w:cs="Arial" w:eastAsia="Arial" w:hAnsi="Arial"/>
                <w:sz w:val="16"/>
                <w:szCs w:val="16"/>
                <w:color w:val="auto"/>
              </w:rPr>
              <w:t>$34,912</w:t>
            </w:r>
          </w:p>
        </w:tc>
        <w:tc>
          <w:tcPr>
            <w:tcW w:w="1140" w:type="dxa"/>
            <w:vAlign w:val="bottom"/>
          </w:tcPr>
          <w:p>
            <w:pPr>
              <w:jc w:val="right"/>
              <w:spacing w:after="0"/>
              <w:rPr>
                <w:sz w:val="20"/>
                <w:szCs w:val="20"/>
                <w:color w:val="auto"/>
              </w:rPr>
            </w:pPr>
            <w:r>
              <w:rPr>
                <w:rFonts w:ascii="Arial" w:cs="Arial" w:eastAsia="Arial" w:hAnsi="Arial"/>
                <w:sz w:val="16"/>
                <w:szCs w:val="16"/>
                <w:color w:val="auto"/>
              </w:rPr>
              <w:t>80 %</w:t>
            </w:r>
          </w:p>
        </w:tc>
      </w:tr>
      <w:tr>
        <w:trPr>
          <w:trHeight w:val="43"/>
        </w:trPr>
        <w:tc>
          <w:tcPr>
            <w:tcW w:w="3340" w:type="dxa"/>
            <w:vAlign w:val="bottom"/>
            <w:tcBorders>
              <w:left w:val="single" w:sz="8" w:color="6E06C1"/>
              <w:bottom w:val="single" w:sz="8" w:color="6D6D6D"/>
            </w:tcBorders>
          </w:tcPr>
          <w:p>
            <w:pPr>
              <w:spacing w:after="0"/>
              <w:rPr>
                <w:sz w:val="3"/>
                <w:szCs w:val="3"/>
                <w:color w:val="auto"/>
              </w:rPr>
            </w:pPr>
          </w:p>
        </w:tc>
        <w:tc>
          <w:tcPr>
            <w:tcW w:w="1560" w:type="dxa"/>
            <w:vAlign w:val="bottom"/>
            <w:tcBorders>
              <w:bottom w:val="single" w:sz="8" w:color="6D6D6D"/>
            </w:tcBorders>
          </w:tcPr>
          <w:p>
            <w:pPr>
              <w:spacing w:after="0"/>
              <w:rPr>
                <w:sz w:val="3"/>
                <w:szCs w:val="3"/>
                <w:color w:val="auto"/>
              </w:rPr>
            </w:pPr>
          </w:p>
        </w:tc>
        <w:tc>
          <w:tcPr>
            <w:tcW w:w="1520" w:type="dxa"/>
            <w:vAlign w:val="bottom"/>
            <w:tcBorders>
              <w:bottom w:val="single" w:sz="8" w:color="6D6D6D"/>
            </w:tcBorders>
          </w:tcPr>
          <w:p>
            <w:pPr>
              <w:spacing w:after="0"/>
              <w:rPr>
                <w:sz w:val="3"/>
                <w:szCs w:val="3"/>
                <w:color w:val="auto"/>
              </w:rPr>
            </w:pPr>
          </w:p>
        </w:tc>
        <w:tc>
          <w:tcPr>
            <w:tcW w:w="1960" w:type="dxa"/>
            <w:vAlign w:val="bottom"/>
            <w:tcBorders>
              <w:bottom w:val="single" w:sz="8" w:color="6D6D6D"/>
            </w:tcBorders>
          </w:tcPr>
          <w:p>
            <w:pPr>
              <w:spacing w:after="0"/>
              <w:rPr>
                <w:sz w:val="3"/>
                <w:szCs w:val="3"/>
                <w:color w:val="auto"/>
              </w:rPr>
            </w:pPr>
          </w:p>
        </w:tc>
        <w:tc>
          <w:tcPr>
            <w:tcW w:w="1700" w:type="dxa"/>
            <w:vAlign w:val="bottom"/>
            <w:tcBorders>
              <w:bottom w:val="single" w:sz="8" w:color="6D6D6D"/>
            </w:tcBorders>
          </w:tcPr>
          <w:p>
            <w:pPr>
              <w:spacing w:after="0"/>
              <w:rPr>
                <w:sz w:val="3"/>
                <w:szCs w:val="3"/>
                <w:color w:val="auto"/>
              </w:rPr>
            </w:pPr>
          </w:p>
        </w:tc>
        <w:tc>
          <w:tcPr>
            <w:tcW w:w="1140" w:type="dxa"/>
            <w:vAlign w:val="bottom"/>
            <w:tcBorders>
              <w:bottom w:val="single" w:sz="8" w:color="6D6D6D"/>
            </w:tcBorders>
          </w:tcPr>
          <w:p>
            <w:pPr>
              <w:spacing w:after="0"/>
              <w:rPr>
                <w:sz w:val="3"/>
                <w:szCs w:val="3"/>
                <w:color w:val="auto"/>
              </w:rPr>
            </w:pPr>
          </w:p>
        </w:tc>
      </w:tr>
      <w:tr>
        <w:trPr>
          <w:trHeight w:val="221"/>
        </w:trPr>
        <w:tc>
          <w:tcPr>
            <w:tcW w:w="3340" w:type="dxa"/>
            <w:vAlign w:val="bottom"/>
            <w:tcBorders>
              <w:left w:val="single" w:sz="8" w:color="6E06C1"/>
            </w:tcBorders>
          </w:tcPr>
          <w:p>
            <w:pPr>
              <w:ind w:left="160"/>
              <w:spacing w:after="0"/>
              <w:rPr>
                <w:sz w:val="20"/>
                <w:szCs w:val="20"/>
                <w:color w:val="auto"/>
              </w:rPr>
            </w:pPr>
            <w:r>
              <w:rPr>
                <w:rFonts w:ascii="Arial" w:cs="Arial" w:eastAsia="Arial" w:hAnsi="Arial"/>
                <w:sz w:val="16"/>
                <w:szCs w:val="16"/>
                <w:color w:val="auto"/>
              </w:rPr>
              <w:t>Dominion Energy, Inc.</w:t>
            </w:r>
          </w:p>
        </w:tc>
        <w:tc>
          <w:tcPr>
            <w:tcW w:w="1560" w:type="dxa"/>
            <w:vAlign w:val="bottom"/>
          </w:tcPr>
          <w:p>
            <w:pPr>
              <w:jc w:val="right"/>
              <w:spacing w:after="0"/>
              <w:rPr>
                <w:sz w:val="20"/>
                <w:szCs w:val="20"/>
                <w:color w:val="auto"/>
              </w:rPr>
            </w:pPr>
            <w:r>
              <w:rPr>
                <w:rFonts w:ascii="Arial" w:cs="Arial" w:eastAsia="Arial" w:hAnsi="Arial"/>
                <w:sz w:val="16"/>
                <w:szCs w:val="16"/>
                <w:color w:val="auto"/>
              </w:rPr>
              <w:t>D</w:t>
            </w:r>
          </w:p>
        </w:tc>
        <w:tc>
          <w:tcPr>
            <w:tcW w:w="1520" w:type="dxa"/>
            <w:vAlign w:val="bottom"/>
          </w:tcPr>
          <w:p>
            <w:pPr>
              <w:jc w:val="right"/>
              <w:spacing w:after="0"/>
              <w:rPr>
                <w:sz w:val="20"/>
                <w:szCs w:val="20"/>
                <w:color w:val="auto"/>
              </w:rPr>
            </w:pPr>
            <w:r>
              <w:rPr>
                <w:rFonts w:ascii="Arial" w:cs="Arial" w:eastAsia="Arial" w:hAnsi="Arial"/>
                <w:sz w:val="16"/>
                <w:szCs w:val="16"/>
                <w:color w:val="auto"/>
              </w:rPr>
              <w:t>$14,462</w:t>
            </w:r>
          </w:p>
        </w:tc>
        <w:tc>
          <w:tcPr>
            <w:tcW w:w="1960" w:type="dxa"/>
            <w:vAlign w:val="bottom"/>
          </w:tcPr>
          <w:p>
            <w:pPr>
              <w:jc w:val="right"/>
              <w:ind w:right="300"/>
              <w:spacing w:after="0"/>
              <w:rPr>
                <w:sz w:val="20"/>
                <w:szCs w:val="20"/>
                <w:color w:val="auto"/>
              </w:rPr>
            </w:pPr>
            <w:r>
              <w:rPr>
                <w:rFonts w:ascii="Arial" w:cs="Arial" w:eastAsia="Arial" w:hAnsi="Arial"/>
                <w:sz w:val="16"/>
                <w:szCs w:val="16"/>
                <w:color w:val="auto"/>
              </w:rPr>
              <w:t>0 %</w:t>
            </w:r>
          </w:p>
        </w:tc>
        <w:tc>
          <w:tcPr>
            <w:tcW w:w="1700" w:type="dxa"/>
            <w:vAlign w:val="bottom"/>
          </w:tcPr>
          <w:p>
            <w:pPr>
              <w:jc w:val="right"/>
              <w:ind w:right="460"/>
              <w:spacing w:after="0"/>
              <w:rPr>
                <w:sz w:val="20"/>
                <w:szCs w:val="20"/>
                <w:color w:val="auto"/>
              </w:rPr>
            </w:pPr>
            <w:r>
              <w:rPr>
                <w:rFonts w:ascii="Arial" w:cs="Arial" w:eastAsia="Arial" w:hAnsi="Arial"/>
                <w:sz w:val="16"/>
                <w:szCs w:val="16"/>
                <w:color w:val="auto"/>
              </w:rPr>
              <w:t>$46,569</w:t>
            </w:r>
          </w:p>
        </w:tc>
        <w:tc>
          <w:tcPr>
            <w:tcW w:w="1140" w:type="dxa"/>
            <w:vAlign w:val="bottom"/>
          </w:tcPr>
          <w:p>
            <w:pPr>
              <w:jc w:val="right"/>
              <w:spacing w:after="0"/>
              <w:rPr>
                <w:sz w:val="20"/>
                <w:szCs w:val="20"/>
                <w:color w:val="auto"/>
              </w:rPr>
            </w:pPr>
            <w:r>
              <w:rPr>
                <w:rFonts w:ascii="Arial" w:cs="Arial" w:eastAsia="Arial" w:hAnsi="Arial"/>
                <w:sz w:val="16"/>
                <w:szCs w:val="16"/>
                <w:color w:val="auto"/>
              </w:rPr>
              <w:t>65 %</w:t>
            </w:r>
          </w:p>
        </w:tc>
      </w:tr>
      <w:tr>
        <w:trPr>
          <w:trHeight w:val="43"/>
        </w:trPr>
        <w:tc>
          <w:tcPr>
            <w:tcW w:w="3340" w:type="dxa"/>
            <w:vAlign w:val="bottom"/>
            <w:tcBorders>
              <w:left w:val="single" w:sz="8" w:color="6E06C1"/>
              <w:bottom w:val="single" w:sz="8" w:color="6D6D6D"/>
            </w:tcBorders>
          </w:tcPr>
          <w:p>
            <w:pPr>
              <w:spacing w:after="0"/>
              <w:rPr>
                <w:sz w:val="3"/>
                <w:szCs w:val="3"/>
                <w:color w:val="auto"/>
              </w:rPr>
            </w:pPr>
          </w:p>
        </w:tc>
        <w:tc>
          <w:tcPr>
            <w:tcW w:w="1560" w:type="dxa"/>
            <w:vAlign w:val="bottom"/>
            <w:tcBorders>
              <w:bottom w:val="single" w:sz="8" w:color="6D6D6D"/>
            </w:tcBorders>
          </w:tcPr>
          <w:p>
            <w:pPr>
              <w:spacing w:after="0"/>
              <w:rPr>
                <w:sz w:val="3"/>
                <w:szCs w:val="3"/>
                <w:color w:val="auto"/>
              </w:rPr>
            </w:pPr>
          </w:p>
        </w:tc>
        <w:tc>
          <w:tcPr>
            <w:tcW w:w="1520" w:type="dxa"/>
            <w:vAlign w:val="bottom"/>
            <w:tcBorders>
              <w:bottom w:val="single" w:sz="8" w:color="6D6D6D"/>
            </w:tcBorders>
          </w:tcPr>
          <w:p>
            <w:pPr>
              <w:spacing w:after="0"/>
              <w:rPr>
                <w:sz w:val="3"/>
                <w:szCs w:val="3"/>
                <w:color w:val="auto"/>
              </w:rPr>
            </w:pPr>
          </w:p>
        </w:tc>
        <w:tc>
          <w:tcPr>
            <w:tcW w:w="1960" w:type="dxa"/>
            <w:vAlign w:val="bottom"/>
            <w:tcBorders>
              <w:bottom w:val="single" w:sz="8" w:color="6D6D6D"/>
            </w:tcBorders>
          </w:tcPr>
          <w:p>
            <w:pPr>
              <w:spacing w:after="0"/>
              <w:rPr>
                <w:sz w:val="3"/>
                <w:szCs w:val="3"/>
                <w:color w:val="auto"/>
              </w:rPr>
            </w:pPr>
          </w:p>
        </w:tc>
        <w:tc>
          <w:tcPr>
            <w:tcW w:w="1700" w:type="dxa"/>
            <w:vAlign w:val="bottom"/>
            <w:tcBorders>
              <w:bottom w:val="single" w:sz="8" w:color="6D6D6D"/>
            </w:tcBorders>
          </w:tcPr>
          <w:p>
            <w:pPr>
              <w:spacing w:after="0"/>
              <w:rPr>
                <w:sz w:val="3"/>
                <w:szCs w:val="3"/>
                <w:color w:val="auto"/>
              </w:rPr>
            </w:pPr>
          </w:p>
        </w:tc>
        <w:tc>
          <w:tcPr>
            <w:tcW w:w="1140" w:type="dxa"/>
            <w:vAlign w:val="bottom"/>
            <w:tcBorders>
              <w:bottom w:val="single" w:sz="8" w:color="6D6D6D"/>
            </w:tcBorders>
          </w:tcPr>
          <w:p>
            <w:pPr>
              <w:spacing w:after="0"/>
              <w:rPr>
                <w:sz w:val="3"/>
                <w:szCs w:val="3"/>
                <w:color w:val="auto"/>
              </w:rPr>
            </w:pPr>
          </w:p>
        </w:tc>
      </w:tr>
      <w:tr>
        <w:trPr>
          <w:trHeight w:val="221"/>
        </w:trPr>
        <w:tc>
          <w:tcPr>
            <w:tcW w:w="3340" w:type="dxa"/>
            <w:vAlign w:val="bottom"/>
            <w:tcBorders>
              <w:left w:val="single" w:sz="8" w:color="6E06C1"/>
            </w:tcBorders>
          </w:tcPr>
          <w:p>
            <w:pPr>
              <w:ind w:left="160"/>
              <w:spacing w:after="0"/>
              <w:rPr>
                <w:sz w:val="20"/>
                <w:szCs w:val="20"/>
                <w:color w:val="auto"/>
              </w:rPr>
            </w:pPr>
            <w:r>
              <w:rPr>
                <w:rFonts w:ascii="Arial" w:cs="Arial" w:eastAsia="Arial" w:hAnsi="Arial"/>
                <w:sz w:val="16"/>
                <w:szCs w:val="16"/>
                <w:color w:val="auto"/>
              </w:rPr>
              <w:t>Duke Energy Corp.</w:t>
            </w:r>
          </w:p>
        </w:tc>
        <w:tc>
          <w:tcPr>
            <w:tcW w:w="1560" w:type="dxa"/>
            <w:vAlign w:val="bottom"/>
          </w:tcPr>
          <w:p>
            <w:pPr>
              <w:jc w:val="right"/>
              <w:spacing w:after="0"/>
              <w:rPr>
                <w:sz w:val="20"/>
                <w:szCs w:val="20"/>
                <w:color w:val="auto"/>
              </w:rPr>
            </w:pPr>
            <w:r>
              <w:rPr>
                <w:rFonts w:ascii="Arial" w:cs="Arial" w:eastAsia="Arial" w:hAnsi="Arial"/>
                <w:sz w:val="16"/>
                <w:szCs w:val="16"/>
                <w:color w:val="auto"/>
              </w:rPr>
              <w:t>DUK</w:t>
            </w:r>
          </w:p>
        </w:tc>
        <w:tc>
          <w:tcPr>
            <w:tcW w:w="1520" w:type="dxa"/>
            <w:vAlign w:val="bottom"/>
          </w:tcPr>
          <w:p>
            <w:pPr>
              <w:jc w:val="right"/>
              <w:spacing w:after="0"/>
              <w:rPr>
                <w:sz w:val="20"/>
                <w:szCs w:val="20"/>
                <w:color w:val="auto"/>
              </w:rPr>
            </w:pPr>
            <w:r>
              <w:rPr>
                <w:rFonts w:ascii="Arial" w:cs="Arial" w:eastAsia="Arial" w:hAnsi="Arial"/>
                <w:sz w:val="16"/>
                <w:szCs w:val="16"/>
                <w:color w:val="auto"/>
              </w:rPr>
              <w:t>$29,591</w:t>
            </w:r>
          </w:p>
        </w:tc>
        <w:tc>
          <w:tcPr>
            <w:tcW w:w="1960" w:type="dxa"/>
            <w:vAlign w:val="bottom"/>
          </w:tcPr>
          <w:p>
            <w:pPr>
              <w:jc w:val="right"/>
              <w:ind w:right="300"/>
              <w:spacing w:after="0"/>
              <w:rPr>
                <w:sz w:val="20"/>
                <w:szCs w:val="20"/>
                <w:color w:val="auto"/>
              </w:rPr>
            </w:pPr>
            <w:r>
              <w:rPr>
                <w:rFonts w:ascii="Arial" w:cs="Arial" w:eastAsia="Arial" w:hAnsi="Arial"/>
                <w:sz w:val="16"/>
                <w:szCs w:val="16"/>
                <w:color w:val="auto"/>
              </w:rPr>
              <w:t>0 %</w:t>
            </w:r>
          </w:p>
        </w:tc>
        <w:tc>
          <w:tcPr>
            <w:tcW w:w="1700" w:type="dxa"/>
            <w:vAlign w:val="bottom"/>
          </w:tcPr>
          <w:p>
            <w:pPr>
              <w:jc w:val="right"/>
              <w:ind w:right="460"/>
              <w:spacing w:after="0"/>
              <w:rPr>
                <w:sz w:val="20"/>
                <w:szCs w:val="20"/>
                <w:color w:val="auto"/>
              </w:rPr>
            </w:pPr>
            <w:r>
              <w:rPr>
                <w:rFonts w:ascii="Arial" w:cs="Arial" w:eastAsia="Arial" w:hAnsi="Arial"/>
                <w:sz w:val="16"/>
                <w:szCs w:val="16"/>
                <w:color w:val="auto"/>
              </w:rPr>
              <w:t>$87,614</w:t>
            </w:r>
          </w:p>
        </w:tc>
        <w:tc>
          <w:tcPr>
            <w:tcW w:w="1140" w:type="dxa"/>
            <w:vAlign w:val="bottom"/>
          </w:tcPr>
          <w:p>
            <w:pPr>
              <w:jc w:val="right"/>
              <w:spacing w:after="0"/>
              <w:rPr>
                <w:sz w:val="20"/>
                <w:szCs w:val="20"/>
                <w:color w:val="auto"/>
              </w:rPr>
            </w:pPr>
            <w:r>
              <w:rPr>
                <w:rFonts w:ascii="Arial" w:cs="Arial" w:eastAsia="Arial" w:hAnsi="Arial"/>
                <w:sz w:val="16"/>
                <w:szCs w:val="16"/>
                <w:color w:val="auto"/>
              </w:rPr>
              <w:t>80 %</w:t>
            </w:r>
          </w:p>
        </w:tc>
      </w:tr>
      <w:tr>
        <w:trPr>
          <w:trHeight w:val="43"/>
        </w:trPr>
        <w:tc>
          <w:tcPr>
            <w:tcW w:w="3340" w:type="dxa"/>
            <w:vAlign w:val="bottom"/>
            <w:tcBorders>
              <w:left w:val="single" w:sz="8" w:color="6E06C1"/>
              <w:bottom w:val="single" w:sz="8" w:color="6D6D6D"/>
            </w:tcBorders>
          </w:tcPr>
          <w:p>
            <w:pPr>
              <w:spacing w:after="0"/>
              <w:rPr>
                <w:sz w:val="3"/>
                <w:szCs w:val="3"/>
                <w:color w:val="auto"/>
              </w:rPr>
            </w:pPr>
          </w:p>
        </w:tc>
        <w:tc>
          <w:tcPr>
            <w:tcW w:w="1560" w:type="dxa"/>
            <w:vAlign w:val="bottom"/>
            <w:tcBorders>
              <w:bottom w:val="single" w:sz="8" w:color="6D6D6D"/>
            </w:tcBorders>
          </w:tcPr>
          <w:p>
            <w:pPr>
              <w:spacing w:after="0"/>
              <w:rPr>
                <w:sz w:val="3"/>
                <w:szCs w:val="3"/>
                <w:color w:val="auto"/>
              </w:rPr>
            </w:pPr>
          </w:p>
        </w:tc>
        <w:tc>
          <w:tcPr>
            <w:tcW w:w="1520" w:type="dxa"/>
            <w:vAlign w:val="bottom"/>
            <w:tcBorders>
              <w:bottom w:val="single" w:sz="8" w:color="6D6D6D"/>
            </w:tcBorders>
          </w:tcPr>
          <w:p>
            <w:pPr>
              <w:spacing w:after="0"/>
              <w:rPr>
                <w:sz w:val="3"/>
                <w:szCs w:val="3"/>
                <w:color w:val="auto"/>
              </w:rPr>
            </w:pPr>
          </w:p>
        </w:tc>
        <w:tc>
          <w:tcPr>
            <w:tcW w:w="1960" w:type="dxa"/>
            <w:vAlign w:val="bottom"/>
            <w:tcBorders>
              <w:bottom w:val="single" w:sz="8" w:color="6D6D6D"/>
            </w:tcBorders>
          </w:tcPr>
          <w:p>
            <w:pPr>
              <w:spacing w:after="0"/>
              <w:rPr>
                <w:sz w:val="3"/>
                <w:szCs w:val="3"/>
                <w:color w:val="auto"/>
              </w:rPr>
            </w:pPr>
          </w:p>
        </w:tc>
        <w:tc>
          <w:tcPr>
            <w:tcW w:w="1700" w:type="dxa"/>
            <w:vAlign w:val="bottom"/>
            <w:tcBorders>
              <w:bottom w:val="single" w:sz="8" w:color="6D6D6D"/>
            </w:tcBorders>
          </w:tcPr>
          <w:p>
            <w:pPr>
              <w:spacing w:after="0"/>
              <w:rPr>
                <w:sz w:val="3"/>
                <w:szCs w:val="3"/>
                <w:color w:val="auto"/>
              </w:rPr>
            </w:pPr>
          </w:p>
        </w:tc>
        <w:tc>
          <w:tcPr>
            <w:tcW w:w="1140" w:type="dxa"/>
            <w:vAlign w:val="bottom"/>
            <w:tcBorders>
              <w:bottom w:val="single" w:sz="8" w:color="6D6D6D"/>
            </w:tcBorders>
          </w:tcPr>
          <w:p>
            <w:pPr>
              <w:spacing w:after="0"/>
              <w:rPr>
                <w:sz w:val="3"/>
                <w:szCs w:val="3"/>
                <w:color w:val="auto"/>
              </w:rPr>
            </w:pPr>
          </w:p>
        </w:tc>
      </w:tr>
      <w:tr>
        <w:trPr>
          <w:trHeight w:val="221"/>
        </w:trPr>
        <w:tc>
          <w:tcPr>
            <w:tcW w:w="3340" w:type="dxa"/>
            <w:vAlign w:val="bottom"/>
            <w:tcBorders>
              <w:left w:val="single" w:sz="8" w:color="6E06C1"/>
            </w:tcBorders>
          </w:tcPr>
          <w:p>
            <w:pPr>
              <w:ind w:left="160"/>
              <w:spacing w:after="0"/>
              <w:rPr>
                <w:sz w:val="20"/>
                <w:szCs w:val="20"/>
                <w:color w:val="auto"/>
              </w:rPr>
            </w:pPr>
            <w:r>
              <w:rPr>
                <w:rFonts w:ascii="Arial" w:cs="Arial" w:eastAsia="Arial" w:hAnsi="Arial"/>
                <w:sz w:val="16"/>
                <w:szCs w:val="16"/>
                <w:color w:val="auto"/>
              </w:rPr>
              <w:t>Edison International</w:t>
            </w:r>
          </w:p>
        </w:tc>
        <w:tc>
          <w:tcPr>
            <w:tcW w:w="1560" w:type="dxa"/>
            <w:vAlign w:val="bottom"/>
          </w:tcPr>
          <w:p>
            <w:pPr>
              <w:jc w:val="right"/>
              <w:spacing w:after="0"/>
              <w:rPr>
                <w:sz w:val="20"/>
                <w:szCs w:val="20"/>
                <w:color w:val="auto"/>
              </w:rPr>
            </w:pPr>
            <w:r>
              <w:rPr>
                <w:rFonts w:ascii="Arial" w:cs="Arial" w:eastAsia="Arial" w:hAnsi="Arial"/>
                <w:sz w:val="16"/>
                <w:szCs w:val="16"/>
                <w:color w:val="auto"/>
              </w:rPr>
              <w:t>EIX</w:t>
            </w:r>
          </w:p>
        </w:tc>
        <w:tc>
          <w:tcPr>
            <w:tcW w:w="1520" w:type="dxa"/>
            <w:vAlign w:val="bottom"/>
          </w:tcPr>
          <w:p>
            <w:pPr>
              <w:jc w:val="right"/>
              <w:spacing w:after="0"/>
              <w:rPr>
                <w:sz w:val="20"/>
                <w:szCs w:val="20"/>
                <w:color w:val="auto"/>
              </w:rPr>
            </w:pPr>
            <w:r>
              <w:rPr>
                <w:rFonts w:ascii="Arial" w:cs="Arial" w:eastAsia="Arial" w:hAnsi="Arial"/>
                <w:sz w:val="16"/>
                <w:szCs w:val="16"/>
                <w:color w:val="auto"/>
              </w:rPr>
              <w:t>$16,822</w:t>
            </w:r>
          </w:p>
        </w:tc>
        <w:tc>
          <w:tcPr>
            <w:tcW w:w="1960" w:type="dxa"/>
            <w:vAlign w:val="bottom"/>
          </w:tcPr>
          <w:p>
            <w:pPr>
              <w:jc w:val="right"/>
              <w:ind w:right="300"/>
              <w:spacing w:after="0"/>
              <w:rPr>
                <w:sz w:val="20"/>
                <w:szCs w:val="20"/>
                <w:color w:val="auto"/>
              </w:rPr>
            </w:pPr>
            <w:r>
              <w:rPr>
                <w:rFonts w:ascii="Arial" w:cs="Arial" w:eastAsia="Arial" w:hAnsi="Arial"/>
                <w:sz w:val="16"/>
                <w:szCs w:val="16"/>
                <w:color w:val="auto"/>
              </w:rPr>
              <w:t>0 %</w:t>
            </w:r>
          </w:p>
        </w:tc>
        <w:tc>
          <w:tcPr>
            <w:tcW w:w="1700" w:type="dxa"/>
            <w:vAlign w:val="bottom"/>
          </w:tcPr>
          <w:p>
            <w:pPr>
              <w:jc w:val="right"/>
              <w:ind w:right="460"/>
              <w:spacing w:after="0"/>
              <w:rPr>
                <w:sz w:val="20"/>
                <w:szCs w:val="20"/>
                <w:color w:val="auto"/>
              </w:rPr>
            </w:pPr>
            <w:r>
              <w:rPr>
                <w:rFonts w:ascii="Arial" w:cs="Arial" w:eastAsia="Arial" w:hAnsi="Arial"/>
                <w:sz w:val="16"/>
                <w:szCs w:val="16"/>
                <w:color w:val="auto"/>
              </w:rPr>
              <w:t>$32,107</w:t>
            </w:r>
          </w:p>
        </w:tc>
        <w:tc>
          <w:tcPr>
            <w:tcW w:w="1140" w:type="dxa"/>
            <w:vAlign w:val="bottom"/>
          </w:tcPr>
          <w:p>
            <w:pPr>
              <w:jc w:val="right"/>
              <w:spacing w:after="0"/>
              <w:rPr>
                <w:sz w:val="20"/>
                <w:szCs w:val="20"/>
                <w:color w:val="auto"/>
              </w:rPr>
            </w:pPr>
            <w:r>
              <w:rPr>
                <w:rFonts w:ascii="Arial" w:cs="Arial" w:eastAsia="Arial" w:hAnsi="Arial"/>
                <w:sz w:val="16"/>
                <w:szCs w:val="16"/>
                <w:color w:val="auto"/>
              </w:rPr>
              <w:t>74 %</w:t>
            </w:r>
          </w:p>
        </w:tc>
      </w:tr>
      <w:tr>
        <w:trPr>
          <w:trHeight w:val="43"/>
        </w:trPr>
        <w:tc>
          <w:tcPr>
            <w:tcW w:w="3340" w:type="dxa"/>
            <w:vAlign w:val="bottom"/>
            <w:tcBorders>
              <w:left w:val="single" w:sz="8" w:color="6E06C1"/>
              <w:bottom w:val="single" w:sz="8" w:color="6D6D6D"/>
            </w:tcBorders>
          </w:tcPr>
          <w:p>
            <w:pPr>
              <w:spacing w:after="0"/>
              <w:rPr>
                <w:sz w:val="3"/>
                <w:szCs w:val="3"/>
                <w:color w:val="auto"/>
              </w:rPr>
            </w:pPr>
          </w:p>
        </w:tc>
        <w:tc>
          <w:tcPr>
            <w:tcW w:w="1560" w:type="dxa"/>
            <w:vAlign w:val="bottom"/>
            <w:tcBorders>
              <w:bottom w:val="single" w:sz="8" w:color="6D6D6D"/>
            </w:tcBorders>
          </w:tcPr>
          <w:p>
            <w:pPr>
              <w:spacing w:after="0"/>
              <w:rPr>
                <w:sz w:val="3"/>
                <w:szCs w:val="3"/>
                <w:color w:val="auto"/>
              </w:rPr>
            </w:pPr>
          </w:p>
        </w:tc>
        <w:tc>
          <w:tcPr>
            <w:tcW w:w="1520" w:type="dxa"/>
            <w:vAlign w:val="bottom"/>
            <w:tcBorders>
              <w:bottom w:val="single" w:sz="8" w:color="6D6D6D"/>
            </w:tcBorders>
          </w:tcPr>
          <w:p>
            <w:pPr>
              <w:spacing w:after="0"/>
              <w:rPr>
                <w:sz w:val="3"/>
                <w:szCs w:val="3"/>
                <w:color w:val="auto"/>
              </w:rPr>
            </w:pPr>
          </w:p>
        </w:tc>
        <w:tc>
          <w:tcPr>
            <w:tcW w:w="1960" w:type="dxa"/>
            <w:vAlign w:val="bottom"/>
            <w:tcBorders>
              <w:bottom w:val="single" w:sz="8" w:color="6D6D6D"/>
            </w:tcBorders>
          </w:tcPr>
          <w:p>
            <w:pPr>
              <w:spacing w:after="0"/>
              <w:rPr>
                <w:sz w:val="3"/>
                <w:szCs w:val="3"/>
                <w:color w:val="auto"/>
              </w:rPr>
            </w:pPr>
          </w:p>
        </w:tc>
        <w:tc>
          <w:tcPr>
            <w:tcW w:w="1700" w:type="dxa"/>
            <w:vAlign w:val="bottom"/>
            <w:tcBorders>
              <w:bottom w:val="single" w:sz="8" w:color="6D6D6D"/>
            </w:tcBorders>
          </w:tcPr>
          <w:p>
            <w:pPr>
              <w:spacing w:after="0"/>
              <w:rPr>
                <w:sz w:val="3"/>
                <w:szCs w:val="3"/>
                <w:color w:val="auto"/>
              </w:rPr>
            </w:pPr>
          </w:p>
        </w:tc>
        <w:tc>
          <w:tcPr>
            <w:tcW w:w="1140" w:type="dxa"/>
            <w:vAlign w:val="bottom"/>
            <w:tcBorders>
              <w:bottom w:val="single" w:sz="8" w:color="6D6D6D"/>
            </w:tcBorders>
          </w:tcPr>
          <w:p>
            <w:pPr>
              <w:spacing w:after="0"/>
              <w:rPr>
                <w:sz w:val="3"/>
                <w:szCs w:val="3"/>
                <w:color w:val="auto"/>
              </w:rPr>
            </w:pPr>
          </w:p>
        </w:tc>
      </w:tr>
      <w:tr>
        <w:trPr>
          <w:trHeight w:val="221"/>
        </w:trPr>
        <w:tc>
          <w:tcPr>
            <w:tcW w:w="3340" w:type="dxa"/>
            <w:vAlign w:val="bottom"/>
            <w:tcBorders>
              <w:left w:val="single" w:sz="8" w:color="6E06C1"/>
            </w:tcBorders>
          </w:tcPr>
          <w:p>
            <w:pPr>
              <w:ind w:left="160"/>
              <w:spacing w:after="0"/>
              <w:rPr>
                <w:sz w:val="20"/>
                <w:szCs w:val="20"/>
                <w:color w:val="auto"/>
              </w:rPr>
            </w:pPr>
            <w:r>
              <w:rPr>
                <w:rFonts w:ascii="Arial" w:cs="Arial" w:eastAsia="Arial" w:hAnsi="Arial"/>
                <w:sz w:val="16"/>
                <w:szCs w:val="16"/>
                <w:color w:val="auto"/>
              </w:rPr>
              <w:t>Entergy Corp.</w:t>
            </w:r>
          </w:p>
        </w:tc>
        <w:tc>
          <w:tcPr>
            <w:tcW w:w="1560" w:type="dxa"/>
            <w:vAlign w:val="bottom"/>
          </w:tcPr>
          <w:p>
            <w:pPr>
              <w:jc w:val="right"/>
              <w:spacing w:after="0"/>
              <w:rPr>
                <w:sz w:val="20"/>
                <w:szCs w:val="20"/>
                <w:color w:val="auto"/>
              </w:rPr>
            </w:pPr>
            <w:r>
              <w:rPr>
                <w:rFonts w:ascii="Arial" w:cs="Arial" w:eastAsia="Arial" w:hAnsi="Arial"/>
                <w:sz w:val="16"/>
                <w:szCs w:val="16"/>
                <w:color w:val="auto"/>
              </w:rPr>
              <w:t>ETR</w:t>
            </w:r>
          </w:p>
        </w:tc>
        <w:tc>
          <w:tcPr>
            <w:tcW w:w="1520" w:type="dxa"/>
            <w:vAlign w:val="bottom"/>
          </w:tcPr>
          <w:p>
            <w:pPr>
              <w:jc w:val="right"/>
              <w:spacing w:after="0"/>
              <w:rPr>
                <w:sz w:val="20"/>
                <w:szCs w:val="20"/>
                <w:color w:val="auto"/>
              </w:rPr>
            </w:pPr>
            <w:r>
              <w:rPr>
                <w:rFonts w:ascii="Arial" w:cs="Arial" w:eastAsia="Arial" w:hAnsi="Arial"/>
                <w:sz w:val="16"/>
                <w:szCs w:val="16"/>
                <w:color w:val="auto"/>
              </w:rPr>
              <w:t>$12,069</w:t>
            </w:r>
          </w:p>
        </w:tc>
        <w:tc>
          <w:tcPr>
            <w:tcW w:w="1960" w:type="dxa"/>
            <w:vAlign w:val="bottom"/>
          </w:tcPr>
          <w:p>
            <w:pPr>
              <w:jc w:val="right"/>
              <w:ind w:right="300"/>
              <w:spacing w:after="0"/>
              <w:rPr>
                <w:sz w:val="20"/>
                <w:szCs w:val="20"/>
                <w:color w:val="auto"/>
              </w:rPr>
            </w:pPr>
            <w:r>
              <w:rPr>
                <w:rFonts w:ascii="Arial" w:cs="Arial" w:eastAsia="Arial" w:hAnsi="Arial"/>
                <w:sz w:val="16"/>
                <w:szCs w:val="16"/>
                <w:color w:val="auto"/>
              </w:rPr>
              <w:t>0 %</w:t>
            </w:r>
          </w:p>
        </w:tc>
        <w:tc>
          <w:tcPr>
            <w:tcW w:w="1700" w:type="dxa"/>
            <w:vAlign w:val="bottom"/>
          </w:tcPr>
          <w:p>
            <w:pPr>
              <w:jc w:val="right"/>
              <w:ind w:right="460"/>
              <w:spacing w:after="0"/>
              <w:rPr>
                <w:sz w:val="20"/>
                <w:szCs w:val="20"/>
                <w:color w:val="auto"/>
              </w:rPr>
            </w:pPr>
            <w:r>
              <w:rPr>
                <w:rFonts w:ascii="Arial" w:cs="Arial" w:eastAsia="Arial" w:hAnsi="Arial"/>
                <w:sz w:val="16"/>
                <w:szCs w:val="16"/>
                <w:color w:val="auto"/>
              </w:rPr>
              <w:t>$25,230</w:t>
            </w:r>
          </w:p>
        </w:tc>
        <w:tc>
          <w:tcPr>
            <w:tcW w:w="1140" w:type="dxa"/>
            <w:vAlign w:val="bottom"/>
          </w:tcPr>
          <w:p>
            <w:pPr>
              <w:jc w:val="right"/>
              <w:spacing w:after="0"/>
              <w:rPr>
                <w:sz w:val="20"/>
                <w:szCs w:val="20"/>
                <w:color w:val="auto"/>
              </w:rPr>
            </w:pPr>
            <w:r>
              <w:rPr>
                <w:rFonts w:ascii="Arial" w:cs="Arial" w:eastAsia="Arial" w:hAnsi="Arial"/>
                <w:sz w:val="16"/>
                <w:szCs w:val="16"/>
                <w:color w:val="auto"/>
              </w:rPr>
              <w:t>82 %</w:t>
            </w:r>
          </w:p>
        </w:tc>
      </w:tr>
      <w:tr>
        <w:trPr>
          <w:trHeight w:val="43"/>
        </w:trPr>
        <w:tc>
          <w:tcPr>
            <w:tcW w:w="3340" w:type="dxa"/>
            <w:vAlign w:val="bottom"/>
            <w:tcBorders>
              <w:left w:val="single" w:sz="8" w:color="6E06C1"/>
              <w:bottom w:val="single" w:sz="8" w:color="6D6D6D"/>
            </w:tcBorders>
          </w:tcPr>
          <w:p>
            <w:pPr>
              <w:spacing w:after="0"/>
              <w:rPr>
                <w:sz w:val="3"/>
                <w:szCs w:val="3"/>
                <w:color w:val="auto"/>
              </w:rPr>
            </w:pPr>
          </w:p>
        </w:tc>
        <w:tc>
          <w:tcPr>
            <w:tcW w:w="1560" w:type="dxa"/>
            <w:vAlign w:val="bottom"/>
            <w:tcBorders>
              <w:bottom w:val="single" w:sz="8" w:color="6D6D6D"/>
            </w:tcBorders>
          </w:tcPr>
          <w:p>
            <w:pPr>
              <w:spacing w:after="0"/>
              <w:rPr>
                <w:sz w:val="3"/>
                <w:szCs w:val="3"/>
                <w:color w:val="auto"/>
              </w:rPr>
            </w:pPr>
          </w:p>
        </w:tc>
        <w:tc>
          <w:tcPr>
            <w:tcW w:w="1520" w:type="dxa"/>
            <w:vAlign w:val="bottom"/>
            <w:tcBorders>
              <w:bottom w:val="single" w:sz="8" w:color="6D6D6D"/>
            </w:tcBorders>
          </w:tcPr>
          <w:p>
            <w:pPr>
              <w:spacing w:after="0"/>
              <w:rPr>
                <w:sz w:val="3"/>
                <w:szCs w:val="3"/>
                <w:color w:val="auto"/>
              </w:rPr>
            </w:pPr>
          </w:p>
        </w:tc>
        <w:tc>
          <w:tcPr>
            <w:tcW w:w="1960" w:type="dxa"/>
            <w:vAlign w:val="bottom"/>
            <w:tcBorders>
              <w:bottom w:val="single" w:sz="8" w:color="6D6D6D"/>
            </w:tcBorders>
          </w:tcPr>
          <w:p>
            <w:pPr>
              <w:spacing w:after="0"/>
              <w:rPr>
                <w:sz w:val="3"/>
                <w:szCs w:val="3"/>
                <w:color w:val="auto"/>
              </w:rPr>
            </w:pPr>
          </w:p>
        </w:tc>
        <w:tc>
          <w:tcPr>
            <w:tcW w:w="1700" w:type="dxa"/>
            <w:vAlign w:val="bottom"/>
            <w:tcBorders>
              <w:bottom w:val="single" w:sz="8" w:color="6D6D6D"/>
            </w:tcBorders>
          </w:tcPr>
          <w:p>
            <w:pPr>
              <w:spacing w:after="0"/>
              <w:rPr>
                <w:sz w:val="3"/>
                <w:szCs w:val="3"/>
                <w:color w:val="auto"/>
              </w:rPr>
            </w:pPr>
          </w:p>
        </w:tc>
        <w:tc>
          <w:tcPr>
            <w:tcW w:w="1140" w:type="dxa"/>
            <w:vAlign w:val="bottom"/>
            <w:tcBorders>
              <w:bottom w:val="single" w:sz="8" w:color="6D6D6D"/>
            </w:tcBorders>
          </w:tcPr>
          <w:p>
            <w:pPr>
              <w:spacing w:after="0"/>
              <w:rPr>
                <w:sz w:val="3"/>
                <w:szCs w:val="3"/>
                <w:color w:val="auto"/>
              </w:rPr>
            </w:pPr>
          </w:p>
        </w:tc>
      </w:tr>
      <w:tr>
        <w:trPr>
          <w:trHeight w:val="221"/>
        </w:trPr>
        <w:tc>
          <w:tcPr>
            <w:tcW w:w="3340" w:type="dxa"/>
            <w:vAlign w:val="bottom"/>
            <w:tcBorders>
              <w:left w:val="single" w:sz="8" w:color="6E06C1"/>
            </w:tcBorders>
          </w:tcPr>
          <w:p>
            <w:pPr>
              <w:ind w:left="160"/>
              <w:spacing w:after="0"/>
              <w:rPr>
                <w:sz w:val="20"/>
                <w:szCs w:val="20"/>
                <w:color w:val="auto"/>
              </w:rPr>
            </w:pPr>
            <w:r>
              <w:rPr>
                <w:rFonts w:ascii="Arial" w:cs="Arial" w:eastAsia="Arial" w:hAnsi="Arial"/>
                <w:sz w:val="16"/>
                <w:szCs w:val="16"/>
                <w:color w:val="auto"/>
              </w:rPr>
              <w:t>Eversource Energy</w:t>
            </w:r>
          </w:p>
        </w:tc>
        <w:tc>
          <w:tcPr>
            <w:tcW w:w="1560" w:type="dxa"/>
            <w:vAlign w:val="bottom"/>
          </w:tcPr>
          <w:p>
            <w:pPr>
              <w:jc w:val="right"/>
              <w:spacing w:after="0"/>
              <w:rPr>
                <w:sz w:val="20"/>
                <w:szCs w:val="20"/>
                <w:color w:val="auto"/>
              </w:rPr>
            </w:pPr>
            <w:r>
              <w:rPr>
                <w:rFonts w:ascii="Arial" w:cs="Arial" w:eastAsia="Arial" w:hAnsi="Arial"/>
                <w:sz w:val="16"/>
                <w:szCs w:val="16"/>
                <w:color w:val="auto"/>
              </w:rPr>
              <w:t>ES</w:t>
            </w:r>
          </w:p>
        </w:tc>
        <w:tc>
          <w:tcPr>
            <w:tcW w:w="1520" w:type="dxa"/>
            <w:vAlign w:val="bottom"/>
          </w:tcPr>
          <w:p>
            <w:pPr>
              <w:jc w:val="right"/>
              <w:spacing w:after="0"/>
              <w:rPr>
                <w:sz w:val="20"/>
                <w:szCs w:val="20"/>
                <w:color w:val="auto"/>
              </w:rPr>
            </w:pPr>
            <w:r>
              <w:rPr>
                <w:rFonts w:ascii="Arial" w:cs="Arial" w:eastAsia="Arial" w:hAnsi="Arial"/>
                <w:sz w:val="16"/>
                <w:szCs w:val="16"/>
                <w:color w:val="auto"/>
              </w:rPr>
              <w:t>$11,352</w:t>
            </w:r>
          </w:p>
        </w:tc>
        <w:tc>
          <w:tcPr>
            <w:tcW w:w="1960" w:type="dxa"/>
            <w:vAlign w:val="bottom"/>
          </w:tcPr>
          <w:p>
            <w:pPr>
              <w:jc w:val="right"/>
              <w:ind w:right="300"/>
              <w:spacing w:after="0"/>
              <w:rPr>
                <w:sz w:val="20"/>
                <w:szCs w:val="20"/>
                <w:color w:val="auto"/>
              </w:rPr>
            </w:pPr>
            <w:r>
              <w:rPr>
                <w:rFonts w:ascii="Arial" w:cs="Arial" w:eastAsia="Arial" w:hAnsi="Arial"/>
                <w:sz w:val="16"/>
                <w:szCs w:val="16"/>
                <w:color w:val="auto"/>
              </w:rPr>
              <w:t>0 %</w:t>
            </w:r>
          </w:p>
        </w:tc>
        <w:tc>
          <w:tcPr>
            <w:tcW w:w="1700" w:type="dxa"/>
            <w:vAlign w:val="bottom"/>
          </w:tcPr>
          <w:p>
            <w:pPr>
              <w:jc w:val="right"/>
              <w:ind w:right="460"/>
              <w:spacing w:after="0"/>
              <w:rPr>
                <w:sz w:val="20"/>
                <w:szCs w:val="20"/>
                <w:color w:val="auto"/>
              </w:rPr>
            </w:pPr>
            <w:r>
              <w:rPr>
                <w:rFonts w:ascii="Arial" w:cs="Arial" w:eastAsia="Arial" w:hAnsi="Arial"/>
                <w:sz w:val="16"/>
                <w:szCs w:val="16"/>
                <w:color w:val="auto"/>
              </w:rPr>
              <w:t>$23,748</w:t>
            </w:r>
          </w:p>
        </w:tc>
        <w:tc>
          <w:tcPr>
            <w:tcW w:w="1140" w:type="dxa"/>
            <w:vAlign w:val="bottom"/>
          </w:tcPr>
          <w:p>
            <w:pPr>
              <w:jc w:val="right"/>
              <w:spacing w:after="0"/>
              <w:rPr>
                <w:sz w:val="20"/>
                <w:szCs w:val="20"/>
                <w:color w:val="auto"/>
              </w:rPr>
            </w:pPr>
            <w:r>
              <w:rPr>
                <w:rFonts w:ascii="Arial" w:cs="Arial" w:eastAsia="Arial" w:hAnsi="Arial"/>
                <w:sz w:val="16"/>
                <w:szCs w:val="16"/>
                <w:color w:val="auto"/>
              </w:rPr>
              <w:t>81 %</w:t>
            </w:r>
          </w:p>
        </w:tc>
      </w:tr>
      <w:tr>
        <w:trPr>
          <w:trHeight w:val="43"/>
        </w:trPr>
        <w:tc>
          <w:tcPr>
            <w:tcW w:w="3340" w:type="dxa"/>
            <w:vAlign w:val="bottom"/>
            <w:tcBorders>
              <w:left w:val="single" w:sz="8" w:color="6E06C1"/>
              <w:bottom w:val="single" w:sz="8" w:color="6D6D6D"/>
            </w:tcBorders>
          </w:tcPr>
          <w:p>
            <w:pPr>
              <w:spacing w:after="0"/>
              <w:rPr>
                <w:sz w:val="3"/>
                <w:szCs w:val="3"/>
                <w:color w:val="auto"/>
              </w:rPr>
            </w:pPr>
          </w:p>
        </w:tc>
        <w:tc>
          <w:tcPr>
            <w:tcW w:w="1560" w:type="dxa"/>
            <w:vAlign w:val="bottom"/>
            <w:tcBorders>
              <w:bottom w:val="single" w:sz="8" w:color="6D6D6D"/>
            </w:tcBorders>
          </w:tcPr>
          <w:p>
            <w:pPr>
              <w:spacing w:after="0"/>
              <w:rPr>
                <w:sz w:val="3"/>
                <w:szCs w:val="3"/>
                <w:color w:val="auto"/>
              </w:rPr>
            </w:pPr>
          </w:p>
        </w:tc>
        <w:tc>
          <w:tcPr>
            <w:tcW w:w="1520" w:type="dxa"/>
            <w:vAlign w:val="bottom"/>
            <w:tcBorders>
              <w:bottom w:val="single" w:sz="8" w:color="6D6D6D"/>
            </w:tcBorders>
          </w:tcPr>
          <w:p>
            <w:pPr>
              <w:spacing w:after="0"/>
              <w:rPr>
                <w:sz w:val="3"/>
                <w:szCs w:val="3"/>
                <w:color w:val="auto"/>
              </w:rPr>
            </w:pPr>
          </w:p>
        </w:tc>
        <w:tc>
          <w:tcPr>
            <w:tcW w:w="1960" w:type="dxa"/>
            <w:vAlign w:val="bottom"/>
            <w:tcBorders>
              <w:bottom w:val="single" w:sz="8" w:color="6D6D6D"/>
            </w:tcBorders>
          </w:tcPr>
          <w:p>
            <w:pPr>
              <w:spacing w:after="0"/>
              <w:rPr>
                <w:sz w:val="3"/>
                <w:szCs w:val="3"/>
                <w:color w:val="auto"/>
              </w:rPr>
            </w:pPr>
          </w:p>
        </w:tc>
        <w:tc>
          <w:tcPr>
            <w:tcW w:w="1700" w:type="dxa"/>
            <w:vAlign w:val="bottom"/>
            <w:tcBorders>
              <w:bottom w:val="single" w:sz="8" w:color="6D6D6D"/>
            </w:tcBorders>
          </w:tcPr>
          <w:p>
            <w:pPr>
              <w:spacing w:after="0"/>
              <w:rPr>
                <w:sz w:val="3"/>
                <w:szCs w:val="3"/>
                <w:color w:val="auto"/>
              </w:rPr>
            </w:pPr>
          </w:p>
        </w:tc>
        <w:tc>
          <w:tcPr>
            <w:tcW w:w="1140" w:type="dxa"/>
            <w:vAlign w:val="bottom"/>
            <w:tcBorders>
              <w:bottom w:val="single" w:sz="8" w:color="6D6D6D"/>
            </w:tcBorders>
          </w:tcPr>
          <w:p>
            <w:pPr>
              <w:spacing w:after="0"/>
              <w:rPr>
                <w:sz w:val="3"/>
                <w:szCs w:val="3"/>
                <w:color w:val="auto"/>
              </w:rPr>
            </w:pPr>
          </w:p>
        </w:tc>
      </w:tr>
      <w:tr>
        <w:trPr>
          <w:trHeight w:val="229"/>
        </w:trPr>
        <w:tc>
          <w:tcPr>
            <w:tcW w:w="3340" w:type="dxa"/>
            <w:vAlign w:val="bottom"/>
            <w:tcBorders>
              <w:left w:val="single" w:sz="8" w:color="6E06C1"/>
            </w:tcBorders>
          </w:tcPr>
          <w:p>
            <w:pPr>
              <w:ind w:left="160"/>
              <w:spacing w:after="0"/>
              <w:rPr>
                <w:sz w:val="20"/>
                <w:szCs w:val="20"/>
                <w:color w:val="auto"/>
              </w:rPr>
            </w:pPr>
            <w:r>
              <w:rPr>
                <w:rFonts w:ascii="Arial" w:cs="Arial" w:eastAsia="Arial" w:hAnsi="Arial"/>
                <w:sz w:val="16"/>
                <w:szCs w:val="16"/>
                <w:b w:val="1"/>
                <w:bCs w:val="1"/>
                <w:color w:val="auto"/>
              </w:rPr>
              <w:t>Exelon Corp.</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EXC</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$22,750</w:t>
            </w:r>
          </w:p>
        </w:tc>
        <w:tc>
          <w:tcPr>
            <w:tcW w:w="1960" w:type="dxa"/>
            <w:vAlign w:val="bottom"/>
          </w:tcPr>
          <w:p>
            <w:pPr>
              <w:jc w:val="right"/>
              <w:ind w:right="300"/>
              <w:spacing w:after="0"/>
              <w:rPr>
                <w:sz w:val="20"/>
                <w:szCs w:val="20"/>
                <w:color w:val="auto"/>
              </w:rPr>
            </w:pPr>
            <w:r>
              <w:rPr>
                <w:rFonts w:ascii="Arial" w:cs="Arial" w:eastAsia="Arial" w:hAnsi="Arial"/>
                <w:sz w:val="16"/>
                <w:szCs w:val="16"/>
                <w:b w:val="1"/>
                <w:bCs w:val="1"/>
                <w:color w:val="auto"/>
              </w:rPr>
              <w:t>0 %</w:t>
            </w:r>
          </w:p>
        </w:tc>
        <w:tc>
          <w:tcPr>
            <w:tcW w:w="1700" w:type="dxa"/>
            <w:vAlign w:val="bottom"/>
          </w:tcPr>
          <w:p>
            <w:pPr>
              <w:jc w:val="right"/>
              <w:ind w:right="460"/>
              <w:spacing w:after="0"/>
              <w:rPr>
                <w:sz w:val="20"/>
                <w:szCs w:val="20"/>
                <w:color w:val="auto"/>
              </w:rPr>
            </w:pPr>
            <w:r>
              <w:rPr>
                <w:rFonts w:ascii="Arial" w:cs="Arial" w:eastAsia="Arial" w:hAnsi="Arial"/>
                <w:sz w:val="16"/>
                <w:szCs w:val="16"/>
                <w:b w:val="1"/>
                <w:bCs w:val="1"/>
                <w:color w:val="auto"/>
              </w:rPr>
              <w:t>$37,048</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81 %</w:t>
            </w:r>
          </w:p>
        </w:tc>
      </w:tr>
      <w:tr>
        <w:trPr>
          <w:trHeight w:val="34"/>
        </w:trPr>
        <w:tc>
          <w:tcPr>
            <w:tcW w:w="3340" w:type="dxa"/>
            <w:vAlign w:val="bottom"/>
            <w:tcBorders>
              <w:left w:val="single" w:sz="8" w:color="6E06C1"/>
              <w:bottom w:val="single" w:sz="8" w:color="6D6D6D"/>
            </w:tcBorders>
          </w:tcPr>
          <w:p>
            <w:pPr>
              <w:spacing w:after="0"/>
              <w:rPr>
                <w:sz w:val="3"/>
                <w:szCs w:val="3"/>
                <w:color w:val="auto"/>
              </w:rPr>
            </w:pPr>
          </w:p>
        </w:tc>
        <w:tc>
          <w:tcPr>
            <w:tcW w:w="1560" w:type="dxa"/>
            <w:vAlign w:val="bottom"/>
            <w:tcBorders>
              <w:bottom w:val="single" w:sz="8" w:color="6D6D6D"/>
            </w:tcBorders>
          </w:tcPr>
          <w:p>
            <w:pPr>
              <w:spacing w:after="0"/>
              <w:rPr>
                <w:sz w:val="3"/>
                <w:szCs w:val="3"/>
                <w:color w:val="auto"/>
              </w:rPr>
            </w:pPr>
          </w:p>
        </w:tc>
        <w:tc>
          <w:tcPr>
            <w:tcW w:w="1520" w:type="dxa"/>
            <w:vAlign w:val="bottom"/>
            <w:tcBorders>
              <w:bottom w:val="single" w:sz="8" w:color="6D6D6D"/>
            </w:tcBorders>
          </w:tcPr>
          <w:p>
            <w:pPr>
              <w:spacing w:after="0"/>
              <w:rPr>
                <w:sz w:val="3"/>
                <w:szCs w:val="3"/>
                <w:color w:val="auto"/>
              </w:rPr>
            </w:pPr>
          </w:p>
        </w:tc>
        <w:tc>
          <w:tcPr>
            <w:tcW w:w="1960" w:type="dxa"/>
            <w:vAlign w:val="bottom"/>
            <w:tcBorders>
              <w:bottom w:val="single" w:sz="8" w:color="6D6D6D"/>
            </w:tcBorders>
          </w:tcPr>
          <w:p>
            <w:pPr>
              <w:spacing w:after="0"/>
              <w:rPr>
                <w:sz w:val="3"/>
                <w:szCs w:val="3"/>
                <w:color w:val="auto"/>
              </w:rPr>
            </w:pPr>
          </w:p>
        </w:tc>
        <w:tc>
          <w:tcPr>
            <w:tcW w:w="1700" w:type="dxa"/>
            <w:vAlign w:val="bottom"/>
            <w:tcBorders>
              <w:bottom w:val="single" w:sz="8" w:color="6D6D6D"/>
            </w:tcBorders>
          </w:tcPr>
          <w:p>
            <w:pPr>
              <w:spacing w:after="0"/>
              <w:rPr>
                <w:sz w:val="3"/>
                <w:szCs w:val="3"/>
                <w:color w:val="auto"/>
              </w:rPr>
            </w:pPr>
          </w:p>
        </w:tc>
        <w:tc>
          <w:tcPr>
            <w:tcW w:w="1140" w:type="dxa"/>
            <w:vAlign w:val="bottom"/>
            <w:tcBorders>
              <w:bottom w:val="single" w:sz="8" w:color="6D6D6D"/>
            </w:tcBorders>
          </w:tcPr>
          <w:p>
            <w:pPr>
              <w:spacing w:after="0"/>
              <w:rPr>
                <w:sz w:val="3"/>
                <w:szCs w:val="3"/>
                <w:color w:val="auto"/>
              </w:rPr>
            </w:pPr>
          </w:p>
        </w:tc>
      </w:tr>
      <w:tr>
        <w:trPr>
          <w:trHeight w:val="221"/>
        </w:trPr>
        <w:tc>
          <w:tcPr>
            <w:tcW w:w="3340" w:type="dxa"/>
            <w:vAlign w:val="bottom"/>
            <w:tcBorders>
              <w:left w:val="single" w:sz="8" w:color="6E06C1"/>
            </w:tcBorders>
          </w:tcPr>
          <w:p>
            <w:pPr>
              <w:ind w:left="160"/>
              <w:spacing w:after="0"/>
              <w:rPr>
                <w:sz w:val="20"/>
                <w:szCs w:val="20"/>
                <w:color w:val="auto"/>
              </w:rPr>
            </w:pPr>
            <w:r>
              <w:rPr>
                <w:rFonts w:ascii="Arial" w:cs="Arial" w:eastAsia="Arial" w:hAnsi="Arial"/>
                <w:sz w:val="16"/>
                <w:szCs w:val="16"/>
                <w:color w:val="auto"/>
              </w:rPr>
              <w:t>FirstEnergy Corp.</w:t>
            </w:r>
          </w:p>
        </w:tc>
        <w:tc>
          <w:tcPr>
            <w:tcW w:w="1560" w:type="dxa"/>
            <w:vAlign w:val="bottom"/>
          </w:tcPr>
          <w:p>
            <w:pPr>
              <w:jc w:val="right"/>
              <w:spacing w:after="0"/>
              <w:rPr>
                <w:sz w:val="20"/>
                <w:szCs w:val="20"/>
                <w:color w:val="auto"/>
              </w:rPr>
            </w:pPr>
            <w:r>
              <w:rPr>
                <w:rFonts w:ascii="Arial" w:cs="Arial" w:eastAsia="Arial" w:hAnsi="Arial"/>
                <w:sz w:val="16"/>
                <w:szCs w:val="16"/>
                <w:color w:val="auto"/>
              </w:rPr>
              <w:t>FE</w:t>
            </w:r>
          </w:p>
        </w:tc>
        <w:tc>
          <w:tcPr>
            <w:tcW w:w="1520" w:type="dxa"/>
            <w:vAlign w:val="bottom"/>
          </w:tcPr>
          <w:p>
            <w:pPr>
              <w:jc w:val="right"/>
              <w:spacing w:after="0"/>
              <w:rPr>
                <w:sz w:val="20"/>
                <w:szCs w:val="20"/>
                <w:color w:val="auto"/>
              </w:rPr>
            </w:pPr>
            <w:r>
              <w:rPr>
                <w:rFonts w:ascii="Arial" w:cs="Arial" w:eastAsia="Arial" w:hAnsi="Arial"/>
                <w:sz w:val="16"/>
                <w:szCs w:val="16"/>
                <w:color w:val="auto"/>
              </w:rPr>
              <w:t>$13,015</w:t>
            </w:r>
          </w:p>
        </w:tc>
        <w:tc>
          <w:tcPr>
            <w:tcW w:w="1960" w:type="dxa"/>
            <w:vAlign w:val="bottom"/>
          </w:tcPr>
          <w:p>
            <w:pPr>
              <w:jc w:val="right"/>
              <w:ind w:right="300"/>
              <w:spacing w:after="0"/>
              <w:rPr>
                <w:sz w:val="20"/>
                <w:szCs w:val="20"/>
                <w:color w:val="auto"/>
              </w:rPr>
            </w:pPr>
            <w:r>
              <w:rPr>
                <w:rFonts w:ascii="Arial" w:cs="Arial" w:eastAsia="Arial" w:hAnsi="Arial"/>
                <w:sz w:val="16"/>
                <w:szCs w:val="16"/>
                <w:color w:val="auto"/>
              </w:rPr>
              <w:t>0 %</w:t>
            </w:r>
          </w:p>
        </w:tc>
        <w:tc>
          <w:tcPr>
            <w:tcW w:w="1700" w:type="dxa"/>
            <w:vAlign w:val="bottom"/>
          </w:tcPr>
          <w:p>
            <w:pPr>
              <w:jc w:val="right"/>
              <w:ind w:right="460"/>
              <w:spacing w:after="0"/>
              <w:rPr>
                <w:sz w:val="20"/>
                <w:szCs w:val="20"/>
                <w:color w:val="auto"/>
              </w:rPr>
            </w:pPr>
            <w:r>
              <w:rPr>
                <w:rFonts w:ascii="Arial" w:cs="Arial" w:eastAsia="Arial" w:hAnsi="Arial"/>
                <w:sz w:val="16"/>
                <w:szCs w:val="16"/>
                <w:color w:val="auto"/>
              </w:rPr>
              <w:t>$24,350</w:t>
            </w:r>
          </w:p>
        </w:tc>
        <w:tc>
          <w:tcPr>
            <w:tcW w:w="1140" w:type="dxa"/>
            <w:vAlign w:val="bottom"/>
          </w:tcPr>
          <w:p>
            <w:pPr>
              <w:jc w:val="right"/>
              <w:spacing w:after="0"/>
              <w:rPr>
                <w:sz w:val="20"/>
                <w:szCs w:val="20"/>
                <w:color w:val="auto"/>
              </w:rPr>
            </w:pPr>
            <w:r>
              <w:rPr>
                <w:rFonts w:ascii="Arial" w:cs="Arial" w:eastAsia="Arial" w:hAnsi="Arial"/>
                <w:sz w:val="16"/>
                <w:szCs w:val="16"/>
                <w:color w:val="auto"/>
              </w:rPr>
              <w:t>92 %</w:t>
            </w:r>
          </w:p>
        </w:tc>
      </w:tr>
      <w:tr>
        <w:trPr>
          <w:trHeight w:val="43"/>
        </w:trPr>
        <w:tc>
          <w:tcPr>
            <w:tcW w:w="3340" w:type="dxa"/>
            <w:vAlign w:val="bottom"/>
            <w:tcBorders>
              <w:left w:val="single" w:sz="8" w:color="6E06C1"/>
              <w:bottom w:val="single" w:sz="8" w:color="6D6D6D"/>
            </w:tcBorders>
          </w:tcPr>
          <w:p>
            <w:pPr>
              <w:spacing w:after="0"/>
              <w:rPr>
                <w:sz w:val="3"/>
                <w:szCs w:val="3"/>
                <w:color w:val="auto"/>
              </w:rPr>
            </w:pPr>
          </w:p>
        </w:tc>
        <w:tc>
          <w:tcPr>
            <w:tcW w:w="1560" w:type="dxa"/>
            <w:vAlign w:val="bottom"/>
            <w:tcBorders>
              <w:bottom w:val="single" w:sz="8" w:color="6D6D6D"/>
            </w:tcBorders>
          </w:tcPr>
          <w:p>
            <w:pPr>
              <w:spacing w:after="0"/>
              <w:rPr>
                <w:sz w:val="3"/>
                <w:szCs w:val="3"/>
                <w:color w:val="auto"/>
              </w:rPr>
            </w:pPr>
          </w:p>
        </w:tc>
        <w:tc>
          <w:tcPr>
            <w:tcW w:w="1520" w:type="dxa"/>
            <w:vAlign w:val="bottom"/>
            <w:tcBorders>
              <w:bottom w:val="single" w:sz="8" w:color="6D6D6D"/>
            </w:tcBorders>
          </w:tcPr>
          <w:p>
            <w:pPr>
              <w:spacing w:after="0"/>
              <w:rPr>
                <w:sz w:val="3"/>
                <w:szCs w:val="3"/>
                <w:color w:val="auto"/>
              </w:rPr>
            </w:pPr>
          </w:p>
        </w:tc>
        <w:tc>
          <w:tcPr>
            <w:tcW w:w="1960" w:type="dxa"/>
            <w:vAlign w:val="bottom"/>
            <w:tcBorders>
              <w:bottom w:val="single" w:sz="8" w:color="6D6D6D"/>
            </w:tcBorders>
          </w:tcPr>
          <w:p>
            <w:pPr>
              <w:spacing w:after="0"/>
              <w:rPr>
                <w:sz w:val="3"/>
                <w:szCs w:val="3"/>
                <w:color w:val="auto"/>
              </w:rPr>
            </w:pPr>
          </w:p>
        </w:tc>
        <w:tc>
          <w:tcPr>
            <w:tcW w:w="1700" w:type="dxa"/>
            <w:vAlign w:val="bottom"/>
            <w:tcBorders>
              <w:bottom w:val="single" w:sz="8" w:color="6D6D6D"/>
            </w:tcBorders>
          </w:tcPr>
          <w:p>
            <w:pPr>
              <w:spacing w:after="0"/>
              <w:rPr>
                <w:sz w:val="3"/>
                <w:szCs w:val="3"/>
                <w:color w:val="auto"/>
              </w:rPr>
            </w:pPr>
          </w:p>
        </w:tc>
        <w:tc>
          <w:tcPr>
            <w:tcW w:w="1140" w:type="dxa"/>
            <w:vAlign w:val="bottom"/>
            <w:tcBorders>
              <w:bottom w:val="single" w:sz="8" w:color="6D6D6D"/>
            </w:tcBorders>
          </w:tcPr>
          <w:p>
            <w:pPr>
              <w:spacing w:after="0"/>
              <w:rPr>
                <w:sz w:val="3"/>
                <w:szCs w:val="3"/>
                <w:color w:val="auto"/>
              </w:rPr>
            </w:pPr>
          </w:p>
        </w:tc>
      </w:tr>
      <w:tr>
        <w:trPr>
          <w:trHeight w:val="221"/>
        </w:trPr>
        <w:tc>
          <w:tcPr>
            <w:tcW w:w="3340" w:type="dxa"/>
            <w:vAlign w:val="bottom"/>
            <w:tcBorders>
              <w:left w:val="single" w:sz="8" w:color="6E06C1"/>
            </w:tcBorders>
          </w:tcPr>
          <w:p>
            <w:pPr>
              <w:ind w:left="160"/>
              <w:spacing w:after="0"/>
              <w:rPr>
                <w:sz w:val="20"/>
                <w:szCs w:val="20"/>
                <w:color w:val="auto"/>
              </w:rPr>
            </w:pPr>
            <w:r>
              <w:rPr>
                <w:rFonts w:ascii="Arial" w:cs="Arial" w:eastAsia="Arial" w:hAnsi="Arial"/>
                <w:sz w:val="16"/>
                <w:szCs w:val="16"/>
                <w:color w:val="auto"/>
              </w:rPr>
              <w:t>NextEra Energy, Inc.</w:t>
            </w:r>
          </w:p>
        </w:tc>
        <w:tc>
          <w:tcPr>
            <w:tcW w:w="1560" w:type="dxa"/>
            <w:vAlign w:val="bottom"/>
          </w:tcPr>
          <w:p>
            <w:pPr>
              <w:jc w:val="right"/>
              <w:spacing w:after="0"/>
              <w:rPr>
                <w:sz w:val="20"/>
                <w:szCs w:val="20"/>
                <w:color w:val="auto"/>
              </w:rPr>
            </w:pPr>
            <w:r>
              <w:rPr>
                <w:rFonts w:ascii="Arial" w:cs="Arial" w:eastAsia="Arial" w:hAnsi="Arial"/>
                <w:sz w:val="16"/>
                <w:szCs w:val="16"/>
                <w:color w:val="auto"/>
              </w:rPr>
              <w:t>NEE</w:t>
            </w:r>
          </w:p>
        </w:tc>
        <w:tc>
          <w:tcPr>
            <w:tcW w:w="1520" w:type="dxa"/>
            <w:vAlign w:val="bottom"/>
          </w:tcPr>
          <w:p>
            <w:pPr>
              <w:jc w:val="right"/>
              <w:spacing w:after="0"/>
              <w:rPr>
                <w:sz w:val="20"/>
                <w:szCs w:val="20"/>
                <w:color w:val="auto"/>
              </w:rPr>
            </w:pPr>
            <w:r>
              <w:rPr>
                <w:rFonts w:ascii="Arial" w:cs="Arial" w:eastAsia="Arial" w:hAnsi="Arial"/>
                <w:sz w:val="16"/>
                <w:szCs w:val="16"/>
                <w:color w:val="auto"/>
              </w:rPr>
              <w:t>$25,850</w:t>
            </w:r>
          </w:p>
        </w:tc>
        <w:tc>
          <w:tcPr>
            <w:tcW w:w="1960" w:type="dxa"/>
            <w:vAlign w:val="bottom"/>
          </w:tcPr>
          <w:p>
            <w:pPr>
              <w:jc w:val="right"/>
              <w:ind w:right="300"/>
              <w:spacing w:after="0"/>
              <w:rPr>
                <w:sz w:val="20"/>
                <w:szCs w:val="20"/>
                <w:color w:val="auto"/>
              </w:rPr>
            </w:pPr>
            <w:r>
              <w:rPr>
                <w:rFonts w:ascii="Arial" w:cs="Arial" w:eastAsia="Arial" w:hAnsi="Arial"/>
                <w:sz w:val="16"/>
                <w:szCs w:val="16"/>
                <w:color w:val="auto"/>
              </w:rPr>
              <w:t>0 %</w:t>
            </w:r>
          </w:p>
        </w:tc>
        <w:tc>
          <w:tcPr>
            <w:tcW w:w="1700" w:type="dxa"/>
            <w:vAlign w:val="bottom"/>
          </w:tcPr>
          <w:p>
            <w:pPr>
              <w:jc w:val="right"/>
              <w:ind w:right="460"/>
              <w:spacing w:after="0"/>
              <w:rPr>
                <w:sz w:val="20"/>
                <w:szCs w:val="20"/>
                <w:color w:val="auto"/>
              </w:rPr>
            </w:pPr>
            <w:r>
              <w:rPr>
                <w:rFonts w:ascii="Arial" w:cs="Arial" w:eastAsia="Arial" w:hAnsi="Arial"/>
                <w:sz w:val="16"/>
                <w:szCs w:val="16"/>
                <w:color w:val="auto"/>
              </w:rPr>
              <w:t>$160,338</w:t>
            </w:r>
          </w:p>
        </w:tc>
        <w:tc>
          <w:tcPr>
            <w:tcW w:w="1140" w:type="dxa"/>
            <w:vAlign w:val="bottom"/>
          </w:tcPr>
          <w:p>
            <w:pPr>
              <w:jc w:val="right"/>
              <w:spacing w:after="0"/>
              <w:rPr>
                <w:sz w:val="20"/>
                <w:szCs w:val="20"/>
                <w:color w:val="auto"/>
              </w:rPr>
            </w:pPr>
            <w:r>
              <w:rPr>
                <w:rFonts w:ascii="Arial" w:cs="Arial" w:eastAsia="Arial" w:hAnsi="Arial"/>
                <w:sz w:val="16"/>
                <w:szCs w:val="16"/>
                <w:color w:val="auto"/>
              </w:rPr>
              <w:t>78 %</w:t>
            </w:r>
          </w:p>
        </w:tc>
      </w:tr>
      <w:tr>
        <w:trPr>
          <w:trHeight w:val="43"/>
        </w:trPr>
        <w:tc>
          <w:tcPr>
            <w:tcW w:w="3340" w:type="dxa"/>
            <w:vAlign w:val="bottom"/>
            <w:tcBorders>
              <w:left w:val="single" w:sz="8" w:color="6E06C1"/>
              <w:bottom w:val="single" w:sz="8" w:color="6D6D6D"/>
            </w:tcBorders>
          </w:tcPr>
          <w:p>
            <w:pPr>
              <w:spacing w:after="0"/>
              <w:rPr>
                <w:sz w:val="3"/>
                <w:szCs w:val="3"/>
                <w:color w:val="auto"/>
              </w:rPr>
            </w:pPr>
          </w:p>
        </w:tc>
        <w:tc>
          <w:tcPr>
            <w:tcW w:w="1560" w:type="dxa"/>
            <w:vAlign w:val="bottom"/>
            <w:tcBorders>
              <w:bottom w:val="single" w:sz="8" w:color="6D6D6D"/>
            </w:tcBorders>
          </w:tcPr>
          <w:p>
            <w:pPr>
              <w:spacing w:after="0"/>
              <w:rPr>
                <w:sz w:val="3"/>
                <w:szCs w:val="3"/>
                <w:color w:val="auto"/>
              </w:rPr>
            </w:pPr>
          </w:p>
        </w:tc>
        <w:tc>
          <w:tcPr>
            <w:tcW w:w="1520" w:type="dxa"/>
            <w:vAlign w:val="bottom"/>
            <w:tcBorders>
              <w:bottom w:val="single" w:sz="8" w:color="6D6D6D"/>
            </w:tcBorders>
          </w:tcPr>
          <w:p>
            <w:pPr>
              <w:spacing w:after="0"/>
              <w:rPr>
                <w:sz w:val="3"/>
                <w:szCs w:val="3"/>
                <w:color w:val="auto"/>
              </w:rPr>
            </w:pPr>
          </w:p>
        </w:tc>
        <w:tc>
          <w:tcPr>
            <w:tcW w:w="1960" w:type="dxa"/>
            <w:vAlign w:val="bottom"/>
            <w:tcBorders>
              <w:bottom w:val="single" w:sz="8" w:color="6D6D6D"/>
            </w:tcBorders>
          </w:tcPr>
          <w:p>
            <w:pPr>
              <w:spacing w:after="0"/>
              <w:rPr>
                <w:sz w:val="3"/>
                <w:szCs w:val="3"/>
                <w:color w:val="auto"/>
              </w:rPr>
            </w:pPr>
          </w:p>
        </w:tc>
        <w:tc>
          <w:tcPr>
            <w:tcW w:w="1700" w:type="dxa"/>
            <w:vAlign w:val="bottom"/>
            <w:tcBorders>
              <w:bottom w:val="single" w:sz="8" w:color="6D6D6D"/>
            </w:tcBorders>
          </w:tcPr>
          <w:p>
            <w:pPr>
              <w:spacing w:after="0"/>
              <w:rPr>
                <w:sz w:val="3"/>
                <w:szCs w:val="3"/>
                <w:color w:val="auto"/>
              </w:rPr>
            </w:pPr>
          </w:p>
        </w:tc>
        <w:tc>
          <w:tcPr>
            <w:tcW w:w="1140" w:type="dxa"/>
            <w:vAlign w:val="bottom"/>
            <w:tcBorders>
              <w:bottom w:val="single" w:sz="8" w:color="6D6D6D"/>
            </w:tcBorders>
          </w:tcPr>
          <w:p>
            <w:pPr>
              <w:spacing w:after="0"/>
              <w:rPr>
                <w:sz w:val="3"/>
                <w:szCs w:val="3"/>
                <w:color w:val="auto"/>
              </w:rPr>
            </w:pPr>
          </w:p>
        </w:tc>
      </w:tr>
      <w:tr>
        <w:trPr>
          <w:trHeight w:val="221"/>
        </w:trPr>
        <w:tc>
          <w:tcPr>
            <w:tcW w:w="3340" w:type="dxa"/>
            <w:vAlign w:val="bottom"/>
            <w:tcBorders>
              <w:left w:val="single" w:sz="8" w:color="6E06C1"/>
            </w:tcBorders>
          </w:tcPr>
          <w:p>
            <w:pPr>
              <w:ind w:left="160"/>
              <w:spacing w:after="0"/>
              <w:rPr>
                <w:sz w:val="20"/>
                <w:szCs w:val="20"/>
                <w:color w:val="auto"/>
              </w:rPr>
            </w:pPr>
            <w:r>
              <w:rPr>
                <w:rFonts w:ascii="Arial" w:cs="Arial" w:eastAsia="Arial" w:hAnsi="Arial"/>
                <w:sz w:val="16"/>
                <w:szCs w:val="16"/>
                <w:color w:val="auto"/>
              </w:rPr>
              <w:t>PG&amp;E Corp.</w:t>
            </w:r>
          </w:p>
        </w:tc>
        <w:tc>
          <w:tcPr>
            <w:tcW w:w="1560" w:type="dxa"/>
            <w:vAlign w:val="bottom"/>
          </w:tcPr>
          <w:p>
            <w:pPr>
              <w:jc w:val="right"/>
              <w:spacing w:after="0"/>
              <w:rPr>
                <w:sz w:val="20"/>
                <w:szCs w:val="20"/>
                <w:color w:val="auto"/>
              </w:rPr>
            </w:pPr>
            <w:r>
              <w:rPr>
                <w:rFonts w:ascii="Arial" w:cs="Arial" w:eastAsia="Arial" w:hAnsi="Arial"/>
                <w:sz w:val="16"/>
                <w:szCs w:val="16"/>
                <w:color w:val="auto"/>
              </w:rPr>
              <w:t>PCG</w:t>
            </w:r>
          </w:p>
        </w:tc>
        <w:tc>
          <w:tcPr>
            <w:tcW w:w="1520" w:type="dxa"/>
            <w:vAlign w:val="bottom"/>
          </w:tcPr>
          <w:p>
            <w:pPr>
              <w:jc w:val="right"/>
              <w:spacing w:after="0"/>
              <w:rPr>
                <w:sz w:val="20"/>
                <w:szCs w:val="20"/>
                <w:color w:val="auto"/>
              </w:rPr>
            </w:pPr>
            <w:r>
              <w:rPr>
                <w:rFonts w:ascii="Arial" w:cs="Arial" w:eastAsia="Arial" w:hAnsi="Arial"/>
                <w:sz w:val="16"/>
                <w:szCs w:val="16"/>
                <w:color w:val="auto"/>
              </w:rPr>
              <w:t>$24,776</w:t>
            </w:r>
          </w:p>
        </w:tc>
        <w:tc>
          <w:tcPr>
            <w:tcW w:w="1960" w:type="dxa"/>
            <w:vAlign w:val="bottom"/>
          </w:tcPr>
          <w:p>
            <w:pPr>
              <w:jc w:val="right"/>
              <w:ind w:right="300"/>
              <w:spacing w:after="0"/>
              <w:rPr>
                <w:sz w:val="20"/>
                <w:szCs w:val="20"/>
                <w:color w:val="auto"/>
              </w:rPr>
            </w:pPr>
            <w:r>
              <w:rPr>
                <w:rFonts w:ascii="Arial" w:cs="Arial" w:eastAsia="Arial" w:hAnsi="Arial"/>
                <w:sz w:val="16"/>
                <w:szCs w:val="16"/>
                <w:color w:val="auto"/>
              </w:rPr>
              <w:t>0 %</w:t>
            </w:r>
          </w:p>
        </w:tc>
        <w:tc>
          <w:tcPr>
            <w:tcW w:w="1700" w:type="dxa"/>
            <w:vAlign w:val="bottom"/>
          </w:tcPr>
          <w:p>
            <w:pPr>
              <w:jc w:val="right"/>
              <w:ind w:right="460"/>
              <w:spacing w:after="0"/>
              <w:rPr>
                <w:sz w:val="20"/>
                <w:szCs w:val="20"/>
                <w:color w:val="auto"/>
              </w:rPr>
            </w:pPr>
            <w:r>
              <w:rPr>
                <w:rFonts w:ascii="Arial" w:cs="Arial" w:eastAsia="Arial" w:hAnsi="Arial"/>
                <w:sz w:val="16"/>
                <w:szCs w:val="16"/>
                <w:color w:val="auto"/>
              </w:rPr>
              <w:t>$39,308</w:t>
            </w:r>
          </w:p>
        </w:tc>
        <w:tc>
          <w:tcPr>
            <w:tcW w:w="1140" w:type="dxa"/>
            <w:vAlign w:val="bottom"/>
          </w:tcPr>
          <w:p>
            <w:pPr>
              <w:jc w:val="right"/>
              <w:spacing w:after="0"/>
              <w:rPr>
                <w:sz w:val="20"/>
                <w:szCs w:val="20"/>
                <w:color w:val="auto"/>
              </w:rPr>
            </w:pPr>
            <w:r>
              <w:rPr>
                <w:rFonts w:ascii="Arial" w:cs="Arial" w:eastAsia="Arial" w:hAnsi="Arial"/>
                <w:sz w:val="16"/>
                <w:szCs w:val="16"/>
                <w:color w:val="auto"/>
              </w:rPr>
              <w:t>73 %</w:t>
            </w:r>
          </w:p>
        </w:tc>
      </w:tr>
      <w:tr>
        <w:trPr>
          <w:trHeight w:val="43"/>
        </w:trPr>
        <w:tc>
          <w:tcPr>
            <w:tcW w:w="3340" w:type="dxa"/>
            <w:vAlign w:val="bottom"/>
            <w:tcBorders>
              <w:left w:val="single" w:sz="8" w:color="6E06C1"/>
              <w:bottom w:val="single" w:sz="8" w:color="6D6D6D"/>
            </w:tcBorders>
          </w:tcPr>
          <w:p>
            <w:pPr>
              <w:spacing w:after="0"/>
              <w:rPr>
                <w:sz w:val="3"/>
                <w:szCs w:val="3"/>
                <w:color w:val="auto"/>
              </w:rPr>
            </w:pPr>
          </w:p>
        </w:tc>
        <w:tc>
          <w:tcPr>
            <w:tcW w:w="1560" w:type="dxa"/>
            <w:vAlign w:val="bottom"/>
            <w:tcBorders>
              <w:bottom w:val="single" w:sz="8" w:color="6D6D6D"/>
            </w:tcBorders>
          </w:tcPr>
          <w:p>
            <w:pPr>
              <w:spacing w:after="0"/>
              <w:rPr>
                <w:sz w:val="3"/>
                <w:szCs w:val="3"/>
                <w:color w:val="auto"/>
              </w:rPr>
            </w:pPr>
          </w:p>
        </w:tc>
        <w:tc>
          <w:tcPr>
            <w:tcW w:w="1520" w:type="dxa"/>
            <w:vAlign w:val="bottom"/>
            <w:tcBorders>
              <w:bottom w:val="single" w:sz="8" w:color="6D6D6D"/>
            </w:tcBorders>
          </w:tcPr>
          <w:p>
            <w:pPr>
              <w:spacing w:after="0"/>
              <w:rPr>
                <w:sz w:val="3"/>
                <w:szCs w:val="3"/>
                <w:color w:val="auto"/>
              </w:rPr>
            </w:pPr>
          </w:p>
        </w:tc>
        <w:tc>
          <w:tcPr>
            <w:tcW w:w="1960" w:type="dxa"/>
            <w:vAlign w:val="bottom"/>
            <w:tcBorders>
              <w:bottom w:val="single" w:sz="8" w:color="6D6D6D"/>
            </w:tcBorders>
          </w:tcPr>
          <w:p>
            <w:pPr>
              <w:spacing w:after="0"/>
              <w:rPr>
                <w:sz w:val="3"/>
                <w:szCs w:val="3"/>
                <w:color w:val="auto"/>
              </w:rPr>
            </w:pPr>
          </w:p>
        </w:tc>
        <w:tc>
          <w:tcPr>
            <w:tcW w:w="1700" w:type="dxa"/>
            <w:vAlign w:val="bottom"/>
            <w:tcBorders>
              <w:bottom w:val="single" w:sz="8" w:color="6D6D6D"/>
            </w:tcBorders>
          </w:tcPr>
          <w:p>
            <w:pPr>
              <w:spacing w:after="0"/>
              <w:rPr>
                <w:sz w:val="3"/>
                <w:szCs w:val="3"/>
                <w:color w:val="auto"/>
              </w:rPr>
            </w:pPr>
          </w:p>
        </w:tc>
        <w:tc>
          <w:tcPr>
            <w:tcW w:w="1140" w:type="dxa"/>
            <w:vAlign w:val="bottom"/>
            <w:tcBorders>
              <w:bottom w:val="single" w:sz="8" w:color="6D6D6D"/>
            </w:tcBorders>
          </w:tcPr>
          <w:p>
            <w:pPr>
              <w:spacing w:after="0"/>
              <w:rPr>
                <w:sz w:val="3"/>
                <w:szCs w:val="3"/>
                <w:color w:val="auto"/>
              </w:rPr>
            </w:pPr>
          </w:p>
        </w:tc>
      </w:tr>
      <w:tr>
        <w:trPr>
          <w:trHeight w:val="221"/>
        </w:trPr>
        <w:tc>
          <w:tcPr>
            <w:tcW w:w="3340" w:type="dxa"/>
            <w:vAlign w:val="bottom"/>
            <w:tcBorders>
              <w:left w:val="single" w:sz="8" w:color="6E06C1"/>
            </w:tcBorders>
          </w:tcPr>
          <w:p>
            <w:pPr>
              <w:ind w:left="160"/>
              <w:spacing w:after="0"/>
              <w:rPr>
                <w:sz w:val="20"/>
                <w:szCs w:val="20"/>
                <w:color w:val="auto"/>
              </w:rPr>
            </w:pPr>
            <w:r>
              <w:rPr>
                <w:rFonts w:ascii="Arial" w:cs="Arial" w:eastAsia="Arial" w:hAnsi="Arial"/>
                <w:sz w:val="16"/>
                <w:szCs w:val="16"/>
                <w:color w:val="auto"/>
              </w:rPr>
              <w:t>Sempra Energy</w:t>
            </w:r>
          </w:p>
        </w:tc>
        <w:tc>
          <w:tcPr>
            <w:tcW w:w="1560" w:type="dxa"/>
            <w:vAlign w:val="bottom"/>
          </w:tcPr>
          <w:p>
            <w:pPr>
              <w:jc w:val="right"/>
              <w:spacing w:after="0"/>
              <w:rPr>
                <w:sz w:val="20"/>
                <w:szCs w:val="20"/>
                <w:color w:val="auto"/>
              </w:rPr>
            </w:pPr>
            <w:r>
              <w:rPr>
                <w:rFonts w:ascii="Arial" w:cs="Arial" w:eastAsia="Arial" w:hAnsi="Arial"/>
                <w:sz w:val="16"/>
                <w:szCs w:val="16"/>
                <w:color w:val="auto"/>
              </w:rPr>
              <w:t>SRE</w:t>
            </w:r>
          </w:p>
        </w:tc>
        <w:tc>
          <w:tcPr>
            <w:tcW w:w="1520" w:type="dxa"/>
            <w:vAlign w:val="bottom"/>
          </w:tcPr>
          <w:p>
            <w:pPr>
              <w:jc w:val="right"/>
              <w:spacing w:after="0"/>
              <w:rPr>
                <w:sz w:val="20"/>
                <w:szCs w:val="20"/>
                <w:color w:val="auto"/>
              </w:rPr>
            </w:pPr>
            <w:r>
              <w:rPr>
                <w:rFonts w:ascii="Arial" w:cs="Arial" w:eastAsia="Arial" w:hAnsi="Arial"/>
                <w:sz w:val="16"/>
                <w:szCs w:val="16"/>
                <w:color w:val="auto"/>
              </w:rPr>
              <w:t>$13,476</w:t>
            </w:r>
          </w:p>
        </w:tc>
        <w:tc>
          <w:tcPr>
            <w:tcW w:w="1960" w:type="dxa"/>
            <w:vAlign w:val="bottom"/>
          </w:tcPr>
          <w:p>
            <w:pPr>
              <w:jc w:val="right"/>
              <w:ind w:right="300"/>
              <w:spacing w:after="0"/>
              <w:rPr>
                <w:sz w:val="20"/>
                <w:szCs w:val="20"/>
                <w:color w:val="auto"/>
              </w:rPr>
            </w:pPr>
            <w:r>
              <w:rPr>
                <w:rFonts w:ascii="Arial" w:cs="Arial" w:eastAsia="Arial" w:hAnsi="Arial"/>
                <w:sz w:val="16"/>
                <w:szCs w:val="16"/>
                <w:color w:val="auto"/>
              </w:rPr>
              <w:t>10 %</w:t>
            </w:r>
          </w:p>
        </w:tc>
        <w:tc>
          <w:tcPr>
            <w:tcW w:w="1700" w:type="dxa"/>
            <w:vAlign w:val="bottom"/>
          </w:tcPr>
          <w:p>
            <w:pPr>
              <w:jc w:val="right"/>
              <w:ind w:right="460"/>
              <w:spacing w:after="0"/>
              <w:rPr>
                <w:sz w:val="20"/>
                <w:szCs w:val="20"/>
                <w:color w:val="auto"/>
              </w:rPr>
            </w:pPr>
            <w:r>
              <w:rPr>
                <w:rFonts w:ascii="Arial" w:cs="Arial" w:eastAsia="Arial" w:hAnsi="Arial"/>
                <w:sz w:val="16"/>
                <w:szCs w:val="16"/>
                <w:color w:val="auto"/>
              </w:rPr>
              <w:t>$49,835</w:t>
            </w:r>
          </w:p>
        </w:tc>
        <w:tc>
          <w:tcPr>
            <w:tcW w:w="1140" w:type="dxa"/>
            <w:vAlign w:val="bottom"/>
          </w:tcPr>
          <w:p>
            <w:pPr>
              <w:jc w:val="right"/>
              <w:spacing w:after="0"/>
              <w:rPr>
                <w:sz w:val="20"/>
                <w:szCs w:val="20"/>
                <w:color w:val="auto"/>
              </w:rPr>
            </w:pPr>
            <w:r>
              <w:rPr>
                <w:rFonts w:ascii="Arial" w:cs="Arial" w:eastAsia="Arial" w:hAnsi="Arial"/>
                <w:sz w:val="16"/>
                <w:szCs w:val="16"/>
                <w:color w:val="auto"/>
              </w:rPr>
              <w:t>71 %</w:t>
            </w:r>
          </w:p>
        </w:tc>
      </w:tr>
      <w:tr>
        <w:trPr>
          <w:trHeight w:val="43"/>
        </w:trPr>
        <w:tc>
          <w:tcPr>
            <w:tcW w:w="3340" w:type="dxa"/>
            <w:vAlign w:val="bottom"/>
            <w:tcBorders>
              <w:left w:val="single" w:sz="8" w:color="6E06C1"/>
              <w:bottom w:val="single" w:sz="8" w:color="6D6D6D"/>
            </w:tcBorders>
          </w:tcPr>
          <w:p>
            <w:pPr>
              <w:spacing w:after="0"/>
              <w:rPr>
                <w:sz w:val="3"/>
                <w:szCs w:val="3"/>
                <w:color w:val="auto"/>
              </w:rPr>
            </w:pPr>
          </w:p>
        </w:tc>
        <w:tc>
          <w:tcPr>
            <w:tcW w:w="1560" w:type="dxa"/>
            <w:vAlign w:val="bottom"/>
            <w:tcBorders>
              <w:bottom w:val="single" w:sz="8" w:color="6D6D6D"/>
            </w:tcBorders>
          </w:tcPr>
          <w:p>
            <w:pPr>
              <w:spacing w:after="0"/>
              <w:rPr>
                <w:sz w:val="3"/>
                <w:szCs w:val="3"/>
                <w:color w:val="auto"/>
              </w:rPr>
            </w:pPr>
          </w:p>
        </w:tc>
        <w:tc>
          <w:tcPr>
            <w:tcW w:w="1520" w:type="dxa"/>
            <w:vAlign w:val="bottom"/>
            <w:tcBorders>
              <w:bottom w:val="single" w:sz="8" w:color="6D6D6D"/>
            </w:tcBorders>
          </w:tcPr>
          <w:p>
            <w:pPr>
              <w:spacing w:after="0"/>
              <w:rPr>
                <w:sz w:val="3"/>
                <w:szCs w:val="3"/>
                <w:color w:val="auto"/>
              </w:rPr>
            </w:pPr>
          </w:p>
        </w:tc>
        <w:tc>
          <w:tcPr>
            <w:tcW w:w="1960" w:type="dxa"/>
            <w:vAlign w:val="bottom"/>
            <w:tcBorders>
              <w:bottom w:val="single" w:sz="8" w:color="6D6D6D"/>
            </w:tcBorders>
          </w:tcPr>
          <w:p>
            <w:pPr>
              <w:spacing w:after="0"/>
              <w:rPr>
                <w:sz w:val="3"/>
                <w:szCs w:val="3"/>
                <w:color w:val="auto"/>
              </w:rPr>
            </w:pPr>
          </w:p>
        </w:tc>
        <w:tc>
          <w:tcPr>
            <w:tcW w:w="1700" w:type="dxa"/>
            <w:vAlign w:val="bottom"/>
            <w:tcBorders>
              <w:bottom w:val="single" w:sz="8" w:color="6D6D6D"/>
            </w:tcBorders>
          </w:tcPr>
          <w:p>
            <w:pPr>
              <w:spacing w:after="0"/>
              <w:rPr>
                <w:sz w:val="3"/>
                <w:szCs w:val="3"/>
                <w:color w:val="auto"/>
              </w:rPr>
            </w:pPr>
          </w:p>
        </w:tc>
        <w:tc>
          <w:tcPr>
            <w:tcW w:w="1140" w:type="dxa"/>
            <w:vAlign w:val="bottom"/>
            <w:tcBorders>
              <w:bottom w:val="single" w:sz="8" w:color="6D6D6D"/>
            </w:tcBorders>
          </w:tcPr>
          <w:p>
            <w:pPr>
              <w:spacing w:after="0"/>
              <w:rPr>
                <w:sz w:val="3"/>
                <w:szCs w:val="3"/>
                <w:color w:val="auto"/>
              </w:rPr>
            </w:pPr>
          </w:p>
        </w:tc>
      </w:tr>
      <w:tr>
        <w:trPr>
          <w:trHeight w:val="221"/>
        </w:trPr>
        <w:tc>
          <w:tcPr>
            <w:tcW w:w="3340" w:type="dxa"/>
            <w:vAlign w:val="bottom"/>
            <w:tcBorders>
              <w:left w:val="single" w:sz="8" w:color="6E06C1"/>
            </w:tcBorders>
          </w:tcPr>
          <w:p>
            <w:pPr>
              <w:ind w:left="160"/>
              <w:spacing w:after="0"/>
              <w:rPr>
                <w:sz w:val="20"/>
                <w:szCs w:val="20"/>
                <w:color w:val="auto"/>
              </w:rPr>
            </w:pPr>
            <w:r>
              <w:rPr>
                <w:rFonts w:ascii="Arial" w:cs="Arial" w:eastAsia="Arial" w:hAnsi="Arial"/>
                <w:sz w:val="16"/>
                <w:szCs w:val="16"/>
                <w:color w:val="auto"/>
              </w:rPr>
              <w:t>The Southern Company</w:t>
            </w:r>
          </w:p>
        </w:tc>
        <w:tc>
          <w:tcPr>
            <w:tcW w:w="1560" w:type="dxa"/>
            <w:vAlign w:val="bottom"/>
          </w:tcPr>
          <w:p>
            <w:pPr>
              <w:jc w:val="right"/>
              <w:spacing w:after="0"/>
              <w:rPr>
                <w:sz w:val="20"/>
                <w:szCs w:val="20"/>
                <w:color w:val="auto"/>
              </w:rPr>
            </w:pPr>
            <w:r>
              <w:rPr>
                <w:rFonts w:ascii="Arial" w:cs="Arial" w:eastAsia="Arial" w:hAnsi="Arial"/>
                <w:sz w:val="16"/>
                <w:szCs w:val="16"/>
                <w:color w:val="auto"/>
              </w:rPr>
              <w:t>SO</w:t>
            </w:r>
          </w:p>
        </w:tc>
        <w:tc>
          <w:tcPr>
            <w:tcW w:w="1520" w:type="dxa"/>
            <w:vAlign w:val="bottom"/>
          </w:tcPr>
          <w:p>
            <w:pPr>
              <w:jc w:val="right"/>
              <w:spacing w:after="0"/>
              <w:rPr>
                <w:sz w:val="20"/>
                <w:szCs w:val="20"/>
                <w:color w:val="auto"/>
              </w:rPr>
            </w:pPr>
            <w:r>
              <w:rPr>
                <w:rFonts w:ascii="Arial" w:cs="Arial" w:eastAsia="Arial" w:hAnsi="Arial"/>
                <w:sz w:val="16"/>
                <w:szCs w:val="16"/>
                <w:color w:val="auto"/>
              </w:rPr>
              <w:t>$26,134</w:t>
            </w:r>
          </w:p>
        </w:tc>
        <w:tc>
          <w:tcPr>
            <w:tcW w:w="1960" w:type="dxa"/>
            <w:vAlign w:val="bottom"/>
          </w:tcPr>
          <w:p>
            <w:pPr>
              <w:jc w:val="right"/>
              <w:ind w:right="300"/>
              <w:spacing w:after="0"/>
              <w:rPr>
                <w:sz w:val="20"/>
                <w:szCs w:val="20"/>
                <w:color w:val="auto"/>
              </w:rPr>
            </w:pPr>
            <w:r>
              <w:rPr>
                <w:rFonts w:ascii="Arial" w:cs="Arial" w:eastAsia="Arial" w:hAnsi="Arial"/>
                <w:sz w:val="16"/>
                <w:szCs w:val="16"/>
                <w:color w:val="auto"/>
              </w:rPr>
              <w:t>0 %</w:t>
            </w:r>
          </w:p>
        </w:tc>
        <w:tc>
          <w:tcPr>
            <w:tcW w:w="1700" w:type="dxa"/>
            <w:vAlign w:val="bottom"/>
          </w:tcPr>
          <w:p>
            <w:pPr>
              <w:jc w:val="right"/>
              <w:ind w:right="460"/>
              <w:spacing w:after="0"/>
              <w:rPr>
                <w:sz w:val="20"/>
                <w:szCs w:val="20"/>
                <w:color w:val="auto"/>
              </w:rPr>
            </w:pPr>
            <w:r>
              <w:rPr>
                <w:rFonts w:ascii="Arial" w:cs="Arial" w:eastAsia="Arial" w:hAnsi="Arial"/>
                <w:sz w:val="16"/>
                <w:szCs w:val="16"/>
                <w:color w:val="auto"/>
              </w:rPr>
              <w:t>$95,435</w:t>
            </w:r>
          </w:p>
        </w:tc>
        <w:tc>
          <w:tcPr>
            <w:tcW w:w="1140" w:type="dxa"/>
            <w:vAlign w:val="bottom"/>
          </w:tcPr>
          <w:p>
            <w:pPr>
              <w:jc w:val="right"/>
              <w:spacing w:after="0"/>
              <w:rPr>
                <w:sz w:val="20"/>
                <w:szCs w:val="20"/>
                <w:color w:val="auto"/>
              </w:rPr>
            </w:pPr>
            <w:r>
              <w:rPr>
                <w:rFonts w:ascii="Arial" w:cs="Arial" w:eastAsia="Arial" w:hAnsi="Arial"/>
                <w:sz w:val="16"/>
                <w:szCs w:val="16"/>
                <w:color w:val="auto"/>
              </w:rPr>
              <w:t>81 %</w:t>
            </w:r>
          </w:p>
        </w:tc>
      </w:tr>
      <w:tr>
        <w:trPr>
          <w:trHeight w:val="42"/>
        </w:trPr>
        <w:tc>
          <w:tcPr>
            <w:tcW w:w="3340" w:type="dxa"/>
            <w:vAlign w:val="bottom"/>
            <w:tcBorders>
              <w:left w:val="single" w:sz="8" w:color="6E06C1"/>
              <w:bottom w:val="single" w:sz="8" w:color="6D6D6D"/>
            </w:tcBorders>
          </w:tcPr>
          <w:p>
            <w:pPr>
              <w:spacing w:after="0"/>
              <w:rPr>
                <w:sz w:val="3"/>
                <w:szCs w:val="3"/>
                <w:color w:val="auto"/>
              </w:rPr>
            </w:pPr>
          </w:p>
        </w:tc>
        <w:tc>
          <w:tcPr>
            <w:tcW w:w="1560" w:type="dxa"/>
            <w:vAlign w:val="bottom"/>
            <w:tcBorders>
              <w:bottom w:val="single" w:sz="8" w:color="6D6D6D"/>
            </w:tcBorders>
          </w:tcPr>
          <w:p>
            <w:pPr>
              <w:spacing w:after="0"/>
              <w:rPr>
                <w:sz w:val="3"/>
                <w:szCs w:val="3"/>
                <w:color w:val="auto"/>
              </w:rPr>
            </w:pPr>
          </w:p>
        </w:tc>
        <w:tc>
          <w:tcPr>
            <w:tcW w:w="1520" w:type="dxa"/>
            <w:vAlign w:val="bottom"/>
            <w:tcBorders>
              <w:bottom w:val="single" w:sz="8" w:color="6D6D6D"/>
            </w:tcBorders>
          </w:tcPr>
          <w:p>
            <w:pPr>
              <w:spacing w:after="0"/>
              <w:rPr>
                <w:sz w:val="3"/>
                <w:szCs w:val="3"/>
                <w:color w:val="auto"/>
              </w:rPr>
            </w:pPr>
          </w:p>
        </w:tc>
        <w:tc>
          <w:tcPr>
            <w:tcW w:w="1960" w:type="dxa"/>
            <w:vAlign w:val="bottom"/>
            <w:tcBorders>
              <w:bottom w:val="single" w:sz="8" w:color="6D6D6D"/>
            </w:tcBorders>
          </w:tcPr>
          <w:p>
            <w:pPr>
              <w:spacing w:after="0"/>
              <w:rPr>
                <w:sz w:val="3"/>
                <w:szCs w:val="3"/>
                <w:color w:val="auto"/>
              </w:rPr>
            </w:pPr>
          </w:p>
        </w:tc>
        <w:tc>
          <w:tcPr>
            <w:tcW w:w="1700" w:type="dxa"/>
            <w:vAlign w:val="bottom"/>
            <w:tcBorders>
              <w:bottom w:val="single" w:sz="8" w:color="6D6D6D"/>
            </w:tcBorders>
          </w:tcPr>
          <w:p>
            <w:pPr>
              <w:spacing w:after="0"/>
              <w:rPr>
                <w:sz w:val="3"/>
                <w:szCs w:val="3"/>
                <w:color w:val="auto"/>
              </w:rPr>
            </w:pPr>
          </w:p>
        </w:tc>
        <w:tc>
          <w:tcPr>
            <w:tcW w:w="1140" w:type="dxa"/>
            <w:vAlign w:val="bottom"/>
            <w:tcBorders>
              <w:bottom w:val="single" w:sz="8" w:color="6D6D6D"/>
            </w:tcBorders>
          </w:tcPr>
          <w:p>
            <w:pPr>
              <w:spacing w:after="0"/>
              <w:rPr>
                <w:sz w:val="3"/>
                <w:szCs w:val="3"/>
                <w:color w:val="auto"/>
              </w:rPr>
            </w:pPr>
          </w:p>
        </w:tc>
      </w:tr>
      <w:tr>
        <w:trPr>
          <w:trHeight w:val="221"/>
        </w:trPr>
        <w:tc>
          <w:tcPr>
            <w:tcW w:w="3340" w:type="dxa"/>
            <w:vAlign w:val="bottom"/>
            <w:tcBorders>
              <w:left w:val="single" w:sz="8" w:color="6E06C1"/>
            </w:tcBorders>
          </w:tcPr>
          <w:p>
            <w:pPr>
              <w:ind w:left="160"/>
              <w:spacing w:after="0"/>
              <w:rPr>
                <w:sz w:val="20"/>
                <w:szCs w:val="20"/>
                <w:color w:val="auto"/>
              </w:rPr>
            </w:pPr>
            <w:r>
              <w:rPr>
                <w:rFonts w:ascii="Arial" w:cs="Arial" w:eastAsia="Arial" w:hAnsi="Arial"/>
                <w:sz w:val="16"/>
                <w:szCs w:val="16"/>
                <w:color w:val="auto"/>
              </w:rPr>
              <w:t>Xcel Energy</w:t>
            </w:r>
          </w:p>
        </w:tc>
        <w:tc>
          <w:tcPr>
            <w:tcW w:w="1560" w:type="dxa"/>
            <w:vAlign w:val="bottom"/>
          </w:tcPr>
          <w:p>
            <w:pPr>
              <w:jc w:val="right"/>
              <w:spacing w:after="0"/>
              <w:rPr>
                <w:sz w:val="20"/>
                <w:szCs w:val="20"/>
                <w:color w:val="auto"/>
              </w:rPr>
            </w:pPr>
            <w:r>
              <w:rPr>
                <w:rFonts w:ascii="Arial" w:cs="Arial" w:eastAsia="Arial" w:hAnsi="Arial"/>
                <w:sz w:val="16"/>
                <w:szCs w:val="16"/>
                <w:color w:val="auto"/>
              </w:rPr>
              <w:t>XEL</w:t>
            </w:r>
          </w:p>
        </w:tc>
        <w:tc>
          <w:tcPr>
            <w:tcW w:w="1520" w:type="dxa"/>
            <w:vAlign w:val="bottom"/>
          </w:tcPr>
          <w:p>
            <w:pPr>
              <w:jc w:val="right"/>
              <w:spacing w:after="0"/>
              <w:rPr>
                <w:sz w:val="20"/>
                <w:szCs w:val="20"/>
                <w:color w:val="auto"/>
              </w:rPr>
            </w:pPr>
            <w:r>
              <w:rPr>
                <w:rFonts w:ascii="Arial" w:cs="Arial" w:eastAsia="Arial" w:hAnsi="Arial"/>
                <w:sz w:val="16"/>
                <w:szCs w:val="16"/>
                <w:color w:val="auto"/>
              </w:rPr>
              <w:t>$13,781</w:t>
            </w:r>
          </w:p>
        </w:tc>
        <w:tc>
          <w:tcPr>
            <w:tcW w:w="1960" w:type="dxa"/>
            <w:vAlign w:val="bottom"/>
          </w:tcPr>
          <w:p>
            <w:pPr>
              <w:jc w:val="right"/>
              <w:ind w:right="300"/>
              <w:spacing w:after="0"/>
              <w:rPr>
                <w:sz w:val="20"/>
                <w:szCs w:val="20"/>
                <w:color w:val="auto"/>
              </w:rPr>
            </w:pPr>
            <w:r>
              <w:rPr>
                <w:rFonts w:ascii="Arial" w:cs="Arial" w:eastAsia="Arial" w:hAnsi="Arial"/>
                <w:sz w:val="16"/>
                <w:szCs w:val="16"/>
                <w:color w:val="auto"/>
              </w:rPr>
              <w:t>0 %</w:t>
            </w:r>
          </w:p>
        </w:tc>
        <w:tc>
          <w:tcPr>
            <w:tcW w:w="1700" w:type="dxa"/>
            <w:vAlign w:val="bottom"/>
          </w:tcPr>
          <w:p>
            <w:pPr>
              <w:jc w:val="right"/>
              <w:ind w:right="460"/>
              <w:spacing w:after="0"/>
              <w:rPr>
                <w:sz w:val="20"/>
                <w:szCs w:val="20"/>
                <w:color w:val="auto"/>
              </w:rPr>
            </w:pPr>
            <w:r>
              <w:rPr>
                <w:rFonts w:ascii="Arial" w:cs="Arial" w:eastAsia="Arial" w:hAnsi="Arial"/>
                <w:sz w:val="16"/>
                <w:szCs w:val="16"/>
                <w:color w:val="auto"/>
              </w:rPr>
              <w:t>$32,870</w:t>
            </w:r>
          </w:p>
        </w:tc>
        <w:tc>
          <w:tcPr>
            <w:tcW w:w="1140" w:type="dxa"/>
            <w:vAlign w:val="bottom"/>
          </w:tcPr>
          <w:p>
            <w:pPr>
              <w:jc w:val="right"/>
              <w:spacing w:after="0"/>
              <w:rPr>
                <w:sz w:val="20"/>
                <w:szCs w:val="20"/>
                <w:color w:val="auto"/>
              </w:rPr>
            </w:pPr>
            <w:r>
              <w:rPr>
                <w:rFonts w:ascii="Arial" w:cs="Arial" w:eastAsia="Arial" w:hAnsi="Arial"/>
                <w:sz w:val="16"/>
                <w:szCs w:val="16"/>
                <w:color w:val="auto"/>
              </w:rPr>
              <w:t>86 %</w:t>
            </w:r>
          </w:p>
        </w:tc>
      </w:tr>
      <w:tr>
        <w:trPr>
          <w:trHeight w:val="43"/>
        </w:trPr>
        <w:tc>
          <w:tcPr>
            <w:tcW w:w="3340" w:type="dxa"/>
            <w:vAlign w:val="bottom"/>
            <w:tcBorders>
              <w:left w:val="single" w:sz="8" w:color="6E06C1"/>
              <w:bottom w:val="single" w:sz="8" w:color="6D6D6D"/>
            </w:tcBorders>
          </w:tcPr>
          <w:p>
            <w:pPr>
              <w:spacing w:after="0"/>
              <w:rPr>
                <w:sz w:val="3"/>
                <w:szCs w:val="3"/>
                <w:color w:val="auto"/>
              </w:rPr>
            </w:pPr>
          </w:p>
        </w:tc>
        <w:tc>
          <w:tcPr>
            <w:tcW w:w="1560" w:type="dxa"/>
            <w:vAlign w:val="bottom"/>
            <w:tcBorders>
              <w:bottom w:val="single" w:sz="8" w:color="6D6D6D"/>
            </w:tcBorders>
          </w:tcPr>
          <w:p>
            <w:pPr>
              <w:spacing w:after="0"/>
              <w:rPr>
                <w:sz w:val="3"/>
                <w:szCs w:val="3"/>
                <w:color w:val="auto"/>
              </w:rPr>
            </w:pPr>
          </w:p>
        </w:tc>
        <w:tc>
          <w:tcPr>
            <w:tcW w:w="1520" w:type="dxa"/>
            <w:vAlign w:val="bottom"/>
            <w:tcBorders>
              <w:bottom w:val="single" w:sz="8" w:color="6D6D6D"/>
            </w:tcBorders>
          </w:tcPr>
          <w:p>
            <w:pPr>
              <w:spacing w:after="0"/>
              <w:rPr>
                <w:sz w:val="3"/>
                <w:szCs w:val="3"/>
                <w:color w:val="auto"/>
              </w:rPr>
            </w:pPr>
          </w:p>
        </w:tc>
        <w:tc>
          <w:tcPr>
            <w:tcW w:w="1960" w:type="dxa"/>
            <w:vAlign w:val="bottom"/>
            <w:tcBorders>
              <w:bottom w:val="single" w:sz="8" w:color="6D6D6D"/>
            </w:tcBorders>
          </w:tcPr>
          <w:p>
            <w:pPr>
              <w:spacing w:after="0"/>
              <w:rPr>
                <w:sz w:val="3"/>
                <w:szCs w:val="3"/>
                <w:color w:val="auto"/>
              </w:rPr>
            </w:pPr>
          </w:p>
        </w:tc>
        <w:tc>
          <w:tcPr>
            <w:tcW w:w="1700" w:type="dxa"/>
            <w:vAlign w:val="bottom"/>
            <w:tcBorders>
              <w:bottom w:val="single" w:sz="8" w:color="6D6D6D"/>
            </w:tcBorders>
          </w:tcPr>
          <w:p>
            <w:pPr>
              <w:spacing w:after="0"/>
              <w:rPr>
                <w:sz w:val="3"/>
                <w:szCs w:val="3"/>
                <w:color w:val="auto"/>
              </w:rPr>
            </w:pPr>
          </w:p>
        </w:tc>
        <w:tc>
          <w:tcPr>
            <w:tcW w:w="1140" w:type="dxa"/>
            <w:vAlign w:val="bottom"/>
            <w:tcBorders>
              <w:bottom w:val="single" w:sz="8" w:color="6D6D6D"/>
            </w:tcBorders>
          </w:tcPr>
          <w:p>
            <w:pPr>
              <w:spacing w:after="0"/>
              <w:rPr>
                <w:sz w:val="3"/>
                <w:szCs w:val="3"/>
                <w:color w:val="auto"/>
              </w:rPr>
            </w:pPr>
          </w:p>
        </w:tc>
      </w:tr>
      <w:tr>
        <w:trPr>
          <w:trHeight w:val="404"/>
        </w:trPr>
        <w:tc>
          <w:tcPr>
            <w:tcW w:w="3340" w:type="dxa"/>
            <w:vAlign w:val="bottom"/>
            <w:tcBorders>
              <w:left w:val="single" w:sz="8" w:color="6D6D6D"/>
            </w:tcBorders>
            <w:shd w:val="clear" w:color="auto" w:fill="E8E7EA"/>
          </w:tcPr>
          <w:p>
            <w:pPr>
              <w:ind w:left="160"/>
              <w:spacing w:after="0"/>
              <w:rPr>
                <w:sz w:val="20"/>
                <w:szCs w:val="20"/>
                <w:color w:val="auto"/>
              </w:rPr>
            </w:pPr>
            <w:r>
              <w:rPr>
                <w:rFonts w:ascii="Arial" w:cs="Arial" w:eastAsia="Arial" w:hAnsi="Arial"/>
                <w:sz w:val="16"/>
                <w:szCs w:val="16"/>
                <w:b w:val="1"/>
                <w:bCs w:val="1"/>
                <w:color w:val="auto"/>
              </w:rPr>
              <w:t>General Industry Peers</w:t>
            </w:r>
            <w:r>
              <w:rPr>
                <w:rFonts w:ascii="Arial" w:cs="Arial" w:eastAsia="Arial" w:hAnsi="Arial"/>
                <w:sz w:val="21"/>
                <w:szCs w:val="21"/>
                <w:b w:val="1"/>
                <w:bCs w:val="1"/>
                <w:color w:val="auto"/>
                <w:vertAlign w:val="superscript"/>
              </w:rPr>
              <w:t>1</w:t>
            </w:r>
          </w:p>
        </w:tc>
        <w:tc>
          <w:tcPr>
            <w:tcW w:w="1560" w:type="dxa"/>
            <w:vAlign w:val="bottom"/>
            <w:shd w:val="clear" w:color="auto" w:fill="E8E7EA"/>
          </w:tcPr>
          <w:p>
            <w:pPr>
              <w:spacing w:after="0"/>
              <w:rPr>
                <w:sz w:val="24"/>
                <w:szCs w:val="24"/>
                <w:color w:val="auto"/>
              </w:rPr>
            </w:pPr>
          </w:p>
        </w:tc>
        <w:tc>
          <w:tcPr>
            <w:tcW w:w="1520" w:type="dxa"/>
            <w:vAlign w:val="bottom"/>
            <w:shd w:val="clear" w:color="auto" w:fill="E8E7EA"/>
          </w:tcPr>
          <w:p>
            <w:pPr>
              <w:spacing w:after="0"/>
              <w:rPr>
                <w:sz w:val="24"/>
                <w:szCs w:val="24"/>
                <w:color w:val="auto"/>
              </w:rPr>
            </w:pPr>
          </w:p>
        </w:tc>
        <w:tc>
          <w:tcPr>
            <w:tcW w:w="1960" w:type="dxa"/>
            <w:vAlign w:val="bottom"/>
            <w:shd w:val="clear" w:color="auto" w:fill="E8E7EA"/>
          </w:tcPr>
          <w:p>
            <w:pPr>
              <w:spacing w:after="0"/>
              <w:rPr>
                <w:sz w:val="24"/>
                <w:szCs w:val="24"/>
                <w:color w:val="auto"/>
              </w:rPr>
            </w:pPr>
          </w:p>
        </w:tc>
        <w:tc>
          <w:tcPr>
            <w:tcW w:w="1700" w:type="dxa"/>
            <w:vAlign w:val="bottom"/>
            <w:shd w:val="clear" w:color="auto" w:fill="E8E7EA"/>
          </w:tcPr>
          <w:p>
            <w:pPr>
              <w:spacing w:after="0"/>
              <w:rPr>
                <w:sz w:val="24"/>
                <w:szCs w:val="24"/>
                <w:color w:val="auto"/>
              </w:rPr>
            </w:pPr>
          </w:p>
        </w:tc>
        <w:tc>
          <w:tcPr>
            <w:tcW w:w="1140" w:type="dxa"/>
            <w:vAlign w:val="bottom"/>
            <w:shd w:val="clear" w:color="auto" w:fill="E8E7EA"/>
          </w:tcPr>
          <w:p>
            <w:pPr>
              <w:spacing w:after="0"/>
              <w:rPr>
                <w:sz w:val="24"/>
                <w:szCs w:val="24"/>
                <w:color w:val="auto"/>
              </w:rPr>
            </w:pPr>
          </w:p>
        </w:tc>
      </w:tr>
      <w:tr>
        <w:trPr>
          <w:trHeight w:val="76"/>
        </w:trPr>
        <w:tc>
          <w:tcPr>
            <w:tcW w:w="3340" w:type="dxa"/>
            <w:vAlign w:val="bottom"/>
            <w:tcBorders>
              <w:left w:val="single" w:sz="8" w:color="6D6D6D"/>
              <w:bottom w:val="single" w:sz="8" w:color="6D6D6D"/>
            </w:tcBorders>
            <w:shd w:val="clear" w:color="auto" w:fill="E8E7EA"/>
          </w:tcPr>
          <w:p>
            <w:pPr>
              <w:spacing w:after="0"/>
              <w:rPr>
                <w:sz w:val="6"/>
                <w:szCs w:val="6"/>
                <w:color w:val="auto"/>
              </w:rPr>
            </w:pPr>
          </w:p>
        </w:tc>
        <w:tc>
          <w:tcPr>
            <w:tcW w:w="1560" w:type="dxa"/>
            <w:vAlign w:val="bottom"/>
            <w:tcBorders>
              <w:bottom w:val="single" w:sz="8" w:color="6D6D6D"/>
            </w:tcBorders>
            <w:shd w:val="clear" w:color="auto" w:fill="E8E7EA"/>
          </w:tcPr>
          <w:p>
            <w:pPr>
              <w:spacing w:after="0"/>
              <w:rPr>
                <w:sz w:val="6"/>
                <w:szCs w:val="6"/>
                <w:color w:val="auto"/>
              </w:rPr>
            </w:pPr>
          </w:p>
        </w:tc>
        <w:tc>
          <w:tcPr>
            <w:tcW w:w="1520" w:type="dxa"/>
            <w:vAlign w:val="bottom"/>
            <w:tcBorders>
              <w:bottom w:val="single" w:sz="8" w:color="6D6D6D"/>
            </w:tcBorders>
            <w:shd w:val="clear" w:color="auto" w:fill="E8E7EA"/>
          </w:tcPr>
          <w:p>
            <w:pPr>
              <w:spacing w:after="0"/>
              <w:rPr>
                <w:sz w:val="6"/>
                <w:szCs w:val="6"/>
                <w:color w:val="auto"/>
              </w:rPr>
            </w:pPr>
          </w:p>
        </w:tc>
        <w:tc>
          <w:tcPr>
            <w:tcW w:w="1960" w:type="dxa"/>
            <w:vAlign w:val="bottom"/>
            <w:tcBorders>
              <w:bottom w:val="single" w:sz="8" w:color="6D6D6D"/>
            </w:tcBorders>
            <w:shd w:val="clear" w:color="auto" w:fill="E8E7EA"/>
          </w:tcPr>
          <w:p>
            <w:pPr>
              <w:spacing w:after="0"/>
              <w:rPr>
                <w:sz w:val="6"/>
                <w:szCs w:val="6"/>
                <w:color w:val="auto"/>
              </w:rPr>
            </w:pPr>
          </w:p>
        </w:tc>
        <w:tc>
          <w:tcPr>
            <w:tcW w:w="1700" w:type="dxa"/>
            <w:vAlign w:val="bottom"/>
            <w:tcBorders>
              <w:bottom w:val="single" w:sz="8" w:color="6D6D6D"/>
            </w:tcBorders>
            <w:shd w:val="clear" w:color="auto" w:fill="E8E7EA"/>
          </w:tcPr>
          <w:p>
            <w:pPr>
              <w:spacing w:after="0"/>
              <w:rPr>
                <w:sz w:val="6"/>
                <w:szCs w:val="6"/>
                <w:color w:val="auto"/>
              </w:rPr>
            </w:pPr>
          </w:p>
        </w:tc>
        <w:tc>
          <w:tcPr>
            <w:tcW w:w="1140" w:type="dxa"/>
            <w:vAlign w:val="bottom"/>
            <w:tcBorders>
              <w:bottom w:val="single" w:sz="8" w:color="6D6D6D"/>
            </w:tcBorders>
            <w:shd w:val="clear" w:color="auto" w:fill="E8E7EA"/>
          </w:tcPr>
          <w:p>
            <w:pPr>
              <w:spacing w:after="0"/>
              <w:rPr>
                <w:sz w:val="6"/>
                <w:szCs w:val="6"/>
                <w:color w:val="auto"/>
              </w:rPr>
            </w:pPr>
          </w:p>
        </w:tc>
      </w:tr>
      <w:tr>
        <w:trPr>
          <w:trHeight w:val="221"/>
        </w:trPr>
        <w:tc>
          <w:tcPr>
            <w:tcW w:w="3340" w:type="dxa"/>
            <w:vAlign w:val="bottom"/>
            <w:tcBorders>
              <w:left w:val="single" w:sz="8" w:color="3A5CFF"/>
            </w:tcBorders>
          </w:tcPr>
          <w:p>
            <w:pPr>
              <w:ind w:left="160"/>
              <w:spacing w:after="0"/>
              <w:rPr>
                <w:sz w:val="20"/>
                <w:szCs w:val="20"/>
                <w:color w:val="auto"/>
              </w:rPr>
            </w:pPr>
            <w:r>
              <w:rPr>
                <w:rFonts w:ascii="Arial" w:cs="Arial" w:eastAsia="Arial" w:hAnsi="Arial"/>
                <w:sz w:val="16"/>
                <w:szCs w:val="16"/>
                <w:color w:val="auto"/>
              </w:rPr>
              <w:t>International Paper Company</w:t>
            </w:r>
          </w:p>
        </w:tc>
        <w:tc>
          <w:tcPr>
            <w:tcW w:w="1560" w:type="dxa"/>
            <w:vAlign w:val="bottom"/>
          </w:tcPr>
          <w:p>
            <w:pPr>
              <w:jc w:val="right"/>
              <w:spacing w:after="0"/>
              <w:rPr>
                <w:sz w:val="20"/>
                <w:szCs w:val="20"/>
                <w:color w:val="auto"/>
              </w:rPr>
            </w:pPr>
            <w:r>
              <w:rPr>
                <w:rFonts w:ascii="Arial" w:cs="Arial" w:eastAsia="Arial" w:hAnsi="Arial"/>
                <w:sz w:val="16"/>
                <w:szCs w:val="16"/>
                <w:color w:val="auto"/>
              </w:rPr>
              <w:t>IP</w:t>
            </w:r>
          </w:p>
        </w:tc>
        <w:tc>
          <w:tcPr>
            <w:tcW w:w="1520" w:type="dxa"/>
            <w:vAlign w:val="bottom"/>
          </w:tcPr>
          <w:p>
            <w:pPr>
              <w:jc w:val="right"/>
              <w:spacing w:after="0"/>
              <w:rPr>
                <w:sz w:val="20"/>
                <w:szCs w:val="20"/>
                <w:color w:val="auto"/>
              </w:rPr>
            </w:pPr>
            <w:r>
              <w:rPr>
                <w:rFonts w:ascii="Arial" w:cs="Arial" w:eastAsia="Arial" w:hAnsi="Arial"/>
                <w:sz w:val="16"/>
                <w:szCs w:val="16"/>
                <w:color w:val="auto"/>
              </w:rPr>
              <w:t>$28,200</w:t>
            </w:r>
          </w:p>
        </w:tc>
        <w:tc>
          <w:tcPr>
            <w:tcW w:w="1960" w:type="dxa"/>
            <w:vAlign w:val="bottom"/>
          </w:tcPr>
          <w:p>
            <w:pPr>
              <w:jc w:val="right"/>
              <w:ind w:right="300"/>
              <w:spacing w:after="0"/>
              <w:rPr>
                <w:sz w:val="20"/>
                <w:szCs w:val="20"/>
                <w:color w:val="auto"/>
              </w:rPr>
            </w:pPr>
            <w:r>
              <w:rPr>
                <w:rFonts w:ascii="Arial" w:cs="Arial" w:eastAsia="Arial" w:hAnsi="Arial"/>
                <w:sz w:val="16"/>
                <w:szCs w:val="16"/>
                <w:color w:val="auto"/>
              </w:rPr>
              <w:t>35 %</w:t>
            </w:r>
          </w:p>
        </w:tc>
        <w:tc>
          <w:tcPr>
            <w:tcW w:w="1700" w:type="dxa"/>
            <w:vAlign w:val="bottom"/>
          </w:tcPr>
          <w:p>
            <w:pPr>
              <w:jc w:val="right"/>
              <w:ind w:right="460"/>
              <w:spacing w:after="0"/>
              <w:rPr>
                <w:sz w:val="20"/>
                <w:szCs w:val="20"/>
                <w:color w:val="auto"/>
              </w:rPr>
            </w:pPr>
            <w:r>
              <w:rPr>
                <w:rFonts w:ascii="Arial" w:cs="Arial" w:eastAsia="Arial" w:hAnsi="Arial"/>
                <w:sz w:val="16"/>
                <w:szCs w:val="16"/>
                <w:color w:val="auto"/>
              </w:rPr>
              <w:t>$16,021</w:t>
            </w:r>
          </w:p>
        </w:tc>
        <w:tc>
          <w:tcPr>
            <w:tcW w:w="1140" w:type="dxa"/>
            <w:vAlign w:val="bottom"/>
          </w:tcPr>
          <w:p>
            <w:pPr>
              <w:jc w:val="right"/>
              <w:spacing w:after="0"/>
              <w:rPr>
                <w:sz w:val="20"/>
                <w:szCs w:val="20"/>
                <w:color w:val="auto"/>
              </w:rPr>
            </w:pPr>
            <w:r>
              <w:rPr>
                <w:rFonts w:ascii="Arial" w:cs="Arial" w:eastAsia="Arial" w:hAnsi="Arial"/>
                <w:sz w:val="16"/>
                <w:szCs w:val="16"/>
                <w:color w:val="auto"/>
              </w:rPr>
              <w:t>76 %</w:t>
            </w:r>
          </w:p>
        </w:tc>
      </w:tr>
      <w:tr>
        <w:trPr>
          <w:trHeight w:val="43"/>
        </w:trPr>
        <w:tc>
          <w:tcPr>
            <w:tcW w:w="3340" w:type="dxa"/>
            <w:vAlign w:val="bottom"/>
            <w:tcBorders>
              <w:left w:val="single" w:sz="8" w:color="3A5CFF"/>
              <w:bottom w:val="single" w:sz="8" w:color="6D6D6D"/>
            </w:tcBorders>
          </w:tcPr>
          <w:p>
            <w:pPr>
              <w:spacing w:after="0"/>
              <w:rPr>
                <w:sz w:val="3"/>
                <w:szCs w:val="3"/>
                <w:color w:val="auto"/>
              </w:rPr>
            </w:pPr>
          </w:p>
        </w:tc>
        <w:tc>
          <w:tcPr>
            <w:tcW w:w="1560" w:type="dxa"/>
            <w:vAlign w:val="bottom"/>
            <w:tcBorders>
              <w:bottom w:val="single" w:sz="8" w:color="6D6D6D"/>
            </w:tcBorders>
          </w:tcPr>
          <w:p>
            <w:pPr>
              <w:spacing w:after="0"/>
              <w:rPr>
                <w:sz w:val="3"/>
                <w:szCs w:val="3"/>
                <w:color w:val="auto"/>
              </w:rPr>
            </w:pPr>
          </w:p>
        </w:tc>
        <w:tc>
          <w:tcPr>
            <w:tcW w:w="1520" w:type="dxa"/>
            <w:vAlign w:val="bottom"/>
            <w:tcBorders>
              <w:bottom w:val="single" w:sz="8" w:color="6D6D6D"/>
            </w:tcBorders>
          </w:tcPr>
          <w:p>
            <w:pPr>
              <w:spacing w:after="0"/>
              <w:rPr>
                <w:sz w:val="3"/>
                <w:szCs w:val="3"/>
                <w:color w:val="auto"/>
              </w:rPr>
            </w:pPr>
          </w:p>
        </w:tc>
        <w:tc>
          <w:tcPr>
            <w:tcW w:w="1960" w:type="dxa"/>
            <w:vAlign w:val="bottom"/>
            <w:tcBorders>
              <w:bottom w:val="single" w:sz="8" w:color="6D6D6D"/>
            </w:tcBorders>
          </w:tcPr>
          <w:p>
            <w:pPr>
              <w:spacing w:after="0"/>
              <w:rPr>
                <w:sz w:val="3"/>
                <w:szCs w:val="3"/>
                <w:color w:val="auto"/>
              </w:rPr>
            </w:pPr>
          </w:p>
        </w:tc>
        <w:tc>
          <w:tcPr>
            <w:tcW w:w="1700" w:type="dxa"/>
            <w:vAlign w:val="bottom"/>
            <w:tcBorders>
              <w:bottom w:val="single" w:sz="8" w:color="6D6D6D"/>
            </w:tcBorders>
          </w:tcPr>
          <w:p>
            <w:pPr>
              <w:spacing w:after="0"/>
              <w:rPr>
                <w:sz w:val="3"/>
                <w:szCs w:val="3"/>
                <w:color w:val="auto"/>
              </w:rPr>
            </w:pPr>
          </w:p>
        </w:tc>
        <w:tc>
          <w:tcPr>
            <w:tcW w:w="1140" w:type="dxa"/>
            <w:vAlign w:val="bottom"/>
            <w:tcBorders>
              <w:bottom w:val="single" w:sz="8" w:color="6D6D6D"/>
            </w:tcBorders>
          </w:tcPr>
          <w:p>
            <w:pPr>
              <w:spacing w:after="0"/>
              <w:rPr>
                <w:sz w:val="3"/>
                <w:szCs w:val="3"/>
                <w:color w:val="auto"/>
              </w:rPr>
            </w:pPr>
          </w:p>
        </w:tc>
      </w:tr>
      <w:tr>
        <w:trPr>
          <w:trHeight w:val="221"/>
        </w:trPr>
        <w:tc>
          <w:tcPr>
            <w:tcW w:w="3340" w:type="dxa"/>
            <w:vAlign w:val="bottom"/>
            <w:tcBorders>
              <w:left w:val="single" w:sz="8" w:color="3A5CFF"/>
            </w:tcBorders>
          </w:tcPr>
          <w:p>
            <w:pPr>
              <w:ind w:left="160"/>
              <w:spacing w:after="0"/>
              <w:rPr>
                <w:sz w:val="20"/>
                <w:szCs w:val="20"/>
                <w:color w:val="auto"/>
              </w:rPr>
            </w:pPr>
            <w:r>
              <w:rPr>
                <w:rFonts w:ascii="Arial" w:cs="Arial" w:eastAsia="Arial" w:hAnsi="Arial"/>
                <w:sz w:val="16"/>
                <w:szCs w:val="16"/>
                <w:color w:val="auto"/>
              </w:rPr>
              <w:t>Eaton Corp.</w:t>
            </w:r>
          </w:p>
        </w:tc>
        <w:tc>
          <w:tcPr>
            <w:tcW w:w="1560" w:type="dxa"/>
            <w:vAlign w:val="bottom"/>
          </w:tcPr>
          <w:p>
            <w:pPr>
              <w:jc w:val="right"/>
              <w:spacing w:after="0"/>
              <w:rPr>
                <w:sz w:val="20"/>
                <w:szCs w:val="20"/>
                <w:color w:val="auto"/>
              </w:rPr>
            </w:pPr>
            <w:r>
              <w:rPr>
                <w:rFonts w:ascii="Arial" w:cs="Arial" w:eastAsia="Arial" w:hAnsi="Arial"/>
                <w:sz w:val="16"/>
                <w:szCs w:val="16"/>
                <w:color w:val="auto"/>
              </w:rPr>
              <w:t>ETN</w:t>
            </w:r>
          </w:p>
        </w:tc>
        <w:tc>
          <w:tcPr>
            <w:tcW w:w="1520" w:type="dxa"/>
            <w:vAlign w:val="bottom"/>
          </w:tcPr>
          <w:p>
            <w:pPr>
              <w:jc w:val="right"/>
              <w:spacing w:after="0"/>
              <w:rPr>
                <w:sz w:val="20"/>
                <w:szCs w:val="20"/>
                <w:color w:val="auto"/>
              </w:rPr>
            </w:pPr>
            <w:r>
              <w:rPr>
                <w:rFonts w:ascii="Arial" w:cs="Arial" w:eastAsia="Arial" w:hAnsi="Arial"/>
                <w:sz w:val="16"/>
                <w:szCs w:val="16"/>
                <w:color w:val="auto"/>
              </w:rPr>
              <w:t>$24,140</w:t>
            </w:r>
          </w:p>
        </w:tc>
        <w:tc>
          <w:tcPr>
            <w:tcW w:w="1960" w:type="dxa"/>
            <w:vAlign w:val="bottom"/>
          </w:tcPr>
          <w:p>
            <w:pPr>
              <w:jc w:val="right"/>
              <w:ind w:right="300"/>
              <w:spacing w:after="0"/>
              <w:rPr>
                <w:sz w:val="20"/>
                <w:szCs w:val="20"/>
                <w:color w:val="auto"/>
              </w:rPr>
            </w:pPr>
            <w:r>
              <w:rPr>
                <w:rFonts w:ascii="Arial" w:cs="Arial" w:eastAsia="Arial" w:hAnsi="Arial"/>
                <w:sz w:val="16"/>
                <w:szCs w:val="16"/>
                <w:color w:val="auto"/>
              </w:rPr>
              <w:t>39 %</w:t>
            </w:r>
          </w:p>
        </w:tc>
        <w:tc>
          <w:tcPr>
            <w:tcW w:w="1700" w:type="dxa"/>
            <w:vAlign w:val="bottom"/>
          </w:tcPr>
          <w:p>
            <w:pPr>
              <w:jc w:val="right"/>
              <w:ind w:right="460"/>
              <w:spacing w:after="0"/>
              <w:rPr>
                <w:sz w:val="20"/>
                <w:szCs w:val="20"/>
                <w:color w:val="auto"/>
              </w:rPr>
            </w:pPr>
            <w:r>
              <w:rPr>
                <w:rFonts w:ascii="Arial" w:cs="Arial" w:eastAsia="Arial" w:hAnsi="Arial"/>
                <w:sz w:val="16"/>
                <w:szCs w:val="16"/>
                <w:color w:val="auto"/>
              </w:rPr>
              <w:t>$118,753</w:t>
            </w:r>
          </w:p>
        </w:tc>
        <w:tc>
          <w:tcPr>
            <w:tcW w:w="1140" w:type="dxa"/>
            <w:vAlign w:val="bottom"/>
          </w:tcPr>
          <w:p>
            <w:pPr>
              <w:jc w:val="right"/>
              <w:spacing w:after="0"/>
              <w:rPr>
                <w:sz w:val="20"/>
                <w:szCs w:val="20"/>
                <w:color w:val="auto"/>
              </w:rPr>
            </w:pPr>
            <w:r>
              <w:rPr>
                <w:rFonts w:ascii="Arial" w:cs="Arial" w:eastAsia="Arial" w:hAnsi="Arial"/>
                <w:sz w:val="16"/>
                <w:szCs w:val="16"/>
                <w:color w:val="auto"/>
              </w:rPr>
              <w:t>33 %</w:t>
            </w:r>
          </w:p>
        </w:tc>
      </w:tr>
      <w:tr>
        <w:trPr>
          <w:trHeight w:val="43"/>
        </w:trPr>
        <w:tc>
          <w:tcPr>
            <w:tcW w:w="3340" w:type="dxa"/>
            <w:vAlign w:val="bottom"/>
            <w:tcBorders>
              <w:left w:val="single" w:sz="8" w:color="3A5CFF"/>
              <w:bottom w:val="single" w:sz="8" w:color="6D6D6D"/>
            </w:tcBorders>
          </w:tcPr>
          <w:p>
            <w:pPr>
              <w:spacing w:after="0"/>
              <w:rPr>
                <w:sz w:val="3"/>
                <w:szCs w:val="3"/>
                <w:color w:val="auto"/>
              </w:rPr>
            </w:pPr>
          </w:p>
        </w:tc>
        <w:tc>
          <w:tcPr>
            <w:tcW w:w="1560" w:type="dxa"/>
            <w:vAlign w:val="bottom"/>
            <w:tcBorders>
              <w:bottom w:val="single" w:sz="8" w:color="6D6D6D"/>
            </w:tcBorders>
          </w:tcPr>
          <w:p>
            <w:pPr>
              <w:spacing w:after="0"/>
              <w:rPr>
                <w:sz w:val="3"/>
                <w:szCs w:val="3"/>
                <w:color w:val="auto"/>
              </w:rPr>
            </w:pPr>
          </w:p>
        </w:tc>
        <w:tc>
          <w:tcPr>
            <w:tcW w:w="1520" w:type="dxa"/>
            <w:vAlign w:val="bottom"/>
            <w:tcBorders>
              <w:bottom w:val="single" w:sz="8" w:color="6D6D6D"/>
            </w:tcBorders>
          </w:tcPr>
          <w:p>
            <w:pPr>
              <w:spacing w:after="0"/>
              <w:rPr>
                <w:sz w:val="3"/>
                <w:szCs w:val="3"/>
                <w:color w:val="auto"/>
              </w:rPr>
            </w:pPr>
          </w:p>
        </w:tc>
        <w:tc>
          <w:tcPr>
            <w:tcW w:w="1960" w:type="dxa"/>
            <w:vAlign w:val="bottom"/>
            <w:tcBorders>
              <w:bottom w:val="single" w:sz="8" w:color="6D6D6D"/>
            </w:tcBorders>
          </w:tcPr>
          <w:p>
            <w:pPr>
              <w:spacing w:after="0"/>
              <w:rPr>
                <w:sz w:val="3"/>
                <w:szCs w:val="3"/>
                <w:color w:val="auto"/>
              </w:rPr>
            </w:pPr>
          </w:p>
        </w:tc>
        <w:tc>
          <w:tcPr>
            <w:tcW w:w="1700" w:type="dxa"/>
            <w:vAlign w:val="bottom"/>
            <w:tcBorders>
              <w:bottom w:val="single" w:sz="8" w:color="6D6D6D"/>
            </w:tcBorders>
          </w:tcPr>
          <w:p>
            <w:pPr>
              <w:spacing w:after="0"/>
              <w:rPr>
                <w:sz w:val="3"/>
                <w:szCs w:val="3"/>
                <w:color w:val="auto"/>
              </w:rPr>
            </w:pPr>
          </w:p>
        </w:tc>
        <w:tc>
          <w:tcPr>
            <w:tcW w:w="1140" w:type="dxa"/>
            <w:vAlign w:val="bottom"/>
            <w:tcBorders>
              <w:bottom w:val="single" w:sz="8" w:color="6D6D6D"/>
            </w:tcBorders>
          </w:tcPr>
          <w:p>
            <w:pPr>
              <w:spacing w:after="0"/>
              <w:rPr>
                <w:sz w:val="3"/>
                <w:szCs w:val="3"/>
                <w:color w:val="auto"/>
              </w:rPr>
            </w:pPr>
          </w:p>
        </w:tc>
      </w:tr>
      <w:tr>
        <w:trPr>
          <w:trHeight w:val="221"/>
        </w:trPr>
        <w:tc>
          <w:tcPr>
            <w:tcW w:w="3340" w:type="dxa"/>
            <w:vAlign w:val="bottom"/>
            <w:tcBorders>
              <w:left w:val="single" w:sz="8" w:color="3A5CFF"/>
            </w:tcBorders>
          </w:tcPr>
          <w:p>
            <w:pPr>
              <w:ind w:left="160"/>
              <w:spacing w:after="0"/>
              <w:rPr>
                <w:sz w:val="20"/>
                <w:szCs w:val="20"/>
                <w:color w:val="auto"/>
              </w:rPr>
            </w:pPr>
            <w:r>
              <w:rPr>
                <w:rFonts w:ascii="Arial" w:cs="Arial" w:eastAsia="Arial" w:hAnsi="Arial"/>
                <w:sz w:val="16"/>
                <w:szCs w:val="16"/>
                <w:color w:val="auto"/>
              </w:rPr>
              <w:t>Occidental Petroleum Corp.</w:t>
            </w:r>
          </w:p>
        </w:tc>
        <w:tc>
          <w:tcPr>
            <w:tcW w:w="1560" w:type="dxa"/>
            <w:vAlign w:val="bottom"/>
          </w:tcPr>
          <w:p>
            <w:pPr>
              <w:jc w:val="right"/>
              <w:spacing w:after="0"/>
              <w:rPr>
                <w:sz w:val="20"/>
                <w:szCs w:val="20"/>
                <w:color w:val="auto"/>
              </w:rPr>
            </w:pPr>
            <w:r>
              <w:rPr>
                <w:rFonts w:ascii="Arial" w:cs="Arial" w:eastAsia="Arial" w:hAnsi="Arial"/>
                <w:sz w:val="16"/>
                <w:szCs w:val="16"/>
                <w:color w:val="auto"/>
              </w:rPr>
              <w:t>OXY</w:t>
            </w:r>
          </w:p>
        </w:tc>
        <w:tc>
          <w:tcPr>
            <w:tcW w:w="1520" w:type="dxa"/>
            <w:vAlign w:val="bottom"/>
          </w:tcPr>
          <w:p>
            <w:pPr>
              <w:jc w:val="right"/>
              <w:spacing w:after="0"/>
              <w:rPr>
                <w:sz w:val="20"/>
                <w:szCs w:val="20"/>
                <w:color w:val="auto"/>
              </w:rPr>
            </w:pPr>
            <w:r>
              <w:rPr>
                <w:rFonts w:ascii="Arial" w:cs="Arial" w:eastAsia="Arial" w:hAnsi="Arial"/>
                <w:sz w:val="16"/>
                <w:szCs w:val="16"/>
                <w:color w:val="auto"/>
              </w:rPr>
              <w:t>$27,122</w:t>
            </w:r>
          </w:p>
        </w:tc>
        <w:tc>
          <w:tcPr>
            <w:tcW w:w="1960" w:type="dxa"/>
            <w:vAlign w:val="bottom"/>
          </w:tcPr>
          <w:p>
            <w:pPr>
              <w:jc w:val="right"/>
              <w:ind w:right="300"/>
              <w:spacing w:after="0"/>
              <w:rPr>
                <w:sz w:val="20"/>
                <w:szCs w:val="20"/>
                <w:color w:val="auto"/>
              </w:rPr>
            </w:pPr>
            <w:r>
              <w:rPr>
                <w:rFonts w:ascii="Arial" w:cs="Arial" w:eastAsia="Arial" w:hAnsi="Arial"/>
                <w:sz w:val="16"/>
                <w:szCs w:val="16"/>
                <w:color w:val="auto"/>
              </w:rPr>
              <w:t>13 %</w:t>
            </w:r>
          </w:p>
        </w:tc>
        <w:tc>
          <w:tcPr>
            <w:tcW w:w="1700" w:type="dxa"/>
            <w:vAlign w:val="bottom"/>
          </w:tcPr>
          <w:p>
            <w:pPr>
              <w:jc w:val="right"/>
              <w:ind w:right="460"/>
              <w:spacing w:after="0"/>
              <w:rPr>
                <w:sz w:val="20"/>
                <w:szCs w:val="20"/>
                <w:color w:val="auto"/>
              </w:rPr>
            </w:pPr>
            <w:r>
              <w:rPr>
                <w:rFonts w:ascii="Arial" w:cs="Arial" w:eastAsia="Arial" w:hAnsi="Arial"/>
                <w:sz w:val="16"/>
                <w:szCs w:val="16"/>
                <w:color w:val="auto"/>
              </w:rPr>
              <w:t>$51,566</w:t>
            </w:r>
          </w:p>
        </w:tc>
        <w:tc>
          <w:tcPr>
            <w:tcW w:w="1140" w:type="dxa"/>
            <w:vAlign w:val="bottom"/>
          </w:tcPr>
          <w:p>
            <w:pPr>
              <w:jc w:val="right"/>
              <w:spacing w:after="0"/>
              <w:rPr>
                <w:sz w:val="20"/>
                <w:szCs w:val="20"/>
                <w:color w:val="auto"/>
              </w:rPr>
            </w:pPr>
            <w:r>
              <w:rPr>
                <w:rFonts w:ascii="Arial" w:cs="Arial" w:eastAsia="Arial" w:hAnsi="Arial"/>
                <w:sz w:val="16"/>
                <w:szCs w:val="16"/>
                <w:color w:val="auto"/>
              </w:rPr>
              <w:t>90 %</w:t>
            </w:r>
          </w:p>
        </w:tc>
      </w:tr>
      <w:tr>
        <w:trPr>
          <w:trHeight w:val="42"/>
        </w:trPr>
        <w:tc>
          <w:tcPr>
            <w:tcW w:w="3340" w:type="dxa"/>
            <w:vAlign w:val="bottom"/>
            <w:tcBorders>
              <w:left w:val="single" w:sz="8" w:color="3A5CFF"/>
              <w:bottom w:val="single" w:sz="8" w:color="6D6D6D"/>
            </w:tcBorders>
          </w:tcPr>
          <w:p>
            <w:pPr>
              <w:spacing w:after="0"/>
              <w:rPr>
                <w:sz w:val="3"/>
                <w:szCs w:val="3"/>
                <w:color w:val="auto"/>
              </w:rPr>
            </w:pPr>
          </w:p>
        </w:tc>
        <w:tc>
          <w:tcPr>
            <w:tcW w:w="1560" w:type="dxa"/>
            <w:vAlign w:val="bottom"/>
            <w:tcBorders>
              <w:bottom w:val="single" w:sz="8" w:color="6D6D6D"/>
            </w:tcBorders>
          </w:tcPr>
          <w:p>
            <w:pPr>
              <w:spacing w:after="0"/>
              <w:rPr>
                <w:sz w:val="3"/>
                <w:szCs w:val="3"/>
                <w:color w:val="auto"/>
              </w:rPr>
            </w:pPr>
          </w:p>
        </w:tc>
        <w:tc>
          <w:tcPr>
            <w:tcW w:w="1520" w:type="dxa"/>
            <w:vAlign w:val="bottom"/>
            <w:tcBorders>
              <w:bottom w:val="single" w:sz="8" w:color="6D6D6D"/>
            </w:tcBorders>
          </w:tcPr>
          <w:p>
            <w:pPr>
              <w:spacing w:after="0"/>
              <w:rPr>
                <w:sz w:val="3"/>
                <w:szCs w:val="3"/>
                <w:color w:val="auto"/>
              </w:rPr>
            </w:pPr>
          </w:p>
        </w:tc>
        <w:tc>
          <w:tcPr>
            <w:tcW w:w="1960" w:type="dxa"/>
            <w:vAlign w:val="bottom"/>
            <w:tcBorders>
              <w:bottom w:val="single" w:sz="8" w:color="6D6D6D"/>
            </w:tcBorders>
          </w:tcPr>
          <w:p>
            <w:pPr>
              <w:spacing w:after="0"/>
              <w:rPr>
                <w:sz w:val="3"/>
                <w:szCs w:val="3"/>
                <w:color w:val="auto"/>
              </w:rPr>
            </w:pPr>
          </w:p>
        </w:tc>
        <w:tc>
          <w:tcPr>
            <w:tcW w:w="1700" w:type="dxa"/>
            <w:vAlign w:val="bottom"/>
            <w:tcBorders>
              <w:bottom w:val="single" w:sz="8" w:color="6D6D6D"/>
            </w:tcBorders>
          </w:tcPr>
          <w:p>
            <w:pPr>
              <w:spacing w:after="0"/>
              <w:rPr>
                <w:sz w:val="3"/>
                <w:szCs w:val="3"/>
                <w:color w:val="auto"/>
              </w:rPr>
            </w:pPr>
          </w:p>
        </w:tc>
        <w:tc>
          <w:tcPr>
            <w:tcW w:w="1140" w:type="dxa"/>
            <w:vAlign w:val="bottom"/>
            <w:tcBorders>
              <w:bottom w:val="single" w:sz="8" w:color="6D6D6D"/>
            </w:tcBorders>
          </w:tcPr>
          <w:p>
            <w:pPr>
              <w:spacing w:after="0"/>
              <w:rPr>
                <w:sz w:val="3"/>
                <w:szCs w:val="3"/>
                <w:color w:val="auto"/>
              </w:rPr>
            </w:pPr>
          </w:p>
        </w:tc>
      </w:tr>
      <w:tr>
        <w:trPr>
          <w:trHeight w:val="221"/>
        </w:trPr>
        <w:tc>
          <w:tcPr>
            <w:tcW w:w="3340" w:type="dxa"/>
            <w:vAlign w:val="bottom"/>
            <w:tcBorders>
              <w:left w:val="single" w:sz="8" w:color="3A5CFF"/>
            </w:tcBorders>
          </w:tcPr>
          <w:p>
            <w:pPr>
              <w:ind w:left="160"/>
              <w:spacing w:after="0"/>
              <w:rPr>
                <w:sz w:val="20"/>
                <w:szCs w:val="20"/>
                <w:color w:val="auto"/>
              </w:rPr>
            </w:pPr>
            <w:r>
              <w:rPr>
                <w:rFonts w:ascii="Arial" w:cs="Arial" w:eastAsia="Arial" w:hAnsi="Arial"/>
                <w:sz w:val="16"/>
                <w:szCs w:val="16"/>
                <w:color w:val="auto"/>
              </w:rPr>
              <w:t>Union Pacific Corp.</w:t>
            </w:r>
          </w:p>
        </w:tc>
        <w:tc>
          <w:tcPr>
            <w:tcW w:w="1560" w:type="dxa"/>
            <w:vAlign w:val="bottom"/>
          </w:tcPr>
          <w:p>
            <w:pPr>
              <w:jc w:val="right"/>
              <w:spacing w:after="0"/>
              <w:rPr>
                <w:sz w:val="20"/>
                <w:szCs w:val="20"/>
                <w:color w:val="auto"/>
              </w:rPr>
            </w:pPr>
            <w:r>
              <w:rPr>
                <w:rFonts w:ascii="Arial" w:cs="Arial" w:eastAsia="Arial" w:hAnsi="Arial"/>
                <w:sz w:val="16"/>
                <w:szCs w:val="16"/>
                <w:color w:val="auto"/>
              </w:rPr>
              <w:t>UNP</w:t>
            </w:r>
          </w:p>
        </w:tc>
        <w:tc>
          <w:tcPr>
            <w:tcW w:w="1520" w:type="dxa"/>
            <w:vAlign w:val="bottom"/>
          </w:tcPr>
          <w:p>
            <w:pPr>
              <w:jc w:val="right"/>
              <w:spacing w:after="0"/>
              <w:rPr>
                <w:sz w:val="20"/>
                <w:szCs w:val="20"/>
                <w:color w:val="auto"/>
              </w:rPr>
            </w:pPr>
            <w:r>
              <w:rPr>
                <w:rFonts w:ascii="Arial" w:cs="Arial" w:eastAsia="Arial" w:hAnsi="Arial"/>
                <w:sz w:val="16"/>
                <w:szCs w:val="16"/>
                <w:color w:val="auto"/>
              </w:rPr>
              <w:t>$24,138</w:t>
            </w:r>
          </w:p>
        </w:tc>
        <w:tc>
          <w:tcPr>
            <w:tcW w:w="1960" w:type="dxa"/>
            <w:vAlign w:val="bottom"/>
          </w:tcPr>
          <w:p>
            <w:pPr>
              <w:jc w:val="right"/>
              <w:ind w:right="300"/>
              <w:spacing w:after="0"/>
              <w:rPr>
                <w:sz w:val="20"/>
                <w:szCs w:val="20"/>
                <w:color w:val="auto"/>
              </w:rPr>
            </w:pPr>
            <w:r>
              <w:rPr>
                <w:rFonts w:ascii="Arial" w:cs="Arial" w:eastAsia="Arial" w:hAnsi="Arial"/>
                <w:sz w:val="16"/>
                <w:szCs w:val="16"/>
                <w:color w:val="auto"/>
              </w:rPr>
              <w:t>12 %</w:t>
            </w:r>
          </w:p>
        </w:tc>
        <w:tc>
          <w:tcPr>
            <w:tcW w:w="1700" w:type="dxa"/>
            <w:vAlign w:val="bottom"/>
          </w:tcPr>
          <w:p>
            <w:pPr>
              <w:jc w:val="right"/>
              <w:ind w:right="460"/>
              <w:spacing w:after="0"/>
              <w:rPr>
                <w:sz w:val="20"/>
                <w:szCs w:val="20"/>
                <w:color w:val="auto"/>
              </w:rPr>
            </w:pPr>
            <w:r>
              <w:rPr>
                <w:rFonts w:ascii="Arial" w:cs="Arial" w:eastAsia="Arial" w:hAnsi="Arial"/>
                <w:sz w:val="16"/>
                <w:szCs w:val="16"/>
                <w:color w:val="auto"/>
              </w:rPr>
              <w:t>$146,951</w:t>
            </w:r>
          </w:p>
        </w:tc>
        <w:tc>
          <w:tcPr>
            <w:tcW w:w="1140" w:type="dxa"/>
            <w:vAlign w:val="bottom"/>
          </w:tcPr>
          <w:p>
            <w:pPr>
              <w:jc w:val="right"/>
              <w:spacing w:after="0"/>
              <w:rPr>
                <w:sz w:val="20"/>
                <w:szCs w:val="20"/>
                <w:color w:val="auto"/>
              </w:rPr>
            </w:pPr>
            <w:r>
              <w:rPr>
                <w:rFonts w:ascii="Arial" w:cs="Arial" w:eastAsia="Arial" w:hAnsi="Arial"/>
                <w:sz w:val="16"/>
                <w:szCs w:val="16"/>
                <w:color w:val="auto"/>
              </w:rPr>
              <w:t>90 %</w:t>
            </w:r>
          </w:p>
        </w:tc>
      </w:tr>
      <w:tr>
        <w:trPr>
          <w:trHeight w:val="43"/>
        </w:trPr>
        <w:tc>
          <w:tcPr>
            <w:tcW w:w="3340" w:type="dxa"/>
            <w:vAlign w:val="bottom"/>
            <w:tcBorders>
              <w:left w:val="single" w:sz="8" w:color="3A5CFF"/>
              <w:bottom w:val="single" w:sz="8" w:color="6D6D6D"/>
            </w:tcBorders>
          </w:tcPr>
          <w:p>
            <w:pPr>
              <w:spacing w:after="0"/>
              <w:rPr>
                <w:sz w:val="3"/>
                <w:szCs w:val="3"/>
                <w:color w:val="auto"/>
              </w:rPr>
            </w:pPr>
          </w:p>
        </w:tc>
        <w:tc>
          <w:tcPr>
            <w:tcW w:w="1560" w:type="dxa"/>
            <w:vAlign w:val="bottom"/>
            <w:tcBorders>
              <w:bottom w:val="single" w:sz="8" w:color="6D6D6D"/>
            </w:tcBorders>
          </w:tcPr>
          <w:p>
            <w:pPr>
              <w:spacing w:after="0"/>
              <w:rPr>
                <w:sz w:val="3"/>
                <w:szCs w:val="3"/>
                <w:color w:val="auto"/>
              </w:rPr>
            </w:pPr>
          </w:p>
        </w:tc>
        <w:tc>
          <w:tcPr>
            <w:tcW w:w="1520" w:type="dxa"/>
            <w:vAlign w:val="bottom"/>
            <w:tcBorders>
              <w:bottom w:val="single" w:sz="8" w:color="6D6D6D"/>
            </w:tcBorders>
          </w:tcPr>
          <w:p>
            <w:pPr>
              <w:spacing w:after="0"/>
              <w:rPr>
                <w:sz w:val="3"/>
                <w:szCs w:val="3"/>
                <w:color w:val="auto"/>
              </w:rPr>
            </w:pPr>
          </w:p>
        </w:tc>
        <w:tc>
          <w:tcPr>
            <w:tcW w:w="1960" w:type="dxa"/>
            <w:vAlign w:val="bottom"/>
            <w:tcBorders>
              <w:bottom w:val="single" w:sz="8" w:color="6D6D6D"/>
            </w:tcBorders>
          </w:tcPr>
          <w:p>
            <w:pPr>
              <w:spacing w:after="0"/>
              <w:rPr>
                <w:sz w:val="3"/>
                <w:szCs w:val="3"/>
                <w:color w:val="auto"/>
              </w:rPr>
            </w:pPr>
          </w:p>
        </w:tc>
        <w:tc>
          <w:tcPr>
            <w:tcW w:w="1700" w:type="dxa"/>
            <w:vAlign w:val="bottom"/>
            <w:tcBorders>
              <w:bottom w:val="single" w:sz="8" w:color="6D6D6D"/>
            </w:tcBorders>
          </w:tcPr>
          <w:p>
            <w:pPr>
              <w:spacing w:after="0"/>
              <w:rPr>
                <w:sz w:val="3"/>
                <w:szCs w:val="3"/>
                <w:color w:val="auto"/>
              </w:rPr>
            </w:pPr>
          </w:p>
        </w:tc>
        <w:tc>
          <w:tcPr>
            <w:tcW w:w="1140" w:type="dxa"/>
            <w:vAlign w:val="bottom"/>
            <w:tcBorders>
              <w:bottom w:val="single" w:sz="8" w:color="6D6D6D"/>
            </w:tcBorders>
          </w:tcPr>
          <w:p>
            <w:pPr>
              <w:spacing w:after="0"/>
              <w:rPr>
                <w:sz w:val="3"/>
                <w:szCs w:val="3"/>
                <w:color w:val="auto"/>
              </w:rPr>
            </w:pPr>
          </w:p>
        </w:tc>
      </w:tr>
      <w:tr>
        <w:trPr>
          <w:trHeight w:val="221"/>
        </w:trPr>
        <w:tc>
          <w:tcPr>
            <w:tcW w:w="3340" w:type="dxa"/>
            <w:vAlign w:val="bottom"/>
            <w:tcBorders>
              <w:left w:val="single" w:sz="8" w:color="3A5CFF"/>
            </w:tcBorders>
          </w:tcPr>
          <w:p>
            <w:pPr>
              <w:ind w:left="160"/>
              <w:spacing w:after="0"/>
              <w:rPr>
                <w:sz w:val="20"/>
                <w:szCs w:val="20"/>
                <w:color w:val="auto"/>
              </w:rPr>
            </w:pPr>
            <w:r>
              <w:rPr>
                <w:rFonts w:ascii="Arial" w:cs="Arial" w:eastAsia="Arial" w:hAnsi="Arial"/>
                <w:sz w:val="16"/>
                <w:szCs w:val="16"/>
                <w:color w:val="auto"/>
              </w:rPr>
              <w:t>Waste Management Services</w:t>
            </w:r>
          </w:p>
        </w:tc>
        <w:tc>
          <w:tcPr>
            <w:tcW w:w="1560" w:type="dxa"/>
            <w:vAlign w:val="bottom"/>
          </w:tcPr>
          <w:p>
            <w:pPr>
              <w:jc w:val="right"/>
              <w:spacing w:after="0"/>
              <w:rPr>
                <w:sz w:val="20"/>
                <w:szCs w:val="20"/>
                <w:color w:val="auto"/>
              </w:rPr>
            </w:pPr>
            <w:r>
              <w:rPr>
                <w:rFonts w:ascii="Arial" w:cs="Arial" w:eastAsia="Arial" w:hAnsi="Arial"/>
                <w:sz w:val="16"/>
                <w:szCs w:val="16"/>
                <w:color w:val="auto"/>
              </w:rPr>
              <w:t>WM</w:t>
            </w:r>
          </w:p>
        </w:tc>
        <w:tc>
          <w:tcPr>
            <w:tcW w:w="1520" w:type="dxa"/>
            <w:vAlign w:val="bottom"/>
          </w:tcPr>
          <w:p>
            <w:pPr>
              <w:jc w:val="right"/>
              <w:spacing w:after="0"/>
              <w:rPr>
                <w:sz w:val="20"/>
                <w:szCs w:val="20"/>
                <w:color w:val="auto"/>
              </w:rPr>
            </w:pPr>
            <w:r>
              <w:rPr>
                <w:rFonts w:ascii="Arial" w:cs="Arial" w:eastAsia="Arial" w:hAnsi="Arial"/>
                <w:sz w:val="16"/>
                <w:szCs w:val="16"/>
                <w:color w:val="auto"/>
              </w:rPr>
              <w:t>$23,608</w:t>
            </w:r>
          </w:p>
        </w:tc>
        <w:tc>
          <w:tcPr>
            <w:tcW w:w="1960" w:type="dxa"/>
            <w:vAlign w:val="bottom"/>
          </w:tcPr>
          <w:p>
            <w:pPr>
              <w:jc w:val="right"/>
              <w:ind w:right="300"/>
              <w:spacing w:after="0"/>
              <w:rPr>
                <w:sz w:val="20"/>
                <w:szCs w:val="20"/>
                <w:color w:val="auto"/>
              </w:rPr>
            </w:pPr>
            <w:r>
              <w:rPr>
                <w:rFonts w:ascii="Arial" w:cs="Arial" w:eastAsia="Arial" w:hAnsi="Arial"/>
                <w:sz w:val="16"/>
                <w:szCs w:val="16"/>
                <w:color w:val="auto"/>
              </w:rPr>
              <w:t>8 %</w:t>
            </w:r>
          </w:p>
        </w:tc>
        <w:tc>
          <w:tcPr>
            <w:tcW w:w="1700" w:type="dxa"/>
            <w:vAlign w:val="bottom"/>
          </w:tcPr>
          <w:p>
            <w:pPr>
              <w:jc w:val="right"/>
              <w:ind w:right="460"/>
              <w:spacing w:after="0"/>
              <w:rPr>
                <w:sz w:val="20"/>
                <w:szCs w:val="20"/>
                <w:color w:val="auto"/>
              </w:rPr>
            </w:pPr>
            <w:r>
              <w:rPr>
                <w:rFonts w:ascii="Arial" w:cs="Arial" w:eastAsia="Arial" w:hAnsi="Arial"/>
                <w:sz w:val="16"/>
                <w:szCs w:val="16"/>
                <w:color w:val="auto"/>
              </w:rPr>
              <w:t>$82,811</w:t>
            </w:r>
          </w:p>
        </w:tc>
        <w:tc>
          <w:tcPr>
            <w:tcW w:w="1140" w:type="dxa"/>
            <w:vAlign w:val="bottom"/>
          </w:tcPr>
          <w:p>
            <w:pPr>
              <w:jc w:val="right"/>
              <w:spacing w:after="0"/>
              <w:rPr>
                <w:sz w:val="20"/>
                <w:szCs w:val="20"/>
                <w:color w:val="auto"/>
              </w:rPr>
            </w:pPr>
            <w:r>
              <w:rPr>
                <w:rFonts w:ascii="Arial" w:cs="Arial" w:eastAsia="Arial" w:hAnsi="Arial"/>
                <w:sz w:val="16"/>
                <w:szCs w:val="16"/>
                <w:color w:val="auto"/>
              </w:rPr>
              <w:t>87 %</w:t>
            </w:r>
          </w:p>
        </w:tc>
      </w:tr>
      <w:tr>
        <w:trPr>
          <w:trHeight w:val="43"/>
        </w:trPr>
        <w:tc>
          <w:tcPr>
            <w:tcW w:w="3340" w:type="dxa"/>
            <w:vAlign w:val="bottom"/>
            <w:tcBorders>
              <w:left w:val="single" w:sz="8" w:color="3A5CFF"/>
              <w:bottom w:val="single" w:sz="8" w:color="6D6D6D"/>
            </w:tcBorders>
          </w:tcPr>
          <w:p>
            <w:pPr>
              <w:spacing w:after="0"/>
              <w:rPr>
                <w:sz w:val="3"/>
                <w:szCs w:val="3"/>
                <w:color w:val="auto"/>
              </w:rPr>
            </w:pPr>
          </w:p>
        </w:tc>
        <w:tc>
          <w:tcPr>
            <w:tcW w:w="1560" w:type="dxa"/>
            <w:vAlign w:val="bottom"/>
            <w:tcBorders>
              <w:bottom w:val="single" w:sz="8" w:color="6D6D6D"/>
            </w:tcBorders>
          </w:tcPr>
          <w:p>
            <w:pPr>
              <w:spacing w:after="0"/>
              <w:rPr>
                <w:sz w:val="3"/>
                <w:szCs w:val="3"/>
                <w:color w:val="auto"/>
              </w:rPr>
            </w:pPr>
          </w:p>
        </w:tc>
        <w:tc>
          <w:tcPr>
            <w:tcW w:w="1520" w:type="dxa"/>
            <w:vAlign w:val="bottom"/>
            <w:tcBorders>
              <w:bottom w:val="single" w:sz="8" w:color="6D6D6D"/>
            </w:tcBorders>
          </w:tcPr>
          <w:p>
            <w:pPr>
              <w:spacing w:after="0"/>
              <w:rPr>
                <w:sz w:val="3"/>
                <w:szCs w:val="3"/>
                <w:color w:val="auto"/>
              </w:rPr>
            </w:pPr>
          </w:p>
        </w:tc>
        <w:tc>
          <w:tcPr>
            <w:tcW w:w="1960" w:type="dxa"/>
            <w:vAlign w:val="bottom"/>
            <w:tcBorders>
              <w:bottom w:val="single" w:sz="8" w:color="6D6D6D"/>
            </w:tcBorders>
          </w:tcPr>
          <w:p>
            <w:pPr>
              <w:spacing w:after="0"/>
              <w:rPr>
                <w:sz w:val="3"/>
                <w:szCs w:val="3"/>
                <w:color w:val="auto"/>
              </w:rPr>
            </w:pPr>
          </w:p>
        </w:tc>
        <w:tc>
          <w:tcPr>
            <w:tcW w:w="1700" w:type="dxa"/>
            <w:vAlign w:val="bottom"/>
            <w:tcBorders>
              <w:bottom w:val="single" w:sz="8" w:color="6D6D6D"/>
            </w:tcBorders>
          </w:tcPr>
          <w:p>
            <w:pPr>
              <w:spacing w:after="0"/>
              <w:rPr>
                <w:sz w:val="3"/>
                <w:szCs w:val="3"/>
                <w:color w:val="auto"/>
              </w:rPr>
            </w:pPr>
          </w:p>
        </w:tc>
        <w:tc>
          <w:tcPr>
            <w:tcW w:w="1140" w:type="dxa"/>
            <w:vAlign w:val="bottom"/>
            <w:tcBorders>
              <w:bottom w:val="single" w:sz="8" w:color="6D6D6D"/>
            </w:tcBorders>
          </w:tcPr>
          <w:p>
            <w:pPr>
              <w:spacing w:after="0"/>
              <w:rPr>
                <w:sz w:val="3"/>
                <w:szCs w:val="3"/>
                <w:color w:val="auto"/>
              </w:rPr>
            </w:pPr>
          </w:p>
        </w:tc>
      </w:tr>
    </w:tbl>
    <w:p>
      <w:pPr>
        <w:spacing w:after="0" w:line="193" w:lineRule="exact"/>
        <w:rPr>
          <w:sz w:val="20"/>
          <w:szCs w:val="20"/>
          <w:color w:val="auto"/>
        </w:rPr>
      </w:pPr>
    </w:p>
    <w:p>
      <w:pPr>
        <w:ind w:left="260" w:hanging="252"/>
        <w:spacing w:after="0"/>
        <w:tabs>
          <w:tab w:leader="none" w:pos="260" w:val="left"/>
        </w:tabs>
        <w:numPr>
          <w:ilvl w:val="0"/>
          <w:numId w:val="120"/>
        </w:numPr>
        <w:rPr>
          <w:rFonts w:ascii="Arial" w:cs="Arial" w:eastAsia="Arial" w:hAnsi="Arial"/>
          <w:sz w:val="8"/>
          <w:szCs w:val="8"/>
          <w:color w:val="auto"/>
        </w:rPr>
      </w:pPr>
      <w:r>
        <w:rPr>
          <w:rFonts w:ascii="Arial" w:cs="Arial" w:eastAsia="Arial" w:hAnsi="Arial"/>
          <w:sz w:val="14"/>
          <w:szCs w:val="14"/>
          <w:color w:val="auto"/>
        </w:rPr>
        <w:t>All data in the above table is as of August 2024 and was the data utilized by the TMCC for their most recent annual review of the peer group.</w:t>
      </w:r>
    </w:p>
    <w:p>
      <w:pPr>
        <w:spacing w:after="0" w:line="293" w:lineRule="exact"/>
        <w:rPr>
          <w:sz w:val="20"/>
          <w:szCs w:val="20"/>
          <w:color w:val="auto"/>
        </w:rPr>
      </w:pPr>
    </w:p>
    <w:p>
      <w:pPr>
        <w:ind w:right="500"/>
        <w:spacing w:after="0" w:line="304" w:lineRule="auto"/>
        <w:rPr>
          <w:sz w:val="20"/>
          <w:szCs w:val="20"/>
          <w:color w:val="auto"/>
        </w:rPr>
      </w:pPr>
      <w:r>
        <w:rPr>
          <w:rFonts w:ascii="Arial" w:cs="Arial" w:eastAsia="Arial" w:hAnsi="Arial"/>
          <w:sz w:val="16"/>
          <w:szCs w:val="16"/>
          <w:color w:val="auto"/>
        </w:rPr>
        <w:t xml:space="preserve">Based on publicly available information, Exelon’s revenues were in the </w:t>
      </w:r>
      <w:r>
        <w:rPr>
          <w:rFonts w:ascii="Arial" w:cs="Arial" w:eastAsia="Arial" w:hAnsi="Arial"/>
          <w:sz w:val="16"/>
          <w:szCs w:val="16"/>
          <w:b w:val="1"/>
          <w:bCs w:val="1"/>
          <w:color w:val="6E06C1"/>
        </w:rPr>
        <w:t>52nd percentile</w:t>
      </w:r>
      <w:r>
        <w:rPr>
          <w:rFonts w:ascii="Arial" w:cs="Arial" w:eastAsia="Arial" w:hAnsi="Arial"/>
          <w:sz w:val="16"/>
          <w:szCs w:val="16"/>
          <w:color w:val="auto"/>
        </w:rPr>
        <w:t xml:space="preserve"> and Exelon’s market capitalization was in the </w:t>
      </w:r>
      <w:r>
        <w:rPr>
          <w:rFonts w:ascii="Arial" w:cs="Arial" w:eastAsia="Arial" w:hAnsi="Arial"/>
          <w:sz w:val="16"/>
          <w:szCs w:val="16"/>
          <w:b w:val="1"/>
          <w:bCs w:val="1"/>
          <w:color w:val="6E06C1"/>
        </w:rPr>
        <w:t>38th percentile</w:t>
      </w:r>
      <w:r>
        <w:rPr>
          <w:rFonts w:ascii="Arial" w:cs="Arial" w:eastAsia="Arial" w:hAnsi="Arial"/>
          <w:sz w:val="16"/>
          <w:szCs w:val="16"/>
          <w:color w:val="auto"/>
        </w:rPr>
        <w:t xml:space="preserve"> relative to the peer group based on the four fiscal quarters prior to August 2024.</w:t>
      </w:r>
    </w:p>
    <w:p>
      <w:pPr>
        <w:spacing w:after="0" w:line="60" w:lineRule="exact"/>
        <w:rPr>
          <w:sz w:val="20"/>
          <w:szCs w:val="20"/>
          <w:color w:val="auto"/>
        </w:rPr>
      </w:pPr>
    </w:p>
    <w:p>
      <w:pPr>
        <w:ind w:right="500"/>
        <w:spacing w:after="0" w:line="292" w:lineRule="auto"/>
        <w:rPr>
          <w:sz w:val="20"/>
          <w:szCs w:val="20"/>
          <w:color w:val="auto"/>
        </w:rPr>
      </w:pPr>
      <w:r>
        <w:rPr>
          <w:rFonts w:ascii="Arial" w:cs="Arial" w:eastAsia="Arial" w:hAnsi="Arial"/>
          <w:sz w:val="16"/>
          <w:szCs w:val="16"/>
          <w:color w:val="auto"/>
        </w:rPr>
        <w:t>Because there is a correlation between the size of an organization and its compensation levels, market data is statistically adjusted using a regression analysis. This commonly applied technique allows for a more precise estimate of the market value of Exelon given the size/scope of responsibility for Exelon’s executive roles. Each element of NEO compensation is then compared to these size-adjusted medians of the peer group.</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780"/>
              <w:spacing w:after="0"/>
              <w:rPr>
                <w:sz w:val="20"/>
                <w:szCs w:val="20"/>
                <w:color w:val="auto"/>
              </w:rPr>
            </w:pPr>
            <w:r>
              <w:rPr>
                <w:rFonts w:ascii="Arial" w:cs="Arial" w:eastAsia="Arial" w:hAnsi="Arial"/>
                <w:sz w:val="14"/>
                <w:szCs w:val="14"/>
                <w:color w:val="auto"/>
              </w:rPr>
              <w:t>2025 ׀ Exelon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57</w:t>
            </w:r>
          </w:p>
        </w:tc>
      </w:tr>
      <w:tr>
        <w:trPr>
          <w:trHeight w:val="211"/>
        </w:trPr>
        <w:tc>
          <w:tcPr>
            <w:tcW w:w="109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3"/>
          <w:szCs w:val="13"/>
          <w:b w:val="1"/>
          <w:bCs w:val="1"/>
          <w:color w:val="auto"/>
        </w:rPr>
        <w:t>Compensation Discussion &amp; Analysis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Independent Compensation Consultant</w:t>
      </w:r>
    </w:p>
    <w:p>
      <w:pPr>
        <w:spacing w:after="0" w:line="112"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The TMCC engaged the services of Meridian Compensation Partners, LLC (Meridian) as its independent compensation consultant during most of 2024. Meridian provided advice and counsel on executive and director compensation matters and provided information and advice regarding market trends, competitive compensation programs, and strategies. Meridian also provided services to the CGC relating to non-employee director compensation. In connection with performing these services, Meridian reported directly to the Committees, as appropriate. A representative of Meridian regularly attended TMCC meetings and communicated with the TMCC Chair between meetings.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Transition to Willis Towers Watson</w:t>
      </w:r>
    </w:p>
    <w:p>
      <w:pPr>
        <w:spacing w:after="0" w:line="12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October 2024, the TMCC selected Willis Towers Watson (WTW) as its new independent compensation consultant. WTW was engaged to provide the TMCC with a fresh perspective on pay design, investor expectations, market trends, and other best practices. WTW will also support the CGC on non-employee director compensation. In connection with performing these services, WTW reports directly to the Committees, as appropriate. A representative of WTW regularly attends TMCC meetings and communicates with the TMCC Chair between meetings.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Annual Independence Evaluation</w:t>
      </w:r>
    </w:p>
    <w:p>
      <w:pPr>
        <w:spacing w:after="0" w:line="11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The TMCC annually reviews the compensation, performance, and independence of its compensation consultant and approves the firm’s fees and other retention terms related to executive compensation services. The total direct fees invoiced for executive compensation services in 2024 were $150,007. In addition to these services, WTW collected aggregate direct fees of $4,663,908 for services to the Company within the Retirement and Health &amp; Benefits business segment. The non-executive compensation services were recommended and approved by Exelon management. The TMCC has made an assessment under the factors set forth in the Nasdaq rules and concluded that WTW is independent and that WTW’s work for the TMCC does not raise any conflicts of interest.</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Risk Management Assessment of Compensation Policies and Practices</w:t>
      </w:r>
    </w:p>
    <w:p>
      <w:pPr>
        <w:spacing w:after="0" w:line="112"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TMCC periodically reviews Exelon’s compensation policies and practices as they relate to the Company’s risk management practices and risk-taking incentives. In 2024, Exelon’s compensation group partnered with the independent compensation consultant, Meridian Partners, to assess and validate that the controls in place continued to mitigate incentive compensation risks. Following this assessment, the TMCC believes that the risks arising from the Company’s compensation policies and practices are not reasonably likely to have a material adverse effect on Exelon. In this regard, the TMCC considered the following compensation program features, which balance the degree of risk taking:</w:t>
      </w:r>
    </w:p>
    <w:p>
      <w:pPr>
        <w:spacing w:after="0" w:line="64" w:lineRule="exact"/>
        <w:rPr>
          <w:sz w:val="20"/>
          <w:szCs w:val="20"/>
          <w:color w:val="auto"/>
        </w:rPr>
      </w:pPr>
    </w:p>
    <w:p>
      <w:pPr>
        <w:ind w:left="180" w:hanging="172"/>
        <w:spacing w:after="0"/>
        <w:tabs>
          <w:tab w:leader="none" w:pos="180" w:val="left"/>
        </w:tabs>
        <w:numPr>
          <w:ilvl w:val="0"/>
          <w:numId w:val="121"/>
        </w:numPr>
        <w:rPr>
          <w:rFonts w:ascii="Arial" w:cs="Arial" w:eastAsia="Arial" w:hAnsi="Arial"/>
          <w:sz w:val="16"/>
          <w:szCs w:val="16"/>
          <w:b w:val="1"/>
          <w:bCs w:val="1"/>
          <w:color w:val="170D67"/>
        </w:rPr>
      </w:pPr>
      <w:r>
        <w:rPr>
          <w:rFonts w:ascii="Arial" w:cs="Arial" w:eastAsia="Arial" w:hAnsi="Arial"/>
          <w:sz w:val="16"/>
          <w:szCs w:val="16"/>
          <w:color w:val="auto"/>
        </w:rPr>
        <w:t>The AIP includes multiple incentive performance measures with a balance of financial and non-financial metrics</w:t>
      </w:r>
    </w:p>
    <w:p>
      <w:pPr>
        <w:spacing w:after="0" w:line="86" w:lineRule="exact"/>
        <w:rPr>
          <w:rFonts w:ascii="Arial" w:cs="Arial" w:eastAsia="Arial" w:hAnsi="Arial"/>
          <w:sz w:val="16"/>
          <w:szCs w:val="16"/>
          <w:b w:val="1"/>
          <w:bCs w:val="1"/>
          <w:color w:val="170D67"/>
        </w:rPr>
      </w:pPr>
    </w:p>
    <w:p>
      <w:pPr>
        <w:ind w:left="200" w:right="140" w:hanging="192"/>
        <w:spacing w:after="0" w:line="286" w:lineRule="auto"/>
        <w:tabs>
          <w:tab w:leader="none" w:pos="170" w:val="left"/>
        </w:tabs>
        <w:numPr>
          <w:ilvl w:val="0"/>
          <w:numId w:val="121"/>
        </w:numPr>
        <w:rPr>
          <w:rFonts w:ascii="Arial" w:cs="Arial" w:eastAsia="Arial" w:hAnsi="Arial"/>
          <w:sz w:val="16"/>
          <w:szCs w:val="16"/>
          <w:b w:val="1"/>
          <w:bCs w:val="1"/>
          <w:color w:val="170D67"/>
        </w:rPr>
      </w:pPr>
      <w:r>
        <w:rPr>
          <w:rFonts w:ascii="Arial" w:cs="Arial" w:eastAsia="Arial" w:hAnsi="Arial"/>
          <w:sz w:val="16"/>
          <w:szCs w:val="16"/>
          <w:color w:val="auto"/>
        </w:rPr>
        <w:t>Long-term incentives include multiple vehicles and performance metrics and three-year overlapping performance periods that are aligned with long-term stock ownership requirements</w:t>
      </w:r>
    </w:p>
    <w:p>
      <w:pPr>
        <w:spacing w:after="0" w:line="20" w:lineRule="exact"/>
        <w:rPr>
          <w:rFonts w:ascii="Arial" w:cs="Arial" w:eastAsia="Arial" w:hAnsi="Arial"/>
          <w:sz w:val="16"/>
          <w:szCs w:val="16"/>
          <w:b w:val="1"/>
          <w:bCs w:val="1"/>
          <w:color w:val="170D67"/>
        </w:rPr>
      </w:pPr>
    </w:p>
    <w:p>
      <w:pPr>
        <w:ind w:left="180" w:hanging="172"/>
        <w:spacing w:after="0"/>
        <w:tabs>
          <w:tab w:leader="none" w:pos="180" w:val="left"/>
        </w:tabs>
        <w:numPr>
          <w:ilvl w:val="0"/>
          <w:numId w:val="121"/>
        </w:numPr>
        <w:rPr>
          <w:rFonts w:ascii="Arial" w:cs="Arial" w:eastAsia="Arial" w:hAnsi="Arial"/>
          <w:sz w:val="16"/>
          <w:szCs w:val="16"/>
          <w:b w:val="1"/>
          <w:bCs w:val="1"/>
          <w:color w:val="170D67"/>
        </w:rPr>
      </w:pPr>
      <w:r>
        <w:rPr>
          <w:rFonts w:ascii="Arial" w:cs="Arial" w:eastAsia="Arial" w:hAnsi="Arial"/>
          <w:sz w:val="16"/>
          <w:szCs w:val="16"/>
          <w:color w:val="auto"/>
        </w:rPr>
        <w:t>Incentive metrics, performance goals, and capital allocation require multiple approval levels and oversight</w:t>
      </w:r>
    </w:p>
    <w:p>
      <w:pPr>
        <w:spacing w:after="0" w:line="86" w:lineRule="exact"/>
        <w:rPr>
          <w:rFonts w:ascii="Arial" w:cs="Arial" w:eastAsia="Arial" w:hAnsi="Arial"/>
          <w:sz w:val="16"/>
          <w:szCs w:val="16"/>
          <w:b w:val="1"/>
          <w:bCs w:val="1"/>
          <w:color w:val="170D67"/>
        </w:rPr>
      </w:pPr>
    </w:p>
    <w:p>
      <w:pPr>
        <w:ind w:left="180" w:hanging="172"/>
        <w:spacing w:after="0"/>
        <w:tabs>
          <w:tab w:leader="none" w:pos="180" w:val="left"/>
        </w:tabs>
        <w:numPr>
          <w:ilvl w:val="0"/>
          <w:numId w:val="121"/>
        </w:numPr>
        <w:rPr>
          <w:rFonts w:ascii="Arial" w:cs="Arial" w:eastAsia="Arial" w:hAnsi="Arial"/>
          <w:sz w:val="16"/>
          <w:szCs w:val="16"/>
          <w:b w:val="1"/>
          <w:bCs w:val="1"/>
          <w:color w:val="170D67"/>
        </w:rPr>
      </w:pPr>
      <w:r>
        <w:rPr>
          <w:rFonts w:ascii="Arial" w:cs="Arial" w:eastAsia="Arial" w:hAnsi="Arial"/>
          <w:sz w:val="16"/>
          <w:szCs w:val="16"/>
          <w:color w:val="auto"/>
        </w:rPr>
        <w:t>Total compensation pay mix includes effective and market aligned balance of short-and long-term incentive compensation elements</w:t>
      </w:r>
    </w:p>
    <w:p>
      <w:pPr>
        <w:spacing w:after="0" w:line="72" w:lineRule="exact"/>
        <w:rPr>
          <w:rFonts w:ascii="Arial" w:cs="Arial" w:eastAsia="Arial" w:hAnsi="Arial"/>
          <w:sz w:val="16"/>
          <w:szCs w:val="16"/>
          <w:b w:val="1"/>
          <w:bCs w:val="1"/>
          <w:color w:val="170D67"/>
        </w:rPr>
      </w:pPr>
    </w:p>
    <w:p>
      <w:pPr>
        <w:ind w:left="180" w:hanging="172"/>
        <w:spacing w:after="0"/>
        <w:tabs>
          <w:tab w:leader="none" w:pos="180" w:val="left"/>
        </w:tabs>
        <w:numPr>
          <w:ilvl w:val="0"/>
          <w:numId w:val="121"/>
        </w:numPr>
        <w:rPr>
          <w:rFonts w:ascii="Arial" w:cs="Arial" w:eastAsia="Arial" w:hAnsi="Arial"/>
          <w:sz w:val="16"/>
          <w:szCs w:val="16"/>
          <w:b w:val="1"/>
          <w:bCs w:val="1"/>
          <w:color w:val="170D67"/>
        </w:rPr>
      </w:pPr>
      <w:r>
        <w:rPr>
          <w:rFonts w:ascii="Arial" w:cs="Arial" w:eastAsia="Arial" w:hAnsi="Arial"/>
          <w:sz w:val="16"/>
          <w:szCs w:val="16"/>
          <w:color w:val="auto"/>
        </w:rPr>
        <w:t>Incentive compensation is balanced by formulaic and discretionary funding</w:t>
      </w:r>
    </w:p>
    <w:p>
      <w:pPr>
        <w:spacing w:after="0" w:line="86" w:lineRule="exact"/>
        <w:rPr>
          <w:rFonts w:ascii="Arial" w:cs="Arial" w:eastAsia="Arial" w:hAnsi="Arial"/>
          <w:sz w:val="16"/>
          <w:szCs w:val="16"/>
          <w:b w:val="1"/>
          <w:bCs w:val="1"/>
          <w:color w:val="170D67"/>
        </w:rPr>
      </w:pPr>
    </w:p>
    <w:p>
      <w:pPr>
        <w:ind w:left="180" w:hanging="172"/>
        <w:spacing w:after="0"/>
        <w:tabs>
          <w:tab w:leader="none" w:pos="180" w:val="left"/>
        </w:tabs>
        <w:numPr>
          <w:ilvl w:val="0"/>
          <w:numId w:val="121"/>
        </w:numPr>
        <w:rPr>
          <w:rFonts w:ascii="Arial" w:cs="Arial" w:eastAsia="Arial" w:hAnsi="Arial"/>
          <w:sz w:val="16"/>
          <w:szCs w:val="16"/>
          <w:b w:val="1"/>
          <w:bCs w:val="1"/>
          <w:color w:val="170D67"/>
        </w:rPr>
      </w:pPr>
      <w:r>
        <w:rPr>
          <w:rFonts w:ascii="Arial" w:cs="Arial" w:eastAsia="Arial" w:hAnsi="Arial"/>
          <w:sz w:val="16"/>
          <w:szCs w:val="16"/>
          <w:color w:val="auto"/>
        </w:rPr>
        <w:t>Short-and long-term incentive awards contain award caps or modifiers</w:t>
      </w:r>
    </w:p>
    <w:p>
      <w:pPr>
        <w:spacing w:after="0" w:line="86" w:lineRule="exact"/>
        <w:rPr>
          <w:rFonts w:ascii="Arial" w:cs="Arial" w:eastAsia="Arial" w:hAnsi="Arial"/>
          <w:sz w:val="16"/>
          <w:szCs w:val="16"/>
          <w:b w:val="1"/>
          <w:bCs w:val="1"/>
          <w:color w:val="170D67"/>
        </w:rPr>
      </w:pPr>
    </w:p>
    <w:p>
      <w:pPr>
        <w:ind w:left="180" w:hanging="172"/>
        <w:spacing w:after="0"/>
        <w:tabs>
          <w:tab w:leader="none" w:pos="180" w:val="left"/>
        </w:tabs>
        <w:numPr>
          <w:ilvl w:val="0"/>
          <w:numId w:val="121"/>
        </w:numPr>
        <w:rPr>
          <w:rFonts w:ascii="Arial" w:cs="Arial" w:eastAsia="Arial" w:hAnsi="Arial"/>
          <w:sz w:val="16"/>
          <w:szCs w:val="16"/>
          <w:b w:val="1"/>
          <w:bCs w:val="1"/>
          <w:color w:val="170D67"/>
        </w:rPr>
      </w:pPr>
      <w:r>
        <w:rPr>
          <w:rFonts w:ascii="Arial" w:cs="Arial" w:eastAsia="Arial" w:hAnsi="Arial"/>
          <w:sz w:val="16"/>
          <w:szCs w:val="16"/>
          <w:color w:val="auto"/>
        </w:rPr>
        <w:t>Reasonable change-in-control and severance benefits are within common market norms</w:t>
      </w:r>
    </w:p>
    <w:p>
      <w:pPr>
        <w:spacing w:after="0" w:line="72" w:lineRule="exact"/>
        <w:rPr>
          <w:rFonts w:ascii="Arial" w:cs="Arial" w:eastAsia="Arial" w:hAnsi="Arial"/>
          <w:sz w:val="16"/>
          <w:szCs w:val="16"/>
          <w:b w:val="1"/>
          <w:bCs w:val="1"/>
          <w:color w:val="170D67"/>
        </w:rPr>
      </w:pPr>
    </w:p>
    <w:p>
      <w:pPr>
        <w:ind w:left="180" w:hanging="172"/>
        <w:spacing w:after="0"/>
        <w:tabs>
          <w:tab w:leader="none" w:pos="180" w:val="left"/>
        </w:tabs>
        <w:numPr>
          <w:ilvl w:val="0"/>
          <w:numId w:val="121"/>
        </w:numPr>
        <w:rPr>
          <w:rFonts w:ascii="Arial" w:cs="Arial" w:eastAsia="Arial" w:hAnsi="Arial"/>
          <w:sz w:val="16"/>
          <w:szCs w:val="16"/>
          <w:b w:val="1"/>
          <w:bCs w:val="1"/>
          <w:color w:val="170D67"/>
        </w:rPr>
      </w:pPr>
      <w:r>
        <w:rPr>
          <w:rFonts w:ascii="Arial" w:cs="Arial" w:eastAsia="Arial" w:hAnsi="Arial"/>
          <w:sz w:val="16"/>
          <w:szCs w:val="16"/>
          <w:color w:val="auto"/>
        </w:rPr>
        <w:t>Consistent and meaningful stock ownership requirements create sustained and consistent ownership stakes</w:t>
      </w:r>
    </w:p>
    <w:p>
      <w:pPr>
        <w:spacing w:after="0" w:line="28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Talent Management and Compensation Committee Report</w:t>
      </w:r>
    </w:p>
    <w:p>
      <w:pPr>
        <w:spacing w:after="0" w:line="123"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The Talent Management and Compensation Committee has reviewed and discussed with management the Compensation Discussion and Analysis contained in this proxy statement. Based on such review and discussion, the Committee recommended the Board approve the Compensation Discussion and Analysis be included in the 2025 Proxy Statement.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TALENT MANAGEMENT AND COMPENSATION COMMITTEE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Marjorie Rodgers Cheshire, </w:t>
      </w:r>
      <w:r>
        <w:rPr>
          <w:rFonts w:ascii="Arial" w:cs="Arial" w:eastAsia="Arial" w:hAnsi="Arial"/>
          <w:sz w:val="16"/>
          <w:szCs w:val="16"/>
          <w:b w:val="1"/>
          <w:bCs w:val="1"/>
          <w:color w:val="auto"/>
        </w:rPr>
        <w:t>Chair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Charisse Lillie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Anna Richo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John Young</w:t>
      </w:r>
    </w:p>
    <w:p>
      <w:pPr>
        <w:spacing w:after="0" w:line="200" w:lineRule="exact"/>
        <w:rPr>
          <w:sz w:val="20"/>
          <w:szCs w:val="20"/>
          <w:color w:val="auto"/>
        </w:rPr>
      </w:pPr>
    </w:p>
    <w:p>
      <w:pPr>
        <w:spacing w:after="0" w:line="324" w:lineRule="exact"/>
        <w:rPr>
          <w:sz w:val="20"/>
          <w:szCs w:val="20"/>
          <w:color w:val="auto"/>
        </w:rPr>
      </w:pPr>
    </w:p>
    <w:p>
      <w:pPr>
        <w:ind w:left="480" w:hanging="454"/>
        <w:spacing w:after="0"/>
        <w:tabs>
          <w:tab w:leader="none" w:pos="480" w:val="left"/>
        </w:tabs>
        <w:numPr>
          <w:ilvl w:val="0"/>
          <w:numId w:val="12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62" w:name="page63"/>
    <w:bookmarkEnd w:id="62"/>
    <w:p>
      <w:pPr>
        <w:jc w:val="right"/>
        <w:spacing w:after="0"/>
        <w:rPr>
          <w:sz w:val="20"/>
          <w:szCs w:val="20"/>
          <w:color w:val="auto"/>
        </w:rPr>
      </w:pPr>
      <w:r>
        <w:rPr>
          <w:rFonts w:ascii="Arial" w:cs="Arial" w:eastAsia="Arial" w:hAnsi="Arial"/>
          <w:sz w:val="13"/>
          <w:szCs w:val="13"/>
          <w:b w:val="1"/>
          <w:bCs w:val="1"/>
          <w:color w:val="auto"/>
        </w:rPr>
        <w:t>Compensation Discussion &amp; Analysis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Preview of 2025 Executive Compensation Changes</w:t>
      </w:r>
    </w:p>
    <w:p>
      <w:pPr>
        <w:spacing w:after="0" w:line="123"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In February 2025, the TMCC approved a new Long Term Incentive Plan design. The TMCC believes the modified design and performance goals will more effectively support our long-term business and strategic goals. Additionally, the new design more closely aligns the long-term goals of the executive leadership team to the interests of our shareholders. The 2025 - 2027 LTIP awards will continue to be split between performance shares (67%) and restricted stock units (33%). No changes were made to the overall design of the AIP program for 2025.</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2025 – 2027 LTIP Metrics &amp; Goal Weighting</w:t>
      </w:r>
    </w:p>
    <w:p>
      <w:pPr>
        <w:spacing w:after="0" w:line="122"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Beginning with the 2025 - 2027 LTIP program, adjusted (non-GAAP) operating earnings per share* (EPS) will replace utility net income*. After discussion with management, the TMCC determined that adjusted operating EPS* was better aligned with Exelon’s external messaging with respect to earnings targets and equity strategy as well as the way the organization monitors and drives its executive performance internally.</w:t>
      </w:r>
    </w:p>
    <w:p>
      <w:pPr>
        <w:spacing w:after="0" w:line="57"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The TMCC also approved eliminating the total shareholder return (TSR) modifier and incorporating TSR as a weighted metric. The Committee determined this design is better aligned to prevalent practice and provided stronger accountability to shareholders as it will have a larger impact on the payout. Additionally, this new design will simplify the program, reflecting four metrics which will each be equally weighted at 25% across four goals: adjusted operating EPS*, utility earned ROE*, Exelon CFO/Debt*, and relative TSR .</w:t>
      </w:r>
    </w:p>
    <w:p>
      <w:pPr>
        <w:spacing w:after="0" w:line="113" w:lineRule="exact"/>
        <w:rPr>
          <w:sz w:val="20"/>
          <w:szCs w:val="20"/>
          <w:color w:val="auto"/>
        </w:rPr>
      </w:pPr>
    </w:p>
    <w:tbl>
      <w:tblPr>
        <w:tblLayout w:type="fixed"/>
        <w:tblInd w:w="1780" w:type="dxa"/>
        <w:tblCellMar>
          <w:top w:w="0" w:type="dxa"/>
          <w:left w:w="0" w:type="dxa"/>
          <w:bottom w:w="0" w:type="dxa"/>
          <w:right w:w="0" w:type="dxa"/>
        </w:tblCellMar>
      </w:tblPr>
      <w:tr>
        <w:trPr>
          <w:trHeight w:val="250"/>
        </w:trPr>
        <w:tc>
          <w:tcPr>
            <w:tcW w:w="1640" w:type="dxa"/>
            <w:vAlign w:val="bottom"/>
          </w:tcPr>
          <w:p>
            <w:pPr>
              <w:spacing w:after="0"/>
              <w:rPr>
                <w:sz w:val="21"/>
                <w:szCs w:val="21"/>
                <w:color w:val="auto"/>
              </w:rPr>
            </w:pPr>
          </w:p>
        </w:tc>
        <w:tc>
          <w:tcPr>
            <w:tcW w:w="120" w:type="dxa"/>
            <w:vAlign w:val="bottom"/>
            <w:tcBorders>
              <w:bottom w:val="single" w:sz="8" w:color="E8E7EA"/>
            </w:tcBorders>
            <w:shd w:val="clear" w:color="auto" w:fill="E8E7EA"/>
          </w:tcPr>
          <w:p>
            <w:pPr>
              <w:spacing w:after="0"/>
              <w:rPr>
                <w:sz w:val="21"/>
                <w:szCs w:val="21"/>
                <w:color w:val="auto"/>
              </w:rPr>
            </w:pPr>
          </w:p>
        </w:tc>
        <w:tc>
          <w:tcPr>
            <w:tcW w:w="2700" w:type="dxa"/>
            <w:vAlign w:val="bottom"/>
            <w:tcBorders>
              <w:bottom w:val="single" w:sz="8" w:color="E8E7EA"/>
            </w:tcBorders>
            <w:shd w:val="clear" w:color="auto" w:fill="E8E7EA"/>
          </w:tcPr>
          <w:p>
            <w:pPr>
              <w:ind w:left="700"/>
              <w:spacing w:after="0"/>
              <w:rPr>
                <w:sz w:val="20"/>
                <w:szCs w:val="20"/>
                <w:color w:val="auto"/>
              </w:rPr>
            </w:pPr>
            <w:r>
              <w:rPr>
                <w:rFonts w:ascii="Arial" w:cs="Arial" w:eastAsia="Arial" w:hAnsi="Arial"/>
                <w:sz w:val="16"/>
                <w:szCs w:val="16"/>
                <w:b w:val="1"/>
                <w:bCs w:val="1"/>
                <w:color w:val="170D67"/>
              </w:rPr>
              <w:t>Current Design</w:t>
            </w:r>
          </w:p>
        </w:tc>
        <w:tc>
          <w:tcPr>
            <w:tcW w:w="180" w:type="dxa"/>
            <w:vAlign w:val="bottom"/>
            <w:tcBorders>
              <w:right w:val="single" w:sz="8" w:color="CCEEFF"/>
            </w:tcBorders>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b w:val="1"/>
                <w:bCs w:val="1"/>
                <w:color w:val="170D67"/>
              </w:rPr>
              <w:t>NEW Design for 2025 - 2027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9"/>
        </w:trPr>
        <w:tc>
          <w:tcPr>
            <w:tcW w:w="1640" w:type="dxa"/>
            <w:vAlign w:val="bottom"/>
          </w:tcPr>
          <w:p>
            <w:pPr>
              <w:spacing w:after="0"/>
              <w:rPr>
                <w:sz w:val="24"/>
                <w:szCs w:val="24"/>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b w:val="1"/>
                <w:bCs w:val="1"/>
                <w:color w:val="170D67"/>
              </w:rPr>
              <w:t>•</w:t>
            </w:r>
          </w:p>
        </w:tc>
        <w:tc>
          <w:tcPr>
            <w:tcW w:w="2700" w:type="dxa"/>
            <w:vAlign w:val="bottom"/>
            <w:vMerge w:val="restart"/>
          </w:tcPr>
          <w:p>
            <w:pPr>
              <w:ind w:left="60"/>
              <w:spacing w:after="0"/>
              <w:rPr>
                <w:sz w:val="20"/>
                <w:szCs w:val="20"/>
                <w:color w:val="auto"/>
              </w:rPr>
            </w:pPr>
            <w:r>
              <w:rPr>
                <w:rFonts w:ascii="Arial" w:cs="Arial" w:eastAsia="Arial" w:hAnsi="Arial"/>
                <w:sz w:val="16"/>
                <w:szCs w:val="16"/>
                <w:color w:val="auto"/>
              </w:rPr>
              <w:t>Exelon Net Income* - 33.3%</w:t>
            </w:r>
          </w:p>
        </w:tc>
        <w:tc>
          <w:tcPr>
            <w:tcW w:w="180" w:type="dxa"/>
            <w:vAlign w:val="bottom"/>
            <w:tcBorders>
              <w:right w:val="single" w:sz="8" w:color="3A5CFF"/>
            </w:tcBorders>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6"/>
                <w:szCs w:val="16"/>
                <w:b w:val="1"/>
                <w:bCs w:val="1"/>
                <w:color w:val="232B79"/>
              </w:rPr>
              <w:t>•</w:t>
            </w:r>
          </w:p>
        </w:tc>
        <w:tc>
          <w:tcPr>
            <w:tcW w:w="2940" w:type="dxa"/>
            <w:vAlign w:val="bottom"/>
          </w:tcPr>
          <w:p>
            <w:pPr>
              <w:ind w:left="60"/>
              <w:spacing w:after="0"/>
              <w:rPr>
                <w:sz w:val="20"/>
                <w:szCs w:val="20"/>
                <w:color w:val="auto"/>
              </w:rPr>
            </w:pPr>
            <w:r>
              <w:rPr>
                <w:rFonts w:ascii="Arial" w:cs="Arial" w:eastAsia="Arial" w:hAnsi="Arial"/>
                <w:sz w:val="16"/>
                <w:szCs w:val="16"/>
                <w:b w:val="1"/>
                <w:bCs w:val="1"/>
                <w:color w:val="3A5CFF"/>
              </w:rPr>
              <w:t xml:space="preserve">Adjusted Operating EPS* </w:t>
            </w:r>
            <w:r>
              <w:rPr>
                <w:rFonts w:ascii="Arial" w:cs="Arial" w:eastAsia="Arial" w:hAnsi="Arial"/>
                <w:sz w:val="16"/>
                <w:szCs w:val="16"/>
                <w:color w:val="000000"/>
              </w:rPr>
              <w:t>-</w:t>
            </w:r>
            <w:r>
              <w:rPr>
                <w:rFonts w:ascii="Arial" w:cs="Arial" w:eastAsia="Arial" w:hAnsi="Arial"/>
                <w:sz w:val="16"/>
                <w:szCs w:val="16"/>
                <w:b w:val="1"/>
                <w:bCs w:val="1"/>
                <w:color w:val="3A5CFF"/>
              </w:rPr>
              <w:t xml:space="preserve"> 25%</w:t>
            </w:r>
          </w:p>
        </w:tc>
        <w:tc>
          <w:tcPr>
            <w:tcW w:w="20" w:type="dxa"/>
            <w:vAlign w:val="bottom"/>
            <w:shd w:val="clear" w:color="auto" w:fill="3A5CFF"/>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640" w:type="dxa"/>
            <w:vAlign w:val="bottom"/>
            <w:vMerge w:val="restart"/>
          </w:tcPr>
          <w:p>
            <w:pPr>
              <w:spacing w:after="0"/>
              <w:rPr>
                <w:sz w:val="20"/>
                <w:szCs w:val="20"/>
                <w:color w:val="auto"/>
              </w:rPr>
            </w:pPr>
            <w:r>
              <w:rPr>
                <w:rFonts w:ascii="Arial" w:cs="Arial" w:eastAsia="Arial" w:hAnsi="Arial"/>
                <w:sz w:val="16"/>
                <w:szCs w:val="16"/>
                <w:b w:val="1"/>
                <w:bCs w:val="1"/>
                <w:color w:val="170D67"/>
              </w:rPr>
              <w:t>LTIP Metrics</w:t>
            </w:r>
          </w:p>
        </w:tc>
        <w:tc>
          <w:tcPr>
            <w:tcW w:w="120" w:type="dxa"/>
            <w:vAlign w:val="bottom"/>
            <w:vMerge w:val="continue"/>
          </w:tcPr>
          <w:p>
            <w:pPr>
              <w:spacing w:after="0"/>
              <w:rPr>
                <w:sz w:val="10"/>
                <w:szCs w:val="10"/>
                <w:color w:val="auto"/>
              </w:rPr>
            </w:pPr>
          </w:p>
        </w:tc>
        <w:tc>
          <w:tcPr>
            <w:tcW w:w="2700" w:type="dxa"/>
            <w:vAlign w:val="bottom"/>
            <w:vMerge w:val="continue"/>
          </w:tcPr>
          <w:p>
            <w:pPr>
              <w:spacing w:after="0"/>
              <w:rPr>
                <w:sz w:val="10"/>
                <w:szCs w:val="10"/>
                <w:color w:val="auto"/>
              </w:rPr>
            </w:pPr>
          </w:p>
        </w:tc>
        <w:tc>
          <w:tcPr>
            <w:tcW w:w="180" w:type="dxa"/>
            <w:vAlign w:val="bottom"/>
            <w:tcBorders>
              <w:right w:val="single" w:sz="8" w:color="3A5CFF"/>
            </w:tcBorders>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b w:val="1"/>
                <w:bCs w:val="1"/>
                <w:color w:val="232B79"/>
              </w:rPr>
              <w:t>•</w:t>
            </w:r>
          </w:p>
        </w:tc>
        <w:tc>
          <w:tcPr>
            <w:tcW w:w="2940" w:type="dxa"/>
            <w:vAlign w:val="bottom"/>
            <w:vMerge w:val="restart"/>
          </w:tcPr>
          <w:p>
            <w:pPr>
              <w:ind w:left="60"/>
              <w:spacing w:after="0"/>
              <w:rPr>
                <w:sz w:val="20"/>
                <w:szCs w:val="20"/>
                <w:color w:val="auto"/>
              </w:rPr>
            </w:pPr>
            <w:r>
              <w:rPr>
                <w:rFonts w:ascii="Arial" w:cs="Arial" w:eastAsia="Arial" w:hAnsi="Arial"/>
                <w:sz w:val="16"/>
                <w:szCs w:val="16"/>
                <w:color w:val="auto"/>
              </w:rPr>
              <w:t xml:space="preserve">Utility Earned ROE* - </w:t>
            </w:r>
            <w:r>
              <w:rPr>
                <w:rFonts w:ascii="Arial" w:cs="Arial" w:eastAsia="Arial" w:hAnsi="Arial"/>
                <w:sz w:val="16"/>
                <w:szCs w:val="16"/>
                <w:b w:val="1"/>
                <w:bCs w:val="1"/>
                <w:color w:val="3A5CFF"/>
              </w:rPr>
              <w:t>25%</w:t>
            </w:r>
          </w:p>
        </w:tc>
        <w:tc>
          <w:tcPr>
            <w:tcW w:w="20" w:type="dxa"/>
            <w:vAlign w:val="bottom"/>
            <w:shd w:val="clear" w:color="auto" w:fill="3A5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40" w:type="dxa"/>
            <w:vAlign w:val="bottom"/>
            <w:vMerge w:val="continue"/>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b w:val="1"/>
                <w:bCs w:val="1"/>
                <w:color w:val="170D67"/>
              </w:rPr>
              <w:t>•</w:t>
            </w:r>
          </w:p>
        </w:tc>
        <w:tc>
          <w:tcPr>
            <w:tcW w:w="2700" w:type="dxa"/>
            <w:vAlign w:val="bottom"/>
            <w:vMerge w:val="restart"/>
          </w:tcPr>
          <w:p>
            <w:pPr>
              <w:ind w:left="60"/>
              <w:spacing w:after="0"/>
              <w:rPr>
                <w:sz w:val="20"/>
                <w:szCs w:val="20"/>
                <w:color w:val="auto"/>
              </w:rPr>
            </w:pPr>
            <w:r>
              <w:rPr>
                <w:rFonts w:ascii="Arial" w:cs="Arial" w:eastAsia="Arial" w:hAnsi="Arial"/>
                <w:sz w:val="16"/>
                <w:szCs w:val="16"/>
                <w:color w:val="auto"/>
              </w:rPr>
              <w:t>Utility Earned ROE* - 33.3%</w:t>
            </w:r>
          </w:p>
        </w:tc>
        <w:tc>
          <w:tcPr>
            <w:tcW w:w="180" w:type="dxa"/>
            <w:vAlign w:val="bottom"/>
            <w:tcBorders>
              <w:right w:val="single" w:sz="8" w:color="3A5CFF"/>
            </w:tcBorders>
          </w:tcPr>
          <w:p>
            <w:pPr>
              <w:spacing w:after="0"/>
              <w:rPr>
                <w:sz w:val="10"/>
                <w:szCs w:val="10"/>
                <w:color w:val="auto"/>
              </w:rPr>
            </w:pPr>
          </w:p>
        </w:tc>
        <w:tc>
          <w:tcPr>
            <w:tcW w:w="120" w:type="dxa"/>
            <w:vAlign w:val="bottom"/>
            <w:vMerge w:val="continue"/>
          </w:tcPr>
          <w:p>
            <w:pPr>
              <w:spacing w:after="0"/>
              <w:rPr>
                <w:sz w:val="10"/>
                <w:szCs w:val="10"/>
                <w:color w:val="auto"/>
              </w:rPr>
            </w:pPr>
          </w:p>
        </w:tc>
        <w:tc>
          <w:tcPr>
            <w:tcW w:w="2940" w:type="dxa"/>
            <w:vAlign w:val="bottom"/>
            <w:vMerge w:val="continue"/>
          </w:tcPr>
          <w:p>
            <w:pPr>
              <w:spacing w:after="0"/>
              <w:rPr>
                <w:sz w:val="10"/>
                <w:szCs w:val="10"/>
                <w:color w:val="auto"/>
              </w:rPr>
            </w:pPr>
          </w:p>
        </w:tc>
        <w:tc>
          <w:tcPr>
            <w:tcW w:w="20" w:type="dxa"/>
            <w:vAlign w:val="bottom"/>
            <w:shd w:val="clear" w:color="auto" w:fill="3A5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4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700" w:type="dxa"/>
            <w:vAlign w:val="bottom"/>
            <w:vMerge w:val="continue"/>
          </w:tcPr>
          <w:p>
            <w:pPr>
              <w:spacing w:after="0"/>
              <w:rPr>
                <w:sz w:val="10"/>
                <w:szCs w:val="10"/>
                <w:color w:val="auto"/>
              </w:rPr>
            </w:pPr>
          </w:p>
        </w:tc>
        <w:tc>
          <w:tcPr>
            <w:tcW w:w="180" w:type="dxa"/>
            <w:vAlign w:val="bottom"/>
            <w:tcBorders>
              <w:right w:val="single" w:sz="8" w:color="3A5CFF"/>
            </w:tcBorders>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b w:val="1"/>
                <w:bCs w:val="1"/>
                <w:color w:val="170D67"/>
              </w:rPr>
              <w:t>•</w:t>
            </w:r>
          </w:p>
        </w:tc>
        <w:tc>
          <w:tcPr>
            <w:tcW w:w="2940" w:type="dxa"/>
            <w:vAlign w:val="bottom"/>
            <w:vMerge w:val="restart"/>
          </w:tcPr>
          <w:p>
            <w:pPr>
              <w:ind w:left="60"/>
              <w:spacing w:after="0"/>
              <w:rPr>
                <w:sz w:val="20"/>
                <w:szCs w:val="20"/>
                <w:color w:val="auto"/>
              </w:rPr>
            </w:pPr>
            <w:r>
              <w:rPr>
                <w:rFonts w:ascii="Arial" w:cs="Arial" w:eastAsia="Arial" w:hAnsi="Arial"/>
                <w:sz w:val="16"/>
                <w:szCs w:val="16"/>
                <w:color w:val="auto"/>
              </w:rPr>
              <w:t xml:space="preserve">Exelon CFO/Debt* - </w:t>
            </w:r>
            <w:r>
              <w:rPr>
                <w:rFonts w:ascii="Arial" w:cs="Arial" w:eastAsia="Arial" w:hAnsi="Arial"/>
                <w:sz w:val="16"/>
                <w:szCs w:val="16"/>
                <w:b w:val="1"/>
                <w:bCs w:val="1"/>
                <w:color w:val="3A5CFF"/>
              </w:rPr>
              <w:t>25%</w:t>
            </w:r>
          </w:p>
        </w:tc>
        <w:tc>
          <w:tcPr>
            <w:tcW w:w="20" w:type="dxa"/>
            <w:vAlign w:val="bottom"/>
            <w:shd w:val="clear" w:color="auto" w:fill="3A5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b w:val="1"/>
                <w:bCs w:val="1"/>
                <w:color w:val="170D67"/>
              </w:rPr>
              <w:t>•</w:t>
            </w:r>
          </w:p>
        </w:tc>
        <w:tc>
          <w:tcPr>
            <w:tcW w:w="2700" w:type="dxa"/>
            <w:vAlign w:val="bottom"/>
            <w:vMerge w:val="restart"/>
          </w:tcPr>
          <w:p>
            <w:pPr>
              <w:ind w:left="60"/>
              <w:spacing w:after="0"/>
              <w:rPr>
                <w:sz w:val="20"/>
                <w:szCs w:val="20"/>
                <w:color w:val="auto"/>
              </w:rPr>
            </w:pPr>
            <w:r>
              <w:rPr>
                <w:rFonts w:ascii="Arial" w:cs="Arial" w:eastAsia="Arial" w:hAnsi="Arial"/>
                <w:sz w:val="16"/>
                <w:szCs w:val="16"/>
                <w:color w:val="auto"/>
              </w:rPr>
              <w:t>Exelon CFO/Debt* - 33.4%</w:t>
            </w:r>
          </w:p>
        </w:tc>
        <w:tc>
          <w:tcPr>
            <w:tcW w:w="180" w:type="dxa"/>
            <w:vAlign w:val="bottom"/>
            <w:tcBorders>
              <w:right w:val="single" w:sz="8" w:color="3A5CFF"/>
            </w:tcBorders>
          </w:tcPr>
          <w:p>
            <w:pPr>
              <w:spacing w:after="0"/>
              <w:rPr>
                <w:sz w:val="9"/>
                <w:szCs w:val="9"/>
                <w:color w:val="auto"/>
              </w:rPr>
            </w:pPr>
          </w:p>
        </w:tc>
        <w:tc>
          <w:tcPr>
            <w:tcW w:w="120" w:type="dxa"/>
            <w:vAlign w:val="bottom"/>
            <w:vMerge w:val="continue"/>
          </w:tcPr>
          <w:p>
            <w:pPr>
              <w:spacing w:after="0"/>
              <w:rPr>
                <w:sz w:val="9"/>
                <w:szCs w:val="9"/>
                <w:color w:val="auto"/>
              </w:rPr>
            </w:pPr>
          </w:p>
        </w:tc>
        <w:tc>
          <w:tcPr>
            <w:tcW w:w="2940" w:type="dxa"/>
            <w:vAlign w:val="bottom"/>
            <w:vMerge w:val="continue"/>
          </w:tcPr>
          <w:p>
            <w:pPr>
              <w:spacing w:after="0"/>
              <w:rPr>
                <w:sz w:val="9"/>
                <w:szCs w:val="9"/>
                <w:color w:val="auto"/>
              </w:rPr>
            </w:pPr>
          </w:p>
        </w:tc>
        <w:tc>
          <w:tcPr>
            <w:tcW w:w="20" w:type="dxa"/>
            <w:vAlign w:val="bottom"/>
            <w:shd w:val="clear" w:color="auto" w:fill="3A5C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4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2700" w:type="dxa"/>
            <w:vAlign w:val="bottom"/>
            <w:vMerge w:val="continue"/>
          </w:tcPr>
          <w:p>
            <w:pPr>
              <w:spacing w:after="0"/>
              <w:rPr>
                <w:sz w:val="10"/>
                <w:szCs w:val="10"/>
                <w:color w:val="auto"/>
              </w:rPr>
            </w:pPr>
          </w:p>
        </w:tc>
        <w:tc>
          <w:tcPr>
            <w:tcW w:w="180" w:type="dxa"/>
            <w:vAlign w:val="bottom"/>
            <w:tcBorders>
              <w:right w:val="single" w:sz="8" w:color="3A5CFF"/>
            </w:tcBorders>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b w:val="1"/>
                <w:bCs w:val="1"/>
                <w:color w:val="232B79"/>
              </w:rPr>
              <w:t>•</w:t>
            </w:r>
          </w:p>
        </w:tc>
        <w:tc>
          <w:tcPr>
            <w:tcW w:w="2940" w:type="dxa"/>
            <w:vAlign w:val="bottom"/>
            <w:vMerge w:val="restart"/>
          </w:tcPr>
          <w:p>
            <w:pPr>
              <w:ind w:left="60"/>
              <w:spacing w:after="0"/>
              <w:rPr>
                <w:sz w:val="20"/>
                <w:szCs w:val="20"/>
                <w:color w:val="auto"/>
              </w:rPr>
            </w:pPr>
            <w:r>
              <w:rPr>
                <w:rFonts w:ascii="Arial" w:cs="Arial" w:eastAsia="Arial" w:hAnsi="Arial"/>
                <w:sz w:val="16"/>
                <w:szCs w:val="16"/>
                <w:b w:val="1"/>
                <w:bCs w:val="1"/>
                <w:color w:val="3A5CFF"/>
              </w:rPr>
              <w:t xml:space="preserve">3-year TSR </w:t>
            </w:r>
            <w:r>
              <w:rPr>
                <w:rFonts w:ascii="Arial" w:cs="Arial" w:eastAsia="Arial" w:hAnsi="Arial"/>
                <w:sz w:val="16"/>
                <w:szCs w:val="16"/>
                <w:color w:val="000000"/>
              </w:rPr>
              <w:t>-</w:t>
            </w:r>
            <w:r>
              <w:rPr>
                <w:rFonts w:ascii="Arial" w:cs="Arial" w:eastAsia="Arial" w:hAnsi="Arial"/>
                <w:sz w:val="16"/>
                <w:szCs w:val="16"/>
                <w:b w:val="1"/>
                <w:bCs w:val="1"/>
                <w:color w:val="3A5CFF"/>
              </w:rPr>
              <w:t xml:space="preserve"> 25%</w:t>
            </w:r>
          </w:p>
        </w:tc>
        <w:tc>
          <w:tcPr>
            <w:tcW w:w="20" w:type="dxa"/>
            <w:vAlign w:val="bottom"/>
            <w:shd w:val="clear" w:color="auto" w:fill="3A5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80" w:type="dxa"/>
            <w:vAlign w:val="bottom"/>
            <w:tcBorders>
              <w:right w:val="single" w:sz="8" w:color="3A5CFF"/>
            </w:tcBorders>
          </w:tcPr>
          <w:p>
            <w:pPr>
              <w:spacing w:after="0"/>
              <w:rPr>
                <w:sz w:val="9"/>
                <w:szCs w:val="9"/>
                <w:color w:val="auto"/>
              </w:rPr>
            </w:pPr>
          </w:p>
        </w:tc>
        <w:tc>
          <w:tcPr>
            <w:tcW w:w="120" w:type="dxa"/>
            <w:vAlign w:val="bottom"/>
            <w:vMerge w:val="continue"/>
          </w:tcPr>
          <w:p>
            <w:pPr>
              <w:spacing w:after="0"/>
              <w:rPr>
                <w:sz w:val="9"/>
                <w:szCs w:val="9"/>
                <w:color w:val="auto"/>
              </w:rPr>
            </w:pPr>
          </w:p>
        </w:tc>
        <w:tc>
          <w:tcPr>
            <w:tcW w:w="2940" w:type="dxa"/>
            <w:vAlign w:val="bottom"/>
            <w:vMerge w:val="continue"/>
          </w:tcPr>
          <w:p>
            <w:pPr>
              <w:spacing w:after="0"/>
              <w:rPr>
                <w:sz w:val="9"/>
                <w:szCs w:val="9"/>
                <w:color w:val="auto"/>
              </w:rPr>
            </w:pPr>
          </w:p>
        </w:tc>
        <w:tc>
          <w:tcPr>
            <w:tcW w:w="20" w:type="dxa"/>
            <w:vAlign w:val="bottom"/>
            <w:shd w:val="clear" w:color="auto" w:fill="3A5CFF"/>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640" w:type="dxa"/>
            <w:vAlign w:val="bottom"/>
            <w:tcBorders>
              <w:bottom w:val="single" w:sz="8" w:color="6D6D6D"/>
            </w:tcBorders>
          </w:tcPr>
          <w:p>
            <w:pPr>
              <w:spacing w:after="0"/>
              <w:rPr>
                <w:sz w:val="6"/>
                <w:szCs w:val="6"/>
                <w:color w:val="auto"/>
              </w:rPr>
            </w:pPr>
          </w:p>
        </w:tc>
        <w:tc>
          <w:tcPr>
            <w:tcW w:w="2820" w:type="dxa"/>
            <w:vAlign w:val="bottom"/>
            <w:tcBorders>
              <w:bottom w:val="single" w:sz="8" w:color="6D6D6D"/>
            </w:tcBorders>
            <w:gridSpan w:val="2"/>
          </w:tcPr>
          <w:p>
            <w:pPr>
              <w:spacing w:after="0"/>
              <w:rPr>
                <w:sz w:val="6"/>
                <w:szCs w:val="6"/>
                <w:color w:val="auto"/>
              </w:rPr>
            </w:pPr>
          </w:p>
        </w:tc>
        <w:tc>
          <w:tcPr>
            <w:tcW w:w="180" w:type="dxa"/>
            <w:vAlign w:val="bottom"/>
            <w:tcBorders>
              <w:bottom w:val="single" w:sz="8" w:color="6D6D6D"/>
              <w:right w:val="single" w:sz="8" w:color="3A5CFF"/>
            </w:tcBorders>
          </w:tcPr>
          <w:p>
            <w:pPr>
              <w:spacing w:after="0"/>
              <w:rPr>
                <w:sz w:val="6"/>
                <w:szCs w:val="6"/>
                <w:color w:val="auto"/>
              </w:rPr>
            </w:pPr>
          </w:p>
        </w:tc>
        <w:tc>
          <w:tcPr>
            <w:tcW w:w="3060" w:type="dxa"/>
            <w:vAlign w:val="bottom"/>
            <w:tcBorders>
              <w:bottom w:val="single" w:sz="8" w:color="6D6D6D"/>
            </w:tcBorders>
            <w:gridSpan w:val="2"/>
          </w:tcPr>
          <w:p>
            <w:pPr>
              <w:spacing w:after="0"/>
              <w:rPr>
                <w:sz w:val="6"/>
                <w:szCs w:val="6"/>
                <w:color w:val="auto"/>
              </w:rPr>
            </w:pPr>
          </w:p>
        </w:tc>
        <w:tc>
          <w:tcPr>
            <w:tcW w:w="20" w:type="dxa"/>
            <w:vAlign w:val="bottom"/>
            <w:tcBorders>
              <w:bottom w:val="single" w:sz="8" w:color="3A5CFF"/>
            </w:tcBorders>
            <w:shd w:val="clear" w:color="auto" w:fill="3A5C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640" w:type="dxa"/>
            <w:vAlign w:val="bottom"/>
          </w:tcPr>
          <w:p>
            <w:pPr>
              <w:spacing w:after="0"/>
              <w:rPr>
                <w:sz w:val="20"/>
                <w:szCs w:val="20"/>
                <w:color w:val="auto"/>
              </w:rPr>
            </w:pPr>
            <w:r>
              <w:rPr>
                <w:rFonts w:ascii="Arial" w:cs="Arial" w:eastAsia="Arial" w:hAnsi="Arial"/>
                <w:sz w:val="16"/>
                <w:szCs w:val="16"/>
                <w:b w:val="1"/>
                <w:bCs w:val="1"/>
                <w:color w:val="170D67"/>
              </w:rPr>
              <w:t>Modifier</w:t>
            </w:r>
          </w:p>
        </w:tc>
        <w:tc>
          <w:tcPr>
            <w:tcW w:w="2820" w:type="dxa"/>
            <w:vAlign w:val="bottom"/>
            <w:gridSpan w:val="2"/>
          </w:tcPr>
          <w:p>
            <w:pPr>
              <w:ind w:left="20"/>
              <w:spacing w:after="0"/>
              <w:rPr>
                <w:sz w:val="20"/>
                <w:szCs w:val="20"/>
                <w:color w:val="auto"/>
              </w:rPr>
            </w:pPr>
            <w:r>
              <w:rPr>
                <w:rFonts w:ascii="Arial" w:cs="Arial" w:eastAsia="Arial" w:hAnsi="Arial"/>
                <w:sz w:val="16"/>
                <w:szCs w:val="16"/>
                <w:color w:val="auto"/>
              </w:rPr>
              <w:t>3-year TSR</w:t>
            </w:r>
          </w:p>
        </w:tc>
        <w:tc>
          <w:tcPr>
            <w:tcW w:w="180" w:type="dxa"/>
            <w:vAlign w:val="bottom"/>
            <w:tcBorders>
              <w:right w:val="single" w:sz="8" w:color="3A5CFF"/>
            </w:tcBorders>
          </w:tcPr>
          <w:p>
            <w:pPr>
              <w:spacing w:after="0"/>
              <w:rPr>
                <w:sz w:val="19"/>
                <w:szCs w:val="19"/>
                <w:color w:val="auto"/>
              </w:rPr>
            </w:pPr>
          </w:p>
        </w:tc>
        <w:tc>
          <w:tcPr>
            <w:tcW w:w="3060" w:type="dxa"/>
            <w:vAlign w:val="bottom"/>
            <w:gridSpan w:val="2"/>
          </w:tcPr>
          <w:p>
            <w:pPr>
              <w:ind w:left="20"/>
              <w:spacing w:after="0"/>
              <w:rPr>
                <w:sz w:val="20"/>
                <w:szCs w:val="20"/>
                <w:color w:val="auto"/>
              </w:rPr>
            </w:pPr>
            <w:r>
              <w:rPr>
                <w:rFonts w:ascii="Arial" w:cs="Arial" w:eastAsia="Arial" w:hAnsi="Arial"/>
                <w:sz w:val="16"/>
                <w:szCs w:val="16"/>
                <w:b w:val="1"/>
                <w:bCs w:val="1"/>
                <w:color w:val="3A5CFF"/>
              </w:rPr>
              <w:t>None</w:t>
            </w:r>
          </w:p>
        </w:tc>
        <w:tc>
          <w:tcPr>
            <w:tcW w:w="20" w:type="dxa"/>
            <w:vAlign w:val="bottom"/>
            <w:shd w:val="clear" w:color="auto" w:fill="3A5CFF"/>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1640" w:type="dxa"/>
            <w:vAlign w:val="bottom"/>
            <w:tcBorders>
              <w:bottom w:val="single" w:sz="8" w:color="6D6D6D"/>
            </w:tcBorders>
          </w:tcPr>
          <w:p>
            <w:pPr>
              <w:spacing w:after="0"/>
              <w:rPr>
                <w:sz w:val="3"/>
                <w:szCs w:val="3"/>
                <w:color w:val="auto"/>
              </w:rPr>
            </w:pPr>
          </w:p>
        </w:tc>
        <w:tc>
          <w:tcPr>
            <w:tcW w:w="2820" w:type="dxa"/>
            <w:vAlign w:val="bottom"/>
            <w:tcBorders>
              <w:bottom w:val="single" w:sz="8" w:color="6D6D6D"/>
            </w:tcBorders>
            <w:gridSpan w:val="2"/>
          </w:tcPr>
          <w:p>
            <w:pPr>
              <w:spacing w:after="0"/>
              <w:rPr>
                <w:sz w:val="3"/>
                <w:szCs w:val="3"/>
                <w:color w:val="auto"/>
              </w:rPr>
            </w:pPr>
          </w:p>
        </w:tc>
        <w:tc>
          <w:tcPr>
            <w:tcW w:w="180" w:type="dxa"/>
            <w:vAlign w:val="bottom"/>
            <w:tcBorders>
              <w:bottom w:val="single" w:sz="8" w:color="6D6D6D"/>
              <w:right w:val="single" w:sz="8" w:color="3A5CFF"/>
            </w:tcBorders>
          </w:tcPr>
          <w:p>
            <w:pPr>
              <w:spacing w:after="0"/>
              <w:rPr>
                <w:sz w:val="3"/>
                <w:szCs w:val="3"/>
                <w:color w:val="auto"/>
              </w:rPr>
            </w:pPr>
          </w:p>
        </w:tc>
        <w:tc>
          <w:tcPr>
            <w:tcW w:w="3060" w:type="dxa"/>
            <w:vAlign w:val="bottom"/>
            <w:tcBorders>
              <w:bottom w:val="single" w:sz="8" w:color="6D6D6D"/>
            </w:tcBorders>
            <w:gridSpan w:val="2"/>
          </w:tcPr>
          <w:p>
            <w:pPr>
              <w:spacing w:after="0"/>
              <w:rPr>
                <w:sz w:val="3"/>
                <w:szCs w:val="3"/>
                <w:color w:val="auto"/>
              </w:rPr>
            </w:pPr>
          </w:p>
        </w:tc>
        <w:tc>
          <w:tcPr>
            <w:tcW w:w="20" w:type="dxa"/>
            <w:vAlign w:val="bottom"/>
            <w:tcBorders>
              <w:bottom w:val="single" w:sz="8" w:color="3A5CFF"/>
            </w:tcBorders>
            <w:shd w:val="clear" w:color="auto" w:fill="3A5CFF"/>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1640" w:type="dxa"/>
            <w:vAlign w:val="bottom"/>
          </w:tcPr>
          <w:p>
            <w:pPr>
              <w:spacing w:after="0"/>
              <w:rPr>
                <w:sz w:val="20"/>
                <w:szCs w:val="20"/>
                <w:color w:val="auto"/>
              </w:rPr>
            </w:pPr>
            <w:r>
              <w:rPr>
                <w:rFonts w:ascii="Arial" w:cs="Arial" w:eastAsia="Arial" w:hAnsi="Arial"/>
                <w:sz w:val="16"/>
                <w:szCs w:val="16"/>
                <w:b w:val="1"/>
                <w:bCs w:val="1"/>
                <w:color w:val="170D67"/>
              </w:rPr>
              <w:t>TSR Comparators</w:t>
            </w:r>
          </w:p>
        </w:tc>
        <w:tc>
          <w:tcPr>
            <w:tcW w:w="2820" w:type="dxa"/>
            <w:vAlign w:val="bottom"/>
            <w:gridSpan w:val="2"/>
          </w:tcPr>
          <w:p>
            <w:pPr>
              <w:ind w:left="20"/>
              <w:spacing w:after="0"/>
              <w:rPr>
                <w:sz w:val="20"/>
                <w:szCs w:val="20"/>
                <w:color w:val="auto"/>
              </w:rPr>
            </w:pPr>
            <w:r>
              <w:rPr>
                <w:rFonts w:ascii="Arial" w:cs="Arial" w:eastAsia="Arial" w:hAnsi="Arial"/>
                <w:sz w:val="16"/>
                <w:szCs w:val="16"/>
                <w:color w:val="auto"/>
              </w:rPr>
              <w:t>PHLX Utility Index (UTY)</w:t>
            </w:r>
          </w:p>
        </w:tc>
        <w:tc>
          <w:tcPr>
            <w:tcW w:w="180" w:type="dxa"/>
            <w:vAlign w:val="bottom"/>
            <w:tcBorders>
              <w:right w:val="single" w:sz="8" w:color="3A5CFF"/>
            </w:tcBorders>
          </w:tcPr>
          <w:p>
            <w:pPr>
              <w:spacing w:after="0"/>
              <w:rPr>
                <w:sz w:val="19"/>
                <w:szCs w:val="19"/>
                <w:color w:val="auto"/>
              </w:rPr>
            </w:pPr>
          </w:p>
        </w:tc>
        <w:tc>
          <w:tcPr>
            <w:tcW w:w="3060" w:type="dxa"/>
            <w:vAlign w:val="bottom"/>
            <w:gridSpan w:val="2"/>
          </w:tcPr>
          <w:p>
            <w:pPr>
              <w:ind w:left="20"/>
              <w:spacing w:after="0"/>
              <w:rPr>
                <w:sz w:val="20"/>
                <w:szCs w:val="20"/>
                <w:color w:val="auto"/>
              </w:rPr>
            </w:pPr>
            <w:r>
              <w:rPr>
                <w:rFonts w:ascii="Arial" w:cs="Arial" w:eastAsia="Arial" w:hAnsi="Arial"/>
                <w:sz w:val="16"/>
                <w:szCs w:val="16"/>
                <w:b w:val="1"/>
                <w:bCs w:val="1"/>
                <w:color w:val="3A5CFF"/>
              </w:rPr>
              <w:t>Custom comparator group</w:t>
            </w:r>
          </w:p>
        </w:tc>
        <w:tc>
          <w:tcPr>
            <w:tcW w:w="20" w:type="dxa"/>
            <w:vAlign w:val="bottom"/>
            <w:shd w:val="clear" w:color="auto" w:fill="3A5CFF"/>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1640" w:type="dxa"/>
            <w:vAlign w:val="bottom"/>
            <w:tcBorders>
              <w:bottom w:val="single" w:sz="8" w:color="6D6D6D"/>
            </w:tcBorders>
          </w:tcPr>
          <w:p>
            <w:pPr>
              <w:spacing w:after="0"/>
              <w:rPr>
                <w:sz w:val="3"/>
                <w:szCs w:val="3"/>
                <w:color w:val="auto"/>
              </w:rPr>
            </w:pPr>
          </w:p>
        </w:tc>
        <w:tc>
          <w:tcPr>
            <w:tcW w:w="120" w:type="dxa"/>
            <w:vAlign w:val="bottom"/>
            <w:tcBorders>
              <w:bottom w:val="single" w:sz="8" w:color="6D6D6D"/>
            </w:tcBorders>
          </w:tcPr>
          <w:p>
            <w:pPr>
              <w:spacing w:after="0"/>
              <w:rPr>
                <w:sz w:val="3"/>
                <w:szCs w:val="3"/>
                <w:color w:val="auto"/>
              </w:rPr>
            </w:pPr>
          </w:p>
        </w:tc>
        <w:tc>
          <w:tcPr>
            <w:tcW w:w="2700" w:type="dxa"/>
            <w:vAlign w:val="bottom"/>
            <w:tcBorders>
              <w:bottom w:val="single" w:sz="8" w:color="6D6D6D"/>
            </w:tcBorders>
          </w:tcPr>
          <w:p>
            <w:pPr>
              <w:spacing w:after="0"/>
              <w:rPr>
                <w:sz w:val="3"/>
                <w:szCs w:val="3"/>
                <w:color w:val="auto"/>
              </w:rPr>
            </w:pPr>
          </w:p>
        </w:tc>
        <w:tc>
          <w:tcPr>
            <w:tcW w:w="180" w:type="dxa"/>
            <w:vAlign w:val="bottom"/>
            <w:tcBorders>
              <w:bottom w:val="single" w:sz="8" w:color="6D6D6D"/>
              <w:right w:val="single" w:sz="8" w:color="3A5CFF"/>
            </w:tcBorders>
          </w:tcPr>
          <w:p>
            <w:pPr>
              <w:spacing w:after="0"/>
              <w:rPr>
                <w:sz w:val="3"/>
                <w:szCs w:val="3"/>
                <w:color w:val="auto"/>
              </w:rPr>
            </w:pPr>
          </w:p>
        </w:tc>
        <w:tc>
          <w:tcPr>
            <w:tcW w:w="120" w:type="dxa"/>
            <w:vAlign w:val="bottom"/>
            <w:tcBorders>
              <w:bottom w:val="single" w:sz="8" w:color="6D6D6D"/>
            </w:tcBorders>
          </w:tcPr>
          <w:p>
            <w:pPr>
              <w:spacing w:after="0"/>
              <w:rPr>
                <w:sz w:val="3"/>
                <w:szCs w:val="3"/>
                <w:color w:val="auto"/>
              </w:rPr>
            </w:pPr>
          </w:p>
        </w:tc>
        <w:tc>
          <w:tcPr>
            <w:tcW w:w="2940" w:type="dxa"/>
            <w:vAlign w:val="bottom"/>
            <w:tcBorders>
              <w:bottom w:val="single" w:sz="8" w:color="6D6D6D"/>
            </w:tcBorders>
          </w:tcPr>
          <w:p>
            <w:pPr>
              <w:spacing w:after="0"/>
              <w:rPr>
                <w:sz w:val="3"/>
                <w:szCs w:val="3"/>
                <w:color w:val="auto"/>
              </w:rPr>
            </w:pPr>
          </w:p>
        </w:tc>
        <w:tc>
          <w:tcPr>
            <w:tcW w:w="20" w:type="dxa"/>
            <w:vAlign w:val="bottom"/>
            <w:tcBorders>
              <w:bottom w:val="single" w:sz="8" w:color="3A5CFF"/>
            </w:tcBorders>
            <w:shd w:val="clear" w:color="auto" w:fill="3A5CFF"/>
          </w:tcPr>
          <w:p>
            <w:pPr>
              <w:spacing w:after="0"/>
              <w:rPr>
                <w:sz w:val="3"/>
                <w:szCs w:val="3"/>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TSR Comparator Group</w:t>
      </w:r>
    </w:p>
    <w:p>
      <w:pPr>
        <w:spacing w:after="0" w:line="122"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auto"/>
        </w:rPr>
        <w:t>Additionally, the TMCC approved changing the TSR comparator group from the PHLX Utility Index (UTY) to a custom comparator group comprised of 20 peer companies. A custom group allows Exelon to benchmark its TSR performance against companies of comparable size and business mix, with similar investor profiles and operating models. The TSR comparator group is selected based on the following criteria: (1) companies with a business mix predominantly consisting of regulated electric and/or gas operations, with no major renewable or generation assets; (2) a market capitalization greater than $10 billion; and (3) inclusion as a peer company in more than 50% of Exelon’s compensation benchmarking peer group. The relative TSR comparators for the 2025-2027 performance cycle are noted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Alliant Energy Corporation (LNT)</w:t>
            </w:r>
          </w:p>
        </w:tc>
        <w:tc>
          <w:tcPr>
            <w:tcW w:w="2960" w:type="dxa"/>
            <w:vAlign w:val="bottom"/>
          </w:tcPr>
          <w:p>
            <w:pPr>
              <w:ind w:left="280"/>
              <w:spacing w:after="0"/>
              <w:rPr>
                <w:sz w:val="20"/>
                <w:szCs w:val="20"/>
                <w:color w:val="auto"/>
              </w:rPr>
            </w:pPr>
            <w:r>
              <w:rPr>
                <w:rFonts w:ascii="Arial" w:cs="Arial" w:eastAsia="Arial" w:hAnsi="Arial"/>
                <w:sz w:val="16"/>
                <w:szCs w:val="16"/>
                <w:color w:val="auto"/>
              </w:rPr>
              <w:t>DTE Energy Company (DTE)</w:t>
            </w:r>
          </w:p>
        </w:tc>
        <w:tc>
          <w:tcPr>
            <w:tcW w:w="4360" w:type="dxa"/>
            <w:vAlign w:val="bottom"/>
          </w:tcPr>
          <w:p>
            <w:pPr>
              <w:ind w:left="360"/>
              <w:spacing w:after="0"/>
              <w:rPr>
                <w:sz w:val="20"/>
                <w:szCs w:val="20"/>
                <w:color w:val="auto"/>
              </w:rPr>
            </w:pPr>
            <w:r>
              <w:rPr>
                <w:rFonts w:ascii="Arial" w:cs="Arial" w:eastAsia="Arial" w:hAnsi="Arial"/>
                <w:sz w:val="16"/>
                <w:szCs w:val="16"/>
                <w:color w:val="auto"/>
              </w:rPr>
              <w:t>NiSource Inc. (NI)</w:t>
            </w:r>
          </w:p>
        </w:tc>
        <w:tc>
          <w:tcPr>
            <w:tcW w:w="320" w:type="dxa"/>
            <w:vAlign w:val="bottom"/>
          </w:tcPr>
          <w:p>
            <w:pPr>
              <w:spacing w:after="0"/>
              <w:rPr>
                <w:sz w:val="18"/>
                <w:szCs w:val="18"/>
                <w:color w:val="auto"/>
              </w:rPr>
            </w:pPr>
          </w:p>
        </w:tc>
      </w:tr>
      <w:tr>
        <w:trPr>
          <w:trHeight w:val="270"/>
        </w:trPr>
        <w:tc>
          <w:tcPr>
            <w:tcW w:w="3600" w:type="dxa"/>
            <w:vAlign w:val="bottom"/>
          </w:tcPr>
          <w:p>
            <w:pPr>
              <w:ind w:left="20"/>
              <w:spacing w:after="0"/>
              <w:rPr>
                <w:sz w:val="20"/>
                <w:szCs w:val="20"/>
                <w:color w:val="auto"/>
              </w:rPr>
            </w:pPr>
            <w:r>
              <w:rPr>
                <w:rFonts w:ascii="Arial" w:cs="Arial" w:eastAsia="Arial" w:hAnsi="Arial"/>
                <w:sz w:val="16"/>
                <w:szCs w:val="16"/>
                <w:color w:val="auto"/>
              </w:rPr>
              <w:t>Ameren Corporation (AEE)</w:t>
            </w:r>
          </w:p>
        </w:tc>
        <w:tc>
          <w:tcPr>
            <w:tcW w:w="2960" w:type="dxa"/>
            <w:vAlign w:val="bottom"/>
          </w:tcPr>
          <w:p>
            <w:pPr>
              <w:ind w:left="280"/>
              <w:spacing w:after="0"/>
              <w:rPr>
                <w:sz w:val="20"/>
                <w:szCs w:val="20"/>
                <w:color w:val="auto"/>
              </w:rPr>
            </w:pPr>
            <w:r>
              <w:rPr>
                <w:rFonts w:ascii="Arial" w:cs="Arial" w:eastAsia="Arial" w:hAnsi="Arial"/>
                <w:sz w:val="16"/>
                <w:szCs w:val="16"/>
                <w:color w:val="auto"/>
              </w:rPr>
              <w:t>Duke Energy Corporation (DUK)</w:t>
            </w:r>
          </w:p>
        </w:tc>
        <w:tc>
          <w:tcPr>
            <w:tcW w:w="4360" w:type="dxa"/>
            <w:vAlign w:val="bottom"/>
          </w:tcPr>
          <w:p>
            <w:pPr>
              <w:ind w:left="360"/>
              <w:spacing w:after="0"/>
              <w:rPr>
                <w:sz w:val="20"/>
                <w:szCs w:val="20"/>
                <w:color w:val="auto"/>
              </w:rPr>
            </w:pPr>
            <w:r>
              <w:rPr>
                <w:rFonts w:ascii="Arial" w:cs="Arial" w:eastAsia="Arial" w:hAnsi="Arial"/>
                <w:sz w:val="16"/>
                <w:szCs w:val="16"/>
                <w:color w:val="auto"/>
              </w:rPr>
              <w:t>PPL Corporation (PPL)</w:t>
            </w:r>
          </w:p>
        </w:tc>
        <w:tc>
          <w:tcPr>
            <w:tcW w:w="320" w:type="dxa"/>
            <w:vAlign w:val="bottom"/>
          </w:tcPr>
          <w:p>
            <w:pPr>
              <w:spacing w:after="0"/>
              <w:rPr>
                <w:sz w:val="23"/>
                <w:szCs w:val="23"/>
                <w:color w:val="auto"/>
              </w:rPr>
            </w:pPr>
          </w:p>
        </w:tc>
      </w:tr>
      <w:tr>
        <w:trPr>
          <w:trHeight w:val="270"/>
        </w:trPr>
        <w:tc>
          <w:tcPr>
            <w:tcW w:w="3600" w:type="dxa"/>
            <w:vAlign w:val="bottom"/>
          </w:tcPr>
          <w:p>
            <w:pPr>
              <w:ind w:left="20"/>
              <w:spacing w:after="0"/>
              <w:rPr>
                <w:sz w:val="20"/>
                <w:szCs w:val="20"/>
                <w:color w:val="auto"/>
              </w:rPr>
            </w:pPr>
            <w:r>
              <w:rPr>
                <w:rFonts w:ascii="Arial" w:cs="Arial" w:eastAsia="Arial" w:hAnsi="Arial"/>
                <w:sz w:val="16"/>
                <w:szCs w:val="16"/>
                <w:color w:val="auto"/>
              </w:rPr>
              <w:t>American Electric Power Company, Inc. (AEP)</w:t>
            </w:r>
          </w:p>
        </w:tc>
        <w:tc>
          <w:tcPr>
            <w:tcW w:w="2960" w:type="dxa"/>
            <w:vAlign w:val="bottom"/>
          </w:tcPr>
          <w:p>
            <w:pPr>
              <w:ind w:left="280"/>
              <w:spacing w:after="0"/>
              <w:rPr>
                <w:sz w:val="20"/>
                <w:szCs w:val="20"/>
                <w:color w:val="auto"/>
              </w:rPr>
            </w:pPr>
            <w:r>
              <w:rPr>
                <w:rFonts w:ascii="Arial" w:cs="Arial" w:eastAsia="Arial" w:hAnsi="Arial"/>
                <w:sz w:val="16"/>
                <w:szCs w:val="16"/>
                <w:color w:val="auto"/>
              </w:rPr>
              <w:t>Edison International (EIX)</w:t>
            </w:r>
          </w:p>
        </w:tc>
        <w:tc>
          <w:tcPr>
            <w:tcW w:w="4360" w:type="dxa"/>
            <w:vAlign w:val="bottom"/>
          </w:tcPr>
          <w:p>
            <w:pPr>
              <w:ind w:left="360"/>
              <w:spacing w:after="0"/>
              <w:rPr>
                <w:sz w:val="20"/>
                <w:szCs w:val="20"/>
                <w:color w:val="auto"/>
              </w:rPr>
            </w:pPr>
            <w:r>
              <w:rPr>
                <w:rFonts w:ascii="Arial" w:cs="Arial" w:eastAsia="Arial" w:hAnsi="Arial"/>
                <w:sz w:val="16"/>
                <w:szCs w:val="16"/>
                <w:color w:val="auto"/>
              </w:rPr>
              <w:t>Public Service Enterprise Group Incorporated (PEG)</w:t>
            </w:r>
          </w:p>
        </w:tc>
        <w:tc>
          <w:tcPr>
            <w:tcW w:w="320" w:type="dxa"/>
            <w:vAlign w:val="bottom"/>
          </w:tcPr>
          <w:p>
            <w:pPr>
              <w:spacing w:after="0"/>
              <w:rPr>
                <w:sz w:val="23"/>
                <w:szCs w:val="23"/>
                <w:color w:val="auto"/>
              </w:rPr>
            </w:pPr>
          </w:p>
        </w:tc>
      </w:tr>
      <w:tr>
        <w:trPr>
          <w:trHeight w:val="270"/>
        </w:trPr>
        <w:tc>
          <w:tcPr>
            <w:tcW w:w="3600" w:type="dxa"/>
            <w:vAlign w:val="bottom"/>
          </w:tcPr>
          <w:p>
            <w:pPr>
              <w:ind w:left="20"/>
              <w:spacing w:after="0"/>
              <w:rPr>
                <w:sz w:val="20"/>
                <w:szCs w:val="20"/>
                <w:color w:val="auto"/>
              </w:rPr>
            </w:pPr>
            <w:r>
              <w:rPr>
                <w:rFonts w:ascii="Arial" w:cs="Arial" w:eastAsia="Arial" w:hAnsi="Arial"/>
                <w:sz w:val="16"/>
                <w:szCs w:val="16"/>
                <w:color w:val="auto"/>
              </w:rPr>
              <w:t>CenterPoint Energy, Inc. (CNP)</w:t>
            </w:r>
          </w:p>
        </w:tc>
        <w:tc>
          <w:tcPr>
            <w:tcW w:w="2960" w:type="dxa"/>
            <w:vAlign w:val="bottom"/>
          </w:tcPr>
          <w:p>
            <w:pPr>
              <w:ind w:left="280"/>
              <w:spacing w:after="0"/>
              <w:rPr>
                <w:sz w:val="20"/>
                <w:szCs w:val="20"/>
                <w:color w:val="auto"/>
              </w:rPr>
            </w:pPr>
            <w:r>
              <w:rPr>
                <w:rFonts w:ascii="Arial" w:cs="Arial" w:eastAsia="Arial" w:hAnsi="Arial"/>
                <w:sz w:val="16"/>
                <w:szCs w:val="16"/>
                <w:color w:val="auto"/>
              </w:rPr>
              <w:t>Entergy Corporation (ETR)</w:t>
            </w:r>
          </w:p>
        </w:tc>
        <w:tc>
          <w:tcPr>
            <w:tcW w:w="4360" w:type="dxa"/>
            <w:vAlign w:val="bottom"/>
          </w:tcPr>
          <w:p>
            <w:pPr>
              <w:ind w:left="360"/>
              <w:spacing w:after="0"/>
              <w:rPr>
                <w:sz w:val="20"/>
                <w:szCs w:val="20"/>
                <w:color w:val="auto"/>
              </w:rPr>
            </w:pPr>
            <w:r>
              <w:rPr>
                <w:rFonts w:ascii="Arial" w:cs="Arial" w:eastAsia="Arial" w:hAnsi="Arial"/>
                <w:sz w:val="16"/>
                <w:szCs w:val="16"/>
                <w:color w:val="auto"/>
              </w:rPr>
              <w:t>Southern Company (SO)</w:t>
            </w:r>
          </w:p>
        </w:tc>
        <w:tc>
          <w:tcPr>
            <w:tcW w:w="320" w:type="dxa"/>
            <w:vAlign w:val="bottom"/>
          </w:tcPr>
          <w:p>
            <w:pPr>
              <w:spacing w:after="0"/>
              <w:rPr>
                <w:sz w:val="23"/>
                <w:szCs w:val="23"/>
                <w:color w:val="auto"/>
              </w:rPr>
            </w:pPr>
          </w:p>
        </w:tc>
      </w:tr>
      <w:tr>
        <w:trPr>
          <w:trHeight w:val="270"/>
        </w:trPr>
        <w:tc>
          <w:tcPr>
            <w:tcW w:w="3600" w:type="dxa"/>
            <w:vAlign w:val="bottom"/>
          </w:tcPr>
          <w:p>
            <w:pPr>
              <w:ind w:left="20"/>
              <w:spacing w:after="0"/>
              <w:rPr>
                <w:sz w:val="20"/>
                <w:szCs w:val="20"/>
                <w:color w:val="auto"/>
              </w:rPr>
            </w:pPr>
            <w:r>
              <w:rPr>
                <w:rFonts w:ascii="Arial" w:cs="Arial" w:eastAsia="Arial" w:hAnsi="Arial"/>
                <w:sz w:val="16"/>
                <w:szCs w:val="16"/>
                <w:color w:val="auto"/>
              </w:rPr>
              <w:t>CMS Energy Corporation (CMS)</w:t>
            </w:r>
          </w:p>
        </w:tc>
        <w:tc>
          <w:tcPr>
            <w:tcW w:w="2960" w:type="dxa"/>
            <w:vAlign w:val="bottom"/>
          </w:tcPr>
          <w:p>
            <w:pPr>
              <w:ind w:left="280"/>
              <w:spacing w:after="0"/>
              <w:rPr>
                <w:sz w:val="20"/>
                <w:szCs w:val="20"/>
                <w:color w:val="auto"/>
              </w:rPr>
            </w:pPr>
            <w:r>
              <w:rPr>
                <w:rFonts w:ascii="Arial" w:cs="Arial" w:eastAsia="Arial" w:hAnsi="Arial"/>
                <w:sz w:val="16"/>
                <w:szCs w:val="16"/>
                <w:color w:val="auto"/>
              </w:rPr>
              <w:t>Evergy, Inc. (EVRG)</w:t>
            </w:r>
          </w:p>
        </w:tc>
        <w:tc>
          <w:tcPr>
            <w:tcW w:w="4360" w:type="dxa"/>
            <w:vAlign w:val="bottom"/>
          </w:tcPr>
          <w:p>
            <w:pPr>
              <w:ind w:left="360"/>
              <w:spacing w:after="0"/>
              <w:rPr>
                <w:sz w:val="20"/>
                <w:szCs w:val="20"/>
                <w:color w:val="auto"/>
              </w:rPr>
            </w:pPr>
            <w:r>
              <w:rPr>
                <w:rFonts w:ascii="Arial" w:cs="Arial" w:eastAsia="Arial" w:hAnsi="Arial"/>
                <w:sz w:val="16"/>
                <w:szCs w:val="16"/>
                <w:color w:val="auto"/>
              </w:rPr>
              <w:t>WEC Energy Group, Inc. (WEC)</w:t>
            </w:r>
          </w:p>
        </w:tc>
        <w:tc>
          <w:tcPr>
            <w:tcW w:w="320" w:type="dxa"/>
            <w:vAlign w:val="bottom"/>
          </w:tcPr>
          <w:p>
            <w:pPr>
              <w:spacing w:after="0"/>
              <w:rPr>
                <w:sz w:val="23"/>
                <w:szCs w:val="23"/>
                <w:color w:val="auto"/>
              </w:rPr>
            </w:pPr>
          </w:p>
        </w:tc>
      </w:tr>
      <w:tr>
        <w:trPr>
          <w:trHeight w:val="270"/>
        </w:trPr>
        <w:tc>
          <w:tcPr>
            <w:tcW w:w="3600" w:type="dxa"/>
            <w:vAlign w:val="bottom"/>
          </w:tcPr>
          <w:p>
            <w:pPr>
              <w:ind w:left="20"/>
              <w:spacing w:after="0"/>
              <w:rPr>
                <w:sz w:val="20"/>
                <w:szCs w:val="20"/>
                <w:color w:val="auto"/>
              </w:rPr>
            </w:pPr>
            <w:r>
              <w:rPr>
                <w:rFonts w:ascii="Arial" w:cs="Arial" w:eastAsia="Arial" w:hAnsi="Arial"/>
                <w:sz w:val="16"/>
                <w:szCs w:val="16"/>
                <w:color w:val="auto"/>
              </w:rPr>
              <w:t>Consolidated Edison, Inc. (ED)</w:t>
            </w:r>
          </w:p>
        </w:tc>
        <w:tc>
          <w:tcPr>
            <w:tcW w:w="2960" w:type="dxa"/>
            <w:vAlign w:val="bottom"/>
          </w:tcPr>
          <w:p>
            <w:pPr>
              <w:ind w:left="280"/>
              <w:spacing w:after="0"/>
              <w:rPr>
                <w:sz w:val="20"/>
                <w:szCs w:val="20"/>
                <w:color w:val="auto"/>
              </w:rPr>
            </w:pPr>
            <w:r>
              <w:rPr>
                <w:rFonts w:ascii="Arial" w:cs="Arial" w:eastAsia="Arial" w:hAnsi="Arial"/>
                <w:sz w:val="16"/>
                <w:szCs w:val="16"/>
                <w:color w:val="auto"/>
              </w:rPr>
              <w:t>Eversource Energy (ES)</w:t>
            </w:r>
          </w:p>
        </w:tc>
        <w:tc>
          <w:tcPr>
            <w:tcW w:w="4360" w:type="dxa"/>
            <w:vAlign w:val="bottom"/>
          </w:tcPr>
          <w:p>
            <w:pPr>
              <w:ind w:left="360"/>
              <w:spacing w:after="0"/>
              <w:rPr>
                <w:sz w:val="20"/>
                <w:szCs w:val="20"/>
                <w:color w:val="auto"/>
              </w:rPr>
            </w:pPr>
            <w:r>
              <w:rPr>
                <w:rFonts w:ascii="Arial" w:cs="Arial" w:eastAsia="Arial" w:hAnsi="Arial"/>
                <w:sz w:val="16"/>
                <w:szCs w:val="16"/>
                <w:color w:val="auto"/>
              </w:rPr>
              <w:t>Xcel Energy Inc. (XEL)</w:t>
            </w:r>
          </w:p>
        </w:tc>
        <w:tc>
          <w:tcPr>
            <w:tcW w:w="320" w:type="dxa"/>
            <w:vAlign w:val="bottom"/>
          </w:tcPr>
          <w:p>
            <w:pPr>
              <w:spacing w:after="0"/>
              <w:rPr>
                <w:sz w:val="23"/>
                <w:szCs w:val="23"/>
                <w:color w:val="auto"/>
              </w:rPr>
            </w:pPr>
          </w:p>
        </w:tc>
      </w:tr>
      <w:tr>
        <w:trPr>
          <w:trHeight w:val="270"/>
        </w:trPr>
        <w:tc>
          <w:tcPr>
            <w:tcW w:w="3600" w:type="dxa"/>
            <w:vAlign w:val="bottom"/>
          </w:tcPr>
          <w:p>
            <w:pPr>
              <w:ind w:left="20"/>
              <w:spacing w:after="0"/>
              <w:rPr>
                <w:sz w:val="20"/>
                <w:szCs w:val="20"/>
                <w:color w:val="auto"/>
              </w:rPr>
            </w:pPr>
            <w:r>
              <w:rPr>
                <w:rFonts w:ascii="Arial" w:cs="Arial" w:eastAsia="Arial" w:hAnsi="Arial"/>
                <w:sz w:val="16"/>
                <w:szCs w:val="16"/>
                <w:color w:val="auto"/>
              </w:rPr>
              <w:t>Dominion Energy, Inc. (D)</w:t>
            </w:r>
          </w:p>
        </w:tc>
        <w:tc>
          <w:tcPr>
            <w:tcW w:w="2960" w:type="dxa"/>
            <w:vAlign w:val="bottom"/>
          </w:tcPr>
          <w:p>
            <w:pPr>
              <w:ind w:left="280"/>
              <w:spacing w:after="0"/>
              <w:rPr>
                <w:sz w:val="20"/>
                <w:szCs w:val="20"/>
                <w:color w:val="auto"/>
              </w:rPr>
            </w:pPr>
            <w:r>
              <w:rPr>
                <w:rFonts w:ascii="Arial" w:cs="Arial" w:eastAsia="Arial" w:hAnsi="Arial"/>
                <w:sz w:val="16"/>
                <w:szCs w:val="16"/>
                <w:color w:val="auto"/>
              </w:rPr>
              <w:t>FirstEnergy Corp. (FE)</w:t>
            </w:r>
          </w:p>
        </w:tc>
        <w:tc>
          <w:tcPr>
            <w:tcW w:w="436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850"/>
        </w:trPr>
        <w:tc>
          <w:tcPr>
            <w:tcW w:w="36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360" w:type="dxa"/>
            <w:vAlign w:val="bottom"/>
          </w:tcPr>
          <w:p>
            <w:pPr>
              <w:ind w:left="2220"/>
              <w:spacing w:after="0"/>
              <w:rPr>
                <w:sz w:val="20"/>
                <w:szCs w:val="20"/>
                <w:color w:val="auto"/>
              </w:rPr>
            </w:pPr>
            <w:r>
              <w:rPr>
                <w:rFonts w:ascii="Arial" w:cs="Arial" w:eastAsia="Arial" w:hAnsi="Arial"/>
                <w:sz w:val="14"/>
                <w:szCs w:val="14"/>
                <w:color w:val="auto"/>
              </w:rPr>
              <w:t>2025 ׀ Exelon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59</w:t>
            </w:r>
          </w:p>
        </w:tc>
      </w:tr>
      <w:tr>
        <w:trPr>
          <w:trHeight w:val="225"/>
        </w:trPr>
        <w:tc>
          <w:tcPr>
            <w:tcW w:w="3600" w:type="dxa"/>
            <w:vAlign w:val="bottom"/>
            <w:tcBorders>
              <w:bottom w:val="single" w:sz="8" w:color="9A9A9A"/>
            </w:tcBorders>
          </w:tcPr>
          <w:p>
            <w:pPr>
              <w:spacing w:after="0"/>
              <w:rPr>
                <w:sz w:val="19"/>
                <w:szCs w:val="19"/>
                <w:color w:val="auto"/>
              </w:rPr>
            </w:pPr>
          </w:p>
        </w:tc>
        <w:tc>
          <w:tcPr>
            <w:tcW w:w="2960" w:type="dxa"/>
            <w:vAlign w:val="bottom"/>
            <w:tcBorders>
              <w:bottom w:val="single" w:sz="8" w:color="9A9A9A"/>
            </w:tcBorders>
          </w:tcPr>
          <w:p>
            <w:pPr>
              <w:spacing w:after="0"/>
              <w:rPr>
                <w:sz w:val="19"/>
                <w:szCs w:val="19"/>
                <w:color w:val="auto"/>
              </w:rPr>
            </w:pPr>
          </w:p>
        </w:tc>
        <w:tc>
          <w:tcPr>
            <w:tcW w:w="436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3"/>
          <w:szCs w:val="13"/>
          <w:b w:val="1"/>
          <w:bCs w:val="1"/>
          <w:color w:val="auto"/>
        </w:rPr>
        <w:t>Compensation Discussion &amp; Analysis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Executive Compensation Tables</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Summary Compensation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jc w:val="right"/>
              <w:ind w:right="85"/>
              <w:spacing w:after="0"/>
              <w:rPr>
                <w:sz w:val="20"/>
                <w:szCs w:val="20"/>
                <w:color w:val="auto"/>
              </w:rPr>
            </w:pPr>
            <w:r>
              <w:rPr>
                <w:rFonts w:ascii="Arial" w:cs="Arial" w:eastAsia="Arial" w:hAnsi="Arial"/>
                <w:sz w:val="14"/>
                <w:szCs w:val="14"/>
                <w:b w:val="1"/>
                <w:bCs w:val="1"/>
                <w:color w:val="170D67"/>
              </w:rPr>
              <w:t>Change in</w:t>
            </w: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jc w:val="right"/>
              <w:ind w:right="85"/>
              <w:spacing w:after="0"/>
              <w:rPr>
                <w:sz w:val="20"/>
                <w:szCs w:val="20"/>
                <w:color w:val="auto"/>
              </w:rPr>
            </w:pPr>
            <w:r>
              <w:rPr>
                <w:rFonts w:ascii="Arial" w:cs="Arial" w:eastAsia="Arial" w:hAnsi="Arial"/>
                <w:sz w:val="14"/>
                <w:szCs w:val="14"/>
                <w:b w:val="1"/>
                <w:bCs w:val="1"/>
                <w:color w:val="170D67"/>
              </w:rPr>
              <w:t>Pension</w:t>
            </w: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jc w:val="right"/>
              <w:ind w:right="85"/>
              <w:spacing w:after="0"/>
              <w:rPr>
                <w:sz w:val="20"/>
                <w:szCs w:val="20"/>
                <w:color w:val="auto"/>
              </w:rPr>
            </w:pPr>
            <w:r>
              <w:rPr>
                <w:rFonts w:ascii="Arial" w:cs="Arial" w:eastAsia="Arial" w:hAnsi="Arial"/>
                <w:sz w:val="14"/>
                <w:szCs w:val="14"/>
                <w:b w:val="1"/>
                <w:bCs w:val="1"/>
                <w:color w:val="170D67"/>
              </w:rPr>
              <w:t>Value and</w:t>
            </w: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jc w:val="right"/>
              <w:ind w:right="85"/>
              <w:spacing w:after="0"/>
              <w:rPr>
                <w:sz w:val="20"/>
                <w:szCs w:val="20"/>
                <w:color w:val="auto"/>
              </w:rPr>
            </w:pPr>
            <w:r>
              <w:rPr>
                <w:rFonts w:ascii="Arial" w:cs="Arial" w:eastAsia="Arial" w:hAnsi="Arial"/>
                <w:sz w:val="14"/>
                <w:szCs w:val="14"/>
                <w:b w:val="1"/>
                <w:bCs w:val="1"/>
                <w:color w:val="170D67"/>
              </w:rPr>
              <w:t>Non-Qualified</w:t>
            </w: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jc w:val="right"/>
              <w:ind w:right="85"/>
              <w:spacing w:after="0"/>
              <w:rPr>
                <w:sz w:val="20"/>
                <w:szCs w:val="20"/>
                <w:color w:val="auto"/>
              </w:rPr>
            </w:pPr>
            <w:r>
              <w:rPr>
                <w:rFonts w:ascii="Arial" w:cs="Arial" w:eastAsia="Arial" w:hAnsi="Arial"/>
                <w:sz w:val="14"/>
                <w:szCs w:val="14"/>
                <w:b w:val="1"/>
                <w:bCs w:val="1"/>
                <w:color w:val="170D67"/>
              </w:rPr>
              <w:t>Non-Equity</w:t>
            </w:r>
          </w:p>
        </w:tc>
        <w:tc>
          <w:tcPr>
            <w:tcW w:w="1320" w:type="dxa"/>
            <w:vAlign w:val="bottom"/>
          </w:tcPr>
          <w:p>
            <w:pPr>
              <w:jc w:val="right"/>
              <w:ind w:right="85"/>
              <w:spacing w:after="0"/>
              <w:rPr>
                <w:sz w:val="20"/>
                <w:szCs w:val="20"/>
                <w:color w:val="auto"/>
              </w:rPr>
            </w:pPr>
            <w:r>
              <w:rPr>
                <w:rFonts w:ascii="Arial" w:cs="Arial" w:eastAsia="Arial" w:hAnsi="Arial"/>
                <w:sz w:val="14"/>
                <w:szCs w:val="14"/>
                <w:b w:val="1"/>
                <w:bCs w:val="1"/>
                <w:color w:val="170D67"/>
              </w:rPr>
              <w:t>Deferred</w:t>
            </w: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jc w:val="right"/>
              <w:ind w:right="85"/>
              <w:spacing w:after="0"/>
              <w:rPr>
                <w:sz w:val="20"/>
                <w:szCs w:val="20"/>
                <w:color w:val="auto"/>
              </w:rPr>
            </w:pPr>
            <w:r>
              <w:rPr>
                <w:rFonts w:ascii="Arial" w:cs="Arial" w:eastAsia="Arial" w:hAnsi="Arial"/>
                <w:sz w:val="14"/>
                <w:szCs w:val="14"/>
                <w:b w:val="1"/>
                <w:bCs w:val="1"/>
                <w:color w:val="170D67"/>
              </w:rPr>
              <w:t>Stock</w:t>
            </w:r>
          </w:p>
        </w:tc>
        <w:tc>
          <w:tcPr>
            <w:tcW w:w="1320" w:type="dxa"/>
            <w:vAlign w:val="bottom"/>
          </w:tcPr>
          <w:p>
            <w:pPr>
              <w:jc w:val="right"/>
              <w:ind w:right="85"/>
              <w:spacing w:after="0"/>
              <w:rPr>
                <w:sz w:val="20"/>
                <w:szCs w:val="20"/>
                <w:color w:val="auto"/>
              </w:rPr>
            </w:pPr>
            <w:r>
              <w:rPr>
                <w:rFonts w:ascii="Arial" w:cs="Arial" w:eastAsia="Arial" w:hAnsi="Arial"/>
                <w:sz w:val="14"/>
                <w:szCs w:val="14"/>
                <w:b w:val="1"/>
                <w:bCs w:val="1"/>
                <w:color w:val="170D67"/>
              </w:rPr>
              <w:t>Incentive Plan</w:t>
            </w:r>
          </w:p>
        </w:tc>
        <w:tc>
          <w:tcPr>
            <w:tcW w:w="1320" w:type="dxa"/>
            <w:vAlign w:val="bottom"/>
          </w:tcPr>
          <w:p>
            <w:pPr>
              <w:jc w:val="right"/>
              <w:ind w:right="85"/>
              <w:spacing w:after="0"/>
              <w:rPr>
                <w:sz w:val="20"/>
                <w:szCs w:val="20"/>
                <w:color w:val="auto"/>
              </w:rPr>
            </w:pPr>
            <w:r>
              <w:rPr>
                <w:rFonts w:ascii="Arial" w:cs="Arial" w:eastAsia="Arial" w:hAnsi="Arial"/>
                <w:sz w:val="14"/>
                <w:szCs w:val="14"/>
                <w:b w:val="1"/>
                <w:bCs w:val="1"/>
                <w:color w:val="170D67"/>
              </w:rPr>
              <w:t>Compensation</w:t>
            </w:r>
          </w:p>
        </w:tc>
        <w:tc>
          <w:tcPr>
            <w:tcW w:w="1360" w:type="dxa"/>
            <w:vAlign w:val="bottom"/>
          </w:tcPr>
          <w:p>
            <w:pPr>
              <w:jc w:val="right"/>
              <w:ind w:right="125"/>
              <w:spacing w:after="0"/>
              <w:rPr>
                <w:sz w:val="20"/>
                <w:szCs w:val="20"/>
                <w:color w:val="auto"/>
              </w:rPr>
            </w:pPr>
            <w:r>
              <w:rPr>
                <w:rFonts w:ascii="Arial" w:cs="Arial" w:eastAsia="Arial" w:hAnsi="Arial"/>
                <w:sz w:val="14"/>
                <w:szCs w:val="14"/>
                <w:b w:val="1"/>
                <w:bCs w:val="1"/>
                <w:color w:val="170D67"/>
              </w:rPr>
              <w:t>All Other</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Arial" w:cs="Arial" w:eastAsia="Arial" w:hAnsi="Arial"/>
                <w:sz w:val="14"/>
                <w:szCs w:val="14"/>
                <w:b w:val="1"/>
                <w:bCs w:val="1"/>
                <w:color w:val="170D67"/>
              </w:rPr>
              <w:t>Salary</w:t>
            </w:r>
          </w:p>
        </w:tc>
        <w:tc>
          <w:tcPr>
            <w:tcW w:w="920" w:type="dxa"/>
            <w:vAlign w:val="bottom"/>
          </w:tcPr>
          <w:p>
            <w:pPr>
              <w:jc w:val="right"/>
              <w:ind w:right="124"/>
              <w:spacing w:after="0"/>
              <w:rPr>
                <w:sz w:val="20"/>
                <w:szCs w:val="20"/>
                <w:color w:val="auto"/>
              </w:rPr>
            </w:pPr>
            <w:r>
              <w:rPr>
                <w:rFonts w:ascii="Arial" w:cs="Arial" w:eastAsia="Arial" w:hAnsi="Arial"/>
                <w:sz w:val="14"/>
                <w:szCs w:val="14"/>
                <w:b w:val="1"/>
                <w:bCs w:val="1"/>
                <w:color w:val="170D67"/>
              </w:rPr>
              <w:t>Bonus</w:t>
            </w:r>
          </w:p>
        </w:tc>
        <w:tc>
          <w:tcPr>
            <w:tcW w:w="1040" w:type="dxa"/>
            <w:vAlign w:val="bottom"/>
          </w:tcPr>
          <w:p>
            <w:pPr>
              <w:jc w:val="right"/>
              <w:ind w:right="85"/>
              <w:spacing w:after="0"/>
              <w:rPr>
                <w:sz w:val="20"/>
                <w:szCs w:val="20"/>
                <w:color w:val="auto"/>
              </w:rPr>
            </w:pPr>
            <w:r>
              <w:rPr>
                <w:rFonts w:ascii="Arial" w:cs="Arial" w:eastAsia="Arial" w:hAnsi="Arial"/>
                <w:sz w:val="14"/>
                <w:szCs w:val="14"/>
                <w:b w:val="1"/>
                <w:bCs w:val="1"/>
                <w:color w:val="170D67"/>
              </w:rPr>
              <w:t>Awards</w:t>
            </w:r>
          </w:p>
        </w:tc>
        <w:tc>
          <w:tcPr>
            <w:tcW w:w="1320" w:type="dxa"/>
            <w:vAlign w:val="bottom"/>
          </w:tcPr>
          <w:p>
            <w:pPr>
              <w:jc w:val="right"/>
              <w:ind w:right="85"/>
              <w:spacing w:after="0"/>
              <w:rPr>
                <w:sz w:val="20"/>
                <w:szCs w:val="20"/>
                <w:color w:val="auto"/>
              </w:rPr>
            </w:pPr>
            <w:r>
              <w:rPr>
                <w:rFonts w:ascii="Arial" w:cs="Arial" w:eastAsia="Arial" w:hAnsi="Arial"/>
                <w:sz w:val="14"/>
                <w:szCs w:val="14"/>
                <w:b w:val="1"/>
                <w:bCs w:val="1"/>
                <w:color w:val="170D67"/>
              </w:rPr>
              <w:t>Compensation</w:t>
            </w:r>
          </w:p>
        </w:tc>
        <w:tc>
          <w:tcPr>
            <w:tcW w:w="1320" w:type="dxa"/>
            <w:vAlign w:val="bottom"/>
          </w:tcPr>
          <w:p>
            <w:pPr>
              <w:jc w:val="right"/>
              <w:ind w:right="85"/>
              <w:spacing w:after="0"/>
              <w:rPr>
                <w:sz w:val="20"/>
                <w:szCs w:val="20"/>
                <w:color w:val="auto"/>
              </w:rPr>
            </w:pPr>
            <w:r>
              <w:rPr>
                <w:rFonts w:ascii="Arial" w:cs="Arial" w:eastAsia="Arial" w:hAnsi="Arial"/>
                <w:sz w:val="14"/>
                <w:szCs w:val="14"/>
                <w:b w:val="1"/>
                <w:bCs w:val="1"/>
                <w:color w:val="170D67"/>
              </w:rPr>
              <w:t>Earnings</w:t>
            </w:r>
          </w:p>
        </w:tc>
        <w:tc>
          <w:tcPr>
            <w:tcW w:w="1360" w:type="dxa"/>
            <w:vAlign w:val="bottom"/>
          </w:tcPr>
          <w:p>
            <w:pPr>
              <w:jc w:val="right"/>
              <w:ind w:right="125"/>
              <w:spacing w:after="0"/>
              <w:rPr>
                <w:sz w:val="20"/>
                <w:szCs w:val="20"/>
                <w:color w:val="auto"/>
              </w:rPr>
            </w:pPr>
            <w:r>
              <w:rPr>
                <w:rFonts w:ascii="Arial" w:cs="Arial" w:eastAsia="Arial" w:hAnsi="Arial"/>
                <w:sz w:val="14"/>
                <w:szCs w:val="14"/>
                <w:b w:val="1"/>
                <w:bCs w:val="1"/>
                <w:color w:val="170D67"/>
              </w:rPr>
              <w:t>Compensation</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170D67"/>
              </w:rPr>
              <w:t>Total</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jc w:val="right"/>
              <w:ind w:right="104"/>
              <w:spacing w:after="0"/>
              <w:rPr>
                <w:sz w:val="20"/>
                <w:szCs w:val="20"/>
                <w:color w:val="auto"/>
              </w:rPr>
            </w:pPr>
            <w:r>
              <w:rPr>
                <w:rFonts w:ascii="Arial" w:cs="Arial" w:eastAsia="Arial" w:hAnsi="Arial"/>
                <w:sz w:val="14"/>
                <w:szCs w:val="14"/>
                <w:b w:val="1"/>
                <w:bCs w:val="1"/>
                <w:color w:val="170D67"/>
              </w:rPr>
              <w:t>($)</w:t>
            </w:r>
          </w:p>
        </w:tc>
        <w:tc>
          <w:tcPr>
            <w:tcW w:w="920" w:type="dxa"/>
            <w:vAlign w:val="bottom"/>
          </w:tcPr>
          <w:p>
            <w:pPr>
              <w:jc w:val="right"/>
              <w:ind w:right="124"/>
              <w:spacing w:after="0"/>
              <w:rPr>
                <w:sz w:val="20"/>
                <w:szCs w:val="20"/>
                <w:color w:val="auto"/>
              </w:rPr>
            </w:pPr>
            <w:r>
              <w:rPr>
                <w:rFonts w:ascii="Arial" w:cs="Arial" w:eastAsia="Arial" w:hAnsi="Arial"/>
                <w:sz w:val="14"/>
                <w:szCs w:val="14"/>
                <w:b w:val="1"/>
                <w:bCs w:val="1"/>
                <w:color w:val="170D67"/>
              </w:rPr>
              <w:t>($)</w:t>
            </w:r>
          </w:p>
        </w:tc>
        <w:tc>
          <w:tcPr>
            <w:tcW w:w="1040" w:type="dxa"/>
            <w:vAlign w:val="bottom"/>
          </w:tcPr>
          <w:p>
            <w:pPr>
              <w:jc w:val="right"/>
              <w:ind w:right="85"/>
              <w:spacing w:after="0"/>
              <w:rPr>
                <w:sz w:val="20"/>
                <w:szCs w:val="20"/>
                <w:color w:val="auto"/>
              </w:rPr>
            </w:pPr>
            <w:r>
              <w:rPr>
                <w:rFonts w:ascii="Arial" w:cs="Arial" w:eastAsia="Arial" w:hAnsi="Arial"/>
                <w:sz w:val="14"/>
                <w:szCs w:val="14"/>
                <w:b w:val="1"/>
                <w:bCs w:val="1"/>
                <w:color w:val="170D67"/>
              </w:rPr>
              <w:t>($)</w:t>
            </w:r>
          </w:p>
        </w:tc>
        <w:tc>
          <w:tcPr>
            <w:tcW w:w="1320" w:type="dxa"/>
            <w:vAlign w:val="bottom"/>
          </w:tcPr>
          <w:p>
            <w:pPr>
              <w:jc w:val="right"/>
              <w:ind w:right="85"/>
              <w:spacing w:after="0"/>
              <w:rPr>
                <w:sz w:val="20"/>
                <w:szCs w:val="20"/>
                <w:color w:val="auto"/>
              </w:rPr>
            </w:pPr>
            <w:r>
              <w:rPr>
                <w:rFonts w:ascii="Arial" w:cs="Arial" w:eastAsia="Arial" w:hAnsi="Arial"/>
                <w:sz w:val="14"/>
                <w:szCs w:val="14"/>
                <w:b w:val="1"/>
                <w:bCs w:val="1"/>
                <w:color w:val="170D67"/>
              </w:rPr>
              <w:t>($)</w:t>
            </w:r>
          </w:p>
        </w:tc>
        <w:tc>
          <w:tcPr>
            <w:tcW w:w="1320" w:type="dxa"/>
            <w:vAlign w:val="bottom"/>
          </w:tcPr>
          <w:p>
            <w:pPr>
              <w:jc w:val="right"/>
              <w:ind w:right="85"/>
              <w:spacing w:after="0"/>
              <w:rPr>
                <w:sz w:val="20"/>
                <w:szCs w:val="20"/>
                <w:color w:val="auto"/>
              </w:rPr>
            </w:pPr>
            <w:r>
              <w:rPr>
                <w:rFonts w:ascii="Arial" w:cs="Arial" w:eastAsia="Arial" w:hAnsi="Arial"/>
                <w:sz w:val="14"/>
                <w:szCs w:val="14"/>
                <w:b w:val="1"/>
                <w:bCs w:val="1"/>
                <w:color w:val="170D67"/>
              </w:rPr>
              <w:t>($)</w:t>
            </w:r>
          </w:p>
        </w:tc>
        <w:tc>
          <w:tcPr>
            <w:tcW w:w="1360" w:type="dxa"/>
            <w:vAlign w:val="bottom"/>
          </w:tcPr>
          <w:p>
            <w:pPr>
              <w:jc w:val="right"/>
              <w:ind w:right="125"/>
              <w:spacing w:after="0"/>
              <w:rPr>
                <w:sz w:val="20"/>
                <w:szCs w:val="20"/>
                <w:color w:val="auto"/>
              </w:rPr>
            </w:pPr>
            <w:r>
              <w:rPr>
                <w:rFonts w:ascii="Arial" w:cs="Arial" w:eastAsia="Arial" w:hAnsi="Arial"/>
                <w:sz w:val="14"/>
                <w:szCs w:val="14"/>
                <w:b w:val="1"/>
                <w:bCs w:val="1"/>
                <w:color w:val="170D67"/>
              </w:rPr>
              <w:t>($)</w:t>
            </w: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600" w:type="dxa"/>
            <w:vAlign w:val="bottom"/>
            <w:tcBorders>
              <w:bottom w:val="single" w:sz="8" w:color="929292"/>
            </w:tcBorders>
          </w:tcPr>
          <w:p>
            <w:pPr>
              <w:spacing w:after="0"/>
              <w:rPr>
                <w:sz w:val="18"/>
                <w:szCs w:val="18"/>
                <w:color w:val="auto"/>
              </w:rPr>
            </w:pPr>
          </w:p>
        </w:tc>
        <w:tc>
          <w:tcPr>
            <w:tcW w:w="700" w:type="dxa"/>
            <w:vAlign w:val="bottom"/>
            <w:tcBorders>
              <w:bottom w:val="single" w:sz="8" w:color="929292"/>
            </w:tcBorders>
          </w:tcPr>
          <w:p>
            <w:pPr>
              <w:jc w:val="right"/>
              <w:ind w:right="44"/>
              <w:spacing w:after="0"/>
              <w:rPr>
                <w:sz w:val="20"/>
                <w:szCs w:val="20"/>
                <w:color w:val="auto"/>
              </w:rPr>
            </w:pPr>
            <w:r>
              <w:rPr>
                <w:rFonts w:ascii="Arial" w:cs="Arial" w:eastAsia="Arial" w:hAnsi="Arial"/>
                <w:sz w:val="14"/>
                <w:szCs w:val="14"/>
                <w:b w:val="1"/>
                <w:bCs w:val="1"/>
                <w:color w:val="170D67"/>
              </w:rPr>
              <w:t>Year</w:t>
            </w:r>
          </w:p>
        </w:tc>
        <w:tc>
          <w:tcPr>
            <w:tcW w:w="1000" w:type="dxa"/>
            <w:vAlign w:val="bottom"/>
            <w:tcBorders>
              <w:bottom w:val="single" w:sz="8" w:color="929292"/>
            </w:tcBorders>
          </w:tcPr>
          <w:p>
            <w:pPr>
              <w:jc w:val="right"/>
              <w:ind w:right="104"/>
              <w:spacing w:after="0"/>
              <w:rPr>
                <w:sz w:val="20"/>
                <w:szCs w:val="20"/>
                <w:color w:val="auto"/>
              </w:rPr>
            </w:pPr>
            <w:r>
              <w:rPr>
                <w:rFonts w:ascii="Arial" w:cs="Arial" w:eastAsia="Arial" w:hAnsi="Arial"/>
                <w:sz w:val="14"/>
                <w:szCs w:val="14"/>
                <w:b w:val="1"/>
                <w:bCs w:val="1"/>
                <w:color w:val="170D67"/>
              </w:rPr>
              <w:t>(Note 1)</w:t>
            </w:r>
          </w:p>
        </w:tc>
        <w:tc>
          <w:tcPr>
            <w:tcW w:w="920" w:type="dxa"/>
            <w:vAlign w:val="bottom"/>
            <w:tcBorders>
              <w:bottom w:val="single" w:sz="8" w:color="929292"/>
            </w:tcBorders>
          </w:tcPr>
          <w:p>
            <w:pPr>
              <w:jc w:val="right"/>
              <w:ind w:right="124"/>
              <w:spacing w:after="0"/>
              <w:rPr>
                <w:sz w:val="20"/>
                <w:szCs w:val="20"/>
                <w:color w:val="auto"/>
              </w:rPr>
            </w:pPr>
            <w:r>
              <w:rPr>
                <w:rFonts w:ascii="Arial" w:cs="Arial" w:eastAsia="Arial" w:hAnsi="Arial"/>
                <w:sz w:val="14"/>
                <w:szCs w:val="14"/>
                <w:b w:val="1"/>
                <w:bCs w:val="1"/>
                <w:color w:val="170D67"/>
              </w:rPr>
              <w:t>(Note 2)</w:t>
            </w:r>
          </w:p>
        </w:tc>
        <w:tc>
          <w:tcPr>
            <w:tcW w:w="1040" w:type="dxa"/>
            <w:vAlign w:val="bottom"/>
            <w:tcBorders>
              <w:bottom w:val="single" w:sz="8" w:color="929292"/>
            </w:tcBorders>
          </w:tcPr>
          <w:p>
            <w:pPr>
              <w:jc w:val="right"/>
              <w:ind w:right="85"/>
              <w:spacing w:after="0"/>
              <w:rPr>
                <w:sz w:val="20"/>
                <w:szCs w:val="20"/>
                <w:color w:val="auto"/>
              </w:rPr>
            </w:pPr>
            <w:r>
              <w:rPr>
                <w:rFonts w:ascii="Arial" w:cs="Arial" w:eastAsia="Arial" w:hAnsi="Arial"/>
                <w:sz w:val="14"/>
                <w:szCs w:val="14"/>
                <w:b w:val="1"/>
                <w:bCs w:val="1"/>
                <w:color w:val="170D67"/>
              </w:rPr>
              <w:t>(Note 3)</w:t>
            </w:r>
          </w:p>
        </w:tc>
        <w:tc>
          <w:tcPr>
            <w:tcW w:w="1320" w:type="dxa"/>
            <w:vAlign w:val="bottom"/>
            <w:tcBorders>
              <w:bottom w:val="single" w:sz="8" w:color="929292"/>
            </w:tcBorders>
          </w:tcPr>
          <w:p>
            <w:pPr>
              <w:jc w:val="right"/>
              <w:ind w:right="85"/>
              <w:spacing w:after="0"/>
              <w:rPr>
                <w:sz w:val="20"/>
                <w:szCs w:val="20"/>
                <w:color w:val="auto"/>
              </w:rPr>
            </w:pPr>
            <w:r>
              <w:rPr>
                <w:rFonts w:ascii="Arial" w:cs="Arial" w:eastAsia="Arial" w:hAnsi="Arial"/>
                <w:sz w:val="14"/>
                <w:szCs w:val="14"/>
                <w:b w:val="1"/>
                <w:bCs w:val="1"/>
                <w:color w:val="170D67"/>
              </w:rPr>
              <w:t>(Note 4)</w:t>
            </w:r>
          </w:p>
        </w:tc>
        <w:tc>
          <w:tcPr>
            <w:tcW w:w="1320" w:type="dxa"/>
            <w:vAlign w:val="bottom"/>
            <w:tcBorders>
              <w:bottom w:val="single" w:sz="8" w:color="929292"/>
            </w:tcBorders>
          </w:tcPr>
          <w:p>
            <w:pPr>
              <w:jc w:val="right"/>
              <w:ind w:right="85"/>
              <w:spacing w:after="0"/>
              <w:rPr>
                <w:sz w:val="20"/>
                <w:szCs w:val="20"/>
                <w:color w:val="auto"/>
              </w:rPr>
            </w:pPr>
            <w:r>
              <w:rPr>
                <w:rFonts w:ascii="Arial" w:cs="Arial" w:eastAsia="Arial" w:hAnsi="Arial"/>
                <w:sz w:val="14"/>
                <w:szCs w:val="14"/>
                <w:b w:val="1"/>
                <w:bCs w:val="1"/>
                <w:color w:val="170D67"/>
              </w:rPr>
              <w:t>(Note 5)</w:t>
            </w:r>
          </w:p>
        </w:tc>
        <w:tc>
          <w:tcPr>
            <w:tcW w:w="1360" w:type="dxa"/>
            <w:vAlign w:val="bottom"/>
            <w:tcBorders>
              <w:bottom w:val="single" w:sz="8" w:color="929292"/>
            </w:tcBorders>
          </w:tcPr>
          <w:p>
            <w:pPr>
              <w:jc w:val="right"/>
              <w:ind w:right="125"/>
              <w:spacing w:after="0"/>
              <w:rPr>
                <w:sz w:val="20"/>
                <w:szCs w:val="20"/>
                <w:color w:val="auto"/>
              </w:rPr>
            </w:pPr>
            <w:r>
              <w:rPr>
                <w:rFonts w:ascii="Arial" w:cs="Arial" w:eastAsia="Arial" w:hAnsi="Arial"/>
                <w:sz w:val="14"/>
                <w:szCs w:val="14"/>
                <w:b w:val="1"/>
                <w:bCs w:val="1"/>
                <w:color w:val="170D67"/>
              </w:rPr>
              <w:t>(Note 6)</w:t>
            </w:r>
          </w:p>
        </w:tc>
        <w:tc>
          <w:tcPr>
            <w:tcW w:w="96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170D67"/>
              </w:rPr>
              <w:t>($)</w:t>
            </w:r>
          </w:p>
        </w:tc>
        <w:tc>
          <w:tcPr>
            <w:tcW w:w="0" w:type="dxa"/>
            <w:vAlign w:val="bottom"/>
          </w:tcPr>
          <w:p>
            <w:pPr>
              <w:spacing w:after="0"/>
              <w:rPr>
                <w:sz w:val="1"/>
                <w:szCs w:val="1"/>
                <w:color w:val="auto"/>
              </w:rPr>
            </w:pPr>
          </w:p>
        </w:tc>
      </w:tr>
      <w:tr>
        <w:trPr>
          <w:trHeight w:val="198"/>
        </w:trPr>
        <w:tc>
          <w:tcPr>
            <w:tcW w:w="2600" w:type="dxa"/>
            <w:vAlign w:val="bottom"/>
          </w:tcPr>
          <w:p>
            <w:pPr>
              <w:ind w:left="20"/>
              <w:spacing w:after="0"/>
              <w:rPr>
                <w:sz w:val="20"/>
                <w:szCs w:val="20"/>
                <w:color w:val="auto"/>
              </w:rPr>
            </w:pPr>
            <w:r>
              <w:rPr>
                <w:rFonts w:ascii="Arial" w:cs="Arial" w:eastAsia="Arial" w:hAnsi="Arial"/>
                <w:sz w:val="15"/>
                <w:szCs w:val="15"/>
                <w:b w:val="1"/>
                <w:bCs w:val="1"/>
                <w:color w:val="auto"/>
              </w:rPr>
              <w:t>Calvin G. Butler Jr.</w:t>
            </w:r>
          </w:p>
        </w:tc>
        <w:tc>
          <w:tcPr>
            <w:tcW w:w="700" w:type="dxa"/>
            <w:vAlign w:val="bottom"/>
          </w:tcPr>
          <w:p>
            <w:pPr>
              <w:jc w:val="right"/>
              <w:ind w:right="264"/>
              <w:spacing w:after="0"/>
              <w:rPr>
                <w:sz w:val="20"/>
                <w:szCs w:val="20"/>
                <w:color w:val="auto"/>
              </w:rPr>
            </w:pPr>
            <w:r>
              <w:rPr>
                <w:rFonts w:ascii="Arial" w:cs="Arial" w:eastAsia="Arial" w:hAnsi="Arial"/>
                <w:sz w:val="15"/>
                <w:szCs w:val="15"/>
                <w:color w:val="auto"/>
              </w:rPr>
              <w:t>2024</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1,281,033</w:t>
            </w:r>
          </w:p>
        </w:tc>
        <w:tc>
          <w:tcPr>
            <w:tcW w:w="92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9,169,052</w:t>
            </w:r>
          </w:p>
        </w:tc>
        <w:tc>
          <w:tcPr>
            <w:tcW w:w="1320" w:type="dxa"/>
            <w:vAlign w:val="bottom"/>
          </w:tcPr>
          <w:p>
            <w:pPr>
              <w:jc w:val="right"/>
              <w:ind w:right="85"/>
              <w:spacing w:after="0"/>
              <w:rPr>
                <w:sz w:val="20"/>
                <w:szCs w:val="20"/>
                <w:color w:val="auto"/>
              </w:rPr>
            </w:pPr>
            <w:r>
              <w:rPr>
                <w:rFonts w:ascii="Arial" w:cs="Arial" w:eastAsia="Arial" w:hAnsi="Arial"/>
                <w:sz w:val="15"/>
                <w:szCs w:val="15"/>
                <w:color w:val="auto"/>
              </w:rPr>
              <w:t>2,639,885</w:t>
            </w:r>
          </w:p>
        </w:tc>
        <w:tc>
          <w:tcPr>
            <w:tcW w:w="1320" w:type="dxa"/>
            <w:vAlign w:val="bottom"/>
          </w:tcPr>
          <w:p>
            <w:pPr>
              <w:jc w:val="right"/>
              <w:ind w:right="85"/>
              <w:spacing w:after="0"/>
              <w:rPr>
                <w:sz w:val="20"/>
                <w:szCs w:val="20"/>
                <w:color w:val="auto"/>
              </w:rPr>
            </w:pPr>
            <w:r>
              <w:rPr>
                <w:rFonts w:ascii="Arial" w:cs="Arial" w:eastAsia="Arial" w:hAnsi="Arial"/>
                <w:sz w:val="15"/>
                <w:szCs w:val="15"/>
                <w:color w:val="auto"/>
              </w:rPr>
              <w:t>363,766</w:t>
            </w:r>
          </w:p>
        </w:tc>
        <w:tc>
          <w:tcPr>
            <w:tcW w:w="1360" w:type="dxa"/>
            <w:vAlign w:val="bottom"/>
          </w:tcPr>
          <w:p>
            <w:pPr>
              <w:jc w:val="right"/>
              <w:ind w:right="125"/>
              <w:spacing w:after="0"/>
              <w:rPr>
                <w:sz w:val="20"/>
                <w:szCs w:val="20"/>
                <w:color w:val="auto"/>
              </w:rPr>
            </w:pPr>
            <w:r>
              <w:rPr>
                <w:rFonts w:ascii="Arial" w:cs="Arial" w:eastAsia="Arial" w:hAnsi="Arial"/>
                <w:sz w:val="15"/>
                <w:szCs w:val="15"/>
                <w:color w:val="auto"/>
              </w:rPr>
              <w:t>1,209,189</w:t>
            </w:r>
          </w:p>
        </w:tc>
        <w:tc>
          <w:tcPr>
            <w:tcW w:w="960" w:type="dxa"/>
            <w:vAlign w:val="bottom"/>
          </w:tcPr>
          <w:p>
            <w:pPr>
              <w:jc w:val="right"/>
              <w:spacing w:after="0"/>
              <w:rPr>
                <w:sz w:val="20"/>
                <w:szCs w:val="20"/>
                <w:color w:val="auto"/>
              </w:rPr>
            </w:pPr>
            <w:r>
              <w:rPr>
                <w:rFonts w:ascii="Arial" w:cs="Arial" w:eastAsia="Arial" w:hAnsi="Arial"/>
                <w:sz w:val="15"/>
                <w:szCs w:val="15"/>
                <w:color w:val="auto"/>
              </w:rPr>
              <w:t>14,662,925</w:t>
            </w:r>
          </w:p>
        </w:tc>
        <w:tc>
          <w:tcPr>
            <w:tcW w:w="0" w:type="dxa"/>
            <w:vAlign w:val="bottom"/>
          </w:tcPr>
          <w:p>
            <w:pPr>
              <w:spacing w:after="0"/>
              <w:rPr>
                <w:sz w:val="1"/>
                <w:szCs w:val="1"/>
                <w:color w:val="auto"/>
              </w:rPr>
            </w:pPr>
          </w:p>
        </w:tc>
      </w:tr>
      <w:tr>
        <w:trPr>
          <w:trHeight w:val="53"/>
        </w:trPr>
        <w:tc>
          <w:tcPr>
            <w:tcW w:w="2600" w:type="dxa"/>
            <w:vAlign w:val="bottom"/>
            <w:vMerge w:val="restart"/>
          </w:tcPr>
          <w:p>
            <w:pPr>
              <w:ind w:left="20"/>
              <w:spacing w:after="0"/>
              <w:rPr>
                <w:sz w:val="20"/>
                <w:szCs w:val="20"/>
                <w:color w:val="auto"/>
              </w:rPr>
            </w:pPr>
            <w:r>
              <w:rPr>
                <w:rFonts w:ascii="Arial" w:cs="Arial" w:eastAsia="Arial" w:hAnsi="Arial"/>
                <w:sz w:val="13"/>
                <w:szCs w:val="13"/>
                <w:color w:val="auto"/>
              </w:rPr>
              <w:t>President and Chief</w:t>
            </w:r>
          </w:p>
        </w:tc>
        <w:tc>
          <w:tcPr>
            <w:tcW w:w="700" w:type="dxa"/>
            <w:vAlign w:val="bottom"/>
            <w:tcBorders>
              <w:bottom w:val="single" w:sz="8" w:color="B6B6B6"/>
            </w:tcBorders>
          </w:tcPr>
          <w:p>
            <w:pPr>
              <w:spacing w:after="0"/>
              <w:rPr>
                <w:sz w:val="4"/>
                <w:szCs w:val="4"/>
                <w:color w:val="auto"/>
              </w:rPr>
            </w:pPr>
          </w:p>
        </w:tc>
        <w:tc>
          <w:tcPr>
            <w:tcW w:w="1000" w:type="dxa"/>
            <w:vAlign w:val="bottom"/>
            <w:tcBorders>
              <w:bottom w:val="single" w:sz="8" w:color="B6B6B6"/>
            </w:tcBorders>
          </w:tcPr>
          <w:p>
            <w:pPr>
              <w:spacing w:after="0"/>
              <w:rPr>
                <w:sz w:val="4"/>
                <w:szCs w:val="4"/>
                <w:color w:val="auto"/>
              </w:rPr>
            </w:pPr>
          </w:p>
        </w:tc>
        <w:tc>
          <w:tcPr>
            <w:tcW w:w="920" w:type="dxa"/>
            <w:vAlign w:val="bottom"/>
            <w:tcBorders>
              <w:bottom w:val="single" w:sz="8" w:color="B6B6B6"/>
            </w:tcBorders>
          </w:tcPr>
          <w:p>
            <w:pPr>
              <w:spacing w:after="0"/>
              <w:rPr>
                <w:sz w:val="4"/>
                <w:szCs w:val="4"/>
                <w:color w:val="auto"/>
              </w:rPr>
            </w:pPr>
          </w:p>
        </w:tc>
        <w:tc>
          <w:tcPr>
            <w:tcW w:w="1040" w:type="dxa"/>
            <w:vAlign w:val="bottom"/>
            <w:tcBorders>
              <w:bottom w:val="single" w:sz="8" w:color="B6B6B6"/>
            </w:tcBorders>
          </w:tcPr>
          <w:p>
            <w:pPr>
              <w:spacing w:after="0"/>
              <w:rPr>
                <w:sz w:val="4"/>
                <w:szCs w:val="4"/>
                <w:color w:val="auto"/>
              </w:rPr>
            </w:pPr>
          </w:p>
        </w:tc>
        <w:tc>
          <w:tcPr>
            <w:tcW w:w="1320" w:type="dxa"/>
            <w:vAlign w:val="bottom"/>
            <w:tcBorders>
              <w:bottom w:val="single" w:sz="8" w:color="B6B6B6"/>
            </w:tcBorders>
          </w:tcPr>
          <w:p>
            <w:pPr>
              <w:spacing w:after="0"/>
              <w:rPr>
                <w:sz w:val="4"/>
                <w:szCs w:val="4"/>
                <w:color w:val="auto"/>
              </w:rPr>
            </w:pPr>
          </w:p>
        </w:tc>
        <w:tc>
          <w:tcPr>
            <w:tcW w:w="1320" w:type="dxa"/>
            <w:vAlign w:val="bottom"/>
            <w:tcBorders>
              <w:bottom w:val="single" w:sz="8" w:color="B6B6B6"/>
            </w:tcBorders>
          </w:tcPr>
          <w:p>
            <w:pPr>
              <w:spacing w:after="0"/>
              <w:rPr>
                <w:sz w:val="4"/>
                <w:szCs w:val="4"/>
                <w:color w:val="auto"/>
              </w:rPr>
            </w:pPr>
          </w:p>
        </w:tc>
        <w:tc>
          <w:tcPr>
            <w:tcW w:w="1360" w:type="dxa"/>
            <w:vAlign w:val="bottom"/>
            <w:tcBorders>
              <w:bottom w:val="single" w:sz="8" w:color="B6B6B6"/>
            </w:tcBorders>
          </w:tcPr>
          <w:p>
            <w:pPr>
              <w:spacing w:after="0"/>
              <w:rPr>
                <w:sz w:val="4"/>
                <w:szCs w:val="4"/>
                <w:color w:val="auto"/>
              </w:rPr>
            </w:pPr>
          </w:p>
        </w:tc>
        <w:tc>
          <w:tcPr>
            <w:tcW w:w="960" w:type="dxa"/>
            <w:vAlign w:val="bottom"/>
            <w:tcBorders>
              <w:bottom w:val="single" w:sz="8" w:color="B6B6B6"/>
            </w:tcBorders>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2600" w:type="dxa"/>
            <w:vAlign w:val="bottom"/>
            <w:vMerge w:val="continue"/>
          </w:tcPr>
          <w:p>
            <w:pPr>
              <w:spacing w:after="0"/>
              <w:rPr>
                <w:sz w:val="7"/>
                <w:szCs w:val="7"/>
                <w:color w:val="auto"/>
              </w:rPr>
            </w:pPr>
          </w:p>
        </w:tc>
        <w:tc>
          <w:tcPr>
            <w:tcW w:w="700" w:type="dxa"/>
            <w:vAlign w:val="bottom"/>
            <w:vMerge w:val="restart"/>
          </w:tcPr>
          <w:p>
            <w:pPr>
              <w:jc w:val="right"/>
              <w:ind w:right="264"/>
              <w:spacing w:after="0"/>
              <w:rPr>
                <w:sz w:val="20"/>
                <w:szCs w:val="20"/>
                <w:color w:val="auto"/>
              </w:rPr>
            </w:pPr>
            <w:r>
              <w:rPr>
                <w:rFonts w:ascii="Arial" w:cs="Arial" w:eastAsia="Arial" w:hAnsi="Arial"/>
                <w:sz w:val="15"/>
                <w:szCs w:val="15"/>
                <w:color w:val="auto"/>
              </w:rPr>
              <w:t>2023</w:t>
            </w:r>
          </w:p>
        </w:tc>
        <w:tc>
          <w:tcPr>
            <w:tcW w:w="1000" w:type="dxa"/>
            <w:vAlign w:val="bottom"/>
            <w:vMerge w:val="restart"/>
          </w:tcPr>
          <w:p>
            <w:pPr>
              <w:jc w:val="right"/>
              <w:ind w:right="104"/>
              <w:spacing w:after="0"/>
              <w:rPr>
                <w:sz w:val="20"/>
                <w:szCs w:val="20"/>
                <w:color w:val="auto"/>
              </w:rPr>
            </w:pPr>
            <w:r>
              <w:rPr>
                <w:rFonts w:ascii="Arial" w:cs="Arial" w:eastAsia="Arial" w:hAnsi="Arial"/>
                <w:sz w:val="15"/>
                <w:szCs w:val="15"/>
                <w:color w:val="auto"/>
              </w:rPr>
              <w:t>1,244,271</w:t>
            </w:r>
          </w:p>
        </w:tc>
        <w:tc>
          <w:tcPr>
            <w:tcW w:w="920" w:type="dxa"/>
            <w:vAlign w:val="bottom"/>
            <w:vMerge w:val="restart"/>
          </w:tcPr>
          <w:p>
            <w:pPr>
              <w:jc w:val="right"/>
              <w:ind w:right="124"/>
              <w:spacing w:after="0"/>
              <w:rPr>
                <w:sz w:val="20"/>
                <w:szCs w:val="20"/>
                <w:color w:val="auto"/>
              </w:rPr>
            </w:pPr>
            <w:r>
              <w:rPr>
                <w:rFonts w:ascii="Arial" w:cs="Arial" w:eastAsia="Arial" w:hAnsi="Arial"/>
                <w:sz w:val="15"/>
                <w:szCs w:val="15"/>
                <w:color w:val="auto"/>
              </w:rPr>
              <w:t>—</w:t>
            </w:r>
          </w:p>
        </w:tc>
        <w:tc>
          <w:tcPr>
            <w:tcW w:w="1040" w:type="dxa"/>
            <w:vAlign w:val="bottom"/>
            <w:vMerge w:val="restart"/>
          </w:tcPr>
          <w:p>
            <w:pPr>
              <w:jc w:val="right"/>
              <w:ind w:right="85"/>
              <w:spacing w:after="0"/>
              <w:rPr>
                <w:sz w:val="20"/>
                <w:szCs w:val="20"/>
                <w:color w:val="auto"/>
              </w:rPr>
            </w:pPr>
            <w:r>
              <w:rPr>
                <w:rFonts w:ascii="Arial" w:cs="Arial" w:eastAsia="Arial" w:hAnsi="Arial"/>
                <w:sz w:val="15"/>
                <w:szCs w:val="15"/>
                <w:color w:val="auto"/>
              </w:rPr>
              <w:t>7,951,800</w:t>
            </w:r>
          </w:p>
        </w:tc>
        <w:tc>
          <w:tcPr>
            <w:tcW w:w="1320" w:type="dxa"/>
            <w:vAlign w:val="bottom"/>
            <w:vMerge w:val="restart"/>
          </w:tcPr>
          <w:p>
            <w:pPr>
              <w:jc w:val="right"/>
              <w:ind w:right="85"/>
              <w:spacing w:after="0"/>
              <w:rPr>
                <w:sz w:val="20"/>
                <w:szCs w:val="20"/>
                <w:color w:val="auto"/>
              </w:rPr>
            </w:pPr>
            <w:r>
              <w:rPr>
                <w:rFonts w:ascii="Arial" w:cs="Arial" w:eastAsia="Arial" w:hAnsi="Arial"/>
                <w:sz w:val="15"/>
                <w:szCs w:val="15"/>
                <w:color w:val="auto"/>
              </w:rPr>
              <w:t>2,265,900</w:t>
            </w:r>
          </w:p>
        </w:tc>
        <w:tc>
          <w:tcPr>
            <w:tcW w:w="1320" w:type="dxa"/>
            <w:vAlign w:val="bottom"/>
            <w:vMerge w:val="restart"/>
          </w:tcPr>
          <w:p>
            <w:pPr>
              <w:jc w:val="right"/>
              <w:ind w:right="85"/>
              <w:spacing w:after="0"/>
              <w:rPr>
                <w:sz w:val="20"/>
                <w:szCs w:val="20"/>
                <w:color w:val="auto"/>
              </w:rPr>
            </w:pPr>
            <w:r>
              <w:rPr>
                <w:rFonts w:ascii="Arial" w:cs="Arial" w:eastAsia="Arial" w:hAnsi="Arial"/>
                <w:sz w:val="15"/>
                <w:szCs w:val="15"/>
                <w:color w:val="auto"/>
              </w:rPr>
              <w:t>320,832</w:t>
            </w:r>
          </w:p>
        </w:tc>
        <w:tc>
          <w:tcPr>
            <w:tcW w:w="1360" w:type="dxa"/>
            <w:vAlign w:val="bottom"/>
            <w:vMerge w:val="restart"/>
          </w:tcPr>
          <w:p>
            <w:pPr>
              <w:jc w:val="right"/>
              <w:ind w:right="125"/>
              <w:spacing w:after="0"/>
              <w:rPr>
                <w:sz w:val="20"/>
                <w:szCs w:val="20"/>
                <w:color w:val="auto"/>
              </w:rPr>
            </w:pPr>
            <w:r>
              <w:rPr>
                <w:rFonts w:ascii="Arial" w:cs="Arial" w:eastAsia="Arial" w:hAnsi="Arial"/>
                <w:sz w:val="15"/>
                <w:szCs w:val="15"/>
                <w:color w:val="auto"/>
              </w:rPr>
              <w:t>483,917</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12,266,720</w:t>
            </w:r>
          </w:p>
        </w:tc>
        <w:tc>
          <w:tcPr>
            <w:tcW w:w="0" w:type="dxa"/>
            <w:vAlign w:val="bottom"/>
          </w:tcPr>
          <w:p>
            <w:pPr>
              <w:spacing w:after="0"/>
              <w:rPr>
                <w:sz w:val="1"/>
                <w:szCs w:val="1"/>
                <w:color w:val="auto"/>
              </w:rPr>
            </w:pPr>
          </w:p>
        </w:tc>
      </w:tr>
      <w:tr>
        <w:trPr>
          <w:trHeight w:val="115"/>
        </w:trPr>
        <w:tc>
          <w:tcPr>
            <w:tcW w:w="2600" w:type="dxa"/>
            <w:vAlign w:val="bottom"/>
            <w:vMerge w:val="restart"/>
          </w:tcPr>
          <w:p>
            <w:pPr>
              <w:ind w:left="20"/>
              <w:spacing w:after="0"/>
              <w:rPr>
                <w:sz w:val="20"/>
                <w:szCs w:val="20"/>
                <w:color w:val="auto"/>
              </w:rPr>
            </w:pPr>
            <w:r>
              <w:rPr>
                <w:rFonts w:ascii="Arial" w:cs="Arial" w:eastAsia="Arial" w:hAnsi="Arial"/>
                <w:sz w:val="13"/>
                <w:szCs w:val="13"/>
                <w:color w:val="auto"/>
              </w:rPr>
              <w:t>Executive Officer</w:t>
            </w:r>
          </w:p>
        </w:tc>
        <w:tc>
          <w:tcPr>
            <w:tcW w:w="7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2600" w:type="dxa"/>
            <w:vAlign w:val="bottom"/>
            <w:vMerge w:val="continue"/>
          </w:tcPr>
          <w:p>
            <w:pPr>
              <w:spacing w:after="0"/>
              <w:rPr>
                <w:sz w:val="4"/>
                <w:szCs w:val="4"/>
                <w:color w:val="auto"/>
              </w:rPr>
            </w:pPr>
          </w:p>
        </w:tc>
        <w:tc>
          <w:tcPr>
            <w:tcW w:w="700" w:type="dxa"/>
            <w:vAlign w:val="bottom"/>
            <w:tcBorders>
              <w:bottom w:val="single" w:sz="8" w:color="B6B6B6"/>
            </w:tcBorders>
          </w:tcPr>
          <w:p>
            <w:pPr>
              <w:spacing w:after="0"/>
              <w:rPr>
                <w:sz w:val="4"/>
                <w:szCs w:val="4"/>
                <w:color w:val="auto"/>
              </w:rPr>
            </w:pPr>
          </w:p>
        </w:tc>
        <w:tc>
          <w:tcPr>
            <w:tcW w:w="1000" w:type="dxa"/>
            <w:vAlign w:val="bottom"/>
            <w:tcBorders>
              <w:bottom w:val="single" w:sz="8" w:color="B6B6B6"/>
            </w:tcBorders>
          </w:tcPr>
          <w:p>
            <w:pPr>
              <w:spacing w:after="0"/>
              <w:rPr>
                <w:sz w:val="4"/>
                <w:szCs w:val="4"/>
                <w:color w:val="auto"/>
              </w:rPr>
            </w:pPr>
          </w:p>
        </w:tc>
        <w:tc>
          <w:tcPr>
            <w:tcW w:w="920" w:type="dxa"/>
            <w:vAlign w:val="bottom"/>
            <w:tcBorders>
              <w:bottom w:val="single" w:sz="8" w:color="B6B6B6"/>
            </w:tcBorders>
          </w:tcPr>
          <w:p>
            <w:pPr>
              <w:spacing w:after="0"/>
              <w:rPr>
                <w:sz w:val="4"/>
                <w:szCs w:val="4"/>
                <w:color w:val="auto"/>
              </w:rPr>
            </w:pPr>
          </w:p>
        </w:tc>
        <w:tc>
          <w:tcPr>
            <w:tcW w:w="1040" w:type="dxa"/>
            <w:vAlign w:val="bottom"/>
            <w:tcBorders>
              <w:bottom w:val="single" w:sz="8" w:color="B6B6B6"/>
            </w:tcBorders>
          </w:tcPr>
          <w:p>
            <w:pPr>
              <w:spacing w:after="0"/>
              <w:rPr>
                <w:sz w:val="4"/>
                <w:szCs w:val="4"/>
                <w:color w:val="auto"/>
              </w:rPr>
            </w:pPr>
          </w:p>
        </w:tc>
        <w:tc>
          <w:tcPr>
            <w:tcW w:w="1320" w:type="dxa"/>
            <w:vAlign w:val="bottom"/>
            <w:tcBorders>
              <w:bottom w:val="single" w:sz="8" w:color="B6B6B6"/>
            </w:tcBorders>
          </w:tcPr>
          <w:p>
            <w:pPr>
              <w:spacing w:after="0"/>
              <w:rPr>
                <w:sz w:val="4"/>
                <w:szCs w:val="4"/>
                <w:color w:val="auto"/>
              </w:rPr>
            </w:pPr>
          </w:p>
        </w:tc>
        <w:tc>
          <w:tcPr>
            <w:tcW w:w="1320" w:type="dxa"/>
            <w:vAlign w:val="bottom"/>
            <w:tcBorders>
              <w:bottom w:val="single" w:sz="8" w:color="B6B6B6"/>
            </w:tcBorders>
          </w:tcPr>
          <w:p>
            <w:pPr>
              <w:spacing w:after="0"/>
              <w:rPr>
                <w:sz w:val="4"/>
                <w:szCs w:val="4"/>
                <w:color w:val="auto"/>
              </w:rPr>
            </w:pPr>
          </w:p>
        </w:tc>
        <w:tc>
          <w:tcPr>
            <w:tcW w:w="1360" w:type="dxa"/>
            <w:vAlign w:val="bottom"/>
            <w:tcBorders>
              <w:bottom w:val="single" w:sz="8" w:color="B6B6B6"/>
            </w:tcBorders>
          </w:tcPr>
          <w:p>
            <w:pPr>
              <w:spacing w:after="0"/>
              <w:rPr>
                <w:sz w:val="4"/>
                <w:szCs w:val="4"/>
                <w:color w:val="auto"/>
              </w:rPr>
            </w:pPr>
          </w:p>
        </w:tc>
        <w:tc>
          <w:tcPr>
            <w:tcW w:w="960" w:type="dxa"/>
            <w:vAlign w:val="bottom"/>
            <w:tcBorders>
              <w:bottom w:val="single" w:sz="8" w:color="B6B6B6"/>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700" w:type="dxa"/>
            <w:vAlign w:val="bottom"/>
          </w:tcPr>
          <w:p>
            <w:pPr>
              <w:jc w:val="right"/>
              <w:ind w:right="264"/>
              <w:spacing w:after="0"/>
              <w:rPr>
                <w:sz w:val="20"/>
                <w:szCs w:val="20"/>
                <w:color w:val="auto"/>
              </w:rPr>
            </w:pPr>
            <w:r>
              <w:rPr>
                <w:rFonts w:ascii="Arial" w:cs="Arial" w:eastAsia="Arial" w:hAnsi="Arial"/>
                <w:sz w:val="15"/>
                <w:szCs w:val="15"/>
                <w:color w:val="auto"/>
              </w:rPr>
              <w:t>2022</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928,281</w:t>
            </w:r>
          </w:p>
        </w:tc>
        <w:tc>
          <w:tcPr>
            <w:tcW w:w="92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3,423,719</w:t>
            </w:r>
          </w:p>
        </w:tc>
        <w:tc>
          <w:tcPr>
            <w:tcW w:w="1320" w:type="dxa"/>
            <w:vAlign w:val="bottom"/>
          </w:tcPr>
          <w:p>
            <w:pPr>
              <w:jc w:val="right"/>
              <w:ind w:right="85"/>
              <w:spacing w:after="0"/>
              <w:rPr>
                <w:sz w:val="20"/>
                <w:szCs w:val="20"/>
                <w:color w:val="auto"/>
              </w:rPr>
            </w:pPr>
            <w:r>
              <w:rPr>
                <w:rFonts w:ascii="Arial" w:cs="Arial" w:eastAsia="Arial" w:hAnsi="Arial"/>
                <w:sz w:val="15"/>
                <w:szCs w:val="15"/>
                <w:color w:val="auto"/>
              </w:rPr>
              <w:t>1,069,409</w:t>
            </w:r>
          </w:p>
        </w:tc>
        <w:tc>
          <w:tcPr>
            <w:tcW w:w="1320" w:type="dxa"/>
            <w:vAlign w:val="bottom"/>
          </w:tcPr>
          <w:p>
            <w:pPr>
              <w:jc w:val="right"/>
              <w:ind w:right="85"/>
              <w:spacing w:after="0"/>
              <w:rPr>
                <w:sz w:val="20"/>
                <w:szCs w:val="20"/>
                <w:color w:val="auto"/>
              </w:rPr>
            </w:pPr>
            <w:r>
              <w:rPr>
                <w:rFonts w:ascii="Arial" w:cs="Arial" w:eastAsia="Arial" w:hAnsi="Arial"/>
                <w:sz w:val="15"/>
                <w:szCs w:val="15"/>
                <w:color w:val="auto"/>
              </w:rPr>
              <w:t>198,532</w:t>
            </w:r>
          </w:p>
        </w:tc>
        <w:tc>
          <w:tcPr>
            <w:tcW w:w="1360" w:type="dxa"/>
            <w:vAlign w:val="bottom"/>
          </w:tcPr>
          <w:p>
            <w:pPr>
              <w:jc w:val="right"/>
              <w:ind w:right="125"/>
              <w:spacing w:after="0"/>
              <w:rPr>
                <w:sz w:val="20"/>
                <w:szCs w:val="20"/>
                <w:color w:val="auto"/>
              </w:rPr>
            </w:pPr>
            <w:r>
              <w:rPr>
                <w:rFonts w:ascii="Arial" w:cs="Arial" w:eastAsia="Arial" w:hAnsi="Arial"/>
                <w:sz w:val="15"/>
                <w:szCs w:val="15"/>
                <w:color w:val="auto"/>
              </w:rPr>
              <w:t>666,150</w:t>
            </w:r>
          </w:p>
        </w:tc>
        <w:tc>
          <w:tcPr>
            <w:tcW w:w="960" w:type="dxa"/>
            <w:vAlign w:val="bottom"/>
          </w:tcPr>
          <w:p>
            <w:pPr>
              <w:jc w:val="right"/>
              <w:spacing w:after="0"/>
              <w:rPr>
                <w:sz w:val="20"/>
                <w:szCs w:val="20"/>
                <w:color w:val="auto"/>
              </w:rPr>
            </w:pPr>
            <w:r>
              <w:rPr>
                <w:rFonts w:ascii="Arial" w:cs="Arial" w:eastAsia="Arial" w:hAnsi="Arial"/>
                <w:sz w:val="15"/>
                <w:szCs w:val="15"/>
                <w:color w:val="auto"/>
              </w:rPr>
              <w:t>6,286,091</w:t>
            </w:r>
          </w:p>
        </w:tc>
        <w:tc>
          <w:tcPr>
            <w:tcW w:w="0" w:type="dxa"/>
            <w:vAlign w:val="bottom"/>
          </w:tcPr>
          <w:p>
            <w:pPr>
              <w:spacing w:after="0"/>
              <w:rPr>
                <w:sz w:val="1"/>
                <w:szCs w:val="1"/>
                <w:color w:val="auto"/>
              </w:rPr>
            </w:pPr>
          </w:p>
        </w:tc>
      </w:tr>
      <w:tr>
        <w:trPr>
          <w:trHeight w:val="47"/>
        </w:trPr>
        <w:tc>
          <w:tcPr>
            <w:tcW w:w="2600" w:type="dxa"/>
            <w:vAlign w:val="bottom"/>
            <w:tcBorders>
              <w:bottom w:val="single" w:sz="8" w:color="929292"/>
            </w:tcBorders>
          </w:tcPr>
          <w:p>
            <w:pPr>
              <w:spacing w:after="0"/>
              <w:rPr>
                <w:sz w:val="4"/>
                <w:szCs w:val="4"/>
                <w:color w:val="auto"/>
              </w:rPr>
            </w:pPr>
          </w:p>
        </w:tc>
        <w:tc>
          <w:tcPr>
            <w:tcW w:w="700" w:type="dxa"/>
            <w:vAlign w:val="bottom"/>
            <w:tcBorders>
              <w:bottom w:val="single" w:sz="8" w:color="929292"/>
            </w:tcBorders>
          </w:tcPr>
          <w:p>
            <w:pPr>
              <w:spacing w:after="0"/>
              <w:rPr>
                <w:sz w:val="4"/>
                <w:szCs w:val="4"/>
                <w:color w:val="auto"/>
              </w:rPr>
            </w:pPr>
          </w:p>
        </w:tc>
        <w:tc>
          <w:tcPr>
            <w:tcW w:w="1000" w:type="dxa"/>
            <w:vAlign w:val="bottom"/>
            <w:tcBorders>
              <w:bottom w:val="single" w:sz="8" w:color="929292"/>
            </w:tcBorders>
          </w:tcPr>
          <w:p>
            <w:pPr>
              <w:spacing w:after="0"/>
              <w:rPr>
                <w:sz w:val="4"/>
                <w:szCs w:val="4"/>
                <w:color w:val="auto"/>
              </w:rPr>
            </w:pPr>
          </w:p>
        </w:tc>
        <w:tc>
          <w:tcPr>
            <w:tcW w:w="920" w:type="dxa"/>
            <w:vAlign w:val="bottom"/>
            <w:tcBorders>
              <w:bottom w:val="single" w:sz="8" w:color="929292"/>
            </w:tcBorders>
          </w:tcPr>
          <w:p>
            <w:pPr>
              <w:spacing w:after="0"/>
              <w:rPr>
                <w:sz w:val="4"/>
                <w:szCs w:val="4"/>
                <w:color w:val="auto"/>
              </w:rPr>
            </w:pPr>
          </w:p>
        </w:tc>
        <w:tc>
          <w:tcPr>
            <w:tcW w:w="1040" w:type="dxa"/>
            <w:vAlign w:val="bottom"/>
            <w:tcBorders>
              <w:bottom w:val="single" w:sz="8" w:color="929292"/>
            </w:tcBorders>
          </w:tcPr>
          <w:p>
            <w:pPr>
              <w:spacing w:after="0"/>
              <w:rPr>
                <w:sz w:val="4"/>
                <w:szCs w:val="4"/>
                <w:color w:val="auto"/>
              </w:rPr>
            </w:pPr>
          </w:p>
        </w:tc>
        <w:tc>
          <w:tcPr>
            <w:tcW w:w="1320" w:type="dxa"/>
            <w:vAlign w:val="bottom"/>
            <w:tcBorders>
              <w:bottom w:val="single" w:sz="8" w:color="929292"/>
            </w:tcBorders>
          </w:tcPr>
          <w:p>
            <w:pPr>
              <w:spacing w:after="0"/>
              <w:rPr>
                <w:sz w:val="4"/>
                <w:szCs w:val="4"/>
                <w:color w:val="auto"/>
              </w:rPr>
            </w:pPr>
          </w:p>
        </w:tc>
        <w:tc>
          <w:tcPr>
            <w:tcW w:w="1320" w:type="dxa"/>
            <w:vAlign w:val="bottom"/>
            <w:tcBorders>
              <w:bottom w:val="single" w:sz="8" w:color="929292"/>
            </w:tcBorders>
          </w:tcPr>
          <w:p>
            <w:pPr>
              <w:spacing w:after="0"/>
              <w:rPr>
                <w:sz w:val="4"/>
                <w:szCs w:val="4"/>
                <w:color w:val="auto"/>
              </w:rPr>
            </w:pPr>
          </w:p>
        </w:tc>
        <w:tc>
          <w:tcPr>
            <w:tcW w:w="1360" w:type="dxa"/>
            <w:vAlign w:val="bottom"/>
            <w:tcBorders>
              <w:bottom w:val="single" w:sz="8" w:color="929292"/>
            </w:tcBorders>
          </w:tcPr>
          <w:p>
            <w:pPr>
              <w:spacing w:after="0"/>
              <w:rPr>
                <w:sz w:val="4"/>
                <w:szCs w:val="4"/>
                <w:color w:val="auto"/>
              </w:rPr>
            </w:pPr>
          </w:p>
        </w:tc>
        <w:tc>
          <w:tcPr>
            <w:tcW w:w="960" w:type="dxa"/>
            <w:vAlign w:val="bottom"/>
            <w:tcBorders>
              <w:bottom w:val="single" w:sz="8" w:color="929292"/>
            </w:tcBorders>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2600" w:type="dxa"/>
            <w:vAlign w:val="bottom"/>
          </w:tcPr>
          <w:p>
            <w:pPr>
              <w:ind w:left="20"/>
              <w:spacing w:after="0"/>
              <w:rPr>
                <w:sz w:val="20"/>
                <w:szCs w:val="20"/>
                <w:color w:val="auto"/>
              </w:rPr>
            </w:pPr>
            <w:r>
              <w:rPr>
                <w:rFonts w:ascii="Arial" w:cs="Arial" w:eastAsia="Arial" w:hAnsi="Arial"/>
                <w:sz w:val="15"/>
                <w:szCs w:val="15"/>
                <w:b w:val="1"/>
                <w:bCs w:val="1"/>
                <w:color w:val="auto"/>
              </w:rPr>
              <w:t>Jeanne Jones</w:t>
            </w:r>
          </w:p>
        </w:tc>
        <w:tc>
          <w:tcPr>
            <w:tcW w:w="700" w:type="dxa"/>
            <w:vAlign w:val="bottom"/>
          </w:tcPr>
          <w:p>
            <w:pPr>
              <w:jc w:val="right"/>
              <w:ind w:right="264"/>
              <w:spacing w:after="0"/>
              <w:rPr>
                <w:sz w:val="20"/>
                <w:szCs w:val="20"/>
                <w:color w:val="auto"/>
              </w:rPr>
            </w:pPr>
            <w:r>
              <w:rPr>
                <w:rFonts w:ascii="Arial" w:cs="Arial" w:eastAsia="Arial" w:hAnsi="Arial"/>
                <w:sz w:val="15"/>
                <w:szCs w:val="15"/>
                <w:color w:val="auto"/>
              </w:rPr>
              <w:t>2024</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714,645</w:t>
            </w:r>
          </w:p>
        </w:tc>
        <w:tc>
          <w:tcPr>
            <w:tcW w:w="92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1,858,954</w:t>
            </w:r>
          </w:p>
        </w:tc>
        <w:tc>
          <w:tcPr>
            <w:tcW w:w="1320" w:type="dxa"/>
            <w:vAlign w:val="bottom"/>
          </w:tcPr>
          <w:p>
            <w:pPr>
              <w:jc w:val="right"/>
              <w:ind w:right="85"/>
              <w:spacing w:after="0"/>
              <w:rPr>
                <w:sz w:val="20"/>
                <w:szCs w:val="20"/>
                <w:color w:val="auto"/>
              </w:rPr>
            </w:pPr>
            <w:r>
              <w:rPr>
                <w:rFonts w:ascii="Arial" w:cs="Arial" w:eastAsia="Arial" w:hAnsi="Arial"/>
                <w:sz w:val="15"/>
                <w:szCs w:val="15"/>
                <w:color w:val="auto"/>
              </w:rPr>
              <w:t>889,510</w:t>
            </w:r>
          </w:p>
        </w:tc>
        <w:tc>
          <w:tcPr>
            <w:tcW w:w="1320" w:type="dxa"/>
            <w:vAlign w:val="bottom"/>
          </w:tcPr>
          <w:p>
            <w:pPr>
              <w:jc w:val="right"/>
              <w:ind w:right="85"/>
              <w:spacing w:after="0"/>
              <w:rPr>
                <w:sz w:val="20"/>
                <w:szCs w:val="20"/>
                <w:color w:val="auto"/>
              </w:rPr>
            </w:pPr>
            <w:r>
              <w:rPr>
                <w:rFonts w:ascii="Arial" w:cs="Arial" w:eastAsia="Arial" w:hAnsi="Arial"/>
                <w:sz w:val="15"/>
                <w:szCs w:val="15"/>
                <w:color w:val="auto"/>
              </w:rPr>
              <w:t>157,667</w:t>
            </w:r>
          </w:p>
        </w:tc>
        <w:tc>
          <w:tcPr>
            <w:tcW w:w="1360" w:type="dxa"/>
            <w:vAlign w:val="bottom"/>
          </w:tcPr>
          <w:p>
            <w:pPr>
              <w:jc w:val="right"/>
              <w:ind w:right="125"/>
              <w:spacing w:after="0"/>
              <w:rPr>
                <w:sz w:val="20"/>
                <w:szCs w:val="20"/>
                <w:color w:val="auto"/>
              </w:rPr>
            </w:pPr>
            <w:r>
              <w:rPr>
                <w:rFonts w:ascii="Arial" w:cs="Arial" w:eastAsia="Arial" w:hAnsi="Arial"/>
                <w:sz w:val="15"/>
                <w:szCs w:val="15"/>
                <w:color w:val="auto"/>
              </w:rPr>
              <w:t>51,912</w:t>
            </w:r>
          </w:p>
        </w:tc>
        <w:tc>
          <w:tcPr>
            <w:tcW w:w="960" w:type="dxa"/>
            <w:vAlign w:val="bottom"/>
          </w:tcPr>
          <w:p>
            <w:pPr>
              <w:jc w:val="right"/>
              <w:spacing w:after="0"/>
              <w:rPr>
                <w:sz w:val="20"/>
                <w:szCs w:val="20"/>
                <w:color w:val="auto"/>
              </w:rPr>
            </w:pPr>
            <w:r>
              <w:rPr>
                <w:rFonts w:ascii="Arial" w:cs="Arial" w:eastAsia="Arial" w:hAnsi="Arial"/>
                <w:sz w:val="15"/>
                <w:szCs w:val="15"/>
                <w:color w:val="auto"/>
              </w:rPr>
              <w:t>3,672,688</w:t>
            </w:r>
          </w:p>
        </w:tc>
        <w:tc>
          <w:tcPr>
            <w:tcW w:w="0" w:type="dxa"/>
            <w:vAlign w:val="bottom"/>
          </w:tcPr>
          <w:p>
            <w:pPr>
              <w:spacing w:after="0"/>
              <w:rPr>
                <w:sz w:val="1"/>
                <w:szCs w:val="1"/>
                <w:color w:val="auto"/>
              </w:rPr>
            </w:pPr>
          </w:p>
        </w:tc>
      </w:tr>
      <w:tr>
        <w:trPr>
          <w:trHeight w:val="53"/>
        </w:trPr>
        <w:tc>
          <w:tcPr>
            <w:tcW w:w="2600" w:type="dxa"/>
            <w:vAlign w:val="bottom"/>
            <w:vMerge w:val="restart"/>
          </w:tcPr>
          <w:p>
            <w:pPr>
              <w:ind w:left="20"/>
              <w:spacing w:after="0"/>
              <w:rPr>
                <w:sz w:val="20"/>
                <w:szCs w:val="20"/>
                <w:color w:val="auto"/>
              </w:rPr>
            </w:pPr>
            <w:r>
              <w:rPr>
                <w:rFonts w:ascii="Arial" w:cs="Arial" w:eastAsia="Arial" w:hAnsi="Arial"/>
                <w:sz w:val="13"/>
                <w:szCs w:val="13"/>
                <w:color w:val="auto"/>
              </w:rPr>
              <w:t>Executive Vice President and</w:t>
            </w:r>
          </w:p>
        </w:tc>
        <w:tc>
          <w:tcPr>
            <w:tcW w:w="700" w:type="dxa"/>
            <w:vAlign w:val="bottom"/>
            <w:tcBorders>
              <w:bottom w:val="single" w:sz="8" w:color="B6B6B6"/>
            </w:tcBorders>
          </w:tcPr>
          <w:p>
            <w:pPr>
              <w:spacing w:after="0"/>
              <w:rPr>
                <w:sz w:val="4"/>
                <w:szCs w:val="4"/>
                <w:color w:val="auto"/>
              </w:rPr>
            </w:pPr>
          </w:p>
        </w:tc>
        <w:tc>
          <w:tcPr>
            <w:tcW w:w="1000" w:type="dxa"/>
            <w:vAlign w:val="bottom"/>
            <w:tcBorders>
              <w:bottom w:val="single" w:sz="8" w:color="B6B6B6"/>
            </w:tcBorders>
          </w:tcPr>
          <w:p>
            <w:pPr>
              <w:spacing w:after="0"/>
              <w:rPr>
                <w:sz w:val="4"/>
                <w:szCs w:val="4"/>
                <w:color w:val="auto"/>
              </w:rPr>
            </w:pPr>
          </w:p>
        </w:tc>
        <w:tc>
          <w:tcPr>
            <w:tcW w:w="920" w:type="dxa"/>
            <w:vAlign w:val="bottom"/>
            <w:tcBorders>
              <w:bottom w:val="single" w:sz="8" w:color="B6B6B6"/>
            </w:tcBorders>
          </w:tcPr>
          <w:p>
            <w:pPr>
              <w:spacing w:after="0"/>
              <w:rPr>
                <w:sz w:val="4"/>
                <w:szCs w:val="4"/>
                <w:color w:val="auto"/>
              </w:rPr>
            </w:pPr>
          </w:p>
        </w:tc>
        <w:tc>
          <w:tcPr>
            <w:tcW w:w="1040" w:type="dxa"/>
            <w:vAlign w:val="bottom"/>
            <w:tcBorders>
              <w:bottom w:val="single" w:sz="8" w:color="B6B6B6"/>
            </w:tcBorders>
          </w:tcPr>
          <w:p>
            <w:pPr>
              <w:spacing w:after="0"/>
              <w:rPr>
                <w:sz w:val="4"/>
                <w:szCs w:val="4"/>
                <w:color w:val="auto"/>
              </w:rPr>
            </w:pPr>
          </w:p>
        </w:tc>
        <w:tc>
          <w:tcPr>
            <w:tcW w:w="1320" w:type="dxa"/>
            <w:vAlign w:val="bottom"/>
            <w:tcBorders>
              <w:bottom w:val="single" w:sz="8" w:color="B6B6B6"/>
            </w:tcBorders>
          </w:tcPr>
          <w:p>
            <w:pPr>
              <w:spacing w:after="0"/>
              <w:rPr>
                <w:sz w:val="4"/>
                <w:szCs w:val="4"/>
                <w:color w:val="auto"/>
              </w:rPr>
            </w:pPr>
          </w:p>
        </w:tc>
        <w:tc>
          <w:tcPr>
            <w:tcW w:w="1320" w:type="dxa"/>
            <w:vAlign w:val="bottom"/>
            <w:tcBorders>
              <w:bottom w:val="single" w:sz="8" w:color="B6B6B6"/>
            </w:tcBorders>
          </w:tcPr>
          <w:p>
            <w:pPr>
              <w:spacing w:after="0"/>
              <w:rPr>
                <w:sz w:val="4"/>
                <w:szCs w:val="4"/>
                <w:color w:val="auto"/>
              </w:rPr>
            </w:pPr>
          </w:p>
        </w:tc>
        <w:tc>
          <w:tcPr>
            <w:tcW w:w="1360" w:type="dxa"/>
            <w:vAlign w:val="bottom"/>
            <w:tcBorders>
              <w:bottom w:val="single" w:sz="8" w:color="B6B6B6"/>
            </w:tcBorders>
          </w:tcPr>
          <w:p>
            <w:pPr>
              <w:spacing w:after="0"/>
              <w:rPr>
                <w:sz w:val="4"/>
                <w:szCs w:val="4"/>
                <w:color w:val="auto"/>
              </w:rPr>
            </w:pPr>
          </w:p>
        </w:tc>
        <w:tc>
          <w:tcPr>
            <w:tcW w:w="960" w:type="dxa"/>
            <w:vAlign w:val="bottom"/>
            <w:tcBorders>
              <w:bottom w:val="single" w:sz="8" w:color="B6B6B6"/>
            </w:tcBorders>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2600" w:type="dxa"/>
            <w:vAlign w:val="bottom"/>
            <w:vMerge w:val="continue"/>
          </w:tcPr>
          <w:p>
            <w:pPr>
              <w:spacing w:after="0"/>
              <w:rPr>
                <w:sz w:val="7"/>
                <w:szCs w:val="7"/>
                <w:color w:val="auto"/>
              </w:rPr>
            </w:pPr>
          </w:p>
        </w:tc>
        <w:tc>
          <w:tcPr>
            <w:tcW w:w="700" w:type="dxa"/>
            <w:vAlign w:val="bottom"/>
            <w:vMerge w:val="restart"/>
          </w:tcPr>
          <w:p>
            <w:pPr>
              <w:jc w:val="right"/>
              <w:ind w:right="264"/>
              <w:spacing w:after="0"/>
              <w:rPr>
                <w:sz w:val="20"/>
                <w:szCs w:val="20"/>
                <w:color w:val="auto"/>
              </w:rPr>
            </w:pPr>
            <w:r>
              <w:rPr>
                <w:rFonts w:ascii="Arial" w:cs="Arial" w:eastAsia="Arial" w:hAnsi="Arial"/>
                <w:sz w:val="15"/>
                <w:szCs w:val="15"/>
                <w:color w:val="auto"/>
              </w:rPr>
              <w:t>2023</w:t>
            </w:r>
          </w:p>
        </w:tc>
        <w:tc>
          <w:tcPr>
            <w:tcW w:w="1000" w:type="dxa"/>
            <w:vAlign w:val="bottom"/>
            <w:vMerge w:val="restart"/>
          </w:tcPr>
          <w:p>
            <w:pPr>
              <w:jc w:val="right"/>
              <w:ind w:right="104"/>
              <w:spacing w:after="0"/>
              <w:rPr>
                <w:sz w:val="20"/>
                <w:szCs w:val="20"/>
                <w:color w:val="auto"/>
              </w:rPr>
            </w:pPr>
            <w:r>
              <w:rPr>
                <w:rFonts w:ascii="Arial" w:cs="Arial" w:eastAsia="Arial" w:hAnsi="Arial"/>
                <w:sz w:val="15"/>
                <w:szCs w:val="15"/>
                <w:color w:val="auto"/>
              </w:rPr>
              <w:t>671,306</w:t>
            </w:r>
          </w:p>
        </w:tc>
        <w:tc>
          <w:tcPr>
            <w:tcW w:w="920" w:type="dxa"/>
            <w:vAlign w:val="bottom"/>
            <w:vMerge w:val="restart"/>
          </w:tcPr>
          <w:p>
            <w:pPr>
              <w:jc w:val="right"/>
              <w:ind w:right="124"/>
              <w:spacing w:after="0"/>
              <w:rPr>
                <w:sz w:val="20"/>
                <w:szCs w:val="20"/>
                <w:color w:val="auto"/>
              </w:rPr>
            </w:pPr>
            <w:r>
              <w:rPr>
                <w:rFonts w:ascii="Arial" w:cs="Arial" w:eastAsia="Arial" w:hAnsi="Arial"/>
                <w:sz w:val="15"/>
                <w:szCs w:val="15"/>
                <w:color w:val="auto"/>
              </w:rPr>
              <w:t>—</w:t>
            </w:r>
          </w:p>
        </w:tc>
        <w:tc>
          <w:tcPr>
            <w:tcW w:w="1040" w:type="dxa"/>
            <w:vAlign w:val="bottom"/>
            <w:vMerge w:val="restart"/>
          </w:tcPr>
          <w:p>
            <w:pPr>
              <w:jc w:val="right"/>
              <w:ind w:right="85"/>
              <w:spacing w:after="0"/>
              <w:rPr>
                <w:sz w:val="20"/>
                <w:szCs w:val="20"/>
                <w:color w:val="auto"/>
              </w:rPr>
            </w:pPr>
            <w:r>
              <w:rPr>
                <w:rFonts w:ascii="Arial" w:cs="Arial" w:eastAsia="Arial" w:hAnsi="Arial"/>
                <w:sz w:val="15"/>
                <w:szCs w:val="15"/>
                <w:color w:val="auto"/>
              </w:rPr>
              <w:t>1,754,412</w:t>
            </w:r>
          </w:p>
        </w:tc>
        <w:tc>
          <w:tcPr>
            <w:tcW w:w="1320" w:type="dxa"/>
            <w:vAlign w:val="bottom"/>
            <w:vMerge w:val="restart"/>
          </w:tcPr>
          <w:p>
            <w:pPr>
              <w:jc w:val="right"/>
              <w:ind w:right="85"/>
              <w:spacing w:after="0"/>
              <w:rPr>
                <w:sz w:val="20"/>
                <w:szCs w:val="20"/>
                <w:color w:val="auto"/>
              </w:rPr>
            </w:pPr>
            <w:r>
              <w:rPr>
                <w:rFonts w:ascii="Arial" w:cs="Arial" w:eastAsia="Arial" w:hAnsi="Arial"/>
                <w:sz w:val="15"/>
                <w:szCs w:val="15"/>
                <w:color w:val="auto"/>
              </w:rPr>
              <w:t>787,756</w:t>
            </w:r>
          </w:p>
        </w:tc>
        <w:tc>
          <w:tcPr>
            <w:tcW w:w="1320" w:type="dxa"/>
            <w:vAlign w:val="bottom"/>
            <w:vMerge w:val="restart"/>
          </w:tcPr>
          <w:p>
            <w:pPr>
              <w:jc w:val="right"/>
              <w:ind w:right="85"/>
              <w:spacing w:after="0"/>
              <w:rPr>
                <w:sz w:val="20"/>
                <w:szCs w:val="20"/>
                <w:color w:val="auto"/>
              </w:rPr>
            </w:pPr>
            <w:r>
              <w:rPr>
                <w:rFonts w:ascii="Arial" w:cs="Arial" w:eastAsia="Arial" w:hAnsi="Arial"/>
                <w:sz w:val="15"/>
                <w:szCs w:val="15"/>
                <w:color w:val="auto"/>
              </w:rPr>
              <w:t>140,314</w:t>
            </w:r>
          </w:p>
        </w:tc>
        <w:tc>
          <w:tcPr>
            <w:tcW w:w="1360" w:type="dxa"/>
            <w:vAlign w:val="bottom"/>
            <w:vMerge w:val="restart"/>
          </w:tcPr>
          <w:p>
            <w:pPr>
              <w:jc w:val="right"/>
              <w:ind w:right="125"/>
              <w:spacing w:after="0"/>
              <w:rPr>
                <w:sz w:val="20"/>
                <w:szCs w:val="20"/>
                <w:color w:val="auto"/>
              </w:rPr>
            </w:pPr>
            <w:r>
              <w:rPr>
                <w:rFonts w:ascii="Arial" w:cs="Arial" w:eastAsia="Arial" w:hAnsi="Arial"/>
                <w:sz w:val="15"/>
                <w:szCs w:val="15"/>
                <w:color w:val="auto"/>
              </w:rPr>
              <w:t>108,216</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3,462,004</w:t>
            </w:r>
          </w:p>
        </w:tc>
        <w:tc>
          <w:tcPr>
            <w:tcW w:w="0" w:type="dxa"/>
            <w:vAlign w:val="bottom"/>
          </w:tcPr>
          <w:p>
            <w:pPr>
              <w:spacing w:after="0"/>
              <w:rPr>
                <w:sz w:val="1"/>
                <w:szCs w:val="1"/>
                <w:color w:val="auto"/>
              </w:rPr>
            </w:pPr>
          </w:p>
        </w:tc>
      </w:tr>
      <w:tr>
        <w:trPr>
          <w:trHeight w:val="115"/>
        </w:trPr>
        <w:tc>
          <w:tcPr>
            <w:tcW w:w="2600" w:type="dxa"/>
            <w:vAlign w:val="bottom"/>
            <w:vMerge w:val="restart"/>
          </w:tcPr>
          <w:p>
            <w:pPr>
              <w:ind w:left="20"/>
              <w:spacing w:after="0"/>
              <w:rPr>
                <w:sz w:val="20"/>
                <w:szCs w:val="20"/>
                <w:color w:val="auto"/>
              </w:rPr>
            </w:pPr>
            <w:r>
              <w:rPr>
                <w:rFonts w:ascii="Arial" w:cs="Arial" w:eastAsia="Arial" w:hAnsi="Arial"/>
                <w:sz w:val="13"/>
                <w:szCs w:val="13"/>
                <w:color w:val="auto"/>
              </w:rPr>
              <w:t>Chief Financial Officer</w:t>
            </w:r>
          </w:p>
        </w:tc>
        <w:tc>
          <w:tcPr>
            <w:tcW w:w="7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600" w:type="dxa"/>
            <w:vAlign w:val="bottom"/>
            <w:vMerge w:val="continue"/>
          </w:tcPr>
          <w:p>
            <w:pPr>
              <w:spacing w:after="0"/>
              <w:rPr>
                <w:sz w:val="4"/>
                <w:szCs w:val="4"/>
                <w:color w:val="auto"/>
              </w:rPr>
            </w:pPr>
          </w:p>
        </w:tc>
        <w:tc>
          <w:tcPr>
            <w:tcW w:w="700" w:type="dxa"/>
            <w:vAlign w:val="bottom"/>
            <w:tcBorders>
              <w:bottom w:val="single" w:sz="8" w:color="B6B6B6"/>
            </w:tcBorders>
          </w:tcPr>
          <w:p>
            <w:pPr>
              <w:spacing w:after="0"/>
              <w:rPr>
                <w:sz w:val="4"/>
                <w:szCs w:val="4"/>
                <w:color w:val="auto"/>
              </w:rPr>
            </w:pPr>
          </w:p>
        </w:tc>
        <w:tc>
          <w:tcPr>
            <w:tcW w:w="1000" w:type="dxa"/>
            <w:vAlign w:val="bottom"/>
            <w:tcBorders>
              <w:bottom w:val="single" w:sz="8" w:color="B6B6B6"/>
            </w:tcBorders>
          </w:tcPr>
          <w:p>
            <w:pPr>
              <w:spacing w:after="0"/>
              <w:rPr>
                <w:sz w:val="4"/>
                <w:szCs w:val="4"/>
                <w:color w:val="auto"/>
              </w:rPr>
            </w:pPr>
          </w:p>
        </w:tc>
        <w:tc>
          <w:tcPr>
            <w:tcW w:w="920" w:type="dxa"/>
            <w:vAlign w:val="bottom"/>
            <w:tcBorders>
              <w:bottom w:val="single" w:sz="8" w:color="B6B6B6"/>
            </w:tcBorders>
          </w:tcPr>
          <w:p>
            <w:pPr>
              <w:spacing w:after="0"/>
              <w:rPr>
                <w:sz w:val="4"/>
                <w:szCs w:val="4"/>
                <w:color w:val="auto"/>
              </w:rPr>
            </w:pPr>
          </w:p>
        </w:tc>
        <w:tc>
          <w:tcPr>
            <w:tcW w:w="1040" w:type="dxa"/>
            <w:vAlign w:val="bottom"/>
            <w:tcBorders>
              <w:bottom w:val="single" w:sz="8" w:color="B6B6B6"/>
            </w:tcBorders>
          </w:tcPr>
          <w:p>
            <w:pPr>
              <w:spacing w:after="0"/>
              <w:rPr>
                <w:sz w:val="4"/>
                <w:szCs w:val="4"/>
                <w:color w:val="auto"/>
              </w:rPr>
            </w:pPr>
          </w:p>
        </w:tc>
        <w:tc>
          <w:tcPr>
            <w:tcW w:w="1320" w:type="dxa"/>
            <w:vAlign w:val="bottom"/>
            <w:tcBorders>
              <w:bottom w:val="single" w:sz="8" w:color="B6B6B6"/>
            </w:tcBorders>
          </w:tcPr>
          <w:p>
            <w:pPr>
              <w:spacing w:after="0"/>
              <w:rPr>
                <w:sz w:val="4"/>
                <w:szCs w:val="4"/>
                <w:color w:val="auto"/>
              </w:rPr>
            </w:pPr>
          </w:p>
        </w:tc>
        <w:tc>
          <w:tcPr>
            <w:tcW w:w="1320" w:type="dxa"/>
            <w:vAlign w:val="bottom"/>
            <w:tcBorders>
              <w:bottom w:val="single" w:sz="8" w:color="B6B6B6"/>
            </w:tcBorders>
          </w:tcPr>
          <w:p>
            <w:pPr>
              <w:spacing w:after="0"/>
              <w:rPr>
                <w:sz w:val="4"/>
                <w:szCs w:val="4"/>
                <w:color w:val="auto"/>
              </w:rPr>
            </w:pPr>
          </w:p>
        </w:tc>
        <w:tc>
          <w:tcPr>
            <w:tcW w:w="1360" w:type="dxa"/>
            <w:vAlign w:val="bottom"/>
            <w:tcBorders>
              <w:bottom w:val="single" w:sz="8" w:color="B6B6B6"/>
            </w:tcBorders>
          </w:tcPr>
          <w:p>
            <w:pPr>
              <w:spacing w:after="0"/>
              <w:rPr>
                <w:sz w:val="4"/>
                <w:szCs w:val="4"/>
                <w:color w:val="auto"/>
              </w:rPr>
            </w:pPr>
          </w:p>
        </w:tc>
        <w:tc>
          <w:tcPr>
            <w:tcW w:w="960" w:type="dxa"/>
            <w:vAlign w:val="bottom"/>
            <w:tcBorders>
              <w:bottom w:val="single" w:sz="8" w:color="B6B6B6"/>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600" w:type="dxa"/>
            <w:vAlign w:val="bottom"/>
          </w:tcPr>
          <w:p>
            <w:pPr>
              <w:spacing w:after="0"/>
              <w:rPr>
                <w:sz w:val="17"/>
                <w:szCs w:val="17"/>
                <w:color w:val="auto"/>
              </w:rPr>
            </w:pPr>
          </w:p>
        </w:tc>
        <w:tc>
          <w:tcPr>
            <w:tcW w:w="700" w:type="dxa"/>
            <w:vAlign w:val="bottom"/>
          </w:tcPr>
          <w:p>
            <w:pPr>
              <w:jc w:val="right"/>
              <w:ind w:right="264"/>
              <w:spacing w:after="0"/>
              <w:rPr>
                <w:sz w:val="20"/>
                <w:szCs w:val="20"/>
                <w:color w:val="auto"/>
              </w:rPr>
            </w:pPr>
            <w:r>
              <w:rPr>
                <w:rFonts w:ascii="Arial" w:cs="Arial" w:eastAsia="Arial" w:hAnsi="Arial"/>
                <w:sz w:val="15"/>
                <w:szCs w:val="15"/>
                <w:color w:val="auto"/>
              </w:rPr>
              <w:t>2022</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515,317</w:t>
            </w:r>
          </w:p>
        </w:tc>
        <w:tc>
          <w:tcPr>
            <w:tcW w:w="920" w:type="dxa"/>
            <w:vAlign w:val="bottom"/>
          </w:tcPr>
          <w:p>
            <w:pPr>
              <w:jc w:val="right"/>
              <w:ind w:right="124"/>
              <w:spacing w:after="0"/>
              <w:rPr>
                <w:sz w:val="20"/>
                <w:szCs w:val="20"/>
                <w:color w:val="auto"/>
              </w:rPr>
            </w:pPr>
            <w:r>
              <w:rPr>
                <w:rFonts w:ascii="Arial" w:cs="Arial" w:eastAsia="Arial" w:hAnsi="Arial"/>
                <w:sz w:val="15"/>
                <w:szCs w:val="15"/>
                <w:color w:val="auto"/>
              </w:rPr>
              <w:t>57,500</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535,013</w:t>
            </w:r>
          </w:p>
        </w:tc>
        <w:tc>
          <w:tcPr>
            <w:tcW w:w="1320" w:type="dxa"/>
            <w:vAlign w:val="bottom"/>
          </w:tcPr>
          <w:p>
            <w:pPr>
              <w:jc w:val="right"/>
              <w:ind w:right="85"/>
              <w:spacing w:after="0"/>
              <w:rPr>
                <w:sz w:val="20"/>
                <w:szCs w:val="20"/>
                <w:color w:val="auto"/>
              </w:rPr>
            </w:pPr>
            <w:r>
              <w:rPr>
                <w:rFonts w:ascii="Arial" w:cs="Arial" w:eastAsia="Arial" w:hAnsi="Arial"/>
                <w:sz w:val="15"/>
                <w:szCs w:val="15"/>
                <w:color w:val="auto"/>
              </w:rPr>
              <w:t>373,663</w:t>
            </w:r>
          </w:p>
        </w:tc>
        <w:tc>
          <w:tcPr>
            <w:tcW w:w="1320" w:type="dxa"/>
            <w:vAlign w:val="bottom"/>
          </w:tcPr>
          <w:p>
            <w:pPr>
              <w:jc w:val="right"/>
              <w:ind w:right="85"/>
              <w:spacing w:after="0"/>
              <w:rPr>
                <w:sz w:val="20"/>
                <w:szCs w:val="20"/>
                <w:color w:val="auto"/>
              </w:rPr>
            </w:pPr>
            <w:r>
              <w:rPr>
                <w:rFonts w:ascii="Arial" w:cs="Arial" w:eastAsia="Arial" w:hAnsi="Arial"/>
                <w:sz w:val="15"/>
                <w:szCs w:val="15"/>
                <w:color w:val="auto"/>
              </w:rPr>
              <w:t>94,763</w:t>
            </w:r>
          </w:p>
        </w:tc>
        <w:tc>
          <w:tcPr>
            <w:tcW w:w="1360" w:type="dxa"/>
            <w:vAlign w:val="bottom"/>
          </w:tcPr>
          <w:p>
            <w:pPr>
              <w:jc w:val="right"/>
              <w:ind w:right="125"/>
              <w:spacing w:after="0"/>
              <w:rPr>
                <w:sz w:val="20"/>
                <w:szCs w:val="20"/>
                <w:color w:val="auto"/>
              </w:rPr>
            </w:pPr>
            <w:r>
              <w:rPr>
                <w:rFonts w:ascii="Arial" w:cs="Arial" w:eastAsia="Arial" w:hAnsi="Arial"/>
                <w:sz w:val="15"/>
                <w:szCs w:val="15"/>
                <w:color w:val="auto"/>
              </w:rPr>
              <w:t>34,352</w:t>
            </w:r>
          </w:p>
        </w:tc>
        <w:tc>
          <w:tcPr>
            <w:tcW w:w="960" w:type="dxa"/>
            <w:vAlign w:val="bottom"/>
          </w:tcPr>
          <w:p>
            <w:pPr>
              <w:jc w:val="right"/>
              <w:spacing w:after="0"/>
              <w:rPr>
                <w:sz w:val="20"/>
                <w:szCs w:val="20"/>
                <w:color w:val="auto"/>
              </w:rPr>
            </w:pPr>
            <w:r>
              <w:rPr>
                <w:rFonts w:ascii="Arial" w:cs="Arial" w:eastAsia="Arial" w:hAnsi="Arial"/>
                <w:sz w:val="15"/>
                <w:szCs w:val="15"/>
                <w:color w:val="auto"/>
              </w:rPr>
              <w:t>1,610,608</w:t>
            </w:r>
          </w:p>
        </w:tc>
        <w:tc>
          <w:tcPr>
            <w:tcW w:w="0" w:type="dxa"/>
            <w:vAlign w:val="bottom"/>
          </w:tcPr>
          <w:p>
            <w:pPr>
              <w:spacing w:after="0"/>
              <w:rPr>
                <w:sz w:val="1"/>
                <w:szCs w:val="1"/>
                <w:color w:val="auto"/>
              </w:rPr>
            </w:pPr>
          </w:p>
        </w:tc>
      </w:tr>
      <w:tr>
        <w:trPr>
          <w:trHeight w:val="46"/>
        </w:trPr>
        <w:tc>
          <w:tcPr>
            <w:tcW w:w="2600" w:type="dxa"/>
            <w:vAlign w:val="bottom"/>
            <w:tcBorders>
              <w:bottom w:val="single" w:sz="8" w:color="929292"/>
            </w:tcBorders>
          </w:tcPr>
          <w:p>
            <w:pPr>
              <w:spacing w:after="0"/>
              <w:rPr>
                <w:sz w:val="4"/>
                <w:szCs w:val="4"/>
                <w:color w:val="auto"/>
              </w:rPr>
            </w:pPr>
          </w:p>
        </w:tc>
        <w:tc>
          <w:tcPr>
            <w:tcW w:w="700" w:type="dxa"/>
            <w:vAlign w:val="bottom"/>
            <w:tcBorders>
              <w:bottom w:val="single" w:sz="8" w:color="929292"/>
            </w:tcBorders>
          </w:tcPr>
          <w:p>
            <w:pPr>
              <w:spacing w:after="0"/>
              <w:rPr>
                <w:sz w:val="4"/>
                <w:szCs w:val="4"/>
                <w:color w:val="auto"/>
              </w:rPr>
            </w:pPr>
          </w:p>
        </w:tc>
        <w:tc>
          <w:tcPr>
            <w:tcW w:w="1000" w:type="dxa"/>
            <w:vAlign w:val="bottom"/>
            <w:tcBorders>
              <w:bottom w:val="single" w:sz="8" w:color="929292"/>
            </w:tcBorders>
          </w:tcPr>
          <w:p>
            <w:pPr>
              <w:spacing w:after="0"/>
              <w:rPr>
                <w:sz w:val="4"/>
                <w:szCs w:val="4"/>
                <w:color w:val="auto"/>
              </w:rPr>
            </w:pPr>
          </w:p>
        </w:tc>
        <w:tc>
          <w:tcPr>
            <w:tcW w:w="920" w:type="dxa"/>
            <w:vAlign w:val="bottom"/>
            <w:tcBorders>
              <w:bottom w:val="single" w:sz="8" w:color="929292"/>
            </w:tcBorders>
          </w:tcPr>
          <w:p>
            <w:pPr>
              <w:spacing w:after="0"/>
              <w:rPr>
                <w:sz w:val="4"/>
                <w:szCs w:val="4"/>
                <w:color w:val="auto"/>
              </w:rPr>
            </w:pPr>
          </w:p>
        </w:tc>
        <w:tc>
          <w:tcPr>
            <w:tcW w:w="1040" w:type="dxa"/>
            <w:vAlign w:val="bottom"/>
            <w:tcBorders>
              <w:bottom w:val="single" w:sz="8" w:color="929292"/>
            </w:tcBorders>
          </w:tcPr>
          <w:p>
            <w:pPr>
              <w:spacing w:after="0"/>
              <w:rPr>
                <w:sz w:val="4"/>
                <w:szCs w:val="4"/>
                <w:color w:val="auto"/>
              </w:rPr>
            </w:pPr>
          </w:p>
        </w:tc>
        <w:tc>
          <w:tcPr>
            <w:tcW w:w="1320" w:type="dxa"/>
            <w:vAlign w:val="bottom"/>
            <w:tcBorders>
              <w:bottom w:val="single" w:sz="8" w:color="929292"/>
            </w:tcBorders>
          </w:tcPr>
          <w:p>
            <w:pPr>
              <w:spacing w:after="0"/>
              <w:rPr>
                <w:sz w:val="4"/>
                <w:szCs w:val="4"/>
                <w:color w:val="auto"/>
              </w:rPr>
            </w:pPr>
          </w:p>
        </w:tc>
        <w:tc>
          <w:tcPr>
            <w:tcW w:w="1320" w:type="dxa"/>
            <w:vAlign w:val="bottom"/>
            <w:tcBorders>
              <w:bottom w:val="single" w:sz="8" w:color="929292"/>
            </w:tcBorders>
          </w:tcPr>
          <w:p>
            <w:pPr>
              <w:spacing w:after="0"/>
              <w:rPr>
                <w:sz w:val="4"/>
                <w:szCs w:val="4"/>
                <w:color w:val="auto"/>
              </w:rPr>
            </w:pPr>
          </w:p>
        </w:tc>
        <w:tc>
          <w:tcPr>
            <w:tcW w:w="1360" w:type="dxa"/>
            <w:vAlign w:val="bottom"/>
            <w:tcBorders>
              <w:bottom w:val="single" w:sz="8" w:color="929292"/>
            </w:tcBorders>
          </w:tcPr>
          <w:p>
            <w:pPr>
              <w:spacing w:after="0"/>
              <w:rPr>
                <w:sz w:val="4"/>
                <w:szCs w:val="4"/>
                <w:color w:val="auto"/>
              </w:rPr>
            </w:pPr>
          </w:p>
        </w:tc>
        <w:tc>
          <w:tcPr>
            <w:tcW w:w="960" w:type="dxa"/>
            <w:vAlign w:val="bottom"/>
            <w:tcBorders>
              <w:bottom w:val="single" w:sz="8" w:color="929292"/>
            </w:tcBorders>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2600" w:type="dxa"/>
            <w:vAlign w:val="bottom"/>
          </w:tcPr>
          <w:p>
            <w:pPr>
              <w:ind w:left="20"/>
              <w:spacing w:after="0"/>
              <w:rPr>
                <w:sz w:val="20"/>
                <w:szCs w:val="20"/>
                <w:color w:val="auto"/>
              </w:rPr>
            </w:pPr>
            <w:r>
              <w:rPr>
                <w:rFonts w:ascii="Arial" w:cs="Arial" w:eastAsia="Arial" w:hAnsi="Arial"/>
                <w:sz w:val="15"/>
                <w:szCs w:val="15"/>
                <w:b w:val="1"/>
                <w:bCs w:val="1"/>
                <w:color w:val="auto"/>
              </w:rPr>
              <w:t>Gayle Littleton</w:t>
            </w:r>
          </w:p>
        </w:tc>
        <w:tc>
          <w:tcPr>
            <w:tcW w:w="700" w:type="dxa"/>
            <w:vAlign w:val="bottom"/>
          </w:tcPr>
          <w:p>
            <w:pPr>
              <w:jc w:val="right"/>
              <w:ind w:right="264"/>
              <w:spacing w:after="0"/>
              <w:rPr>
                <w:sz w:val="20"/>
                <w:szCs w:val="20"/>
                <w:color w:val="auto"/>
              </w:rPr>
            </w:pPr>
            <w:r>
              <w:rPr>
                <w:rFonts w:ascii="Arial" w:cs="Arial" w:eastAsia="Arial" w:hAnsi="Arial"/>
                <w:sz w:val="15"/>
                <w:szCs w:val="15"/>
                <w:color w:val="auto"/>
              </w:rPr>
              <w:t>2024</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692,562</w:t>
            </w:r>
          </w:p>
        </w:tc>
        <w:tc>
          <w:tcPr>
            <w:tcW w:w="920" w:type="dxa"/>
            <w:vAlign w:val="bottom"/>
          </w:tcPr>
          <w:p>
            <w:pPr>
              <w:jc w:val="right"/>
              <w:ind w:right="124"/>
              <w:spacing w:after="0"/>
              <w:rPr>
                <w:sz w:val="20"/>
                <w:szCs w:val="20"/>
                <w:color w:val="auto"/>
              </w:rPr>
            </w:pPr>
            <w:r>
              <w:rPr>
                <w:rFonts w:ascii="Arial" w:cs="Arial" w:eastAsia="Arial" w:hAnsi="Arial"/>
                <w:sz w:val="15"/>
                <w:szCs w:val="15"/>
                <w:color w:val="auto"/>
              </w:rPr>
              <w:t>850,000</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1,703,536</w:t>
            </w:r>
          </w:p>
        </w:tc>
        <w:tc>
          <w:tcPr>
            <w:tcW w:w="1320" w:type="dxa"/>
            <w:vAlign w:val="bottom"/>
          </w:tcPr>
          <w:p>
            <w:pPr>
              <w:jc w:val="right"/>
              <w:ind w:right="85"/>
              <w:spacing w:after="0"/>
              <w:rPr>
                <w:sz w:val="20"/>
                <w:szCs w:val="20"/>
                <w:color w:val="auto"/>
              </w:rPr>
            </w:pPr>
            <w:r>
              <w:rPr>
                <w:rFonts w:ascii="Arial" w:cs="Arial" w:eastAsia="Arial" w:hAnsi="Arial"/>
                <w:sz w:val="15"/>
                <w:szCs w:val="15"/>
                <w:color w:val="auto"/>
              </w:rPr>
              <w:t>856,257</w:t>
            </w:r>
          </w:p>
        </w:tc>
        <w:tc>
          <w:tcPr>
            <w:tcW w:w="132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125"/>
              <w:spacing w:after="0"/>
              <w:rPr>
                <w:sz w:val="20"/>
                <w:szCs w:val="20"/>
                <w:color w:val="auto"/>
              </w:rPr>
            </w:pPr>
            <w:r>
              <w:rPr>
                <w:rFonts w:ascii="Arial" w:cs="Arial" w:eastAsia="Arial" w:hAnsi="Arial"/>
                <w:sz w:val="15"/>
                <w:szCs w:val="15"/>
                <w:color w:val="auto"/>
              </w:rPr>
              <w:t>107,139</w:t>
            </w:r>
          </w:p>
        </w:tc>
        <w:tc>
          <w:tcPr>
            <w:tcW w:w="960" w:type="dxa"/>
            <w:vAlign w:val="bottom"/>
          </w:tcPr>
          <w:p>
            <w:pPr>
              <w:jc w:val="right"/>
              <w:spacing w:after="0"/>
              <w:rPr>
                <w:sz w:val="20"/>
                <w:szCs w:val="20"/>
                <w:color w:val="auto"/>
              </w:rPr>
            </w:pPr>
            <w:r>
              <w:rPr>
                <w:rFonts w:ascii="Arial" w:cs="Arial" w:eastAsia="Arial" w:hAnsi="Arial"/>
                <w:sz w:val="15"/>
                <w:szCs w:val="15"/>
                <w:color w:val="auto"/>
              </w:rPr>
              <w:t>4,209,494</w:t>
            </w:r>
          </w:p>
        </w:tc>
        <w:tc>
          <w:tcPr>
            <w:tcW w:w="0" w:type="dxa"/>
            <w:vAlign w:val="bottom"/>
          </w:tcPr>
          <w:p>
            <w:pPr>
              <w:spacing w:after="0"/>
              <w:rPr>
                <w:sz w:val="1"/>
                <w:szCs w:val="1"/>
                <w:color w:val="auto"/>
              </w:rPr>
            </w:pPr>
          </w:p>
        </w:tc>
      </w:tr>
      <w:tr>
        <w:trPr>
          <w:trHeight w:val="53"/>
        </w:trPr>
        <w:tc>
          <w:tcPr>
            <w:tcW w:w="2600" w:type="dxa"/>
            <w:vAlign w:val="bottom"/>
            <w:vMerge w:val="restart"/>
          </w:tcPr>
          <w:p>
            <w:pPr>
              <w:ind w:left="20"/>
              <w:spacing w:after="0"/>
              <w:rPr>
                <w:sz w:val="20"/>
                <w:szCs w:val="20"/>
                <w:color w:val="auto"/>
              </w:rPr>
            </w:pPr>
            <w:r>
              <w:rPr>
                <w:rFonts w:ascii="Arial" w:cs="Arial" w:eastAsia="Arial" w:hAnsi="Arial"/>
                <w:sz w:val="13"/>
                <w:szCs w:val="13"/>
                <w:color w:val="auto"/>
              </w:rPr>
              <w:t>Former Executive Vice President</w:t>
            </w:r>
          </w:p>
        </w:tc>
        <w:tc>
          <w:tcPr>
            <w:tcW w:w="700" w:type="dxa"/>
            <w:vAlign w:val="bottom"/>
            <w:tcBorders>
              <w:bottom w:val="single" w:sz="8" w:color="B6B6B6"/>
            </w:tcBorders>
          </w:tcPr>
          <w:p>
            <w:pPr>
              <w:spacing w:after="0"/>
              <w:rPr>
                <w:sz w:val="4"/>
                <w:szCs w:val="4"/>
                <w:color w:val="auto"/>
              </w:rPr>
            </w:pPr>
          </w:p>
        </w:tc>
        <w:tc>
          <w:tcPr>
            <w:tcW w:w="1000" w:type="dxa"/>
            <w:vAlign w:val="bottom"/>
            <w:tcBorders>
              <w:bottom w:val="single" w:sz="8" w:color="B6B6B6"/>
            </w:tcBorders>
          </w:tcPr>
          <w:p>
            <w:pPr>
              <w:spacing w:after="0"/>
              <w:rPr>
                <w:sz w:val="4"/>
                <w:szCs w:val="4"/>
                <w:color w:val="auto"/>
              </w:rPr>
            </w:pPr>
          </w:p>
        </w:tc>
        <w:tc>
          <w:tcPr>
            <w:tcW w:w="920" w:type="dxa"/>
            <w:vAlign w:val="bottom"/>
            <w:tcBorders>
              <w:bottom w:val="single" w:sz="8" w:color="B6B6B6"/>
            </w:tcBorders>
          </w:tcPr>
          <w:p>
            <w:pPr>
              <w:spacing w:after="0"/>
              <w:rPr>
                <w:sz w:val="4"/>
                <w:szCs w:val="4"/>
                <w:color w:val="auto"/>
              </w:rPr>
            </w:pPr>
          </w:p>
        </w:tc>
        <w:tc>
          <w:tcPr>
            <w:tcW w:w="1040" w:type="dxa"/>
            <w:vAlign w:val="bottom"/>
            <w:tcBorders>
              <w:bottom w:val="single" w:sz="8" w:color="B6B6B6"/>
            </w:tcBorders>
          </w:tcPr>
          <w:p>
            <w:pPr>
              <w:spacing w:after="0"/>
              <w:rPr>
                <w:sz w:val="4"/>
                <w:szCs w:val="4"/>
                <w:color w:val="auto"/>
              </w:rPr>
            </w:pPr>
          </w:p>
        </w:tc>
        <w:tc>
          <w:tcPr>
            <w:tcW w:w="1320" w:type="dxa"/>
            <w:vAlign w:val="bottom"/>
            <w:tcBorders>
              <w:bottom w:val="single" w:sz="8" w:color="B6B6B6"/>
            </w:tcBorders>
          </w:tcPr>
          <w:p>
            <w:pPr>
              <w:spacing w:after="0"/>
              <w:rPr>
                <w:sz w:val="4"/>
                <w:szCs w:val="4"/>
                <w:color w:val="auto"/>
              </w:rPr>
            </w:pPr>
          </w:p>
        </w:tc>
        <w:tc>
          <w:tcPr>
            <w:tcW w:w="1320" w:type="dxa"/>
            <w:vAlign w:val="bottom"/>
            <w:tcBorders>
              <w:bottom w:val="single" w:sz="8" w:color="B6B6B6"/>
            </w:tcBorders>
          </w:tcPr>
          <w:p>
            <w:pPr>
              <w:spacing w:after="0"/>
              <w:rPr>
                <w:sz w:val="4"/>
                <w:szCs w:val="4"/>
                <w:color w:val="auto"/>
              </w:rPr>
            </w:pPr>
          </w:p>
        </w:tc>
        <w:tc>
          <w:tcPr>
            <w:tcW w:w="1360" w:type="dxa"/>
            <w:vAlign w:val="bottom"/>
            <w:tcBorders>
              <w:bottom w:val="single" w:sz="8" w:color="B6B6B6"/>
            </w:tcBorders>
          </w:tcPr>
          <w:p>
            <w:pPr>
              <w:spacing w:after="0"/>
              <w:rPr>
                <w:sz w:val="4"/>
                <w:szCs w:val="4"/>
                <w:color w:val="auto"/>
              </w:rPr>
            </w:pPr>
          </w:p>
        </w:tc>
        <w:tc>
          <w:tcPr>
            <w:tcW w:w="960" w:type="dxa"/>
            <w:vAlign w:val="bottom"/>
            <w:tcBorders>
              <w:bottom w:val="single" w:sz="8" w:color="B6B6B6"/>
            </w:tcBorders>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2600" w:type="dxa"/>
            <w:vAlign w:val="bottom"/>
            <w:vMerge w:val="continue"/>
          </w:tcPr>
          <w:p>
            <w:pPr>
              <w:spacing w:after="0"/>
              <w:rPr>
                <w:sz w:val="7"/>
                <w:szCs w:val="7"/>
                <w:color w:val="auto"/>
              </w:rPr>
            </w:pPr>
          </w:p>
        </w:tc>
        <w:tc>
          <w:tcPr>
            <w:tcW w:w="700" w:type="dxa"/>
            <w:vAlign w:val="bottom"/>
            <w:vMerge w:val="restart"/>
          </w:tcPr>
          <w:p>
            <w:pPr>
              <w:jc w:val="right"/>
              <w:ind w:right="264"/>
              <w:spacing w:after="0"/>
              <w:rPr>
                <w:sz w:val="20"/>
                <w:szCs w:val="20"/>
                <w:color w:val="auto"/>
              </w:rPr>
            </w:pPr>
            <w:r>
              <w:rPr>
                <w:rFonts w:ascii="Arial" w:cs="Arial" w:eastAsia="Arial" w:hAnsi="Arial"/>
                <w:sz w:val="15"/>
                <w:szCs w:val="15"/>
                <w:color w:val="auto"/>
              </w:rPr>
              <w:t>2023</w:t>
            </w:r>
          </w:p>
        </w:tc>
        <w:tc>
          <w:tcPr>
            <w:tcW w:w="1000" w:type="dxa"/>
            <w:vAlign w:val="bottom"/>
            <w:vMerge w:val="restart"/>
          </w:tcPr>
          <w:p>
            <w:pPr>
              <w:jc w:val="right"/>
              <w:ind w:right="104"/>
              <w:spacing w:after="0"/>
              <w:rPr>
                <w:sz w:val="20"/>
                <w:szCs w:val="20"/>
                <w:color w:val="auto"/>
              </w:rPr>
            </w:pPr>
            <w:r>
              <w:rPr>
                <w:rFonts w:ascii="Arial" w:cs="Arial" w:eastAsia="Arial" w:hAnsi="Arial"/>
                <w:sz w:val="15"/>
                <w:szCs w:val="15"/>
                <w:color w:val="auto"/>
              </w:rPr>
              <w:t>671,306</w:t>
            </w:r>
          </w:p>
        </w:tc>
        <w:tc>
          <w:tcPr>
            <w:tcW w:w="920" w:type="dxa"/>
            <w:vAlign w:val="bottom"/>
            <w:vMerge w:val="restart"/>
          </w:tcPr>
          <w:p>
            <w:pPr>
              <w:jc w:val="right"/>
              <w:ind w:right="124"/>
              <w:spacing w:after="0"/>
              <w:rPr>
                <w:sz w:val="20"/>
                <w:szCs w:val="20"/>
                <w:color w:val="auto"/>
              </w:rPr>
            </w:pPr>
            <w:r>
              <w:rPr>
                <w:rFonts w:ascii="Arial" w:cs="Arial" w:eastAsia="Arial" w:hAnsi="Arial"/>
                <w:sz w:val="15"/>
                <w:szCs w:val="15"/>
                <w:color w:val="auto"/>
              </w:rPr>
              <w:t>850,000</w:t>
            </w:r>
          </w:p>
        </w:tc>
        <w:tc>
          <w:tcPr>
            <w:tcW w:w="1040" w:type="dxa"/>
            <w:vAlign w:val="bottom"/>
            <w:vMerge w:val="restart"/>
          </w:tcPr>
          <w:p>
            <w:pPr>
              <w:jc w:val="right"/>
              <w:ind w:right="85"/>
              <w:spacing w:after="0"/>
              <w:rPr>
                <w:sz w:val="20"/>
                <w:szCs w:val="20"/>
                <w:color w:val="auto"/>
              </w:rPr>
            </w:pPr>
            <w:r>
              <w:rPr>
                <w:rFonts w:ascii="Arial" w:cs="Arial" w:eastAsia="Arial" w:hAnsi="Arial"/>
                <w:sz w:val="15"/>
                <w:szCs w:val="15"/>
                <w:color w:val="auto"/>
              </w:rPr>
              <w:t>1,754,412</w:t>
            </w:r>
          </w:p>
        </w:tc>
        <w:tc>
          <w:tcPr>
            <w:tcW w:w="1320" w:type="dxa"/>
            <w:vAlign w:val="bottom"/>
            <w:vMerge w:val="restart"/>
          </w:tcPr>
          <w:p>
            <w:pPr>
              <w:jc w:val="right"/>
              <w:ind w:right="85"/>
              <w:spacing w:after="0"/>
              <w:rPr>
                <w:sz w:val="20"/>
                <w:szCs w:val="20"/>
                <w:color w:val="auto"/>
              </w:rPr>
            </w:pPr>
            <w:r>
              <w:rPr>
                <w:rFonts w:ascii="Arial" w:cs="Arial" w:eastAsia="Arial" w:hAnsi="Arial"/>
                <w:sz w:val="15"/>
                <w:szCs w:val="15"/>
                <w:color w:val="auto"/>
              </w:rPr>
              <w:t>787,756</w:t>
            </w:r>
          </w:p>
        </w:tc>
        <w:tc>
          <w:tcPr>
            <w:tcW w:w="1320" w:type="dxa"/>
            <w:vAlign w:val="bottom"/>
            <w:vMerge w:val="restart"/>
          </w:tcPr>
          <w:p>
            <w:pPr>
              <w:jc w:val="right"/>
              <w:ind w:right="85"/>
              <w:spacing w:after="0"/>
              <w:rPr>
                <w:sz w:val="20"/>
                <w:szCs w:val="20"/>
                <w:color w:val="auto"/>
              </w:rPr>
            </w:pPr>
            <w:r>
              <w:rPr>
                <w:rFonts w:ascii="Arial" w:cs="Arial" w:eastAsia="Arial" w:hAnsi="Arial"/>
                <w:sz w:val="15"/>
                <w:szCs w:val="15"/>
                <w:color w:val="auto"/>
              </w:rPr>
              <w:t>—</w:t>
            </w:r>
          </w:p>
        </w:tc>
        <w:tc>
          <w:tcPr>
            <w:tcW w:w="1360" w:type="dxa"/>
            <w:vAlign w:val="bottom"/>
            <w:vMerge w:val="restart"/>
          </w:tcPr>
          <w:p>
            <w:pPr>
              <w:jc w:val="right"/>
              <w:ind w:right="125"/>
              <w:spacing w:after="0"/>
              <w:rPr>
                <w:sz w:val="20"/>
                <w:szCs w:val="20"/>
                <w:color w:val="auto"/>
              </w:rPr>
            </w:pPr>
            <w:r>
              <w:rPr>
                <w:rFonts w:ascii="Arial" w:cs="Arial" w:eastAsia="Arial" w:hAnsi="Arial"/>
                <w:sz w:val="15"/>
                <w:szCs w:val="15"/>
                <w:color w:val="auto"/>
              </w:rPr>
              <w:t>106,027</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4,169,501</w:t>
            </w:r>
          </w:p>
        </w:tc>
        <w:tc>
          <w:tcPr>
            <w:tcW w:w="0" w:type="dxa"/>
            <w:vAlign w:val="bottom"/>
          </w:tcPr>
          <w:p>
            <w:pPr>
              <w:spacing w:after="0"/>
              <w:rPr>
                <w:sz w:val="1"/>
                <w:szCs w:val="1"/>
                <w:color w:val="auto"/>
              </w:rPr>
            </w:pPr>
          </w:p>
        </w:tc>
      </w:tr>
      <w:tr>
        <w:trPr>
          <w:trHeight w:val="115"/>
        </w:trPr>
        <w:tc>
          <w:tcPr>
            <w:tcW w:w="2600" w:type="dxa"/>
            <w:vAlign w:val="bottom"/>
            <w:vMerge w:val="restart"/>
          </w:tcPr>
          <w:p>
            <w:pPr>
              <w:ind w:left="20"/>
              <w:spacing w:after="0"/>
              <w:rPr>
                <w:sz w:val="20"/>
                <w:szCs w:val="20"/>
                <w:color w:val="auto"/>
              </w:rPr>
            </w:pPr>
            <w:r>
              <w:rPr>
                <w:rFonts w:ascii="Arial" w:cs="Arial" w:eastAsia="Arial" w:hAnsi="Arial"/>
                <w:sz w:val="13"/>
                <w:szCs w:val="13"/>
                <w:color w:val="auto"/>
              </w:rPr>
              <w:t>and Chief Legal Officer</w:t>
            </w:r>
          </w:p>
        </w:tc>
        <w:tc>
          <w:tcPr>
            <w:tcW w:w="7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600" w:type="dxa"/>
            <w:vAlign w:val="bottom"/>
            <w:vMerge w:val="continue"/>
          </w:tcPr>
          <w:p>
            <w:pPr>
              <w:spacing w:after="0"/>
              <w:rPr>
                <w:sz w:val="4"/>
                <w:szCs w:val="4"/>
                <w:color w:val="auto"/>
              </w:rPr>
            </w:pPr>
          </w:p>
        </w:tc>
        <w:tc>
          <w:tcPr>
            <w:tcW w:w="700" w:type="dxa"/>
            <w:vAlign w:val="bottom"/>
            <w:tcBorders>
              <w:bottom w:val="single" w:sz="8" w:color="B6B6B6"/>
            </w:tcBorders>
          </w:tcPr>
          <w:p>
            <w:pPr>
              <w:spacing w:after="0"/>
              <w:rPr>
                <w:sz w:val="4"/>
                <w:szCs w:val="4"/>
                <w:color w:val="auto"/>
              </w:rPr>
            </w:pPr>
          </w:p>
        </w:tc>
        <w:tc>
          <w:tcPr>
            <w:tcW w:w="1000" w:type="dxa"/>
            <w:vAlign w:val="bottom"/>
            <w:tcBorders>
              <w:bottom w:val="single" w:sz="8" w:color="B6B6B6"/>
            </w:tcBorders>
          </w:tcPr>
          <w:p>
            <w:pPr>
              <w:spacing w:after="0"/>
              <w:rPr>
                <w:sz w:val="4"/>
                <w:szCs w:val="4"/>
                <w:color w:val="auto"/>
              </w:rPr>
            </w:pPr>
          </w:p>
        </w:tc>
        <w:tc>
          <w:tcPr>
            <w:tcW w:w="920" w:type="dxa"/>
            <w:vAlign w:val="bottom"/>
            <w:tcBorders>
              <w:bottom w:val="single" w:sz="8" w:color="B6B6B6"/>
            </w:tcBorders>
          </w:tcPr>
          <w:p>
            <w:pPr>
              <w:spacing w:after="0"/>
              <w:rPr>
                <w:sz w:val="4"/>
                <w:szCs w:val="4"/>
                <w:color w:val="auto"/>
              </w:rPr>
            </w:pPr>
          </w:p>
        </w:tc>
        <w:tc>
          <w:tcPr>
            <w:tcW w:w="1040" w:type="dxa"/>
            <w:vAlign w:val="bottom"/>
            <w:tcBorders>
              <w:bottom w:val="single" w:sz="8" w:color="B6B6B6"/>
            </w:tcBorders>
          </w:tcPr>
          <w:p>
            <w:pPr>
              <w:spacing w:after="0"/>
              <w:rPr>
                <w:sz w:val="4"/>
                <w:szCs w:val="4"/>
                <w:color w:val="auto"/>
              </w:rPr>
            </w:pPr>
          </w:p>
        </w:tc>
        <w:tc>
          <w:tcPr>
            <w:tcW w:w="1320" w:type="dxa"/>
            <w:vAlign w:val="bottom"/>
            <w:tcBorders>
              <w:bottom w:val="single" w:sz="8" w:color="B6B6B6"/>
            </w:tcBorders>
          </w:tcPr>
          <w:p>
            <w:pPr>
              <w:spacing w:after="0"/>
              <w:rPr>
                <w:sz w:val="4"/>
                <w:szCs w:val="4"/>
                <w:color w:val="auto"/>
              </w:rPr>
            </w:pPr>
          </w:p>
        </w:tc>
        <w:tc>
          <w:tcPr>
            <w:tcW w:w="1320" w:type="dxa"/>
            <w:vAlign w:val="bottom"/>
            <w:tcBorders>
              <w:bottom w:val="single" w:sz="8" w:color="B6B6B6"/>
            </w:tcBorders>
          </w:tcPr>
          <w:p>
            <w:pPr>
              <w:spacing w:after="0"/>
              <w:rPr>
                <w:sz w:val="4"/>
                <w:szCs w:val="4"/>
                <w:color w:val="auto"/>
              </w:rPr>
            </w:pPr>
          </w:p>
        </w:tc>
        <w:tc>
          <w:tcPr>
            <w:tcW w:w="1360" w:type="dxa"/>
            <w:vAlign w:val="bottom"/>
            <w:tcBorders>
              <w:bottom w:val="single" w:sz="8" w:color="B6B6B6"/>
            </w:tcBorders>
          </w:tcPr>
          <w:p>
            <w:pPr>
              <w:spacing w:after="0"/>
              <w:rPr>
                <w:sz w:val="4"/>
                <w:szCs w:val="4"/>
                <w:color w:val="auto"/>
              </w:rPr>
            </w:pPr>
          </w:p>
        </w:tc>
        <w:tc>
          <w:tcPr>
            <w:tcW w:w="960" w:type="dxa"/>
            <w:vAlign w:val="bottom"/>
            <w:tcBorders>
              <w:bottom w:val="single" w:sz="8" w:color="B6B6B6"/>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600" w:type="dxa"/>
            <w:vAlign w:val="bottom"/>
          </w:tcPr>
          <w:p>
            <w:pPr>
              <w:spacing w:after="0"/>
              <w:rPr>
                <w:sz w:val="17"/>
                <w:szCs w:val="17"/>
                <w:color w:val="auto"/>
              </w:rPr>
            </w:pPr>
          </w:p>
        </w:tc>
        <w:tc>
          <w:tcPr>
            <w:tcW w:w="700" w:type="dxa"/>
            <w:vAlign w:val="bottom"/>
          </w:tcPr>
          <w:p>
            <w:pPr>
              <w:jc w:val="right"/>
              <w:ind w:right="264"/>
              <w:spacing w:after="0"/>
              <w:rPr>
                <w:sz w:val="20"/>
                <w:szCs w:val="20"/>
                <w:color w:val="auto"/>
              </w:rPr>
            </w:pPr>
            <w:r>
              <w:rPr>
                <w:rFonts w:ascii="Arial" w:cs="Arial" w:eastAsia="Arial" w:hAnsi="Arial"/>
                <w:sz w:val="15"/>
                <w:szCs w:val="15"/>
                <w:color w:val="auto"/>
              </w:rPr>
              <w:t>2022</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618,854</w:t>
            </w:r>
          </w:p>
        </w:tc>
        <w:tc>
          <w:tcPr>
            <w:tcW w:w="920" w:type="dxa"/>
            <w:vAlign w:val="bottom"/>
          </w:tcPr>
          <w:p>
            <w:pPr>
              <w:jc w:val="right"/>
              <w:ind w:right="124"/>
              <w:spacing w:after="0"/>
              <w:rPr>
                <w:sz w:val="20"/>
                <w:szCs w:val="20"/>
                <w:color w:val="auto"/>
              </w:rPr>
            </w:pPr>
            <w:r>
              <w:rPr>
                <w:rFonts w:ascii="Arial" w:cs="Arial" w:eastAsia="Arial" w:hAnsi="Arial"/>
                <w:sz w:val="15"/>
                <w:szCs w:val="15"/>
                <w:color w:val="auto"/>
              </w:rPr>
              <w:t>850,000</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1,444,375</w:t>
            </w:r>
          </w:p>
        </w:tc>
        <w:tc>
          <w:tcPr>
            <w:tcW w:w="1320" w:type="dxa"/>
            <w:vAlign w:val="bottom"/>
          </w:tcPr>
          <w:p>
            <w:pPr>
              <w:jc w:val="right"/>
              <w:ind w:right="85"/>
              <w:spacing w:after="0"/>
              <w:rPr>
                <w:sz w:val="20"/>
                <w:szCs w:val="20"/>
                <w:color w:val="auto"/>
              </w:rPr>
            </w:pPr>
            <w:r>
              <w:rPr>
                <w:rFonts w:ascii="Arial" w:cs="Arial" w:eastAsia="Arial" w:hAnsi="Arial"/>
                <w:sz w:val="15"/>
                <w:szCs w:val="15"/>
                <w:color w:val="auto"/>
              </w:rPr>
              <w:t>593,301</w:t>
            </w:r>
          </w:p>
        </w:tc>
        <w:tc>
          <w:tcPr>
            <w:tcW w:w="132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125"/>
              <w:spacing w:after="0"/>
              <w:rPr>
                <w:sz w:val="20"/>
                <w:szCs w:val="20"/>
                <w:color w:val="auto"/>
              </w:rPr>
            </w:pPr>
            <w:r>
              <w:rPr>
                <w:rFonts w:ascii="Arial" w:cs="Arial" w:eastAsia="Arial" w:hAnsi="Arial"/>
                <w:sz w:val="15"/>
                <w:szCs w:val="15"/>
                <w:color w:val="auto"/>
              </w:rPr>
              <w:t>125,499</w:t>
            </w:r>
          </w:p>
        </w:tc>
        <w:tc>
          <w:tcPr>
            <w:tcW w:w="960" w:type="dxa"/>
            <w:vAlign w:val="bottom"/>
          </w:tcPr>
          <w:p>
            <w:pPr>
              <w:jc w:val="right"/>
              <w:spacing w:after="0"/>
              <w:rPr>
                <w:sz w:val="20"/>
                <w:szCs w:val="20"/>
                <w:color w:val="auto"/>
              </w:rPr>
            </w:pPr>
            <w:r>
              <w:rPr>
                <w:rFonts w:ascii="Arial" w:cs="Arial" w:eastAsia="Arial" w:hAnsi="Arial"/>
                <w:sz w:val="15"/>
                <w:szCs w:val="15"/>
                <w:color w:val="auto"/>
              </w:rPr>
              <w:t>3,632,029</w:t>
            </w:r>
          </w:p>
        </w:tc>
        <w:tc>
          <w:tcPr>
            <w:tcW w:w="0" w:type="dxa"/>
            <w:vAlign w:val="bottom"/>
          </w:tcPr>
          <w:p>
            <w:pPr>
              <w:spacing w:after="0"/>
              <w:rPr>
                <w:sz w:val="1"/>
                <w:szCs w:val="1"/>
                <w:color w:val="auto"/>
              </w:rPr>
            </w:pPr>
          </w:p>
        </w:tc>
      </w:tr>
      <w:tr>
        <w:trPr>
          <w:trHeight w:val="46"/>
        </w:trPr>
        <w:tc>
          <w:tcPr>
            <w:tcW w:w="2600" w:type="dxa"/>
            <w:vAlign w:val="bottom"/>
            <w:tcBorders>
              <w:bottom w:val="single" w:sz="8" w:color="929292"/>
            </w:tcBorders>
          </w:tcPr>
          <w:p>
            <w:pPr>
              <w:spacing w:after="0"/>
              <w:rPr>
                <w:sz w:val="4"/>
                <w:szCs w:val="4"/>
                <w:color w:val="auto"/>
              </w:rPr>
            </w:pPr>
          </w:p>
        </w:tc>
        <w:tc>
          <w:tcPr>
            <w:tcW w:w="700" w:type="dxa"/>
            <w:vAlign w:val="bottom"/>
            <w:tcBorders>
              <w:bottom w:val="single" w:sz="8" w:color="929292"/>
            </w:tcBorders>
          </w:tcPr>
          <w:p>
            <w:pPr>
              <w:spacing w:after="0"/>
              <w:rPr>
                <w:sz w:val="4"/>
                <w:szCs w:val="4"/>
                <w:color w:val="auto"/>
              </w:rPr>
            </w:pPr>
          </w:p>
        </w:tc>
        <w:tc>
          <w:tcPr>
            <w:tcW w:w="1000" w:type="dxa"/>
            <w:vAlign w:val="bottom"/>
            <w:tcBorders>
              <w:bottom w:val="single" w:sz="8" w:color="929292"/>
            </w:tcBorders>
          </w:tcPr>
          <w:p>
            <w:pPr>
              <w:spacing w:after="0"/>
              <w:rPr>
                <w:sz w:val="4"/>
                <w:szCs w:val="4"/>
                <w:color w:val="auto"/>
              </w:rPr>
            </w:pPr>
          </w:p>
        </w:tc>
        <w:tc>
          <w:tcPr>
            <w:tcW w:w="920" w:type="dxa"/>
            <w:vAlign w:val="bottom"/>
            <w:tcBorders>
              <w:bottom w:val="single" w:sz="8" w:color="929292"/>
            </w:tcBorders>
          </w:tcPr>
          <w:p>
            <w:pPr>
              <w:spacing w:after="0"/>
              <w:rPr>
                <w:sz w:val="4"/>
                <w:szCs w:val="4"/>
                <w:color w:val="auto"/>
              </w:rPr>
            </w:pPr>
          </w:p>
        </w:tc>
        <w:tc>
          <w:tcPr>
            <w:tcW w:w="1040" w:type="dxa"/>
            <w:vAlign w:val="bottom"/>
            <w:tcBorders>
              <w:bottom w:val="single" w:sz="8" w:color="929292"/>
            </w:tcBorders>
          </w:tcPr>
          <w:p>
            <w:pPr>
              <w:spacing w:after="0"/>
              <w:rPr>
                <w:sz w:val="4"/>
                <w:szCs w:val="4"/>
                <w:color w:val="auto"/>
              </w:rPr>
            </w:pPr>
          </w:p>
        </w:tc>
        <w:tc>
          <w:tcPr>
            <w:tcW w:w="1320" w:type="dxa"/>
            <w:vAlign w:val="bottom"/>
            <w:tcBorders>
              <w:bottom w:val="single" w:sz="8" w:color="929292"/>
            </w:tcBorders>
          </w:tcPr>
          <w:p>
            <w:pPr>
              <w:spacing w:after="0"/>
              <w:rPr>
                <w:sz w:val="4"/>
                <w:szCs w:val="4"/>
                <w:color w:val="auto"/>
              </w:rPr>
            </w:pPr>
          </w:p>
        </w:tc>
        <w:tc>
          <w:tcPr>
            <w:tcW w:w="1320" w:type="dxa"/>
            <w:vAlign w:val="bottom"/>
            <w:tcBorders>
              <w:bottom w:val="single" w:sz="8" w:color="929292"/>
            </w:tcBorders>
          </w:tcPr>
          <w:p>
            <w:pPr>
              <w:spacing w:after="0"/>
              <w:rPr>
                <w:sz w:val="4"/>
                <w:szCs w:val="4"/>
                <w:color w:val="auto"/>
              </w:rPr>
            </w:pPr>
          </w:p>
        </w:tc>
        <w:tc>
          <w:tcPr>
            <w:tcW w:w="1360" w:type="dxa"/>
            <w:vAlign w:val="bottom"/>
            <w:tcBorders>
              <w:bottom w:val="single" w:sz="8" w:color="929292"/>
            </w:tcBorders>
          </w:tcPr>
          <w:p>
            <w:pPr>
              <w:spacing w:after="0"/>
              <w:rPr>
                <w:sz w:val="4"/>
                <w:szCs w:val="4"/>
                <w:color w:val="auto"/>
              </w:rPr>
            </w:pPr>
          </w:p>
        </w:tc>
        <w:tc>
          <w:tcPr>
            <w:tcW w:w="960" w:type="dxa"/>
            <w:vAlign w:val="bottom"/>
            <w:tcBorders>
              <w:bottom w:val="single" w:sz="8" w:color="929292"/>
            </w:tcBorders>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2600" w:type="dxa"/>
            <w:vAlign w:val="bottom"/>
          </w:tcPr>
          <w:p>
            <w:pPr>
              <w:ind w:left="20"/>
              <w:spacing w:after="0"/>
              <w:rPr>
                <w:sz w:val="20"/>
                <w:szCs w:val="20"/>
                <w:color w:val="auto"/>
              </w:rPr>
            </w:pPr>
            <w:r>
              <w:rPr>
                <w:rFonts w:ascii="Arial" w:cs="Arial" w:eastAsia="Arial" w:hAnsi="Arial"/>
                <w:sz w:val="15"/>
                <w:szCs w:val="15"/>
                <w:b w:val="1"/>
                <w:bCs w:val="1"/>
                <w:color w:val="auto"/>
              </w:rPr>
              <w:t>David Glockner</w:t>
            </w:r>
          </w:p>
        </w:tc>
        <w:tc>
          <w:tcPr>
            <w:tcW w:w="700" w:type="dxa"/>
            <w:vAlign w:val="bottom"/>
          </w:tcPr>
          <w:p>
            <w:pPr>
              <w:jc w:val="right"/>
              <w:ind w:right="264"/>
              <w:spacing w:after="0"/>
              <w:rPr>
                <w:sz w:val="20"/>
                <w:szCs w:val="20"/>
                <w:color w:val="auto"/>
              </w:rPr>
            </w:pPr>
            <w:r>
              <w:rPr>
                <w:rFonts w:ascii="Arial" w:cs="Arial" w:eastAsia="Arial" w:hAnsi="Arial"/>
                <w:sz w:val="15"/>
                <w:szCs w:val="15"/>
                <w:color w:val="auto"/>
              </w:rPr>
              <w:t>2024</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661,823</w:t>
            </w:r>
          </w:p>
        </w:tc>
        <w:tc>
          <w:tcPr>
            <w:tcW w:w="92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1,370,561</w:t>
            </w:r>
          </w:p>
        </w:tc>
        <w:tc>
          <w:tcPr>
            <w:tcW w:w="1320" w:type="dxa"/>
            <w:vAlign w:val="bottom"/>
          </w:tcPr>
          <w:p>
            <w:pPr>
              <w:jc w:val="right"/>
              <w:ind w:right="85"/>
              <w:spacing w:after="0"/>
              <w:rPr>
                <w:sz w:val="20"/>
                <w:szCs w:val="20"/>
                <w:color w:val="auto"/>
              </w:rPr>
            </w:pPr>
            <w:r>
              <w:rPr>
                <w:rFonts w:ascii="Arial" w:cs="Arial" w:eastAsia="Arial" w:hAnsi="Arial"/>
                <w:sz w:val="15"/>
                <w:szCs w:val="15"/>
                <w:color w:val="auto"/>
              </w:rPr>
              <w:t>727,336</w:t>
            </w:r>
          </w:p>
        </w:tc>
        <w:tc>
          <w:tcPr>
            <w:tcW w:w="132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125"/>
              <w:spacing w:after="0"/>
              <w:rPr>
                <w:sz w:val="20"/>
                <w:szCs w:val="20"/>
                <w:color w:val="auto"/>
              </w:rPr>
            </w:pPr>
            <w:r>
              <w:rPr>
                <w:rFonts w:ascii="Arial" w:cs="Arial" w:eastAsia="Arial" w:hAnsi="Arial"/>
                <w:sz w:val="15"/>
                <w:szCs w:val="15"/>
                <w:color w:val="auto"/>
              </w:rPr>
              <w:t>102,150</w:t>
            </w:r>
          </w:p>
        </w:tc>
        <w:tc>
          <w:tcPr>
            <w:tcW w:w="960" w:type="dxa"/>
            <w:vAlign w:val="bottom"/>
          </w:tcPr>
          <w:p>
            <w:pPr>
              <w:jc w:val="right"/>
              <w:spacing w:after="0"/>
              <w:rPr>
                <w:sz w:val="20"/>
                <w:szCs w:val="20"/>
                <w:color w:val="auto"/>
              </w:rPr>
            </w:pPr>
            <w:r>
              <w:rPr>
                <w:rFonts w:ascii="Arial" w:cs="Arial" w:eastAsia="Arial" w:hAnsi="Arial"/>
                <w:sz w:val="15"/>
                <w:szCs w:val="15"/>
                <w:color w:val="auto"/>
              </w:rPr>
              <w:t>2,861,870</w:t>
            </w:r>
          </w:p>
        </w:tc>
        <w:tc>
          <w:tcPr>
            <w:tcW w:w="0" w:type="dxa"/>
            <w:vAlign w:val="bottom"/>
          </w:tcPr>
          <w:p>
            <w:pPr>
              <w:spacing w:after="0"/>
              <w:rPr>
                <w:sz w:val="1"/>
                <w:szCs w:val="1"/>
                <w:color w:val="auto"/>
              </w:rPr>
            </w:pPr>
          </w:p>
        </w:tc>
      </w:tr>
      <w:tr>
        <w:trPr>
          <w:trHeight w:val="53"/>
        </w:trPr>
        <w:tc>
          <w:tcPr>
            <w:tcW w:w="2600" w:type="dxa"/>
            <w:vAlign w:val="bottom"/>
            <w:vMerge w:val="restart"/>
          </w:tcPr>
          <w:p>
            <w:pPr>
              <w:ind w:left="20"/>
              <w:spacing w:after="0"/>
              <w:rPr>
                <w:sz w:val="20"/>
                <w:szCs w:val="20"/>
                <w:color w:val="auto"/>
              </w:rPr>
            </w:pPr>
            <w:r>
              <w:rPr>
                <w:rFonts w:ascii="Arial" w:cs="Arial" w:eastAsia="Arial" w:hAnsi="Arial"/>
                <w:sz w:val="13"/>
                <w:szCs w:val="13"/>
                <w:color w:val="auto"/>
              </w:rPr>
              <w:t>Executive Vice President,</w:t>
            </w:r>
          </w:p>
        </w:tc>
        <w:tc>
          <w:tcPr>
            <w:tcW w:w="700" w:type="dxa"/>
            <w:vAlign w:val="bottom"/>
            <w:tcBorders>
              <w:bottom w:val="single" w:sz="8" w:color="B6B6B6"/>
            </w:tcBorders>
          </w:tcPr>
          <w:p>
            <w:pPr>
              <w:spacing w:after="0"/>
              <w:rPr>
                <w:sz w:val="4"/>
                <w:szCs w:val="4"/>
                <w:color w:val="auto"/>
              </w:rPr>
            </w:pPr>
          </w:p>
        </w:tc>
        <w:tc>
          <w:tcPr>
            <w:tcW w:w="1000" w:type="dxa"/>
            <w:vAlign w:val="bottom"/>
            <w:tcBorders>
              <w:bottom w:val="single" w:sz="8" w:color="B6B6B6"/>
            </w:tcBorders>
          </w:tcPr>
          <w:p>
            <w:pPr>
              <w:spacing w:after="0"/>
              <w:rPr>
                <w:sz w:val="4"/>
                <w:szCs w:val="4"/>
                <w:color w:val="auto"/>
              </w:rPr>
            </w:pPr>
          </w:p>
        </w:tc>
        <w:tc>
          <w:tcPr>
            <w:tcW w:w="920" w:type="dxa"/>
            <w:vAlign w:val="bottom"/>
            <w:tcBorders>
              <w:bottom w:val="single" w:sz="8" w:color="B6B6B6"/>
            </w:tcBorders>
          </w:tcPr>
          <w:p>
            <w:pPr>
              <w:spacing w:after="0"/>
              <w:rPr>
                <w:sz w:val="4"/>
                <w:szCs w:val="4"/>
                <w:color w:val="auto"/>
              </w:rPr>
            </w:pPr>
          </w:p>
        </w:tc>
        <w:tc>
          <w:tcPr>
            <w:tcW w:w="1040" w:type="dxa"/>
            <w:vAlign w:val="bottom"/>
            <w:tcBorders>
              <w:bottom w:val="single" w:sz="8" w:color="B6B6B6"/>
            </w:tcBorders>
          </w:tcPr>
          <w:p>
            <w:pPr>
              <w:spacing w:after="0"/>
              <w:rPr>
                <w:sz w:val="4"/>
                <w:szCs w:val="4"/>
                <w:color w:val="auto"/>
              </w:rPr>
            </w:pPr>
          </w:p>
        </w:tc>
        <w:tc>
          <w:tcPr>
            <w:tcW w:w="1320" w:type="dxa"/>
            <w:vAlign w:val="bottom"/>
            <w:tcBorders>
              <w:bottom w:val="single" w:sz="8" w:color="B6B6B6"/>
            </w:tcBorders>
          </w:tcPr>
          <w:p>
            <w:pPr>
              <w:spacing w:after="0"/>
              <w:rPr>
                <w:sz w:val="4"/>
                <w:szCs w:val="4"/>
                <w:color w:val="auto"/>
              </w:rPr>
            </w:pPr>
          </w:p>
        </w:tc>
        <w:tc>
          <w:tcPr>
            <w:tcW w:w="1320" w:type="dxa"/>
            <w:vAlign w:val="bottom"/>
            <w:tcBorders>
              <w:bottom w:val="single" w:sz="8" w:color="B6B6B6"/>
            </w:tcBorders>
          </w:tcPr>
          <w:p>
            <w:pPr>
              <w:spacing w:after="0"/>
              <w:rPr>
                <w:sz w:val="4"/>
                <w:szCs w:val="4"/>
                <w:color w:val="auto"/>
              </w:rPr>
            </w:pPr>
          </w:p>
        </w:tc>
        <w:tc>
          <w:tcPr>
            <w:tcW w:w="1360" w:type="dxa"/>
            <w:vAlign w:val="bottom"/>
            <w:tcBorders>
              <w:bottom w:val="single" w:sz="8" w:color="B6B6B6"/>
            </w:tcBorders>
          </w:tcPr>
          <w:p>
            <w:pPr>
              <w:spacing w:after="0"/>
              <w:rPr>
                <w:sz w:val="4"/>
                <w:szCs w:val="4"/>
                <w:color w:val="auto"/>
              </w:rPr>
            </w:pPr>
          </w:p>
        </w:tc>
        <w:tc>
          <w:tcPr>
            <w:tcW w:w="960" w:type="dxa"/>
            <w:vAlign w:val="bottom"/>
            <w:tcBorders>
              <w:bottom w:val="single" w:sz="8" w:color="B6B6B6"/>
            </w:tcBorders>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2600" w:type="dxa"/>
            <w:vAlign w:val="bottom"/>
            <w:vMerge w:val="continue"/>
          </w:tcPr>
          <w:p>
            <w:pPr>
              <w:spacing w:after="0"/>
              <w:rPr>
                <w:sz w:val="7"/>
                <w:szCs w:val="7"/>
                <w:color w:val="auto"/>
              </w:rPr>
            </w:pPr>
          </w:p>
        </w:tc>
        <w:tc>
          <w:tcPr>
            <w:tcW w:w="700" w:type="dxa"/>
            <w:vAlign w:val="bottom"/>
            <w:vMerge w:val="restart"/>
          </w:tcPr>
          <w:p>
            <w:pPr>
              <w:jc w:val="right"/>
              <w:ind w:right="264"/>
              <w:spacing w:after="0"/>
              <w:rPr>
                <w:sz w:val="20"/>
                <w:szCs w:val="20"/>
                <w:color w:val="auto"/>
              </w:rPr>
            </w:pPr>
            <w:r>
              <w:rPr>
                <w:rFonts w:ascii="Arial" w:cs="Arial" w:eastAsia="Arial" w:hAnsi="Arial"/>
                <w:sz w:val="15"/>
                <w:szCs w:val="15"/>
                <w:color w:val="auto"/>
              </w:rPr>
              <w:t>2023</w:t>
            </w:r>
          </w:p>
        </w:tc>
        <w:tc>
          <w:tcPr>
            <w:tcW w:w="1000" w:type="dxa"/>
            <w:vAlign w:val="bottom"/>
            <w:vMerge w:val="restart"/>
          </w:tcPr>
          <w:p>
            <w:pPr>
              <w:jc w:val="right"/>
              <w:ind w:right="104"/>
              <w:spacing w:after="0"/>
              <w:rPr>
                <w:sz w:val="20"/>
                <w:szCs w:val="20"/>
                <w:color w:val="auto"/>
              </w:rPr>
            </w:pPr>
            <w:r>
              <w:rPr>
                <w:rFonts w:ascii="Arial" w:cs="Arial" w:eastAsia="Arial" w:hAnsi="Arial"/>
                <w:sz w:val="15"/>
                <w:szCs w:val="15"/>
                <w:color w:val="auto"/>
              </w:rPr>
              <w:t>641,510</w:t>
            </w:r>
          </w:p>
        </w:tc>
        <w:tc>
          <w:tcPr>
            <w:tcW w:w="920" w:type="dxa"/>
            <w:vAlign w:val="bottom"/>
            <w:vMerge w:val="restart"/>
          </w:tcPr>
          <w:p>
            <w:pPr>
              <w:jc w:val="right"/>
              <w:ind w:right="124"/>
              <w:spacing w:after="0"/>
              <w:rPr>
                <w:sz w:val="20"/>
                <w:szCs w:val="20"/>
                <w:color w:val="auto"/>
              </w:rPr>
            </w:pPr>
            <w:r>
              <w:rPr>
                <w:rFonts w:ascii="Arial" w:cs="Arial" w:eastAsia="Arial" w:hAnsi="Arial"/>
                <w:sz w:val="15"/>
                <w:szCs w:val="15"/>
                <w:color w:val="auto"/>
              </w:rPr>
              <w:t>—</w:t>
            </w:r>
          </w:p>
        </w:tc>
        <w:tc>
          <w:tcPr>
            <w:tcW w:w="1040" w:type="dxa"/>
            <w:vAlign w:val="bottom"/>
            <w:vMerge w:val="restart"/>
          </w:tcPr>
          <w:p>
            <w:pPr>
              <w:jc w:val="right"/>
              <w:ind w:right="85"/>
              <w:spacing w:after="0"/>
              <w:rPr>
                <w:sz w:val="20"/>
                <w:szCs w:val="20"/>
                <w:color w:val="auto"/>
              </w:rPr>
            </w:pPr>
            <w:r>
              <w:rPr>
                <w:rFonts w:ascii="Arial" w:cs="Arial" w:eastAsia="Arial" w:hAnsi="Arial"/>
                <w:sz w:val="15"/>
                <w:szCs w:val="15"/>
                <w:color w:val="auto"/>
              </w:rPr>
              <w:t>1,411,477</w:t>
            </w:r>
          </w:p>
        </w:tc>
        <w:tc>
          <w:tcPr>
            <w:tcW w:w="1320" w:type="dxa"/>
            <w:vAlign w:val="bottom"/>
            <w:vMerge w:val="restart"/>
          </w:tcPr>
          <w:p>
            <w:pPr>
              <w:jc w:val="right"/>
              <w:ind w:right="85"/>
              <w:spacing w:after="0"/>
              <w:rPr>
                <w:sz w:val="20"/>
                <w:szCs w:val="20"/>
                <w:color w:val="auto"/>
              </w:rPr>
            </w:pPr>
            <w:r>
              <w:rPr>
                <w:rFonts w:ascii="Arial" w:cs="Arial" w:eastAsia="Arial" w:hAnsi="Arial"/>
                <w:sz w:val="15"/>
                <w:szCs w:val="15"/>
                <w:color w:val="auto"/>
              </w:rPr>
              <w:t>669,149</w:t>
            </w:r>
          </w:p>
        </w:tc>
        <w:tc>
          <w:tcPr>
            <w:tcW w:w="1320" w:type="dxa"/>
            <w:vAlign w:val="bottom"/>
            <w:vMerge w:val="restart"/>
          </w:tcPr>
          <w:p>
            <w:pPr>
              <w:jc w:val="right"/>
              <w:ind w:right="85"/>
              <w:spacing w:after="0"/>
              <w:rPr>
                <w:sz w:val="20"/>
                <w:szCs w:val="20"/>
                <w:color w:val="auto"/>
              </w:rPr>
            </w:pPr>
            <w:r>
              <w:rPr>
                <w:rFonts w:ascii="Arial" w:cs="Arial" w:eastAsia="Arial" w:hAnsi="Arial"/>
                <w:sz w:val="15"/>
                <w:szCs w:val="15"/>
                <w:color w:val="auto"/>
              </w:rPr>
              <w:t>—</w:t>
            </w:r>
          </w:p>
        </w:tc>
        <w:tc>
          <w:tcPr>
            <w:tcW w:w="1360" w:type="dxa"/>
            <w:vAlign w:val="bottom"/>
            <w:vMerge w:val="restart"/>
          </w:tcPr>
          <w:p>
            <w:pPr>
              <w:jc w:val="right"/>
              <w:ind w:right="125"/>
              <w:spacing w:after="0"/>
              <w:rPr>
                <w:sz w:val="20"/>
                <w:szCs w:val="20"/>
                <w:color w:val="auto"/>
              </w:rPr>
            </w:pPr>
            <w:r>
              <w:rPr>
                <w:rFonts w:ascii="Arial" w:cs="Arial" w:eastAsia="Arial" w:hAnsi="Arial"/>
                <w:sz w:val="15"/>
                <w:szCs w:val="15"/>
                <w:color w:val="auto"/>
              </w:rPr>
              <w:t>93,186</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2,815,322</w:t>
            </w:r>
          </w:p>
        </w:tc>
        <w:tc>
          <w:tcPr>
            <w:tcW w:w="0" w:type="dxa"/>
            <w:vAlign w:val="bottom"/>
          </w:tcPr>
          <w:p>
            <w:pPr>
              <w:spacing w:after="0"/>
              <w:rPr>
                <w:sz w:val="1"/>
                <w:szCs w:val="1"/>
                <w:color w:val="auto"/>
              </w:rPr>
            </w:pPr>
          </w:p>
        </w:tc>
      </w:tr>
      <w:tr>
        <w:trPr>
          <w:trHeight w:val="115"/>
        </w:trPr>
        <w:tc>
          <w:tcPr>
            <w:tcW w:w="2600" w:type="dxa"/>
            <w:vAlign w:val="bottom"/>
            <w:vMerge w:val="restart"/>
          </w:tcPr>
          <w:p>
            <w:pPr>
              <w:ind w:left="20"/>
              <w:spacing w:after="0"/>
              <w:rPr>
                <w:sz w:val="20"/>
                <w:szCs w:val="20"/>
                <w:color w:val="auto"/>
              </w:rPr>
            </w:pPr>
            <w:r>
              <w:rPr>
                <w:rFonts w:ascii="Arial" w:cs="Arial" w:eastAsia="Arial" w:hAnsi="Arial"/>
                <w:sz w:val="13"/>
                <w:szCs w:val="13"/>
                <w:color w:val="auto"/>
              </w:rPr>
              <w:t>Compliance, Audit &amp; Risk</w:t>
            </w:r>
          </w:p>
        </w:tc>
        <w:tc>
          <w:tcPr>
            <w:tcW w:w="7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2600" w:type="dxa"/>
            <w:vAlign w:val="bottom"/>
            <w:vMerge w:val="continue"/>
          </w:tcPr>
          <w:p>
            <w:pPr>
              <w:spacing w:after="0"/>
              <w:rPr>
                <w:sz w:val="4"/>
                <w:szCs w:val="4"/>
                <w:color w:val="auto"/>
              </w:rPr>
            </w:pPr>
          </w:p>
        </w:tc>
        <w:tc>
          <w:tcPr>
            <w:tcW w:w="700" w:type="dxa"/>
            <w:vAlign w:val="bottom"/>
            <w:tcBorders>
              <w:bottom w:val="single" w:sz="8" w:color="B6B6B6"/>
            </w:tcBorders>
          </w:tcPr>
          <w:p>
            <w:pPr>
              <w:spacing w:after="0"/>
              <w:rPr>
                <w:sz w:val="4"/>
                <w:szCs w:val="4"/>
                <w:color w:val="auto"/>
              </w:rPr>
            </w:pPr>
          </w:p>
        </w:tc>
        <w:tc>
          <w:tcPr>
            <w:tcW w:w="1000" w:type="dxa"/>
            <w:vAlign w:val="bottom"/>
            <w:tcBorders>
              <w:bottom w:val="single" w:sz="8" w:color="B6B6B6"/>
            </w:tcBorders>
          </w:tcPr>
          <w:p>
            <w:pPr>
              <w:spacing w:after="0"/>
              <w:rPr>
                <w:sz w:val="4"/>
                <w:szCs w:val="4"/>
                <w:color w:val="auto"/>
              </w:rPr>
            </w:pPr>
          </w:p>
        </w:tc>
        <w:tc>
          <w:tcPr>
            <w:tcW w:w="920" w:type="dxa"/>
            <w:vAlign w:val="bottom"/>
            <w:tcBorders>
              <w:bottom w:val="single" w:sz="8" w:color="B6B6B6"/>
            </w:tcBorders>
          </w:tcPr>
          <w:p>
            <w:pPr>
              <w:spacing w:after="0"/>
              <w:rPr>
                <w:sz w:val="4"/>
                <w:szCs w:val="4"/>
                <w:color w:val="auto"/>
              </w:rPr>
            </w:pPr>
          </w:p>
        </w:tc>
        <w:tc>
          <w:tcPr>
            <w:tcW w:w="1040" w:type="dxa"/>
            <w:vAlign w:val="bottom"/>
            <w:tcBorders>
              <w:bottom w:val="single" w:sz="8" w:color="B6B6B6"/>
            </w:tcBorders>
          </w:tcPr>
          <w:p>
            <w:pPr>
              <w:spacing w:after="0"/>
              <w:rPr>
                <w:sz w:val="4"/>
                <w:szCs w:val="4"/>
                <w:color w:val="auto"/>
              </w:rPr>
            </w:pPr>
          </w:p>
        </w:tc>
        <w:tc>
          <w:tcPr>
            <w:tcW w:w="1320" w:type="dxa"/>
            <w:vAlign w:val="bottom"/>
            <w:tcBorders>
              <w:bottom w:val="single" w:sz="8" w:color="B6B6B6"/>
            </w:tcBorders>
          </w:tcPr>
          <w:p>
            <w:pPr>
              <w:spacing w:after="0"/>
              <w:rPr>
                <w:sz w:val="4"/>
                <w:szCs w:val="4"/>
                <w:color w:val="auto"/>
              </w:rPr>
            </w:pPr>
          </w:p>
        </w:tc>
        <w:tc>
          <w:tcPr>
            <w:tcW w:w="1320" w:type="dxa"/>
            <w:vAlign w:val="bottom"/>
            <w:tcBorders>
              <w:bottom w:val="single" w:sz="8" w:color="B6B6B6"/>
            </w:tcBorders>
          </w:tcPr>
          <w:p>
            <w:pPr>
              <w:spacing w:after="0"/>
              <w:rPr>
                <w:sz w:val="4"/>
                <w:szCs w:val="4"/>
                <w:color w:val="auto"/>
              </w:rPr>
            </w:pPr>
          </w:p>
        </w:tc>
        <w:tc>
          <w:tcPr>
            <w:tcW w:w="1360" w:type="dxa"/>
            <w:vAlign w:val="bottom"/>
            <w:tcBorders>
              <w:bottom w:val="single" w:sz="8" w:color="B6B6B6"/>
            </w:tcBorders>
          </w:tcPr>
          <w:p>
            <w:pPr>
              <w:spacing w:after="0"/>
              <w:rPr>
                <w:sz w:val="4"/>
                <w:szCs w:val="4"/>
                <w:color w:val="auto"/>
              </w:rPr>
            </w:pPr>
          </w:p>
        </w:tc>
        <w:tc>
          <w:tcPr>
            <w:tcW w:w="960" w:type="dxa"/>
            <w:vAlign w:val="bottom"/>
            <w:tcBorders>
              <w:bottom w:val="single" w:sz="8" w:color="B6B6B6"/>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700" w:type="dxa"/>
            <w:vAlign w:val="bottom"/>
          </w:tcPr>
          <w:p>
            <w:pPr>
              <w:jc w:val="right"/>
              <w:ind w:right="264"/>
              <w:spacing w:after="0"/>
              <w:rPr>
                <w:sz w:val="20"/>
                <w:szCs w:val="20"/>
                <w:color w:val="auto"/>
              </w:rPr>
            </w:pPr>
            <w:r>
              <w:rPr>
                <w:rFonts w:ascii="Arial" w:cs="Arial" w:eastAsia="Arial" w:hAnsi="Arial"/>
                <w:sz w:val="15"/>
                <w:szCs w:val="15"/>
                <w:color w:val="auto"/>
              </w:rPr>
              <w:t>2022</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618,415</w:t>
            </w:r>
          </w:p>
        </w:tc>
        <w:tc>
          <w:tcPr>
            <w:tcW w:w="92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1,519,293</w:t>
            </w:r>
          </w:p>
        </w:tc>
        <w:tc>
          <w:tcPr>
            <w:tcW w:w="1320" w:type="dxa"/>
            <w:vAlign w:val="bottom"/>
          </w:tcPr>
          <w:p>
            <w:pPr>
              <w:jc w:val="right"/>
              <w:ind w:right="85"/>
              <w:spacing w:after="0"/>
              <w:rPr>
                <w:sz w:val="20"/>
                <w:szCs w:val="20"/>
                <w:color w:val="auto"/>
              </w:rPr>
            </w:pPr>
            <w:r>
              <w:rPr>
                <w:rFonts w:ascii="Arial" w:cs="Arial" w:eastAsia="Arial" w:hAnsi="Arial"/>
                <w:sz w:val="15"/>
                <w:szCs w:val="15"/>
                <w:color w:val="auto"/>
              </w:rPr>
              <w:t>550,339</w:t>
            </w:r>
          </w:p>
        </w:tc>
        <w:tc>
          <w:tcPr>
            <w:tcW w:w="132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125"/>
              <w:spacing w:after="0"/>
              <w:rPr>
                <w:sz w:val="20"/>
                <w:szCs w:val="20"/>
                <w:color w:val="auto"/>
              </w:rPr>
            </w:pPr>
            <w:r>
              <w:rPr>
                <w:rFonts w:ascii="Arial" w:cs="Arial" w:eastAsia="Arial" w:hAnsi="Arial"/>
                <w:sz w:val="15"/>
                <w:szCs w:val="15"/>
                <w:color w:val="auto"/>
              </w:rPr>
              <w:t>102,177</w:t>
            </w:r>
          </w:p>
        </w:tc>
        <w:tc>
          <w:tcPr>
            <w:tcW w:w="960" w:type="dxa"/>
            <w:vAlign w:val="bottom"/>
          </w:tcPr>
          <w:p>
            <w:pPr>
              <w:jc w:val="right"/>
              <w:spacing w:after="0"/>
              <w:rPr>
                <w:sz w:val="20"/>
                <w:szCs w:val="20"/>
                <w:color w:val="auto"/>
              </w:rPr>
            </w:pPr>
            <w:r>
              <w:rPr>
                <w:rFonts w:ascii="Arial" w:cs="Arial" w:eastAsia="Arial" w:hAnsi="Arial"/>
                <w:sz w:val="15"/>
                <w:szCs w:val="15"/>
                <w:color w:val="auto"/>
              </w:rPr>
              <w:t>2,790,224</w:t>
            </w:r>
          </w:p>
        </w:tc>
        <w:tc>
          <w:tcPr>
            <w:tcW w:w="0" w:type="dxa"/>
            <w:vAlign w:val="bottom"/>
          </w:tcPr>
          <w:p>
            <w:pPr>
              <w:spacing w:after="0"/>
              <w:rPr>
                <w:sz w:val="1"/>
                <w:szCs w:val="1"/>
                <w:color w:val="auto"/>
              </w:rPr>
            </w:pPr>
          </w:p>
        </w:tc>
      </w:tr>
      <w:tr>
        <w:trPr>
          <w:trHeight w:val="47"/>
        </w:trPr>
        <w:tc>
          <w:tcPr>
            <w:tcW w:w="2600" w:type="dxa"/>
            <w:vAlign w:val="bottom"/>
            <w:tcBorders>
              <w:bottom w:val="single" w:sz="8" w:color="929292"/>
            </w:tcBorders>
          </w:tcPr>
          <w:p>
            <w:pPr>
              <w:spacing w:after="0"/>
              <w:rPr>
                <w:sz w:val="4"/>
                <w:szCs w:val="4"/>
                <w:color w:val="auto"/>
              </w:rPr>
            </w:pPr>
          </w:p>
        </w:tc>
        <w:tc>
          <w:tcPr>
            <w:tcW w:w="700" w:type="dxa"/>
            <w:vAlign w:val="bottom"/>
            <w:tcBorders>
              <w:bottom w:val="single" w:sz="8" w:color="929292"/>
            </w:tcBorders>
          </w:tcPr>
          <w:p>
            <w:pPr>
              <w:spacing w:after="0"/>
              <w:rPr>
                <w:sz w:val="4"/>
                <w:szCs w:val="4"/>
                <w:color w:val="auto"/>
              </w:rPr>
            </w:pPr>
          </w:p>
        </w:tc>
        <w:tc>
          <w:tcPr>
            <w:tcW w:w="1000" w:type="dxa"/>
            <w:vAlign w:val="bottom"/>
            <w:tcBorders>
              <w:bottom w:val="single" w:sz="8" w:color="929292"/>
            </w:tcBorders>
          </w:tcPr>
          <w:p>
            <w:pPr>
              <w:spacing w:after="0"/>
              <w:rPr>
                <w:sz w:val="4"/>
                <w:szCs w:val="4"/>
                <w:color w:val="auto"/>
              </w:rPr>
            </w:pPr>
          </w:p>
        </w:tc>
        <w:tc>
          <w:tcPr>
            <w:tcW w:w="920" w:type="dxa"/>
            <w:vAlign w:val="bottom"/>
            <w:tcBorders>
              <w:bottom w:val="single" w:sz="8" w:color="929292"/>
            </w:tcBorders>
          </w:tcPr>
          <w:p>
            <w:pPr>
              <w:spacing w:after="0"/>
              <w:rPr>
                <w:sz w:val="4"/>
                <w:szCs w:val="4"/>
                <w:color w:val="auto"/>
              </w:rPr>
            </w:pPr>
          </w:p>
        </w:tc>
        <w:tc>
          <w:tcPr>
            <w:tcW w:w="1040" w:type="dxa"/>
            <w:vAlign w:val="bottom"/>
            <w:tcBorders>
              <w:bottom w:val="single" w:sz="8" w:color="929292"/>
            </w:tcBorders>
          </w:tcPr>
          <w:p>
            <w:pPr>
              <w:spacing w:after="0"/>
              <w:rPr>
                <w:sz w:val="4"/>
                <w:szCs w:val="4"/>
                <w:color w:val="auto"/>
              </w:rPr>
            </w:pPr>
          </w:p>
        </w:tc>
        <w:tc>
          <w:tcPr>
            <w:tcW w:w="1320" w:type="dxa"/>
            <w:vAlign w:val="bottom"/>
            <w:tcBorders>
              <w:bottom w:val="single" w:sz="8" w:color="929292"/>
            </w:tcBorders>
          </w:tcPr>
          <w:p>
            <w:pPr>
              <w:spacing w:after="0"/>
              <w:rPr>
                <w:sz w:val="4"/>
                <w:szCs w:val="4"/>
                <w:color w:val="auto"/>
              </w:rPr>
            </w:pPr>
          </w:p>
        </w:tc>
        <w:tc>
          <w:tcPr>
            <w:tcW w:w="1320" w:type="dxa"/>
            <w:vAlign w:val="bottom"/>
            <w:tcBorders>
              <w:bottom w:val="single" w:sz="8" w:color="929292"/>
            </w:tcBorders>
          </w:tcPr>
          <w:p>
            <w:pPr>
              <w:spacing w:after="0"/>
              <w:rPr>
                <w:sz w:val="4"/>
                <w:szCs w:val="4"/>
                <w:color w:val="auto"/>
              </w:rPr>
            </w:pPr>
          </w:p>
        </w:tc>
        <w:tc>
          <w:tcPr>
            <w:tcW w:w="1360" w:type="dxa"/>
            <w:vAlign w:val="bottom"/>
            <w:tcBorders>
              <w:bottom w:val="single" w:sz="8" w:color="929292"/>
            </w:tcBorders>
          </w:tcPr>
          <w:p>
            <w:pPr>
              <w:spacing w:after="0"/>
              <w:rPr>
                <w:sz w:val="4"/>
                <w:szCs w:val="4"/>
                <w:color w:val="auto"/>
              </w:rPr>
            </w:pPr>
          </w:p>
        </w:tc>
        <w:tc>
          <w:tcPr>
            <w:tcW w:w="960" w:type="dxa"/>
            <w:vAlign w:val="bottom"/>
            <w:tcBorders>
              <w:bottom w:val="single" w:sz="8" w:color="929292"/>
            </w:tcBorders>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2600" w:type="dxa"/>
            <w:vAlign w:val="bottom"/>
          </w:tcPr>
          <w:p>
            <w:pPr>
              <w:ind w:left="20"/>
              <w:spacing w:after="0"/>
              <w:rPr>
                <w:sz w:val="20"/>
                <w:szCs w:val="20"/>
                <w:color w:val="auto"/>
              </w:rPr>
            </w:pPr>
            <w:r>
              <w:rPr>
                <w:rFonts w:ascii="Arial" w:cs="Arial" w:eastAsia="Arial" w:hAnsi="Arial"/>
                <w:sz w:val="15"/>
                <w:szCs w:val="15"/>
                <w:b w:val="1"/>
                <w:bCs w:val="1"/>
                <w:color w:val="auto"/>
              </w:rPr>
              <w:t>Michael Innocenzo (Note 7)</w:t>
            </w:r>
          </w:p>
        </w:tc>
        <w:tc>
          <w:tcPr>
            <w:tcW w:w="700" w:type="dxa"/>
            <w:vAlign w:val="bottom"/>
          </w:tcPr>
          <w:p>
            <w:pPr>
              <w:jc w:val="right"/>
              <w:ind w:right="264"/>
              <w:spacing w:after="0"/>
              <w:rPr>
                <w:sz w:val="20"/>
                <w:szCs w:val="20"/>
                <w:color w:val="auto"/>
              </w:rPr>
            </w:pPr>
            <w:r>
              <w:rPr>
                <w:rFonts w:ascii="Arial" w:cs="Arial" w:eastAsia="Arial" w:hAnsi="Arial"/>
                <w:sz w:val="15"/>
                <w:szCs w:val="15"/>
                <w:color w:val="auto"/>
              </w:rPr>
              <w:t>2024</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653,820</w:t>
            </w:r>
          </w:p>
        </w:tc>
        <w:tc>
          <w:tcPr>
            <w:tcW w:w="92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85"/>
              <w:spacing w:after="0"/>
              <w:rPr>
                <w:sz w:val="20"/>
                <w:szCs w:val="20"/>
                <w:color w:val="auto"/>
              </w:rPr>
            </w:pPr>
            <w:r>
              <w:rPr>
                <w:rFonts w:ascii="Arial" w:cs="Arial" w:eastAsia="Arial" w:hAnsi="Arial"/>
                <w:sz w:val="15"/>
                <w:szCs w:val="15"/>
                <w:color w:val="auto"/>
              </w:rPr>
              <w:t>1,703,573</w:t>
            </w:r>
          </w:p>
        </w:tc>
        <w:tc>
          <w:tcPr>
            <w:tcW w:w="1320" w:type="dxa"/>
            <w:vAlign w:val="bottom"/>
          </w:tcPr>
          <w:p>
            <w:pPr>
              <w:jc w:val="right"/>
              <w:ind w:right="85"/>
              <w:spacing w:after="0"/>
              <w:rPr>
                <w:sz w:val="20"/>
                <w:szCs w:val="20"/>
                <w:color w:val="auto"/>
              </w:rPr>
            </w:pPr>
            <w:r>
              <w:rPr>
                <w:rFonts w:ascii="Arial" w:cs="Arial" w:eastAsia="Arial" w:hAnsi="Arial"/>
                <w:sz w:val="15"/>
                <w:szCs w:val="15"/>
                <w:color w:val="auto"/>
              </w:rPr>
              <w:t>756,130</w:t>
            </w:r>
          </w:p>
        </w:tc>
        <w:tc>
          <w:tcPr>
            <w:tcW w:w="1320" w:type="dxa"/>
            <w:vAlign w:val="bottom"/>
          </w:tcPr>
          <w:p>
            <w:pPr>
              <w:jc w:val="right"/>
              <w:ind w:right="85"/>
              <w:spacing w:after="0"/>
              <w:rPr>
                <w:sz w:val="20"/>
                <w:szCs w:val="20"/>
                <w:color w:val="auto"/>
              </w:rPr>
            </w:pPr>
            <w:r>
              <w:rPr>
                <w:rFonts w:ascii="Arial" w:cs="Arial" w:eastAsia="Arial" w:hAnsi="Arial"/>
                <w:sz w:val="15"/>
                <w:szCs w:val="15"/>
                <w:color w:val="auto"/>
              </w:rPr>
              <w:t>256,576</w:t>
            </w:r>
          </w:p>
        </w:tc>
        <w:tc>
          <w:tcPr>
            <w:tcW w:w="1360" w:type="dxa"/>
            <w:vAlign w:val="bottom"/>
          </w:tcPr>
          <w:p>
            <w:pPr>
              <w:jc w:val="right"/>
              <w:ind w:right="125"/>
              <w:spacing w:after="0"/>
              <w:rPr>
                <w:sz w:val="20"/>
                <w:szCs w:val="20"/>
                <w:color w:val="auto"/>
              </w:rPr>
            </w:pPr>
            <w:r>
              <w:rPr>
                <w:rFonts w:ascii="Arial" w:cs="Arial" w:eastAsia="Arial" w:hAnsi="Arial"/>
                <w:sz w:val="15"/>
                <w:szCs w:val="15"/>
                <w:color w:val="auto"/>
              </w:rPr>
              <w:t>54,442</w:t>
            </w:r>
          </w:p>
        </w:tc>
        <w:tc>
          <w:tcPr>
            <w:tcW w:w="960" w:type="dxa"/>
            <w:vAlign w:val="bottom"/>
          </w:tcPr>
          <w:p>
            <w:pPr>
              <w:jc w:val="right"/>
              <w:spacing w:after="0"/>
              <w:rPr>
                <w:sz w:val="20"/>
                <w:szCs w:val="20"/>
                <w:color w:val="auto"/>
              </w:rPr>
            </w:pPr>
            <w:r>
              <w:rPr>
                <w:rFonts w:ascii="Arial" w:cs="Arial" w:eastAsia="Arial" w:hAnsi="Arial"/>
                <w:sz w:val="15"/>
                <w:szCs w:val="15"/>
                <w:color w:val="auto"/>
              </w:rPr>
              <w:t>3,424,542</w:t>
            </w:r>
          </w:p>
        </w:tc>
        <w:tc>
          <w:tcPr>
            <w:tcW w:w="0" w:type="dxa"/>
            <w:vAlign w:val="bottom"/>
          </w:tcPr>
          <w:p>
            <w:pPr>
              <w:spacing w:after="0"/>
              <w:rPr>
                <w:sz w:val="1"/>
                <w:szCs w:val="1"/>
                <w:color w:val="auto"/>
              </w:rPr>
            </w:pPr>
          </w:p>
        </w:tc>
      </w:tr>
      <w:tr>
        <w:trPr>
          <w:trHeight w:val="162"/>
        </w:trPr>
        <w:tc>
          <w:tcPr>
            <w:tcW w:w="2600" w:type="dxa"/>
            <w:vAlign w:val="bottom"/>
          </w:tcPr>
          <w:p>
            <w:pPr>
              <w:ind w:left="20"/>
              <w:spacing w:after="0"/>
              <w:rPr>
                <w:sz w:val="20"/>
                <w:szCs w:val="20"/>
                <w:color w:val="auto"/>
              </w:rPr>
            </w:pPr>
            <w:r>
              <w:rPr>
                <w:rFonts w:ascii="Arial" w:cs="Arial" w:eastAsia="Arial" w:hAnsi="Arial"/>
                <w:sz w:val="13"/>
                <w:szCs w:val="13"/>
                <w:color w:val="auto"/>
              </w:rPr>
              <w:t>Executive Vice President and Chief</w:t>
            </w: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00" w:type="dxa"/>
            <w:vAlign w:val="bottom"/>
          </w:tcPr>
          <w:p>
            <w:pPr>
              <w:ind w:left="20"/>
              <w:spacing w:after="0"/>
              <w:rPr>
                <w:sz w:val="20"/>
                <w:szCs w:val="20"/>
                <w:color w:val="auto"/>
              </w:rPr>
            </w:pPr>
            <w:r>
              <w:rPr>
                <w:rFonts w:ascii="Arial" w:cs="Arial" w:eastAsia="Arial" w:hAnsi="Arial"/>
                <w:sz w:val="13"/>
                <w:szCs w:val="13"/>
                <w:color w:val="auto"/>
              </w:rPr>
              <w:t>Operating Officer</w:t>
            </w: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60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c>
          <w:tcPr>
            <w:tcW w:w="920" w:type="dxa"/>
            <w:vAlign w:val="bottom"/>
            <w:tcBorders>
              <w:bottom w:val="single" w:sz="8" w:color="808080"/>
            </w:tcBorders>
          </w:tcPr>
          <w:p>
            <w:pPr>
              <w:spacing w:after="0"/>
              <w:rPr>
                <w:sz w:val="2"/>
                <w:szCs w:val="2"/>
                <w:color w:val="auto"/>
              </w:rPr>
            </w:pPr>
          </w:p>
        </w:tc>
        <w:tc>
          <w:tcPr>
            <w:tcW w:w="1040" w:type="dxa"/>
            <w:vAlign w:val="bottom"/>
            <w:tcBorders>
              <w:bottom w:val="single" w:sz="8" w:color="808080"/>
            </w:tcBorders>
          </w:tcPr>
          <w:p>
            <w:pPr>
              <w:spacing w:after="0"/>
              <w:rPr>
                <w:sz w:val="2"/>
                <w:szCs w:val="2"/>
                <w:color w:val="auto"/>
              </w:rPr>
            </w:pPr>
          </w:p>
        </w:tc>
        <w:tc>
          <w:tcPr>
            <w:tcW w:w="1320" w:type="dxa"/>
            <w:vAlign w:val="bottom"/>
            <w:tcBorders>
              <w:bottom w:val="single" w:sz="8" w:color="808080"/>
            </w:tcBorders>
          </w:tcPr>
          <w:p>
            <w:pPr>
              <w:spacing w:after="0"/>
              <w:rPr>
                <w:sz w:val="2"/>
                <w:szCs w:val="2"/>
                <w:color w:val="auto"/>
              </w:rPr>
            </w:pPr>
          </w:p>
        </w:tc>
        <w:tc>
          <w:tcPr>
            <w:tcW w:w="1320" w:type="dxa"/>
            <w:vAlign w:val="bottom"/>
            <w:tcBorders>
              <w:bottom w:val="single" w:sz="8" w:color="808080"/>
            </w:tcBorders>
          </w:tcPr>
          <w:p>
            <w:pPr>
              <w:spacing w:after="0"/>
              <w:rPr>
                <w:sz w:val="2"/>
                <w:szCs w:val="2"/>
                <w:color w:val="auto"/>
              </w:rPr>
            </w:pPr>
          </w:p>
        </w:tc>
        <w:tc>
          <w:tcPr>
            <w:tcW w:w="1360" w:type="dxa"/>
            <w:vAlign w:val="bottom"/>
            <w:tcBorders>
              <w:bottom w:val="single" w:sz="8" w:color="808080"/>
            </w:tcBorders>
          </w:tcPr>
          <w:p>
            <w:pPr>
              <w:spacing w:after="0"/>
              <w:rPr>
                <w:sz w:val="2"/>
                <w:szCs w:val="2"/>
                <w:color w:val="auto"/>
              </w:rPr>
            </w:pPr>
          </w:p>
        </w:tc>
        <w:tc>
          <w:tcPr>
            <w:tcW w:w="96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60" w:hanging="252"/>
        <w:spacing w:after="0" w:line="325" w:lineRule="auto"/>
        <w:tabs>
          <w:tab w:leader="none" w:pos="263" w:val="left"/>
        </w:tabs>
        <w:numPr>
          <w:ilvl w:val="0"/>
          <w:numId w:val="123"/>
        </w:numPr>
        <w:rPr>
          <w:rFonts w:ascii="Arial" w:cs="Arial" w:eastAsia="Arial" w:hAnsi="Arial"/>
          <w:sz w:val="8"/>
          <w:szCs w:val="8"/>
          <w:color w:val="auto"/>
        </w:rPr>
      </w:pPr>
      <w:r>
        <w:rPr>
          <w:rFonts w:ascii="Arial" w:cs="Arial" w:eastAsia="Arial" w:hAnsi="Arial"/>
          <w:sz w:val="14"/>
          <w:szCs w:val="14"/>
          <w:color w:val="auto"/>
        </w:rPr>
        <w:t>The reported salary amounts in any year may differ from the annual base salary amount reported due to the timing of payroll periods and/or the effective date in a change in base salary.</w:t>
      </w:r>
    </w:p>
    <w:p>
      <w:pPr>
        <w:spacing w:after="0" w:line="9" w:lineRule="exact"/>
        <w:rPr>
          <w:rFonts w:ascii="Arial" w:cs="Arial" w:eastAsia="Arial" w:hAnsi="Arial"/>
          <w:sz w:val="8"/>
          <w:szCs w:val="8"/>
          <w:color w:val="auto"/>
        </w:rPr>
      </w:pPr>
    </w:p>
    <w:p>
      <w:pPr>
        <w:ind w:left="260" w:right="540" w:hanging="252"/>
        <w:spacing w:after="0" w:line="325" w:lineRule="auto"/>
        <w:tabs>
          <w:tab w:leader="none" w:pos="249" w:val="left"/>
        </w:tabs>
        <w:numPr>
          <w:ilvl w:val="0"/>
          <w:numId w:val="123"/>
        </w:numPr>
        <w:rPr>
          <w:rFonts w:ascii="Arial" w:cs="Arial" w:eastAsia="Arial" w:hAnsi="Arial"/>
          <w:sz w:val="8"/>
          <w:szCs w:val="8"/>
          <w:color w:val="auto"/>
        </w:rPr>
      </w:pPr>
      <w:r>
        <w:rPr>
          <w:rFonts w:ascii="Arial" w:cs="Arial" w:eastAsia="Arial" w:hAnsi="Arial"/>
          <w:sz w:val="14"/>
          <w:szCs w:val="14"/>
          <w:color w:val="auto"/>
        </w:rPr>
        <w:t>In connection with Ms. Littleton’s joining Exelon in November 2020, she was granted a cash award that paid ratably over 4 years. The amounts shown in this column represent the portions of the sign-on bonus paid in corresponding years.</w:t>
      </w:r>
    </w:p>
    <w:p>
      <w:pPr>
        <w:spacing w:after="0" w:line="9" w:lineRule="exact"/>
        <w:rPr>
          <w:rFonts w:ascii="Arial" w:cs="Arial" w:eastAsia="Arial" w:hAnsi="Arial"/>
          <w:sz w:val="8"/>
          <w:szCs w:val="8"/>
          <w:color w:val="auto"/>
        </w:rPr>
      </w:pPr>
    </w:p>
    <w:p>
      <w:pPr>
        <w:ind w:left="260" w:right="120" w:hanging="252"/>
        <w:spacing w:after="0" w:line="303" w:lineRule="auto"/>
        <w:tabs>
          <w:tab w:leader="none" w:pos="249" w:val="left"/>
        </w:tabs>
        <w:numPr>
          <w:ilvl w:val="0"/>
          <w:numId w:val="123"/>
        </w:numPr>
        <w:rPr>
          <w:rFonts w:ascii="Arial" w:cs="Arial" w:eastAsia="Arial" w:hAnsi="Arial"/>
          <w:sz w:val="8"/>
          <w:szCs w:val="8"/>
          <w:color w:val="auto"/>
        </w:rPr>
      </w:pPr>
      <w:r>
        <w:rPr>
          <w:rFonts w:ascii="Arial" w:cs="Arial" w:eastAsia="Arial" w:hAnsi="Arial"/>
          <w:sz w:val="14"/>
          <w:szCs w:val="14"/>
          <w:color w:val="auto"/>
        </w:rPr>
        <w:t>The amounts shown include the aggregate grant date fair value of restricted stock unit and performance share awards granted in 2024. The grant date fair values of the stock awards have been computed in accordance with FASB ASC Topic 718 using the assumptions described in Note 20 of the Combined Notes to Consolidated Financial Statements included in Exelon’s 2024 Annual Report on Form 10-K.</w:t>
      </w:r>
    </w:p>
    <w:p>
      <w:pPr>
        <w:spacing w:after="0" w:line="24" w:lineRule="exact"/>
        <w:rPr>
          <w:rFonts w:ascii="Arial" w:cs="Arial" w:eastAsia="Arial" w:hAnsi="Arial"/>
          <w:sz w:val="8"/>
          <w:szCs w:val="8"/>
          <w:color w:val="auto"/>
        </w:rPr>
      </w:pPr>
    </w:p>
    <w:p>
      <w:pPr>
        <w:ind w:left="260"/>
        <w:spacing w:after="0" w:line="303" w:lineRule="auto"/>
        <w:rPr>
          <w:rFonts w:ascii="Arial" w:cs="Arial" w:eastAsia="Arial" w:hAnsi="Arial"/>
          <w:sz w:val="8"/>
          <w:szCs w:val="8"/>
          <w:color w:val="auto"/>
        </w:rPr>
      </w:pPr>
      <w:r>
        <w:rPr>
          <w:rFonts w:ascii="Arial" w:cs="Arial" w:eastAsia="Arial" w:hAnsi="Arial"/>
          <w:sz w:val="14"/>
          <w:szCs w:val="14"/>
          <w:color w:val="auto"/>
        </w:rPr>
        <w:t>The 2024-2026 performance share award component of the stock award values depicted above are subject to performance conditions and the grant date fair value assumes the achievement of the target level of performance. The below table shows the grant date fair value for the 2024-2026 performance share awards based on achieving target and maximum performance:</w:t>
      </w:r>
    </w:p>
    <w:p>
      <w:pPr>
        <w:spacing w:after="0" w:line="106" w:lineRule="exact"/>
        <w:rPr>
          <w:sz w:val="20"/>
          <w:szCs w:val="20"/>
          <w:color w:val="auto"/>
        </w:rPr>
      </w:pPr>
    </w:p>
    <w:tbl>
      <w:tblPr>
        <w:tblLayout w:type="fixed"/>
        <w:tblInd w:w="260" w:type="dxa"/>
        <w:tblCellMar>
          <w:top w:w="0" w:type="dxa"/>
          <w:left w:w="0" w:type="dxa"/>
          <w:bottom w:w="0" w:type="dxa"/>
          <w:right w:w="0" w:type="dxa"/>
        </w:tblCellMar>
      </w:tblPr>
      <w:tr>
        <w:trPr>
          <w:trHeight w:val="175"/>
        </w:trPr>
        <w:tc>
          <w:tcPr>
            <w:tcW w:w="8140" w:type="dxa"/>
            <w:vAlign w:val="bottom"/>
          </w:tcPr>
          <w:p>
            <w:pPr>
              <w:spacing w:after="0"/>
              <w:rPr>
                <w:sz w:val="15"/>
                <w:szCs w:val="15"/>
                <w:color w:val="auto"/>
              </w:rPr>
            </w:pPr>
          </w:p>
        </w:tc>
        <w:tc>
          <w:tcPr>
            <w:tcW w:w="250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170D67"/>
              </w:rPr>
              <w:t>Performance Share Award</w:t>
            </w:r>
          </w:p>
        </w:tc>
      </w:tr>
      <w:tr>
        <w:trPr>
          <w:trHeight w:val="176"/>
        </w:trPr>
        <w:tc>
          <w:tcPr>
            <w:tcW w:w="8140" w:type="dxa"/>
            <w:vAlign w:val="bottom"/>
          </w:tcPr>
          <w:p>
            <w:pPr>
              <w:spacing w:after="0"/>
              <w:rPr>
                <w:sz w:val="15"/>
                <w:szCs w:val="15"/>
                <w:color w:val="auto"/>
              </w:rPr>
            </w:pPr>
          </w:p>
        </w:tc>
        <w:tc>
          <w:tcPr>
            <w:tcW w:w="250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170D67"/>
              </w:rPr>
              <w:t>Grant Date Fair Value</w:t>
            </w:r>
          </w:p>
        </w:tc>
      </w:tr>
      <w:tr>
        <w:trPr>
          <w:trHeight w:val="197"/>
        </w:trPr>
        <w:tc>
          <w:tcPr>
            <w:tcW w:w="8140" w:type="dxa"/>
            <w:vAlign w:val="bottom"/>
          </w:tcPr>
          <w:p>
            <w:pPr>
              <w:spacing w:after="0"/>
              <w:rPr>
                <w:sz w:val="17"/>
                <w:szCs w:val="17"/>
                <w:color w:val="auto"/>
              </w:rPr>
            </w:pPr>
          </w:p>
        </w:tc>
        <w:tc>
          <w:tcPr>
            <w:tcW w:w="1480" w:type="dxa"/>
            <w:vAlign w:val="bottom"/>
            <w:tcBorders>
              <w:bottom w:val="single" w:sz="8" w:color="170D67"/>
            </w:tcBorders>
          </w:tcPr>
          <w:p>
            <w:pPr>
              <w:jc w:val="right"/>
              <w:ind w:right="68"/>
              <w:spacing w:after="0"/>
              <w:rPr>
                <w:sz w:val="20"/>
                <w:szCs w:val="20"/>
                <w:color w:val="auto"/>
              </w:rPr>
            </w:pPr>
            <w:r>
              <w:rPr>
                <w:rFonts w:ascii="Arial" w:cs="Arial" w:eastAsia="Arial" w:hAnsi="Arial"/>
                <w:sz w:val="14"/>
                <w:szCs w:val="14"/>
                <w:b w:val="1"/>
                <w:bCs w:val="1"/>
                <w:color w:val="170D67"/>
              </w:rPr>
              <w:t>($)</w:t>
            </w:r>
          </w:p>
        </w:tc>
        <w:tc>
          <w:tcPr>
            <w:tcW w:w="1020" w:type="dxa"/>
            <w:vAlign w:val="bottom"/>
            <w:tcBorders>
              <w:bottom w:val="single" w:sz="8" w:color="170D67"/>
            </w:tcBorders>
          </w:tcPr>
          <w:p>
            <w:pPr>
              <w:spacing w:after="0"/>
              <w:rPr>
                <w:sz w:val="17"/>
                <w:szCs w:val="17"/>
                <w:color w:val="auto"/>
              </w:rPr>
            </w:pPr>
          </w:p>
        </w:tc>
      </w:tr>
      <w:tr>
        <w:trPr>
          <w:trHeight w:val="217"/>
        </w:trPr>
        <w:tc>
          <w:tcPr>
            <w:tcW w:w="8140" w:type="dxa"/>
            <w:vAlign w:val="bottom"/>
            <w:tcBorders>
              <w:bottom w:val="single" w:sz="8" w:color="170D67"/>
            </w:tcBorders>
          </w:tcPr>
          <w:p>
            <w:pPr>
              <w:spacing w:after="0"/>
              <w:rPr>
                <w:sz w:val="18"/>
                <w:szCs w:val="18"/>
                <w:color w:val="auto"/>
              </w:rPr>
            </w:pPr>
          </w:p>
        </w:tc>
        <w:tc>
          <w:tcPr>
            <w:tcW w:w="1480" w:type="dxa"/>
            <w:vAlign w:val="bottom"/>
            <w:tcBorders>
              <w:bottom w:val="single" w:sz="8" w:color="170D67"/>
            </w:tcBorders>
          </w:tcPr>
          <w:p>
            <w:pPr>
              <w:jc w:val="right"/>
              <w:ind w:right="208"/>
              <w:spacing w:after="0"/>
              <w:rPr>
                <w:sz w:val="20"/>
                <w:szCs w:val="20"/>
                <w:color w:val="auto"/>
              </w:rPr>
            </w:pPr>
            <w:r>
              <w:rPr>
                <w:rFonts w:ascii="Arial" w:cs="Arial" w:eastAsia="Arial" w:hAnsi="Arial"/>
                <w:sz w:val="14"/>
                <w:szCs w:val="14"/>
                <w:b w:val="1"/>
                <w:bCs w:val="1"/>
                <w:color w:val="170D67"/>
              </w:rPr>
              <w:t>At Target</w:t>
            </w:r>
          </w:p>
        </w:tc>
        <w:tc>
          <w:tcPr>
            <w:tcW w:w="1020" w:type="dxa"/>
            <w:vAlign w:val="bottom"/>
            <w:tcBorders>
              <w:bottom w:val="single" w:sz="8" w:color="170D67"/>
            </w:tcBorders>
          </w:tcPr>
          <w:p>
            <w:pPr>
              <w:jc w:val="right"/>
              <w:spacing w:after="0"/>
              <w:rPr>
                <w:sz w:val="20"/>
                <w:szCs w:val="20"/>
                <w:color w:val="auto"/>
              </w:rPr>
            </w:pPr>
            <w:r>
              <w:rPr>
                <w:rFonts w:ascii="Arial" w:cs="Arial" w:eastAsia="Arial" w:hAnsi="Arial"/>
                <w:sz w:val="14"/>
                <w:szCs w:val="14"/>
                <w:b w:val="1"/>
                <w:bCs w:val="1"/>
                <w:color w:val="170D67"/>
              </w:rPr>
              <w:t>At Maximum</w:t>
            </w:r>
          </w:p>
        </w:tc>
      </w:tr>
      <w:tr>
        <w:trPr>
          <w:trHeight w:val="208"/>
        </w:trPr>
        <w:tc>
          <w:tcPr>
            <w:tcW w:w="8140" w:type="dxa"/>
            <w:vAlign w:val="bottom"/>
          </w:tcPr>
          <w:p>
            <w:pPr>
              <w:ind w:left="20"/>
              <w:spacing w:after="0"/>
              <w:rPr>
                <w:sz w:val="20"/>
                <w:szCs w:val="20"/>
                <w:color w:val="auto"/>
              </w:rPr>
            </w:pPr>
            <w:r>
              <w:rPr>
                <w:rFonts w:ascii="Arial" w:cs="Arial" w:eastAsia="Arial" w:hAnsi="Arial"/>
                <w:sz w:val="14"/>
                <w:szCs w:val="14"/>
                <w:color w:val="auto"/>
              </w:rPr>
              <w:t>Butler</w:t>
            </w:r>
          </w:p>
        </w:tc>
        <w:tc>
          <w:tcPr>
            <w:tcW w:w="1480" w:type="dxa"/>
            <w:vAlign w:val="bottom"/>
          </w:tcPr>
          <w:p>
            <w:pPr>
              <w:jc w:val="right"/>
              <w:ind w:right="248"/>
              <w:spacing w:after="0"/>
              <w:rPr>
                <w:sz w:val="20"/>
                <w:szCs w:val="20"/>
                <w:color w:val="auto"/>
              </w:rPr>
            </w:pPr>
            <w:r>
              <w:rPr>
                <w:rFonts w:ascii="Arial" w:cs="Arial" w:eastAsia="Arial" w:hAnsi="Arial"/>
                <w:sz w:val="14"/>
                <w:szCs w:val="14"/>
                <w:color w:val="auto"/>
              </w:rPr>
              <w:t>6,034,030</w:t>
            </w:r>
          </w:p>
        </w:tc>
        <w:tc>
          <w:tcPr>
            <w:tcW w:w="1020" w:type="dxa"/>
            <w:vAlign w:val="bottom"/>
          </w:tcPr>
          <w:p>
            <w:pPr>
              <w:jc w:val="right"/>
              <w:spacing w:after="0"/>
              <w:rPr>
                <w:sz w:val="20"/>
                <w:szCs w:val="20"/>
                <w:color w:val="auto"/>
              </w:rPr>
            </w:pPr>
            <w:r>
              <w:rPr>
                <w:rFonts w:ascii="Arial" w:cs="Arial" w:eastAsia="Arial" w:hAnsi="Arial"/>
                <w:sz w:val="14"/>
                <w:szCs w:val="14"/>
                <w:color w:val="auto"/>
              </w:rPr>
              <w:t>12,730,021</w:t>
            </w:r>
          </w:p>
        </w:tc>
      </w:tr>
      <w:tr>
        <w:trPr>
          <w:trHeight w:val="22"/>
        </w:trPr>
        <w:tc>
          <w:tcPr>
            <w:tcW w:w="8140" w:type="dxa"/>
            <w:vAlign w:val="bottom"/>
            <w:tcBorders>
              <w:bottom w:val="single" w:sz="8" w:color="808080"/>
            </w:tcBorders>
          </w:tcPr>
          <w:p>
            <w:pPr>
              <w:spacing w:after="0" w:line="20" w:lineRule="exact"/>
              <w:rPr>
                <w:sz w:val="1"/>
                <w:szCs w:val="1"/>
                <w:color w:val="auto"/>
              </w:rPr>
            </w:pPr>
          </w:p>
        </w:tc>
        <w:tc>
          <w:tcPr>
            <w:tcW w:w="1480" w:type="dxa"/>
            <w:vAlign w:val="bottom"/>
            <w:tcBorders>
              <w:bottom w:val="single" w:sz="8" w:color="808080"/>
            </w:tcBorders>
          </w:tcPr>
          <w:p>
            <w:pPr>
              <w:spacing w:after="0" w:line="20" w:lineRule="exact"/>
              <w:rPr>
                <w:sz w:val="1"/>
                <w:szCs w:val="1"/>
                <w:color w:val="auto"/>
              </w:rPr>
            </w:pPr>
          </w:p>
        </w:tc>
        <w:tc>
          <w:tcPr>
            <w:tcW w:w="1020" w:type="dxa"/>
            <w:vAlign w:val="bottom"/>
            <w:tcBorders>
              <w:bottom w:val="single" w:sz="8" w:color="808080"/>
            </w:tcBorders>
          </w:tcPr>
          <w:p>
            <w:pPr>
              <w:spacing w:after="0" w:line="20" w:lineRule="exact"/>
              <w:rPr>
                <w:sz w:val="1"/>
                <w:szCs w:val="1"/>
                <w:color w:val="auto"/>
              </w:rPr>
            </w:pPr>
          </w:p>
        </w:tc>
      </w:tr>
      <w:tr>
        <w:trPr>
          <w:trHeight w:val="201"/>
        </w:trPr>
        <w:tc>
          <w:tcPr>
            <w:tcW w:w="8140" w:type="dxa"/>
            <w:vAlign w:val="bottom"/>
          </w:tcPr>
          <w:p>
            <w:pPr>
              <w:ind w:left="20"/>
              <w:spacing w:after="0"/>
              <w:rPr>
                <w:sz w:val="20"/>
                <w:szCs w:val="20"/>
                <w:color w:val="auto"/>
              </w:rPr>
            </w:pPr>
            <w:r>
              <w:rPr>
                <w:rFonts w:ascii="Arial" w:cs="Arial" w:eastAsia="Arial" w:hAnsi="Arial"/>
                <w:sz w:val="14"/>
                <w:szCs w:val="14"/>
                <w:color w:val="auto"/>
              </w:rPr>
              <w:t>Jones</w:t>
            </w:r>
          </w:p>
        </w:tc>
        <w:tc>
          <w:tcPr>
            <w:tcW w:w="1480" w:type="dxa"/>
            <w:vAlign w:val="bottom"/>
          </w:tcPr>
          <w:p>
            <w:pPr>
              <w:jc w:val="right"/>
              <w:ind w:right="248"/>
              <w:spacing w:after="0"/>
              <w:rPr>
                <w:sz w:val="20"/>
                <w:szCs w:val="20"/>
                <w:color w:val="auto"/>
              </w:rPr>
            </w:pPr>
            <w:r>
              <w:rPr>
                <w:rFonts w:ascii="Arial" w:cs="Arial" w:eastAsia="Arial" w:hAnsi="Arial"/>
                <w:sz w:val="14"/>
                <w:szCs w:val="14"/>
                <w:color w:val="auto"/>
              </w:rPr>
              <w:t>1,223,346</w:t>
            </w:r>
          </w:p>
        </w:tc>
        <w:tc>
          <w:tcPr>
            <w:tcW w:w="1020" w:type="dxa"/>
            <w:vAlign w:val="bottom"/>
          </w:tcPr>
          <w:p>
            <w:pPr>
              <w:jc w:val="right"/>
              <w:spacing w:after="0"/>
              <w:rPr>
                <w:sz w:val="20"/>
                <w:szCs w:val="20"/>
                <w:color w:val="auto"/>
              </w:rPr>
            </w:pPr>
            <w:r>
              <w:rPr>
                <w:rFonts w:ascii="Arial" w:cs="Arial" w:eastAsia="Arial" w:hAnsi="Arial"/>
                <w:sz w:val="14"/>
                <w:szCs w:val="14"/>
                <w:color w:val="auto"/>
              </w:rPr>
              <w:t>2,580,899</w:t>
            </w:r>
          </w:p>
        </w:tc>
      </w:tr>
      <w:tr>
        <w:trPr>
          <w:trHeight w:val="22"/>
        </w:trPr>
        <w:tc>
          <w:tcPr>
            <w:tcW w:w="8140" w:type="dxa"/>
            <w:vAlign w:val="bottom"/>
            <w:tcBorders>
              <w:bottom w:val="single" w:sz="8" w:color="808080"/>
            </w:tcBorders>
          </w:tcPr>
          <w:p>
            <w:pPr>
              <w:spacing w:after="0" w:line="20" w:lineRule="exact"/>
              <w:rPr>
                <w:sz w:val="1"/>
                <w:szCs w:val="1"/>
                <w:color w:val="auto"/>
              </w:rPr>
            </w:pPr>
          </w:p>
        </w:tc>
        <w:tc>
          <w:tcPr>
            <w:tcW w:w="1480" w:type="dxa"/>
            <w:vAlign w:val="bottom"/>
            <w:tcBorders>
              <w:bottom w:val="single" w:sz="8" w:color="808080"/>
            </w:tcBorders>
          </w:tcPr>
          <w:p>
            <w:pPr>
              <w:spacing w:after="0" w:line="20" w:lineRule="exact"/>
              <w:rPr>
                <w:sz w:val="1"/>
                <w:szCs w:val="1"/>
                <w:color w:val="auto"/>
              </w:rPr>
            </w:pPr>
          </w:p>
        </w:tc>
        <w:tc>
          <w:tcPr>
            <w:tcW w:w="1020" w:type="dxa"/>
            <w:vAlign w:val="bottom"/>
            <w:tcBorders>
              <w:bottom w:val="single" w:sz="8" w:color="808080"/>
            </w:tcBorders>
          </w:tcPr>
          <w:p>
            <w:pPr>
              <w:spacing w:after="0" w:line="20" w:lineRule="exact"/>
              <w:rPr>
                <w:sz w:val="1"/>
                <w:szCs w:val="1"/>
                <w:color w:val="auto"/>
              </w:rPr>
            </w:pPr>
          </w:p>
        </w:tc>
      </w:tr>
      <w:tr>
        <w:trPr>
          <w:trHeight w:val="202"/>
        </w:trPr>
        <w:tc>
          <w:tcPr>
            <w:tcW w:w="8140" w:type="dxa"/>
            <w:vAlign w:val="bottom"/>
          </w:tcPr>
          <w:p>
            <w:pPr>
              <w:ind w:left="20"/>
              <w:spacing w:after="0"/>
              <w:rPr>
                <w:sz w:val="20"/>
                <w:szCs w:val="20"/>
                <w:color w:val="auto"/>
              </w:rPr>
            </w:pPr>
            <w:r>
              <w:rPr>
                <w:rFonts w:ascii="Arial" w:cs="Arial" w:eastAsia="Arial" w:hAnsi="Arial"/>
                <w:sz w:val="14"/>
                <w:szCs w:val="14"/>
                <w:color w:val="auto"/>
              </w:rPr>
              <w:t>Littleton</w:t>
            </w:r>
          </w:p>
        </w:tc>
        <w:tc>
          <w:tcPr>
            <w:tcW w:w="1480" w:type="dxa"/>
            <w:vAlign w:val="bottom"/>
          </w:tcPr>
          <w:p>
            <w:pPr>
              <w:jc w:val="right"/>
              <w:ind w:right="248"/>
              <w:spacing w:after="0"/>
              <w:rPr>
                <w:sz w:val="20"/>
                <w:szCs w:val="20"/>
                <w:color w:val="auto"/>
              </w:rPr>
            </w:pPr>
            <w:r>
              <w:rPr>
                <w:rFonts w:ascii="Arial" w:cs="Arial" w:eastAsia="Arial" w:hAnsi="Arial"/>
                <w:sz w:val="14"/>
                <w:szCs w:val="14"/>
                <w:color w:val="auto"/>
              </w:rPr>
              <w:t>1,121,074</w:t>
            </w:r>
          </w:p>
        </w:tc>
        <w:tc>
          <w:tcPr>
            <w:tcW w:w="1020" w:type="dxa"/>
            <w:vAlign w:val="bottom"/>
          </w:tcPr>
          <w:p>
            <w:pPr>
              <w:jc w:val="right"/>
              <w:spacing w:after="0"/>
              <w:rPr>
                <w:sz w:val="20"/>
                <w:szCs w:val="20"/>
                <w:color w:val="auto"/>
              </w:rPr>
            </w:pPr>
            <w:r>
              <w:rPr>
                <w:rFonts w:ascii="Arial" w:cs="Arial" w:eastAsia="Arial" w:hAnsi="Arial"/>
                <w:sz w:val="14"/>
                <w:szCs w:val="14"/>
                <w:color w:val="auto"/>
              </w:rPr>
              <w:t>2,365,136</w:t>
            </w:r>
          </w:p>
        </w:tc>
      </w:tr>
      <w:tr>
        <w:trPr>
          <w:trHeight w:val="22"/>
        </w:trPr>
        <w:tc>
          <w:tcPr>
            <w:tcW w:w="8140" w:type="dxa"/>
            <w:vAlign w:val="bottom"/>
            <w:tcBorders>
              <w:bottom w:val="single" w:sz="8" w:color="808080"/>
            </w:tcBorders>
          </w:tcPr>
          <w:p>
            <w:pPr>
              <w:spacing w:after="0" w:line="20" w:lineRule="exact"/>
              <w:rPr>
                <w:sz w:val="1"/>
                <w:szCs w:val="1"/>
                <w:color w:val="auto"/>
              </w:rPr>
            </w:pPr>
          </w:p>
        </w:tc>
        <w:tc>
          <w:tcPr>
            <w:tcW w:w="1480" w:type="dxa"/>
            <w:vAlign w:val="bottom"/>
            <w:tcBorders>
              <w:bottom w:val="single" w:sz="8" w:color="808080"/>
            </w:tcBorders>
          </w:tcPr>
          <w:p>
            <w:pPr>
              <w:spacing w:after="0" w:line="20" w:lineRule="exact"/>
              <w:rPr>
                <w:sz w:val="1"/>
                <w:szCs w:val="1"/>
                <w:color w:val="auto"/>
              </w:rPr>
            </w:pPr>
          </w:p>
        </w:tc>
        <w:tc>
          <w:tcPr>
            <w:tcW w:w="1020" w:type="dxa"/>
            <w:vAlign w:val="bottom"/>
            <w:tcBorders>
              <w:bottom w:val="single" w:sz="8" w:color="808080"/>
            </w:tcBorders>
          </w:tcPr>
          <w:p>
            <w:pPr>
              <w:spacing w:after="0" w:line="20" w:lineRule="exact"/>
              <w:rPr>
                <w:sz w:val="1"/>
                <w:szCs w:val="1"/>
                <w:color w:val="auto"/>
              </w:rPr>
            </w:pPr>
          </w:p>
        </w:tc>
      </w:tr>
      <w:tr>
        <w:trPr>
          <w:trHeight w:val="201"/>
        </w:trPr>
        <w:tc>
          <w:tcPr>
            <w:tcW w:w="8140" w:type="dxa"/>
            <w:vAlign w:val="bottom"/>
          </w:tcPr>
          <w:p>
            <w:pPr>
              <w:ind w:left="20"/>
              <w:spacing w:after="0"/>
              <w:rPr>
                <w:sz w:val="20"/>
                <w:szCs w:val="20"/>
                <w:color w:val="auto"/>
              </w:rPr>
            </w:pPr>
            <w:r>
              <w:rPr>
                <w:rFonts w:ascii="Arial" w:cs="Arial" w:eastAsia="Arial" w:hAnsi="Arial"/>
                <w:sz w:val="14"/>
                <w:szCs w:val="14"/>
                <w:color w:val="auto"/>
              </w:rPr>
              <w:t>Glockner</w:t>
            </w:r>
          </w:p>
        </w:tc>
        <w:tc>
          <w:tcPr>
            <w:tcW w:w="1480" w:type="dxa"/>
            <w:vAlign w:val="bottom"/>
          </w:tcPr>
          <w:p>
            <w:pPr>
              <w:jc w:val="right"/>
              <w:ind w:right="248"/>
              <w:spacing w:after="0"/>
              <w:rPr>
                <w:sz w:val="20"/>
                <w:szCs w:val="20"/>
                <w:color w:val="auto"/>
              </w:rPr>
            </w:pPr>
            <w:r>
              <w:rPr>
                <w:rFonts w:ascii="Arial" w:cs="Arial" w:eastAsia="Arial" w:hAnsi="Arial"/>
                <w:sz w:val="14"/>
                <w:szCs w:val="14"/>
                <w:color w:val="auto"/>
              </w:rPr>
              <w:t>901,945</w:t>
            </w:r>
          </w:p>
        </w:tc>
        <w:tc>
          <w:tcPr>
            <w:tcW w:w="1020" w:type="dxa"/>
            <w:vAlign w:val="bottom"/>
          </w:tcPr>
          <w:p>
            <w:pPr>
              <w:jc w:val="right"/>
              <w:spacing w:after="0"/>
              <w:rPr>
                <w:sz w:val="20"/>
                <w:szCs w:val="20"/>
                <w:color w:val="auto"/>
              </w:rPr>
            </w:pPr>
            <w:r>
              <w:rPr>
                <w:rFonts w:ascii="Arial" w:cs="Arial" w:eastAsia="Arial" w:hAnsi="Arial"/>
                <w:sz w:val="14"/>
                <w:szCs w:val="14"/>
                <w:color w:val="auto"/>
              </w:rPr>
              <w:t>1,902,837</w:t>
            </w:r>
          </w:p>
        </w:tc>
      </w:tr>
      <w:tr>
        <w:trPr>
          <w:trHeight w:val="21"/>
        </w:trPr>
        <w:tc>
          <w:tcPr>
            <w:tcW w:w="8140" w:type="dxa"/>
            <w:vAlign w:val="bottom"/>
            <w:tcBorders>
              <w:bottom w:val="single" w:sz="8" w:color="808080"/>
            </w:tcBorders>
          </w:tcPr>
          <w:p>
            <w:pPr>
              <w:spacing w:after="0" w:line="20" w:lineRule="exact"/>
              <w:rPr>
                <w:sz w:val="1"/>
                <w:szCs w:val="1"/>
                <w:color w:val="auto"/>
              </w:rPr>
            </w:pPr>
          </w:p>
        </w:tc>
        <w:tc>
          <w:tcPr>
            <w:tcW w:w="1480" w:type="dxa"/>
            <w:vAlign w:val="bottom"/>
            <w:tcBorders>
              <w:bottom w:val="single" w:sz="8" w:color="808080"/>
            </w:tcBorders>
          </w:tcPr>
          <w:p>
            <w:pPr>
              <w:spacing w:after="0" w:line="20" w:lineRule="exact"/>
              <w:rPr>
                <w:sz w:val="1"/>
                <w:szCs w:val="1"/>
                <w:color w:val="auto"/>
              </w:rPr>
            </w:pPr>
          </w:p>
        </w:tc>
        <w:tc>
          <w:tcPr>
            <w:tcW w:w="1020" w:type="dxa"/>
            <w:vAlign w:val="bottom"/>
            <w:tcBorders>
              <w:bottom w:val="single" w:sz="8" w:color="808080"/>
            </w:tcBorders>
          </w:tcPr>
          <w:p>
            <w:pPr>
              <w:spacing w:after="0" w:line="20" w:lineRule="exact"/>
              <w:rPr>
                <w:sz w:val="1"/>
                <w:szCs w:val="1"/>
                <w:color w:val="auto"/>
              </w:rPr>
            </w:pPr>
          </w:p>
        </w:tc>
      </w:tr>
      <w:tr>
        <w:trPr>
          <w:trHeight w:val="202"/>
        </w:trPr>
        <w:tc>
          <w:tcPr>
            <w:tcW w:w="8140" w:type="dxa"/>
            <w:vAlign w:val="bottom"/>
          </w:tcPr>
          <w:p>
            <w:pPr>
              <w:ind w:left="20"/>
              <w:spacing w:after="0"/>
              <w:rPr>
                <w:sz w:val="20"/>
                <w:szCs w:val="20"/>
                <w:color w:val="auto"/>
              </w:rPr>
            </w:pPr>
            <w:r>
              <w:rPr>
                <w:rFonts w:ascii="Arial" w:cs="Arial" w:eastAsia="Arial" w:hAnsi="Arial"/>
                <w:sz w:val="14"/>
                <w:szCs w:val="14"/>
                <w:color w:val="auto"/>
              </w:rPr>
              <w:t>Innocenzo</w:t>
            </w:r>
          </w:p>
        </w:tc>
        <w:tc>
          <w:tcPr>
            <w:tcW w:w="1480" w:type="dxa"/>
            <w:vAlign w:val="bottom"/>
          </w:tcPr>
          <w:p>
            <w:pPr>
              <w:jc w:val="right"/>
              <w:ind w:right="248"/>
              <w:spacing w:after="0"/>
              <w:rPr>
                <w:sz w:val="20"/>
                <w:szCs w:val="20"/>
                <w:color w:val="auto"/>
              </w:rPr>
            </w:pPr>
            <w:r>
              <w:rPr>
                <w:rFonts w:ascii="Arial" w:cs="Arial" w:eastAsia="Arial" w:hAnsi="Arial"/>
                <w:sz w:val="14"/>
                <w:szCs w:val="14"/>
                <w:color w:val="auto"/>
              </w:rPr>
              <w:t>1,121,085</w:t>
            </w:r>
          </w:p>
        </w:tc>
        <w:tc>
          <w:tcPr>
            <w:tcW w:w="1020" w:type="dxa"/>
            <w:vAlign w:val="bottom"/>
          </w:tcPr>
          <w:p>
            <w:pPr>
              <w:jc w:val="right"/>
              <w:spacing w:after="0"/>
              <w:rPr>
                <w:sz w:val="20"/>
                <w:szCs w:val="20"/>
                <w:color w:val="auto"/>
              </w:rPr>
            </w:pPr>
            <w:r>
              <w:rPr>
                <w:rFonts w:ascii="Arial" w:cs="Arial" w:eastAsia="Arial" w:hAnsi="Arial"/>
                <w:sz w:val="14"/>
                <w:szCs w:val="14"/>
                <w:color w:val="auto"/>
              </w:rPr>
              <w:t>2,365,158</w:t>
            </w:r>
          </w:p>
        </w:tc>
      </w:tr>
      <w:tr>
        <w:trPr>
          <w:trHeight w:val="21"/>
        </w:trPr>
        <w:tc>
          <w:tcPr>
            <w:tcW w:w="8140" w:type="dxa"/>
            <w:vAlign w:val="bottom"/>
            <w:tcBorders>
              <w:bottom w:val="single" w:sz="8" w:color="808080"/>
            </w:tcBorders>
          </w:tcPr>
          <w:p>
            <w:pPr>
              <w:spacing w:after="0" w:line="20" w:lineRule="exact"/>
              <w:rPr>
                <w:sz w:val="1"/>
                <w:szCs w:val="1"/>
                <w:color w:val="auto"/>
              </w:rPr>
            </w:pPr>
          </w:p>
        </w:tc>
        <w:tc>
          <w:tcPr>
            <w:tcW w:w="1480" w:type="dxa"/>
            <w:vAlign w:val="bottom"/>
            <w:tcBorders>
              <w:bottom w:val="single" w:sz="8" w:color="808080"/>
            </w:tcBorders>
          </w:tcPr>
          <w:p>
            <w:pPr>
              <w:spacing w:after="0" w:line="20" w:lineRule="exact"/>
              <w:rPr>
                <w:sz w:val="1"/>
                <w:szCs w:val="1"/>
                <w:color w:val="auto"/>
              </w:rPr>
            </w:pPr>
          </w:p>
        </w:tc>
        <w:tc>
          <w:tcPr>
            <w:tcW w:w="1020" w:type="dxa"/>
            <w:vAlign w:val="bottom"/>
            <w:tcBorders>
              <w:bottom w:val="single" w:sz="8" w:color="808080"/>
            </w:tcBorders>
          </w:tcPr>
          <w:p>
            <w:pPr>
              <w:spacing w:after="0" w:line="20" w:lineRule="exact"/>
              <w:rPr>
                <w:sz w:val="1"/>
                <w:szCs w:val="1"/>
                <w:color w:val="auto"/>
              </w:rPr>
            </w:pPr>
          </w:p>
        </w:tc>
      </w:tr>
    </w:tbl>
    <w:p>
      <w:pPr>
        <w:spacing w:after="0" w:line="193" w:lineRule="exact"/>
        <w:rPr>
          <w:sz w:val="20"/>
          <w:szCs w:val="20"/>
          <w:color w:val="auto"/>
        </w:rPr>
      </w:pPr>
    </w:p>
    <w:p>
      <w:pPr>
        <w:ind w:left="260" w:hanging="252"/>
        <w:spacing w:after="0"/>
        <w:tabs>
          <w:tab w:leader="none" w:pos="260" w:val="left"/>
        </w:tabs>
        <w:numPr>
          <w:ilvl w:val="0"/>
          <w:numId w:val="124"/>
        </w:numPr>
        <w:rPr>
          <w:rFonts w:ascii="Arial" w:cs="Arial" w:eastAsia="Arial" w:hAnsi="Arial"/>
          <w:sz w:val="8"/>
          <w:szCs w:val="8"/>
          <w:color w:val="auto"/>
        </w:rPr>
      </w:pPr>
      <w:r>
        <w:rPr>
          <w:rFonts w:ascii="Arial" w:cs="Arial" w:eastAsia="Arial" w:hAnsi="Arial"/>
          <w:sz w:val="14"/>
          <w:szCs w:val="14"/>
          <w:color w:val="auto"/>
        </w:rPr>
        <w:t>The amounts shown represent payments made pursuant to the Annual Incentive Plan (AIP).</w:t>
      </w:r>
    </w:p>
    <w:p>
      <w:pPr>
        <w:spacing w:after="0" w:line="95" w:lineRule="exact"/>
        <w:rPr>
          <w:rFonts w:ascii="Arial" w:cs="Arial" w:eastAsia="Arial" w:hAnsi="Arial"/>
          <w:sz w:val="8"/>
          <w:szCs w:val="8"/>
          <w:color w:val="auto"/>
        </w:rPr>
      </w:pPr>
    </w:p>
    <w:p>
      <w:pPr>
        <w:ind w:left="260" w:right="100" w:hanging="252"/>
        <w:spacing w:after="0" w:line="325" w:lineRule="auto"/>
        <w:tabs>
          <w:tab w:leader="none" w:pos="249" w:val="left"/>
        </w:tabs>
        <w:numPr>
          <w:ilvl w:val="0"/>
          <w:numId w:val="124"/>
        </w:numPr>
        <w:rPr>
          <w:rFonts w:ascii="Arial" w:cs="Arial" w:eastAsia="Arial" w:hAnsi="Arial"/>
          <w:sz w:val="8"/>
          <w:szCs w:val="8"/>
          <w:color w:val="auto"/>
        </w:rPr>
      </w:pPr>
      <w:r>
        <w:rPr>
          <w:rFonts w:ascii="Arial" w:cs="Arial" w:eastAsia="Arial" w:hAnsi="Arial"/>
          <w:sz w:val="14"/>
          <w:szCs w:val="14"/>
          <w:color w:val="auto"/>
        </w:rPr>
        <w:t>The amounts shown in this column represent the change in the year over year value of each NEO's accrued benefit (if any) in Exelon's defined benefit pension plans. None of the NEOs had above-market earnings in a non-qualified deferred compensation account in 2024.</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480" w:hanging="454"/>
        <w:spacing w:after="0"/>
        <w:tabs>
          <w:tab w:leader="none" w:pos="480" w:val="left"/>
        </w:tabs>
        <w:numPr>
          <w:ilvl w:val="0"/>
          <w:numId w:val="12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4" w:name="page65"/>
    <w:bookmarkEnd w:id="64"/>
    <w:p>
      <w:pPr>
        <w:jc w:val="right"/>
        <w:spacing w:after="0"/>
        <w:rPr>
          <w:sz w:val="20"/>
          <w:szCs w:val="20"/>
          <w:color w:val="auto"/>
        </w:rPr>
      </w:pPr>
      <w:r>
        <w:rPr>
          <w:rFonts w:ascii="Arial" w:cs="Arial" w:eastAsia="Arial" w:hAnsi="Arial"/>
          <w:sz w:val="13"/>
          <w:szCs w:val="13"/>
          <w:b w:val="1"/>
          <w:bCs w:val="1"/>
          <w:color w:val="auto"/>
        </w:rPr>
        <w:t>Compensation Discussion &amp; Analysis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60" w:hanging="252"/>
        <w:spacing w:after="0"/>
        <w:tabs>
          <w:tab w:leader="none" w:pos="260" w:val="left"/>
        </w:tabs>
        <w:numPr>
          <w:ilvl w:val="0"/>
          <w:numId w:val="126"/>
        </w:numPr>
        <w:rPr>
          <w:rFonts w:ascii="Arial" w:cs="Arial" w:eastAsia="Arial" w:hAnsi="Arial"/>
          <w:sz w:val="8"/>
          <w:szCs w:val="8"/>
          <w:color w:val="auto"/>
        </w:rPr>
      </w:pPr>
      <w:r>
        <w:rPr>
          <w:rFonts w:ascii="Arial" w:cs="Arial" w:eastAsia="Arial" w:hAnsi="Arial"/>
          <w:sz w:val="14"/>
          <w:szCs w:val="14"/>
          <w:u w:val="single" w:color="auto"/>
          <w:color w:val="auto"/>
        </w:rPr>
        <w:t>All Other Compensation:</w:t>
      </w:r>
    </w:p>
    <w:p>
      <w:pPr>
        <w:spacing w:after="0" w:line="109" w:lineRule="exact"/>
        <w:rPr>
          <w:rFonts w:ascii="Arial" w:cs="Arial" w:eastAsia="Arial" w:hAnsi="Arial"/>
          <w:sz w:val="8"/>
          <w:szCs w:val="8"/>
          <w:color w:val="auto"/>
        </w:rPr>
      </w:pPr>
    </w:p>
    <w:p>
      <w:pPr>
        <w:ind w:left="260"/>
        <w:spacing w:after="0"/>
        <w:rPr>
          <w:rFonts w:ascii="Arial" w:cs="Arial" w:eastAsia="Arial" w:hAnsi="Arial"/>
          <w:sz w:val="8"/>
          <w:szCs w:val="8"/>
          <w:color w:val="auto"/>
        </w:rPr>
      </w:pPr>
      <w:r>
        <w:rPr>
          <w:rFonts w:ascii="Arial" w:cs="Arial" w:eastAsia="Arial" w:hAnsi="Arial"/>
          <w:sz w:val="14"/>
          <w:szCs w:val="14"/>
          <w:color w:val="auto"/>
        </w:rPr>
        <w:t>The following table describes the incremental cost of other benefits provided in 2024.</w:t>
      </w:r>
    </w:p>
    <w:p>
      <w:pPr>
        <w:spacing w:after="0" w:line="177" w:lineRule="exact"/>
        <w:rPr>
          <w:sz w:val="20"/>
          <w:szCs w:val="20"/>
          <w:color w:val="auto"/>
        </w:rPr>
      </w:pPr>
    </w:p>
    <w:tbl>
      <w:tblPr>
        <w:tblLayout w:type="fixed"/>
        <w:tblInd w:w="260" w:type="dxa"/>
        <w:tblCellMar>
          <w:top w:w="0" w:type="dxa"/>
          <w:left w:w="0" w:type="dxa"/>
          <w:bottom w:w="0" w:type="dxa"/>
          <w:right w:w="0" w:type="dxa"/>
        </w:tblCellMar>
      </w:tblPr>
      <w:tr>
        <w:trPr>
          <w:trHeight w:val="175"/>
        </w:trPr>
        <w:tc>
          <w:tcPr>
            <w:tcW w:w="25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b w:val="1"/>
                <w:bCs w:val="1"/>
                <w:color w:val="170D67"/>
              </w:rPr>
              <w:t>Company</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b w:val="1"/>
                <w:bCs w:val="1"/>
                <w:color w:val="170D67"/>
              </w:rPr>
              <w:t>Paid</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5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170D67"/>
              </w:rPr>
              <w:t>Reimbursement</w:t>
            </w:r>
          </w:p>
        </w:tc>
        <w:tc>
          <w:tcPr>
            <w:tcW w:w="1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170D67"/>
              </w:rPr>
              <w:t>Company</w:t>
            </w:r>
          </w:p>
        </w:tc>
        <w:tc>
          <w:tcPr>
            <w:tcW w:w="1140" w:type="dxa"/>
            <w:vAlign w:val="bottom"/>
          </w:tcPr>
          <w:p>
            <w:pPr>
              <w:jc w:val="right"/>
              <w:ind w:right="128"/>
              <w:spacing w:after="0"/>
              <w:rPr>
                <w:sz w:val="20"/>
                <w:szCs w:val="20"/>
                <w:color w:val="auto"/>
              </w:rPr>
            </w:pPr>
            <w:r>
              <w:rPr>
                <w:rFonts w:ascii="Arial" w:cs="Arial" w:eastAsia="Arial" w:hAnsi="Arial"/>
                <w:sz w:val="14"/>
                <w:szCs w:val="14"/>
                <w:b w:val="1"/>
                <w:bCs w:val="1"/>
                <w:color w:val="170D67"/>
              </w:rPr>
              <w:t>Long-Term</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b w:val="1"/>
                <w:bCs w:val="1"/>
                <w:color w:val="170D67"/>
              </w:rPr>
              <w:t>Disability</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580" w:type="dxa"/>
            <w:vAlign w:val="bottom"/>
          </w:tcPr>
          <w:p>
            <w:pPr>
              <w:jc w:val="right"/>
              <w:ind w:right="168"/>
              <w:spacing w:after="0"/>
              <w:rPr>
                <w:sz w:val="20"/>
                <w:szCs w:val="20"/>
                <w:color w:val="auto"/>
              </w:rPr>
            </w:pPr>
            <w:r>
              <w:rPr>
                <w:rFonts w:ascii="Arial" w:cs="Arial" w:eastAsia="Arial" w:hAnsi="Arial"/>
                <w:sz w:val="14"/>
                <w:szCs w:val="14"/>
                <w:b w:val="1"/>
                <w:bCs w:val="1"/>
                <w:color w:val="170D67"/>
              </w:rPr>
              <w:t>for Income</w:t>
            </w:r>
          </w:p>
        </w:tc>
        <w:tc>
          <w:tcPr>
            <w:tcW w:w="1560" w:type="dxa"/>
            <w:vAlign w:val="bottom"/>
          </w:tcPr>
          <w:p>
            <w:pPr>
              <w:jc w:val="right"/>
              <w:ind w:right="108"/>
              <w:spacing w:after="0"/>
              <w:rPr>
                <w:sz w:val="20"/>
                <w:szCs w:val="20"/>
                <w:color w:val="auto"/>
              </w:rPr>
            </w:pPr>
            <w:r>
              <w:rPr>
                <w:rFonts w:ascii="Arial" w:cs="Arial" w:eastAsia="Arial" w:hAnsi="Arial"/>
                <w:sz w:val="14"/>
                <w:szCs w:val="14"/>
                <w:b w:val="1"/>
                <w:bCs w:val="1"/>
                <w:color w:val="170D67"/>
              </w:rPr>
              <w:t>Contributions to</w:t>
            </w:r>
          </w:p>
        </w:tc>
        <w:tc>
          <w:tcPr>
            <w:tcW w:w="1140" w:type="dxa"/>
            <w:vAlign w:val="bottom"/>
          </w:tcPr>
          <w:p>
            <w:pPr>
              <w:jc w:val="right"/>
              <w:ind w:right="128"/>
              <w:spacing w:after="0"/>
              <w:rPr>
                <w:sz w:val="20"/>
                <w:szCs w:val="20"/>
                <w:color w:val="auto"/>
              </w:rPr>
            </w:pPr>
            <w:r>
              <w:rPr>
                <w:rFonts w:ascii="Arial" w:cs="Arial" w:eastAsia="Arial" w:hAnsi="Arial"/>
                <w:sz w:val="14"/>
                <w:szCs w:val="14"/>
                <w:b w:val="1"/>
                <w:bCs w:val="1"/>
                <w:color w:val="170D67"/>
              </w:rPr>
              <w:t>Insurance</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60" w:type="dxa"/>
            <w:vAlign w:val="bottom"/>
          </w:tcPr>
          <w:p>
            <w:pPr>
              <w:spacing w:after="0"/>
              <w:rPr>
                <w:sz w:val="15"/>
                <w:szCs w:val="15"/>
                <w:color w:val="auto"/>
              </w:rPr>
            </w:pPr>
          </w:p>
        </w:tc>
        <w:tc>
          <w:tcPr>
            <w:tcW w:w="2860" w:type="dxa"/>
            <w:vAlign w:val="bottom"/>
          </w:tcPr>
          <w:p>
            <w:pPr>
              <w:jc w:val="right"/>
              <w:ind w:right="168"/>
              <w:spacing w:after="0"/>
              <w:rPr>
                <w:sz w:val="20"/>
                <w:szCs w:val="20"/>
                <w:color w:val="auto"/>
              </w:rPr>
            </w:pPr>
            <w:r>
              <w:rPr>
                <w:rFonts w:ascii="Arial" w:cs="Arial" w:eastAsia="Arial" w:hAnsi="Arial"/>
                <w:sz w:val="14"/>
                <w:szCs w:val="14"/>
                <w:b w:val="1"/>
                <w:bCs w:val="1"/>
                <w:color w:val="170D67"/>
              </w:rPr>
              <w:t>Perquisites</w:t>
            </w:r>
          </w:p>
        </w:tc>
        <w:tc>
          <w:tcPr>
            <w:tcW w:w="1580" w:type="dxa"/>
            <w:vAlign w:val="bottom"/>
          </w:tcPr>
          <w:p>
            <w:pPr>
              <w:jc w:val="right"/>
              <w:ind w:right="168"/>
              <w:spacing w:after="0"/>
              <w:rPr>
                <w:sz w:val="20"/>
                <w:szCs w:val="20"/>
                <w:color w:val="auto"/>
              </w:rPr>
            </w:pPr>
            <w:r>
              <w:rPr>
                <w:rFonts w:ascii="Arial" w:cs="Arial" w:eastAsia="Arial" w:hAnsi="Arial"/>
                <w:sz w:val="14"/>
                <w:szCs w:val="14"/>
                <w:b w:val="1"/>
                <w:bCs w:val="1"/>
                <w:color w:val="170D67"/>
              </w:rPr>
              <w:t>Taxes</w:t>
            </w:r>
          </w:p>
        </w:tc>
        <w:tc>
          <w:tcPr>
            <w:tcW w:w="1560" w:type="dxa"/>
            <w:vAlign w:val="bottom"/>
          </w:tcPr>
          <w:p>
            <w:pPr>
              <w:jc w:val="right"/>
              <w:ind w:right="108"/>
              <w:spacing w:after="0"/>
              <w:rPr>
                <w:sz w:val="20"/>
                <w:szCs w:val="20"/>
                <w:color w:val="auto"/>
              </w:rPr>
            </w:pPr>
            <w:r>
              <w:rPr>
                <w:rFonts w:ascii="Arial" w:cs="Arial" w:eastAsia="Arial" w:hAnsi="Arial"/>
                <w:sz w:val="14"/>
                <w:szCs w:val="14"/>
                <w:b w:val="1"/>
                <w:bCs w:val="1"/>
                <w:color w:val="170D67"/>
              </w:rPr>
              <w:t>Savings Plans</w:t>
            </w:r>
          </w:p>
        </w:tc>
        <w:tc>
          <w:tcPr>
            <w:tcW w:w="1140" w:type="dxa"/>
            <w:vAlign w:val="bottom"/>
          </w:tcPr>
          <w:p>
            <w:pPr>
              <w:jc w:val="right"/>
              <w:ind w:right="128"/>
              <w:spacing w:after="0"/>
              <w:rPr>
                <w:sz w:val="20"/>
                <w:szCs w:val="20"/>
                <w:color w:val="auto"/>
              </w:rPr>
            </w:pPr>
            <w:r>
              <w:rPr>
                <w:rFonts w:ascii="Arial" w:cs="Arial" w:eastAsia="Arial" w:hAnsi="Arial"/>
                <w:sz w:val="14"/>
                <w:szCs w:val="14"/>
                <w:b w:val="1"/>
                <w:bCs w:val="1"/>
                <w:color w:val="170D67"/>
              </w:rPr>
              <w:t>Premiums</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170D67"/>
              </w:rPr>
              <w:t>Total</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2860" w:type="dxa"/>
            <w:vAlign w:val="bottom"/>
          </w:tcPr>
          <w:p>
            <w:pPr>
              <w:jc w:val="right"/>
              <w:ind w:right="168"/>
              <w:spacing w:after="0"/>
              <w:rPr>
                <w:sz w:val="20"/>
                <w:szCs w:val="20"/>
                <w:color w:val="auto"/>
              </w:rPr>
            </w:pPr>
            <w:r>
              <w:rPr>
                <w:rFonts w:ascii="Arial" w:cs="Arial" w:eastAsia="Arial" w:hAnsi="Arial"/>
                <w:sz w:val="14"/>
                <w:szCs w:val="14"/>
                <w:b w:val="1"/>
                <w:bCs w:val="1"/>
                <w:color w:val="170D67"/>
              </w:rPr>
              <w:t>($)</w:t>
            </w:r>
          </w:p>
        </w:tc>
        <w:tc>
          <w:tcPr>
            <w:tcW w:w="1580" w:type="dxa"/>
            <w:vAlign w:val="bottom"/>
          </w:tcPr>
          <w:p>
            <w:pPr>
              <w:jc w:val="right"/>
              <w:ind w:right="168"/>
              <w:spacing w:after="0"/>
              <w:rPr>
                <w:sz w:val="20"/>
                <w:szCs w:val="20"/>
                <w:color w:val="auto"/>
              </w:rPr>
            </w:pPr>
            <w:r>
              <w:rPr>
                <w:rFonts w:ascii="Arial" w:cs="Arial" w:eastAsia="Arial" w:hAnsi="Arial"/>
                <w:sz w:val="14"/>
                <w:szCs w:val="14"/>
                <w:b w:val="1"/>
                <w:bCs w:val="1"/>
                <w:color w:val="170D67"/>
              </w:rPr>
              <w:t>($)</w:t>
            </w:r>
          </w:p>
        </w:tc>
        <w:tc>
          <w:tcPr>
            <w:tcW w:w="1560" w:type="dxa"/>
            <w:vAlign w:val="bottom"/>
          </w:tcPr>
          <w:p>
            <w:pPr>
              <w:jc w:val="right"/>
              <w:ind w:right="108"/>
              <w:spacing w:after="0"/>
              <w:rPr>
                <w:sz w:val="20"/>
                <w:szCs w:val="20"/>
                <w:color w:val="auto"/>
              </w:rPr>
            </w:pPr>
            <w:r>
              <w:rPr>
                <w:rFonts w:ascii="Arial" w:cs="Arial" w:eastAsia="Arial" w:hAnsi="Arial"/>
                <w:sz w:val="14"/>
                <w:szCs w:val="14"/>
                <w:b w:val="1"/>
                <w:bCs w:val="1"/>
                <w:color w:val="170D67"/>
              </w:rPr>
              <w:t>($)</w:t>
            </w:r>
          </w:p>
        </w:tc>
        <w:tc>
          <w:tcPr>
            <w:tcW w:w="1140" w:type="dxa"/>
            <w:vAlign w:val="bottom"/>
          </w:tcPr>
          <w:p>
            <w:pPr>
              <w:jc w:val="right"/>
              <w:ind w:right="128"/>
              <w:spacing w:after="0"/>
              <w:rPr>
                <w:sz w:val="20"/>
                <w:szCs w:val="20"/>
                <w:color w:val="auto"/>
              </w:rPr>
            </w:pPr>
            <w:r>
              <w:rPr>
                <w:rFonts w:ascii="Arial" w:cs="Arial" w:eastAsia="Arial" w:hAnsi="Arial"/>
                <w:sz w:val="14"/>
                <w:szCs w:val="14"/>
                <w:b w:val="1"/>
                <w:bCs w:val="1"/>
                <w:color w:val="170D67"/>
              </w:rPr>
              <w:t>($)</w:t>
            </w: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560" w:type="dxa"/>
            <w:vAlign w:val="bottom"/>
            <w:tcBorders>
              <w:bottom w:val="single" w:sz="8" w:color="170D67"/>
            </w:tcBorders>
          </w:tcPr>
          <w:p>
            <w:pPr>
              <w:ind w:left="20"/>
              <w:spacing w:after="0"/>
              <w:rPr>
                <w:sz w:val="20"/>
                <w:szCs w:val="20"/>
                <w:color w:val="auto"/>
              </w:rPr>
            </w:pPr>
            <w:r>
              <w:rPr>
                <w:rFonts w:ascii="Arial" w:cs="Arial" w:eastAsia="Arial" w:hAnsi="Arial"/>
                <w:sz w:val="14"/>
                <w:szCs w:val="14"/>
                <w:b w:val="1"/>
                <w:bCs w:val="1"/>
                <w:color w:val="170D67"/>
              </w:rPr>
              <w:t>Name</w:t>
            </w:r>
          </w:p>
        </w:tc>
        <w:tc>
          <w:tcPr>
            <w:tcW w:w="2860" w:type="dxa"/>
            <w:vAlign w:val="bottom"/>
            <w:tcBorders>
              <w:bottom w:val="single" w:sz="8" w:color="170D67"/>
            </w:tcBorders>
          </w:tcPr>
          <w:p>
            <w:pPr>
              <w:jc w:val="right"/>
              <w:ind w:right="168"/>
              <w:spacing w:after="0"/>
              <w:rPr>
                <w:sz w:val="20"/>
                <w:szCs w:val="20"/>
                <w:color w:val="auto"/>
              </w:rPr>
            </w:pPr>
            <w:r>
              <w:rPr>
                <w:rFonts w:ascii="Arial" w:cs="Arial" w:eastAsia="Arial" w:hAnsi="Arial"/>
                <w:sz w:val="14"/>
                <w:szCs w:val="14"/>
                <w:b w:val="1"/>
                <w:bCs w:val="1"/>
                <w:color w:val="170D67"/>
              </w:rPr>
              <w:t>(Note a)</w:t>
            </w:r>
          </w:p>
        </w:tc>
        <w:tc>
          <w:tcPr>
            <w:tcW w:w="1580" w:type="dxa"/>
            <w:vAlign w:val="bottom"/>
            <w:tcBorders>
              <w:bottom w:val="single" w:sz="8" w:color="170D67"/>
            </w:tcBorders>
          </w:tcPr>
          <w:p>
            <w:pPr>
              <w:jc w:val="right"/>
              <w:ind w:right="168"/>
              <w:spacing w:after="0"/>
              <w:rPr>
                <w:sz w:val="20"/>
                <w:szCs w:val="20"/>
                <w:color w:val="auto"/>
              </w:rPr>
            </w:pPr>
            <w:r>
              <w:rPr>
                <w:rFonts w:ascii="Arial" w:cs="Arial" w:eastAsia="Arial" w:hAnsi="Arial"/>
                <w:sz w:val="14"/>
                <w:szCs w:val="14"/>
                <w:b w:val="1"/>
                <w:bCs w:val="1"/>
                <w:color w:val="170D67"/>
              </w:rPr>
              <w:t>(Note b)</w:t>
            </w:r>
          </w:p>
        </w:tc>
        <w:tc>
          <w:tcPr>
            <w:tcW w:w="1560" w:type="dxa"/>
            <w:vAlign w:val="bottom"/>
            <w:tcBorders>
              <w:bottom w:val="single" w:sz="8" w:color="170D67"/>
            </w:tcBorders>
          </w:tcPr>
          <w:p>
            <w:pPr>
              <w:jc w:val="center"/>
              <w:ind w:left="588"/>
              <w:spacing w:after="0"/>
              <w:rPr>
                <w:sz w:val="20"/>
                <w:szCs w:val="20"/>
                <w:color w:val="auto"/>
              </w:rPr>
            </w:pPr>
            <w:r>
              <w:rPr>
                <w:rFonts w:ascii="Arial" w:cs="Arial" w:eastAsia="Arial" w:hAnsi="Arial"/>
                <w:sz w:val="14"/>
                <w:szCs w:val="14"/>
                <w:b w:val="1"/>
                <w:bCs w:val="1"/>
                <w:color w:val="170D67"/>
              </w:rPr>
              <w:t>(Note c)</w:t>
            </w:r>
          </w:p>
        </w:tc>
        <w:tc>
          <w:tcPr>
            <w:tcW w:w="1140" w:type="dxa"/>
            <w:vAlign w:val="bottom"/>
            <w:tcBorders>
              <w:bottom w:val="single" w:sz="8" w:color="170D67"/>
            </w:tcBorders>
          </w:tcPr>
          <w:p>
            <w:pPr>
              <w:jc w:val="right"/>
              <w:ind w:right="128"/>
              <w:spacing w:after="0"/>
              <w:rPr>
                <w:sz w:val="20"/>
                <w:szCs w:val="20"/>
                <w:color w:val="auto"/>
              </w:rPr>
            </w:pPr>
            <w:r>
              <w:rPr>
                <w:rFonts w:ascii="Arial" w:cs="Arial" w:eastAsia="Arial" w:hAnsi="Arial"/>
                <w:sz w:val="14"/>
                <w:szCs w:val="14"/>
                <w:b w:val="1"/>
                <w:bCs w:val="1"/>
                <w:color w:val="170D67"/>
              </w:rPr>
              <w:t>(Note d)</w:t>
            </w:r>
          </w:p>
        </w:tc>
        <w:tc>
          <w:tcPr>
            <w:tcW w:w="940" w:type="dxa"/>
            <w:vAlign w:val="bottom"/>
            <w:tcBorders>
              <w:bottom w:val="single" w:sz="8" w:color="170D67"/>
            </w:tcBorders>
          </w:tcPr>
          <w:p>
            <w:pPr>
              <w:jc w:val="right"/>
              <w:spacing w:after="0"/>
              <w:rPr>
                <w:sz w:val="20"/>
                <w:szCs w:val="20"/>
                <w:color w:val="auto"/>
              </w:rPr>
            </w:pPr>
            <w:r>
              <w:rPr>
                <w:rFonts w:ascii="Arial" w:cs="Arial" w:eastAsia="Arial" w:hAnsi="Arial"/>
                <w:sz w:val="14"/>
                <w:szCs w:val="14"/>
                <w:b w:val="1"/>
                <w:bCs w:val="1"/>
                <w:color w:val="170D67"/>
              </w:rPr>
              <w:t>($)</w:t>
            </w:r>
          </w:p>
        </w:tc>
        <w:tc>
          <w:tcPr>
            <w:tcW w:w="0" w:type="dxa"/>
            <w:vAlign w:val="bottom"/>
          </w:tcPr>
          <w:p>
            <w:pPr>
              <w:spacing w:after="0"/>
              <w:rPr>
                <w:sz w:val="1"/>
                <w:szCs w:val="1"/>
                <w:color w:val="auto"/>
              </w:rPr>
            </w:pPr>
          </w:p>
        </w:tc>
      </w:tr>
      <w:tr>
        <w:trPr>
          <w:trHeight w:val="203"/>
        </w:trPr>
        <w:tc>
          <w:tcPr>
            <w:tcW w:w="2560" w:type="dxa"/>
            <w:vAlign w:val="bottom"/>
          </w:tcPr>
          <w:p>
            <w:pPr>
              <w:ind w:left="20"/>
              <w:spacing w:after="0"/>
              <w:rPr>
                <w:sz w:val="20"/>
                <w:szCs w:val="20"/>
                <w:color w:val="auto"/>
              </w:rPr>
            </w:pPr>
            <w:r>
              <w:rPr>
                <w:rFonts w:ascii="Arial" w:cs="Arial" w:eastAsia="Arial" w:hAnsi="Arial"/>
                <w:sz w:val="14"/>
                <w:szCs w:val="14"/>
                <w:color w:val="auto"/>
              </w:rPr>
              <w:t>Butler</w:t>
            </w:r>
          </w:p>
        </w:tc>
        <w:tc>
          <w:tcPr>
            <w:tcW w:w="2860" w:type="dxa"/>
            <w:vAlign w:val="bottom"/>
          </w:tcPr>
          <w:p>
            <w:pPr>
              <w:jc w:val="right"/>
              <w:ind w:right="208"/>
              <w:spacing w:after="0"/>
              <w:rPr>
                <w:sz w:val="20"/>
                <w:szCs w:val="20"/>
                <w:color w:val="auto"/>
              </w:rPr>
            </w:pPr>
            <w:r>
              <w:rPr>
                <w:rFonts w:ascii="Arial" w:cs="Arial" w:eastAsia="Arial" w:hAnsi="Arial"/>
                <w:sz w:val="14"/>
                <w:szCs w:val="14"/>
                <w:color w:val="auto"/>
              </w:rPr>
              <w:t>1,139,891</w:t>
            </w:r>
          </w:p>
        </w:tc>
        <w:tc>
          <w:tcPr>
            <w:tcW w:w="1580" w:type="dxa"/>
            <w:vAlign w:val="bottom"/>
          </w:tcPr>
          <w:p>
            <w:pPr>
              <w:jc w:val="right"/>
              <w:ind w:right="228"/>
              <w:spacing w:after="0"/>
              <w:rPr>
                <w:sz w:val="20"/>
                <w:szCs w:val="20"/>
                <w:color w:val="auto"/>
              </w:rPr>
            </w:pPr>
            <w:r>
              <w:rPr>
                <w:rFonts w:ascii="Arial" w:cs="Arial" w:eastAsia="Arial" w:hAnsi="Arial"/>
                <w:sz w:val="14"/>
                <w:szCs w:val="14"/>
                <w:color w:val="auto"/>
              </w:rPr>
              <w:t>14,707</w:t>
            </w:r>
          </w:p>
        </w:tc>
        <w:tc>
          <w:tcPr>
            <w:tcW w:w="1560" w:type="dxa"/>
            <w:vAlign w:val="bottom"/>
          </w:tcPr>
          <w:p>
            <w:pPr>
              <w:jc w:val="center"/>
              <w:ind w:left="568"/>
              <w:spacing w:after="0"/>
              <w:rPr>
                <w:sz w:val="20"/>
                <w:szCs w:val="20"/>
                <w:color w:val="auto"/>
              </w:rPr>
            </w:pPr>
            <w:r>
              <w:rPr>
                <w:rFonts w:ascii="Arial" w:cs="Arial" w:eastAsia="Arial" w:hAnsi="Arial"/>
                <w:sz w:val="14"/>
                <w:szCs w:val="14"/>
                <w:color w:val="auto"/>
              </w:rPr>
              <w:t>50,891</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3,700</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1,209,189</w:t>
            </w:r>
          </w:p>
        </w:tc>
        <w:tc>
          <w:tcPr>
            <w:tcW w:w="0" w:type="dxa"/>
            <w:vAlign w:val="bottom"/>
          </w:tcPr>
          <w:p>
            <w:pPr>
              <w:spacing w:after="0"/>
              <w:rPr>
                <w:sz w:val="1"/>
                <w:szCs w:val="1"/>
                <w:color w:val="auto"/>
              </w:rPr>
            </w:pPr>
          </w:p>
        </w:tc>
      </w:tr>
      <w:tr>
        <w:trPr>
          <w:trHeight w:val="22"/>
        </w:trPr>
        <w:tc>
          <w:tcPr>
            <w:tcW w:w="2560" w:type="dxa"/>
            <w:vAlign w:val="bottom"/>
            <w:tcBorders>
              <w:bottom w:val="single" w:sz="8" w:color="808080"/>
            </w:tcBorders>
          </w:tcPr>
          <w:p>
            <w:pPr>
              <w:spacing w:after="0" w:line="20" w:lineRule="exact"/>
              <w:rPr>
                <w:sz w:val="1"/>
                <w:szCs w:val="1"/>
                <w:color w:val="auto"/>
              </w:rPr>
            </w:pPr>
          </w:p>
        </w:tc>
        <w:tc>
          <w:tcPr>
            <w:tcW w:w="2860" w:type="dxa"/>
            <w:vAlign w:val="bottom"/>
            <w:tcBorders>
              <w:bottom w:val="single" w:sz="8" w:color="808080"/>
            </w:tcBorders>
          </w:tcPr>
          <w:p>
            <w:pPr>
              <w:spacing w:after="0" w:line="20" w:lineRule="exact"/>
              <w:rPr>
                <w:sz w:val="1"/>
                <w:szCs w:val="1"/>
                <w:color w:val="auto"/>
              </w:rPr>
            </w:pPr>
          </w:p>
        </w:tc>
        <w:tc>
          <w:tcPr>
            <w:tcW w:w="1580" w:type="dxa"/>
            <w:vAlign w:val="bottom"/>
            <w:tcBorders>
              <w:bottom w:val="single" w:sz="8" w:color="808080"/>
            </w:tcBorders>
          </w:tcPr>
          <w:p>
            <w:pPr>
              <w:spacing w:after="0" w:line="20" w:lineRule="exact"/>
              <w:rPr>
                <w:sz w:val="1"/>
                <w:szCs w:val="1"/>
                <w:color w:val="auto"/>
              </w:rPr>
            </w:pPr>
          </w:p>
        </w:tc>
        <w:tc>
          <w:tcPr>
            <w:tcW w:w="1560" w:type="dxa"/>
            <w:vAlign w:val="bottom"/>
            <w:tcBorders>
              <w:bottom w:val="single" w:sz="8" w:color="808080"/>
            </w:tcBorders>
          </w:tcPr>
          <w:p>
            <w:pPr>
              <w:spacing w:after="0" w:line="20" w:lineRule="exact"/>
              <w:rPr>
                <w:sz w:val="1"/>
                <w:szCs w:val="1"/>
                <w:color w:val="auto"/>
              </w:rPr>
            </w:pPr>
          </w:p>
        </w:tc>
        <w:tc>
          <w:tcPr>
            <w:tcW w:w="1140" w:type="dxa"/>
            <w:vAlign w:val="bottom"/>
            <w:tcBorders>
              <w:bottom w:val="single" w:sz="8" w:color="808080"/>
            </w:tcBorders>
          </w:tcPr>
          <w:p>
            <w:pPr>
              <w:spacing w:after="0" w:line="20" w:lineRule="exact"/>
              <w:rPr>
                <w:sz w:val="1"/>
                <w:szCs w:val="1"/>
                <w:color w:val="auto"/>
              </w:rPr>
            </w:pPr>
          </w:p>
        </w:tc>
        <w:tc>
          <w:tcPr>
            <w:tcW w:w="9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560" w:type="dxa"/>
            <w:vAlign w:val="bottom"/>
          </w:tcPr>
          <w:p>
            <w:pPr>
              <w:ind w:left="20"/>
              <w:spacing w:after="0"/>
              <w:rPr>
                <w:sz w:val="20"/>
                <w:szCs w:val="20"/>
                <w:color w:val="auto"/>
              </w:rPr>
            </w:pPr>
            <w:r>
              <w:rPr>
                <w:rFonts w:ascii="Arial" w:cs="Arial" w:eastAsia="Arial" w:hAnsi="Arial"/>
                <w:sz w:val="14"/>
                <w:szCs w:val="14"/>
                <w:color w:val="auto"/>
              </w:rPr>
              <w:t>Jones</w:t>
            </w:r>
          </w:p>
        </w:tc>
        <w:tc>
          <w:tcPr>
            <w:tcW w:w="2860" w:type="dxa"/>
            <w:vAlign w:val="bottom"/>
          </w:tcPr>
          <w:p>
            <w:pPr>
              <w:jc w:val="right"/>
              <w:ind w:right="208"/>
              <w:spacing w:after="0"/>
              <w:rPr>
                <w:sz w:val="20"/>
                <w:szCs w:val="20"/>
                <w:color w:val="auto"/>
              </w:rPr>
            </w:pPr>
            <w:r>
              <w:rPr>
                <w:rFonts w:ascii="Arial" w:cs="Arial" w:eastAsia="Arial" w:hAnsi="Arial"/>
                <w:sz w:val="14"/>
                <w:szCs w:val="14"/>
                <w:color w:val="auto"/>
              </w:rPr>
              <w:t>31,544</w:t>
            </w:r>
          </w:p>
        </w:tc>
        <w:tc>
          <w:tcPr>
            <w:tcW w:w="1580" w:type="dxa"/>
            <w:vAlign w:val="bottom"/>
          </w:tcPr>
          <w:p>
            <w:pPr>
              <w:jc w:val="right"/>
              <w:ind w:right="228"/>
              <w:spacing w:after="0"/>
              <w:rPr>
                <w:sz w:val="20"/>
                <w:szCs w:val="20"/>
                <w:color w:val="auto"/>
              </w:rPr>
            </w:pPr>
            <w:r>
              <w:rPr>
                <w:rFonts w:ascii="Arial" w:cs="Arial" w:eastAsia="Arial" w:hAnsi="Arial"/>
                <w:sz w:val="14"/>
                <w:szCs w:val="14"/>
                <w:color w:val="auto"/>
              </w:rPr>
              <w:t>3,349</w:t>
            </w:r>
          </w:p>
        </w:tc>
        <w:tc>
          <w:tcPr>
            <w:tcW w:w="1560" w:type="dxa"/>
            <w:vAlign w:val="bottom"/>
          </w:tcPr>
          <w:p>
            <w:pPr>
              <w:jc w:val="center"/>
              <w:ind w:left="568"/>
              <w:spacing w:after="0"/>
              <w:rPr>
                <w:sz w:val="20"/>
                <w:szCs w:val="20"/>
                <w:color w:val="auto"/>
              </w:rPr>
            </w:pPr>
            <w:r>
              <w:rPr>
                <w:rFonts w:ascii="Arial" w:cs="Arial" w:eastAsia="Arial" w:hAnsi="Arial"/>
                <w:sz w:val="14"/>
                <w:szCs w:val="14"/>
                <w:color w:val="auto"/>
              </w:rPr>
              <w:t>13,650</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3,369</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51,912</w:t>
            </w:r>
          </w:p>
        </w:tc>
        <w:tc>
          <w:tcPr>
            <w:tcW w:w="0" w:type="dxa"/>
            <w:vAlign w:val="bottom"/>
          </w:tcPr>
          <w:p>
            <w:pPr>
              <w:spacing w:after="0"/>
              <w:rPr>
                <w:sz w:val="1"/>
                <w:szCs w:val="1"/>
                <w:color w:val="auto"/>
              </w:rPr>
            </w:pPr>
          </w:p>
        </w:tc>
      </w:tr>
      <w:tr>
        <w:trPr>
          <w:trHeight w:val="22"/>
        </w:trPr>
        <w:tc>
          <w:tcPr>
            <w:tcW w:w="2560" w:type="dxa"/>
            <w:vAlign w:val="bottom"/>
            <w:tcBorders>
              <w:bottom w:val="single" w:sz="8" w:color="808080"/>
            </w:tcBorders>
          </w:tcPr>
          <w:p>
            <w:pPr>
              <w:spacing w:after="0" w:line="20" w:lineRule="exact"/>
              <w:rPr>
                <w:sz w:val="1"/>
                <w:szCs w:val="1"/>
                <w:color w:val="auto"/>
              </w:rPr>
            </w:pPr>
          </w:p>
        </w:tc>
        <w:tc>
          <w:tcPr>
            <w:tcW w:w="2860" w:type="dxa"/>
            <w:vAlign w:val="bottom"/>
            <w:tcBorders>
              <w:bottom w:val="single" w:sz="8" w:color="808080"/>
            </w:tcBorders>
          </w:tcPr>
          <w:p>
            <w:pPr>
              <w:spacing w:after="0" w:line="20" w:lineRule="exact"/>
              <w:rPr>
                <w:sz w:val="1"/>
                <w:szCs w:val="1"/>
                <w:color w:val="auto"/>
              </w:rPr>
            </w:pPr>
          </w:p>
        </w:tc>
        <w:tc>
          <w:tcPr>
            <w:tcW w:w="1580" w:type="dxa"/>
            <w:vAlign w:val="bottom"/>
            <w:tcBorders>
              <w:bottom w:val="single" w:sz="8" w:color="808080"/>
            </w:tcBorders>
          </w:tcPr>
          <w:p>
            <w:pPr>
              <w:spacing w:after="0" w:line="20" w:lineRule="exact"/>
              <w:rPr>
                <w:sz w:val="1"/>
                <w:szCs w:val="1"/>
                <w:color w:val="auto"/>
              </w:rPr>
            </w:pPr>
          </w:p>
        </w:tc>
        <w:tc>
          <w:tcPr>
            <w:tcW w:w="1560" w:type="dxa"/>
            <w:vAlign w:val="bottom"/>
            <w:tcBorders>
              <w:bottom w:val="single" w:sz="8" w:color="808080"/>
            </w:tcBorders>
          </w:tcPr>
          <w:p>
            <w:pPr>
              <w:spacing w:after="0" w:line="20" w:lineRule="exact"/>
              <w:rPr>
                <w:sz w:val="1"/>
                <w:szCs w:val="1"/>
                <w:color w:val="auto"/>
              </w:rPr>
            </w:pPr>
          </w:p>
        </w:tc>
        <w:tc>
          <w:tcPr>
            <w:tcW w:w="1140" w:type="dxa"/>
            <w:vAlign w:val="bottom"/>
            <w:tcBorders>
              <w:bottom w:val="single" w:sz="8" w:color="808080"/>
            </w:tcBorders>
          </w:tcPr>
          <w:p>
            <w:pPr>
              <w:spacing w:after="0" w:line="20" w:lineRule="exact"/>
              <w:rPr>
                <w:sz w:val="1"/>
                <w:szCs w:val="1"/>
                <w:color w:val="auto"/>
              </w:rPr>
            </w:pPr>
          </w:p>
        </w:tc>
        <w:tc>
          <w:tcPr>
            <w:tcW w:w="9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560" w:type="dxa"/>
            <w:vAlign w:val="bottom"/>
          </w:tcPr>
          <w:p>
            <w:pPr>
              <w:ind w:left="20"/>
              <w:spacing w:after="0"/>
              <w:rPr>
                <w:sz w:val="20"/>
                <w:szCs w:val="20"/>
                <w:color w:val="auto"/>
              </w:rPr>
            </w:pPr>
            <w:r>
              <w:rPr>
                <w:rFonts w:ascii="Arial" w:cs="Arial" w:eastAsia="Arial" w:hAnsi="Arial"/>
                <w:sz w:val="14"/>
                <w:szCs w:val="14"/>
                <w:color w:val="auto"/>
              </w:rPr>
              <w:t>Littleton</w:t>
            </w:r>
          </w:p>
        </w:tc>
        <w:tc>
          <w:tcPr>
            <w:tcW w:w="2860" w:type="dxa"/>
            <w:vAlign w:val="bottom"/>
          </w:tcPr>
          <w:p>
            <w:pPr>
              <w:jc w:val="right"/>
              <w:ind w:right="208"/>
              <w:spacing w:after="0"/>
              <w:rPr>
                <w:sz w:val="20"/>
                <w:szCs w:val="20"/>
                <w:color w:val="auto"/>
              </w:rPr>
            </w:pPr>
            <w:r>
              <w:rPr>
                <w:rFonts w:ascii="Arial" w:cs="Arial" w:eastAsia="Arial" w:hAnsi="Arial"/>
                <w:sz w:val="14"/>
                <w:szCs w:val="14"/>
                <w:color w:val="auto"/>
              </w:rPr>
              <w:t>16,840</w:t>
            </w:r>
          </w:p>
        </w:tc>
        <w:tc>
          <w:tcPr>
            <w:tcW w:w="15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560" w:type="dxa"/>
            <w:vAlign w:val="bottom"/>
          </w:tcPr>
          <w:p>
            <w:pPr>
              <w:jc w:val="center"/>
              <w:ind w:left="568"/>
              <w:spacing w:after="0"/>
              <w:rPr>
                <w:sz w:val="20"/>
                <w:szCs w:val="20"/>
                <w:color w:val="auto"/>
              </w:rPr>
            </w:pPr>
            <w:r>
              <w:rPr>
                <w:rFonts w:ascii="Arial" w:cs="Arial" w:eastAsia="Arial" w:hAnsi="Arial"/>
                <w:sz w:val="14"/>
                <w:szCs w:val="14"/>
                <w:color w:val="auto"/>
              </w:rPr>
              <w:t>85,663</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4,636</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107,139</w:t>
            </w:r>
          </w:p>
        </w:tc>
        <w:tc>
          <w:tcPr>
            <w:tcW w:w="0" w:type="dxa"/>
            <w:vAlign w:val="bottom"/>
          </w:tcPr>
          <w:p>
            <w:pPr>
              <w:spacing w:after="0"/>
              <w:rPr>
                <w:sz w:val="1"/>
                <w:szCs w:val="1"/>
                <w:color w:val="auto"/>
              </w:rPr>
            </w:pPr>
          </w:p>
        </w:tc>
      </w:tr>
      <w:tr>
        <w:trPr>
          <w:trHeight w:val="22"/>
        </w:trPr>
        <w:tc>
          <w:tcPr>
            <w:tcW w:w="2560" w:type="dxa"/>
            <w:vAlign w:val="bottom"/>
            <w:tcBorders>
              <w:bottom w:val="single" w:sz="8" w:color="808080"/>
            </w:tcBorders>
          </w:tcPr>
          <w:p>
            <w:pPr>
              <w:spacing w:after="0" w:line="20" w:lineRule="exact"/>
              <w:rPr>
                <w:sz w:val="1"/>
                <w:szCs w:val="1"/>
                <w:color w:val="auto"/>
              </w:rPr>
            </w:pPr>
          </w:p>
        </w:tc>
        <w:tc>
          <w:tcPr>
            <w:tcW w:w="2860" w:type="dxa"/>
            <w:vAlign w:val="bottom"/>
            <w:tcBorders>
              <w:bottom w:val="single" w:sz="8" w:color="808080"/>
            </w:tcBorders>
          </w:tcPr>
          <w:p>
            <w:pPr>
              <w:spacing w:after="0" w:line="20" w:lineRule="exact"/>
              <w:rPr>
                <w:sz w:val="1"/>
                <w:szCs w:val="1"/>
                <w:color w:val="auto"/>
              </w:rPr>
            </w:pPr>
          </w:p>
        </w:tc>
        <w:tc>
          <w:tcPr>
            <w:tcW w:w="1580" w:type="dxa"/>
            <w:vAlign w:val="bottom"/>
            <w:tcBorders>
              <w:bottom w:val="single" w:sz="8" w:color="808080"/>
            </w:tcBorders>
          </w:tcPr>
          <w:p>
            <w:pPr>
              <w:spacing w:after="0" w:line="20" w:lineRule="exact"/>
              <w:rPr>
                <w:sz w:val="1"/>
                <w:szCs w:val="1"/>
                <w:color w:val="auto"/>
              </w:rPr>
            </w:pPr>
          </w:p>
        </w:tc>
        <w:tc>
          <w:tcPr>
            <w:tcW w:w="1560" w:type="dxa"/>
            <w:vAlign w:val="bottom"/>
            <w:tcBorders>
              <w:bottom w:val="single" w:sz="8" w:color="808080"/>
            </w:tcBorders>
          </w:tcPr>
          <w:p>
            <w:pPr>
              <w:spacing w:after="0" w:line="20" w:lineRule="exact"/>
              <w:rPr>
                <w:sz w:val="1"/>
                <w:szCs w:val="1"/>
                <w:color w:val="auto"/>
              </w:rPr>
            </w:pPr>
          </w:p>
        </w:tc>
        <w:tc>
          <w:tcPr>
            <w:tcW w:w="1140" w:type="dxa"/>
            <w:vAlign w:val="bottom"/>
            <w:tcBorders>
              <w:bottom w:val="single" w:sz="8" w:color="808080"/>
            </w:tcBorders>
          </w:tcPr>
          <w:p>
            <w:pPr>
              <w:spacing w:after="0" w:line="20" w:lineRule="exact"/>
              <w:rPr>
                <w:sz w:val="1"/>
                <w:szCs w:val="1"/>
                <w:color w:val="auto"/>
              </w:rPr>
            </w:pPr>
          </w:p>
        </w:tc>
        <w:tc>
          <w:tcPr>
            <w:tcW w:w="9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560" w:type="dxa"/>
            <w:vAlign w:val="bottom"/>
          </w:tcPr>
          <w:p>
            <w:pPr>
              <w:ind w:left="20"/>
              <w:spacing w:after="0"/>
              <w:rPr>
                <w:sz w:val="20"/>
                <w:szCs w:val="20"/>
                <w:color w:val="auto"/>
              </w:rPr>
            </w:pPr>
            <w:r>
              <w:rPr>
                <w:rFonts w:ascii="Arial" w:cs="Arial" w:eastAsia="Arial" w:hAnsi="Arial"/>
                <w:sz w:val="14"/>
                <w:szCs w:val="14"/>
                <w:color w:val="auto"/>
              </w:rPr>
              <w:t>Glockner</w:t>
            </w:r>
          </w:p>
        </w:tc>
        <w:tc>
          <w:tcPr>
            <w:tcW w:w="2860" w:type="dxa"/>
            <w:vAlign w:val="bottom"/>
          </w:tcPr>
          <w:p>
            <w:pPr>
              <w:jc w:val="right"/>
              <w:ind w:right="208"/>
              <w:spacing w:after="0"/>
              <w:rPr>
                <w:sz w:val="20"/>
                <w:szCs w:val="20"/>
                <w:color w:val="auto"/>
              </w:rPr>
            </w:pPr>
            <w:r>
              <w:rPr>
                <w:rFonts w:ascii="Arial" w:cs="Arial" w:eastAsia="Arial" w:hAnsi="Arial"/>
                <w:sz w:val="14"/>
                <w:szCs w:val="14"/>
                <w:color w:val="auto"/>
              </w:rPr>
              <w:t>16,840</w:t>
            </w:r>
          </w:p>
        </w:tc>
        <w:tc>
          <w:tcPr>
            <w:tcW w:w="15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560" w:type="dxa"/>
            <w:vAlign w:val="bottom"/>
          </w:tcPr>
          <w:p>
            <w:pPr>
              <w:jc w:val="center"/>
              <w:ind w:left="568"/>
              <w:spacing w:after="0"/>
              <w:rPr>
                <w:sz w:val="20"/>
                <w:szCs w:val="20"/>
                <w:color w:val="auto"/>
              </w:rPr>
            </w:pPr>
            <w:r>
              <w:rPr>
                <w:rFonts w:ascii="Arial" w:cs="Arial" w:eastAsia="Arial" w:hAnsi="Arial"/>
                <w:sz w:val="14"/>
                <w:szCs w:val="14"/>
                <w:color w:val="auto"/>
              </w:rPr>
              <w:t>78,730</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6,580</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102,150</w:t>
            </w:r>
          </w:p>
        </w:tc>
        <w:tc>
          <w:tcPr>
            <w:tcW w:w="0" w:type="dxa"/>
            <w:vAlign w:val="bottom"/>
          </w:tcPr>
          <w:p>
            <w:pPr>
              <w:spacing w:after="0"/>
              <w:rPr>
                <w:sz w:val="1"/>
                <w:szCs w:val="1"/>
                <w:color w:val="auto"/>
              </w:rPr>
            </w:pPr>
          </w:p>
        </w:tc>
      </w:tr>
      <w:tr>
        <w:trPr>
          <w:trHeight w:val="22"/>
        </w:trPr>
        <w:tc>
          <w:tcPr>
            <w:tcW w:w="2560" w:type="dxa"/>
            <w:vAlign w:val="bottom"/>
            <w:tcBorders>
              <w:bottom w:val="single" w:sz="8" w:color="808080"/>
            </w:tcBorders>
          </w:tcPr>
          <w:p>
            <w:pPr>
              <w:spacing w:after="0" w:line="20" w:lineRule="exact"/>
              <w:rPr>
                <w:sz w:val="1"/>
                <w:szCs w:val="1"/>
                <w:color w:val="auto"/>
              </w:rPr>
            </w:pPr>
          </w:p>
        </w:tc>
        <w:tc>
          <w:tcPr>
            <w:tcW w:w="2860" w:type="dxa"/>
            <w:vAlign w:val="bottom"/>
            <w:tcBorders>
              <w:bottom w:val="single" w:sz="8" w:color="808080"/>
            </w:tcBorders>
          </w:tcPr>
          <w:p>
            <w:pPr>
              <w:spacing w:after="0" w:line="20" w:lineRule="exact"/>
              <w:rPr>
                <w:sz w:val="1"/>
                <w:szCs w:val="1"/>
                <w:color w:val="auto"/>
              </w:rPr>
            </w:pPr>
          </w:p>
        </w:tc>
        <w:tc>
          <w:tcPr>
            <w:tcW w:w="1580" w:type="dxa"/>
            <w:vAlign w:val="bottom"/>
            <w:tcBorders>
              <w:bottom w:val="single" w:sz="8" w:color="808080"/>
            </w:tcBorders>
          </w:tcPr>
          <w:p>
            <w:pPr>
              <w:spacing w:after="0" w:line="20" w:lineRule="exact"/>
              <w:rPr>
                <w:sz w:val="1"/>
                <w:szCs w:val="1"/>
                <w:color w:val="auto"/>
              </w:rPr>
            </w:pPr>
          </w:p>
        </w:tc>
        <w:tc>
          <w:tcPr>
            <w:tcW w:w="1560" w:type="dxa"/>
            <w:vAlign w:val="bottom"/>
            <w:tcBorders>
              <w:bottom w:val="single" w:sz="8" w:color="808080"/>
            </w:tcBorders>
          </w:tcPr>
          <w:p>
            <w:pPr>
              <w:spacing w:after="0" w:line="20" w:lineRule="exact"/>
              <w:rPr>
                <w:sz w:val="1"/>
                <w:szCs w:val="1"/>
                <w:color w:val="auto"/>
              </w:rPr>
            </w:pPr>
          </w:p>
        </w:tc>
        <w:tc>
          <w:tcPr>
            <w:tcW w:w="1140" w:type="dxa"/>
            <w:vAlign w:val="bottom"/>
            <w:tcBorders>
              <w:bottom w:val="single" w:sz="8" w:color="808080"/>
            </w:tcBorders>
          </w:tcPr>
          <w:p>
            <w:pPr>
              <w:spacing w:after="0" w:line="20" w:lineRule="exact"/>
              <w:rPr>
                <w:sz w:val="1"/>
                <w:szCs w:val="1"/>
                <w:color w:val="auto"/>
              </w:rPr>
            </w:pPr>
          </w:p>
        </w:tc>
        <w:tc>
          <w:tcPr>
            <w:tcW w:w="9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560" w:type="dxa"/>
            <w:vAlign w:val="bottom"/>
          </w:tcPr>
          <w:p>
            <w:pPr>
              <w:ind w:left="20"/>
              <w:spacing w:after="0"/>
              <w:rPr>
                <w:sz w:val="20"/>
                <w:szCs w:val="20"/>
                <w:color w:val="auto"/>
              </w:rPr>
            </w:pPr>
            <w:r>
              <w:rPr>
                <w:rFonts w:ascii="Arial" w:cs="Arial" w:eastAsia="Arial" w:hAnsi="Arial"/>
                <w:sz w:val="14"/>
                <w:szCs w:val="14"/>
                <w:color w:val="auto"/>
              </w:rPr>
              <w:t>Innocenzo</w:t>
            </w:r>
          </w:p>
        </w:tc>
        <w:tc>
          <w:tcPr>
            <w:tcW w:w="2860" w:type="dxa"/>
            <w:vAlign w:val="bottom"/>
          </w:tcPr>
          <w:p>
            <w:pPr>
              <w:jc w:val="right"/>
              <w:ind w:right="208"/>
              <w:spacing w:after="0"/>
              <w:rPr>
                <w:sz w:val="20"/>
                <w:szCs w:val="20"/>
                <w:color w:val="auto"/>
              </w:rPr>
            </w:pPr>
            <w:r>
              <w:rPr>
                <w:rFonts w:ascii="Arial" w:cs="Arial" w:eastAsia="Arial" w:hAnsi="Arial"/>
                <w:sz w:val="14"/>
                <w:szCs w:val="14"/>
                <w:color w:val="auto"/>
              </w:rPr>
              <w:t>22,939</w:t>
            </w:r>
          </w:p>
        </w:tc>
        <w:tc>
          <w:tcPr>
            <w:tcW w:w="15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560" w:type="dxa"/>
            <w:vAlign w:val="bottom"/>
          </w:tcPr>
          <w:p>
            <w:pPr>
              <w:jc w:val="center"/>
              <w:ind w:left="568"/>
              <w:spacing w:after="0"/>
              <w:rPr>
                <w:sz w:val="20"/>
                <w:szCs w:val="20"/>
                <w:color w:val="auto"/>
              </w:rPr>
            </w:pPr>
            <w:r>
              <w:rPr>
                <w:rFonts w:ascii="Arial" w:cs="Arial" w:eastAsia="Arial" w:hAnsi="Arial"/>
                <w:sz w:val="14"/>
                <w:szCs w:val="14"/>
                <w:color w:val="auto"/>
              </w:rPr>
              <w:t>26,913</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4,590</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54,442</w:t>
            </w:r>
          </w:p>
        </w:tc>
        <w:tc>
          <w:tcPr>
            <w:tcW w:w="0" w:type="dxa"/>
            <w:vAlign w:val="bottom"/>
          </w:tcPr>
          <w:p>
            <w:pPr>
              <w:spacing w:after="0"/>
              <w:rPr>
                <w:sz w:val="1"/>
                <w:szCs w:val="1"/>
                <w:color w:val="auto"/>
              </w:rPr>
            </w:pPr>
          </w:p>
        </w:tc>
      </w:tr>
      <w:tr>
        <w:trPr>
          <w:trHeight w:val="22"/>
        </w:trPr>
        <w:tc>
          <w:tcPr>
            <w:tcW w:w="2560" w:type="dxa"/>
            <w:vAlign w:val="bottom"/>
            <w:tcBorders>
              <w:bottom w:val="single" w:sz="8" w:color="808080"/>
            </w:tcBorders>
          </w:tcPr>
          <w:p>
            <w:pPr>
              <w:spacing w:after="0" w:line="20" w:lineRule="exact"/>
              <w:rPr>
                <w:sz w:val="1"/>
                <w:szCs w:val="1"/>
                <w:color w:val="auto"/>
              </w:rPr>
            </w:pPr>
          </w:p>
        </w:tc>
        <w:tc>
          <w:tcPr>
            <w:tcW w:w="2860" w:type="dxa"/>
            <w:vAlign w:val="bottom"/>
            <w:tcBorders>
              <w:bottom w:val="single" w:sz="8" w:color="808080"/>
            </w:tcBorders>
          </w:tcPr>
          <w:p>
            <w:pPr>
              <w:spacing w:after="0" w:line="20" w:lineRule="exact"/>
              <w:rPr>
                <w:sz w:val="1"/>
                <w:szCs w:val="1"/>
                <w:color w:val="auto"/>
              </w:rPr>
            </w:pPr>
          </w:p>
        </w:tc>
        <w:tc>
          <w:tcPr>
            <w:tcW w:w="1580" w:type="dxa"/>
            <w:vAlign w:val="bottom"/>
            <w:tcBorders>
              <w:bottom w:val="single" w:sz="8" w:color="808080"/>
            </w:tcBorders>
          </w:tcPr>
          <w:p>
            <w:pPr>
              <w:spacing w:after="0" w:line="20" w:lineRule="exact"/>
              <w:rPr>
                <w:sz w:val="1"/>
                <w:szCs w:val="1"/>
                <w:color w:val="auto"/>
              </w:rPr>
            </w:pPr>
          </w:p>
        </w:tc>
        <w:tc>
          <w:tcPr>
            <w:tcW w:w="1560" w:type="dxa"/>
            <w:vAlign w:val="bottom"/>
            <w:tcBorders>
              <w:bottom w:val="single" w:sz="8" w:color="808080"/>
            </w:tcBorders>
          </w:tcPr>
          <w:p>
            <w:pPr>
              <w:spacing w:after="0" w:line="20" w:lineRule="exact"/>
              <w:rPr>
                <w:sz w:val="1"/>
                <w:szCs w:val="1"/>
                <w:color w:val="auto"/>
              </w:rPr>
            </w:pPr>
          </w:p>
        </w:tc>
        <w:tc>
          <w:tcPr>
            <w:tcW w:w="1140" w:type="dxa"/>
            <w:vAlign w:val="bottom"/>
            <w:tcBorders>
              <w:bottom w:val="single" w:sz="8" w:color="808080"/>
            </w:tcBorders>
          </w:tcPr>
          <w:p>
            <w:pPr>
              <w:spacing w:after="0" w:line="20" w:lineRule="exact"/>
              <w:rPr>
                <w:sz w:val="1"/>
                <w:szCs w:val="1"/>
                <w:color w:val="auto"/>
              </w:rPr>
            </w:pPr>
          </w:p>
        </w:tc>
        <w:tc>
          <w:tcPr>
            <w:tcW w:w="9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 Amounts reported for personal benefits provided to NEOs include certain perquisites as detailed below:</w:t>
      </w:r>
    </w:p>
    <w:p>
      <w:pPr>
        <w:spacing w:after="0" w:line="96" w:lineRule="exact"/>
        <w:rPr>
          <w:sz w:val="20"/>
          <w:szCs w:val="20"/>
          <w:color w:val="auto"/>
        </w:rPr>
      </w:pPr>
    </w:p>
    <w:p>
      <w:pPr>
        <w:ind w:left="660" w:right="200"/>
        <w:spacing w:after="0" w:line="303" w:lineRule="auto"/>
        <w:rPr>
          <w:sz w:val="20"/>
          <w:szCs w:val="20"/>
          <w:color w:val="auto"/>
        </w:rPr>
      </w:pPr>
      <w:r>
        <w:rPr>
          <w:rFonts w:ascii="Arial" w:cs="Arial" w:eastAsia="Arial" w:hAnsi="Arial"/>
          <w:sz w:val="14"/>
          <w:szCs w:val="14"/>
          <w:b w:val="1"/>
          <w:bCs w:val="1"/>
          <w:color w:val="auto"/>
        </w:rPr>
        <w:t xml:space="preserve">Personal use of corporate aircraft </w:t>
      </w:r>
      <w:r>
        <w:rPr>
          <w:rFonts w:ascii="Arial" w:cs="Arial" w:eastAsia="Arial" w:hAnsi="Arial"/>
          <w:sz w:val="14"/>
          <w:szCs w:val="14"/>
          <w:color w:val="auto"/>
        </w:rPr>
        <w:t>- Amounts reported for the personal use of corporate aircraft are based on the aggregate incremental cost to Exelon and are</w:t>
      </w:r>
      <w:r>
        <w:rPr>
          <w:rFonts w:ascii="Arial" w:cs="Arial" w:eastAsia="Arial" w:hAnsi="Arial"/>
          <w:sz w:val="14"/>
          <w:szCs w:val="14"/>
          <w:b w:val="1"/>
          <w:bCs w:val="1"/>
          <w:color w:val="auto"/>
        </w:rPr>
        <w:t xml:space="preserve"> </w:t>
      </w:r>
      <w:r>
        <w:rPr>
          <w:rFonts w:ascii="Arial" w:cs="Arial" w:eastAsia="Arial" w:hAnsi="Arial"/>
          <w:sz w:val="14"/>
          <w:szCs w:val="14"/>
          <w:color w:val="auto"/>
        </w:rPr>
        <w:t>calculated using the hourly incremental cost for flight services, including federal excise taxes, fuel charges, and domestic segment fees. Amounts include any repositioning flights associated with personal use of corporate aircraft. For 2024, the amounts for Mr. Butler and Ms. Jones were $289,005 and $5,474, respectively.</w:t>
      </w:r>
    </w:p>
    <w:p>
      <w:pPr>
        <w:spacing w:after="0" w:line="25" w:lineRule="exact"/>
        <w:rPr>
          <w:sz w:val="20"/>
          <w:szCs w:val="20"/>
          <w:color w:val="auto"/>
        </w:rPr>
      </w:pPr>
    </w:p>
    <w:p>
      <w:pPr>
        <w:ind w:left="660" w:right="120"/>
        <w:spacing w:after="0" w:line="296" w:lineRule="auto"/>
        <w:rPr>
          <w:sz w:val="20"/>
          <w:szCs w:val="20"/>
          <w:color w:val="auto"/>
        </w:rPr>
      </w:pPr>
      <w:r>
        <w:rPr>
          <w:rFonts w:ascii="Arial" w:cs="Arial" w:eastAsia="Arial" w:hAnsi="Arial"/>
          <w:sz w:val="14"/>
          <w:szCs w:val="14"/>
          <w:b w:val="1"/>
          <w:bCs w:val="1"/>
          <w:color w:val="auto"/>
        </w:rPr>
        <w:t xml:space="preserve">Car and driver services </w:t>
      </w:r>
      <w:r>
        <w:rPr>
          <w:rFonts w:ascii="Arial" w:cs="Arial" w:eastAsia="Arial" w:hAnsi="Arial"/>
          <w:sz w:val="14"/>
          <w:szCs w:val="14"/>
          <w:color w:val="auto"/>
        </w:rPr>
        <w:t>- Exelon provides Company cars and driver services for NEOs and other officers enabling the performance of duties among the Company’s</w:t>
      </w:r>
      <w:r>
        <w:rPr>
          <w:rFonts w:ascii="Arial" w:cs="Arial" w:eastAsia="Arial" w:hAnsi="Arial"/>
          <w:sz w:val="14"/>
          <w:szCs w:val="14"/>
          <w:b w:val="1"/>
          <w:bCs w:val="1"/>
          <w:color w:val="auto"/>
        </w:rPr>
        <w:t xml:space="preserve"> </w:t>
      </w:r>
      <w:r>
        <w:rPr>
          <w:rFonts w:ascii="Arial" w:cs="Arial" w:eastAsia="Arial" w:hAnsi="Arial"/>
          <w:sz w:val="14"/>
          <w:szCs w:val="14"/>
          <w:color w:val="auto"/>
        </w:rPr>
        <w:t>various offices and facilities. Certain executive officers are also entitled to limited personal use of the Company’s cars and drivers including commuting to work locations. Costs reported represent estimated incremental costs per trip based upon average labor cost and mileage, trip duration, fuel costs and traveled miles. For 2024, the amounts for Mr. Butler and Mr. Innocenzo were $7,804 and $1,219, respectively.</w:t>
      </w:r>
    </w:p>
    <w:p>
      <w:pPr>
        <w:spacing w:after="0" w:line="29" w:lineRule="exact"/>
        <w:rPr>
          <w:sz w:val="20"/>
          <w:szCs w:val="20"/>
          <w:color w:val="auto"/>
        </w:rPr>
      </w:pPr>
    </w:p>
    <w:p>
      <w:pPr>
        <w:ind w:left="660" w:right="60"/>
        <w:spacing w:after="0" w:line="285" w:lineRule="auto"/>
        <w:rPr>
          <w:sz w:val="20"/>
          <w:szCs w:val="20"/>
          <w:color w:val="auto"/>
        </w:rPr>
      </w:pPr>
      <w:r>
        <w:rPr>
          <w:rFonts w:ascii="Arial" w:cs="Arial" w:eastAsia="Arial" w:hAnsi="Arial"/>
          <w:sz w:val="14"/>
          <w:szCs w:val="14"/>
          <w:b w:val="1"/>
          <w:bCs w:val="1"/>
          <w:color w:val="auto"/>
        </w:rPr>
        <w:t xml:space="preserve">Relocation benefits </w:t>
      </w:r>
      <w:r>
        <w:rPr>
          <w:rFonts w:ascii="Arial" w:cs="Arial" w:eastAsia="Arial" w:hAnsi="Arial"/>
          <w:sz w:val="14"/>
          <w:szCs w:val="14"/>
          <w:color w:val="auto"/>
        </w:rPr>
        <w:t>- Amount reported for Mr. Butler includes $811,030 of relocation benefits provided pursuant to Exelon’s relocation benefits program for</w:t>
      </w:r>
      <w:r>
        <w:rPr>
          <w:rFonts w:ascii="Arial" w:cs="Arial" w:eastAsia="Arial" w:hAnsi="Arial"/>
          <w:sz w:val="14"/>
          <w:szCs w:val="14"/>
          <w:b w:val="1"/>
          <w:bCs w:val="1"/>
          <w:color w:val="auto"/>
        </w:rPr>
        <w:t xml:space="preserve"> </w:t>
      </w:r>
      <w:r>
        <w:rPr>
          <w:rFonts w:ascii="Arial" w:cs="Arial" w:eastAsia="Arial" w:hAnsi="Arial"/>
          <w:sz w:val="14"/>
          <w:szCs w:val="14"/>
          <w:color w:val="auto"/>
        </w:rPr>
        <w:t>management-level employees (Relocation Program). Exelon’s Relocation Program provides home sale assistance and home buyout benefits. Pursuant to the Relocation Program, a third-party relocation company manages the buyout process whereby the relocation company purchases the employee’s home at its appraised market value and is responsible for carrying the home until it is sold. The Company pays a fee and reimburses the relocation company for carrying costs, as well as any deficiency if the home is sold for less than the purchase price. In connection with Mr. Butler’s appointment to CEO and relocation to Exelon’s headquarters in Chicago, Mr. Butler’s home was purchased by the relocation company in 2023 and sold in 2024 pursuant to the Relocation Program. The amount in this column also includes $791,107 which is the total the Company paid to the relocation company in 2024 for the carrying costs and final sale of Mr. Butler’s home.</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 xml:space="preserve">Financial planning </w:t>
      </w:r>
      <w:r>
        <w:rPr>
          <w:rFonts w:ascii="Arial" w:cs="Arial" w:eastAsia="Arial" w:hAnsi="Arial"/>
          <w:sz w:val="14"/>
          <w:szCs w:val="14"/>
          <w:color w:val="auto"/>
        </w:rPr>
        <w:t>- Annual financial planning allowance up to $16,840 for each executive officer.</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 xml:space="preserve">Health benefits </w:t>
      </w:r>
      <w:r>
        <w:rPr>
          <w:rFonts w:ascii="Arial" w:cs="Arial" w:eastAsia="Arial" w:hAnsi="Arial"/>
          <w:sz w:val="14"/>
          <w:szCs w:val="14"/>
          <w:color w:val="auto"/>
        </w:rPr>
        <w:t>- NEOs and executive officers may use Company-identified medical providers for comprehensive physical examinations and related medical testing.</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 xml:space="preserve">Bring Your Own Device (BYOD) </w:t>
      </w:r>
      <w:r>
        <w:rPr>
          <w:rFonts w:ascii="Arial" w:cs="Arial" w:eastAsia="Arial" w:hAnsi="Arial"/>
          <w:sz w:val="14"/>
          <w:szCs w:val="14"/>
          <w:color w:val="auto"/>
        </w:rPr>
        <w:t>- Exelon’s BYOD policy offers a monthly stipend for personal mobile plans to eligible employees.</w:t>
      </w:r>
    </w:p>
    <w:p>
      <w:pPr>
        <w:spacing w:after="0" w:line="96" w:lineRule="exact"/>
        <w:rPr>
          <w:sz w:val="20"/>
          <w:szCs w:val="20"/>
          <w:color w:val="auto"/>
        </w:rPr>
      </w:pPr>
    </w:p>
    <w:p>
      <w:pPr>
        <w:ind w:left="660" w:right="220"/>
        <w:spacing w:after="0" w:line="325" w:lineRule="auto"/>
        <w:rPr>
          <w:sz w:val="20"/>
          <w:szCs w:val="20"/>
          <w:color w:val="auto"/>
        </w:rPr>
      </w:pPr>
      <w:r>
        <w:rPr>
          <w:rFonts w:ascii="Arial" w:cs="Arial" w:eastAsia="Arial" w:hAnsi="Arial"/>
          <w:sz w:val="14"/>
          <w:szCs w:val="14"/>
          <w:b w:val="1"/>
          <w:bCs w:val="1"/>
          <w:color w:val="auto"/>
        </w:rPr>
        <w:t xml:space="preserve">Event tickets - </w:t>
      </w:r>
      <w:r>
        <w:rPr>
          <w:rFonts w:ascii="Arial" w:cs="Arial" w:eastAsia="Arial" w:hAnsi="Arial"/>
          <w:sz w:val="14"/>
          <w:szCs w:val="14"/>
          <w:color w:val="auto"/>
        </w:rPr>
        <w:t>Executives are permitted to use the corporate-leased boxes for cultural, entertainment or sporting events. For 2024, the amounts for Messrs. Butler</w:t>
      </w:r>
      <w:r>
        <w:rPr>
          <w:rFonts w:ascii="Arial" w:cs="Arial" w:eastAsia="Arial" w:hAnsi="Arial"/>
          <w:sz w:val="14"/>
          <w:szCs w:val="14"/>
          <w:b w:val="1"/>
          <w:bCs w:val="1"/>
          <w:color w:val="auto"/>
        </w:rPr>
        <w:t xml:space="preserve"> </w:t>
      </w:r>
      <w:r>
        <w:rPr>
          <w:rFonts w:ascii="Arial" w:cs="Arial" w:eastAsia="Arial" w:hAnsi="Arial"/>
          <w:sz w:val="14"/>
          <w:szCs w:val="14"/>
          <w:color w:val="auto"/>
        </w:rPr>
        <w:t>and Innocenzo were $10,516 and $4,184, respectively.</w:t>
      </w:r>
    </w:p>
    <w:p>
      <w:pPr>
        <w:spacing w:after="0" w:line="50" w:lineRule="exact"/>
        <w:rPr>
          <w:sz w:val="20"/>
          <w:szCs w:val="20"/>
          <w:color w:val="auto"/>
        </w:rPr>
      </w:pPr>
    </w:p>
    <w:p>
      <w:pPr>
        <w:ind w:left="520" w:right="260" w:hanging="253"/>
        <w:spacing w:after="0" w:line="289" w:lineRule="auto"/>
        <w:tabs>
          <w:tab w:leader="none" w:pos="504" w:val="left"/>
        </w:tabs>
        <w:numPr>
          <w:ilvl w:val="1"/>
          <w:numId w:val="127"/>
        </w:numPr>
        <w:rPr>
          <w:rFonts w:ascii="Arial" w:cs="Arial" w:eastAsia="Arial" w:hAnsi="Arial"/>
          <w:sz w:val="14"/>
          <w:szCs w:val="14"/>
          <w:color w:val="auto"/>
        </w:rPr>
      </w:pPr>
      <w:r>
        <w:rPr>
          <w:rFonts w:ascii="Arial" w:cs="Arial" w:eastAsia="Arial" w:hAnsi="Arial"/>
          <w:sz w:val="14"/>
          <w:szCs w:val="14"/>
          <w:color w:val="auto"/>
        </w:rPr>
        <w:t>Exelon provides reimbursements of certain tax obligations. For Mr. Butler, the reported amount reflects a tax gross-up for his relocation benefit. For Ms. Jones, the amount relates to benefits provided in compliance with a state public service commission requirements to maintain her principal workplace in the District of Columbia pursuant to a regulatory order issued in 2016 in connection with the approval of the acquisition of Pepco Holdings Inc. Pursuant to this regulatory obligation, Exelon provides travel and lodging benefits to the executives covered.</w:t>
      </w:r>
    </w:p>
    <w:p>
      <w:pPr>
        <w:spacing w:after="0" w:line="34" w:lineRule="exact"/>
        <w:rPr>
          <w:rFonts w:ascii="Arial" w:cs="Arial" w:eastAsia="Arial" w:hAnsi="Arial"/>
          <w:sz w:val="14"/>
          <w:szCs w:val="14"/>
          <w:color w:val="auto"/>
        </w:rPr>
      </w:pPr>
    </w:p>
    <w:p>
      <w:pPr>
        <w:ind w:left="520" w:right="360" w:hanging="253"/>
        <w:spacing w:after="0" w:line="325" w:lineRule="auto"/>
        <w:tabs>
          <w:tab w:leader="none" w:pos="510" w:val="left"/>
        </w:tabs>
        <w:numPr>
          <w:ilvl w:val="1"/>
          <w:numId w:val="127"/>
        </w:numPr>
        <w:rPr>
          <w:rFonts w:ascii="Arial" w:cs="Arial" w:eastAsia="Arial" w:hAnsi="Arial"/>
          <w:sz w:val="14"/>
          <w:szCs w:val="14"/>
          <w:color w:val="auto"/>
        </w:rPr>
      </w:pPr>
      <w:r>
        <w:rPr>
          <w:rFonts w:ascii="Arial" w:cs="Arial" w:eastAsia="Arial" w:hAnsi="Arial"/>
          <w:sz w:val="14"/>
          <w:szCs w:val="14"/>
          <w:color w:val="auto"/>
        </w:rPr>
        <w:t>Each of the NEOs are eligible to participate in the Company’s 401(k) and Deferred Compensation Plans. Amounts reported represent Company matching and fixed contributions to the NEOs’ 401(k) accounts and/or Deferred Compensation Plans.</w:t>
      </w:r>
    </w:p>
    <w:p>
      <w:pPr>
        <w:spacing w:after="0" w:line="9" w:lineRule="exact"/>
        <w:rPr>
          <w:rFonts w:ascii="Arial" w:cs="Arial" w:eastAsia="Arial" w:hAnsi="Arial"/>
          <w:sz w:val="14"/>
          <w:szCs w:val="14"/>
          <w:color w:val="auto"/>
        </w:rPr>
      </w:pPr>
    </w:p>
    <w:p>
      <w:pPr>
        <w:ind w:left="520" w:right="760" w:hanging="253"/>
        <w:spacing w:after="0" w:line="325" w:lineRule="auto"/>
        <w:tabs>
          <w:tab w:leader="none" w:pos="504" w:val="left"/>
        </w:tabs>
        <w:numPr>
          <w:ilvl w:val="1"/>
          <w:numId w:val="127"/>
        </w:numPr>
        <w:rPr>
          <w:rFonts w:ascii="Arial" w:cs="Arial" w:eastAsia="Arial" w:hAnsi="Arial"/>
          <w:sz w:val="14"/>
          <w:szCs w:val="14"/>
          <w:color w:val="auto"/>
        </w:rPr>
      </w:pPr>
      <w:r>
        <w:rPr>
          <w:rFonts w:ascii="Arial" w:cs="Arial" w:eastAsia="Arial" w:hAnsi="Arial"/>
          <w:sz w:val="14"/>
          <w:szCs w:val="14"/>
          <w:color w:val="auto"/>
        </w:rPr>
        <w:t>Exelon provides long-term disability insurance to all employees, including NEOs. The values shown in this column include the premiums paid during 2024 for supplemental long-term disability insurance over and above the basic coverage provided to all employees.</w:t>
      </w:r>
    </w:p>
    <w:p>
      <w:pPr>
        <w:spacing w:after="0" w:line="49" w:lineRule="exact"/>
        <w:rPr>
          <w:rFonts w:ascii="Arial" w:cs="Arial" w:eastAsia="Arial" w:hAnsi="Arial"/>
          <w:sz w:val="14"/>
          <w:szCs w:val="14"/>
          <w:color w:val="auto"/>
        </w:rPr>
      </w:pPr>
    </w:p>
    <w:p>
      <w:pPr>
        <w:ind w:left="260" w:hanging="252"/>
        <w:spacing w:after="0"/>
        <w:tabs>
          <w:tab w:leader="none" w:pos="260" w:val="left"/>
        </w:tabs>
        <w:numPr>
          <w:ilvl w:val="0"/>
          <w:numId w:val="128"/>
        </w:numPr>
        <w:rPr>
          <w:rFonts w:ascii="Arial" w:cs="Arial" w:eastAsia="Arial" w:hAnsi="Arial"/>
          <w:sz w:val="8"/>
          <w:szCs w:val="8"/>
          <w:color w:val="auto"/>
        </w:rPr>
      </w:pPr>
      <w:r>
        <w:rPr>
          <w:rFonts w:ascii="Arial" w:cs="Arial" w:eastAsia="Arial" w:hAnsi="Arial"/>
          <w:sz w:val="14"/>
          <w:szCs w:val="14"/>
          <w:color w:val="auto"/>
        </w:rPr>
        <w:t>Mr. Innocenzo was not an NEO for 2023 or 2022.</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780"/>
              <w:spacing w:after="0"/>
              <w:rPr>
                <w:sz w:val="20"/>
                <w:szCs w:val="20"/>
                <w:color w:val="auto"/>
              </w:rPr>
            </w:pPr>
            <w:r>
              <w:rPr>
                <w:rFonts w:ascii="Arial" w:cs="Arial" w:eastAsia="Arial" w:hAnsi="Arial"/>
                <w:sz w:val="14"/>
                <w:szCs w:val="14"/>
                <w:color w:val="auto"/>
              </w:rPr>
              <w:t>2025 ׀ Exelon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61</w:t>
            </w:r>
          </w:p>
        </w:tc>
      </w:tr>
      <w:tr>
        <w:trPr>
          <w:trHeight w:val="225"/>
        </w:trPr>
        <w:tc>
          <w:tcPr>
            <w:tcW w:w="1092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3"/>
          <w:szCs w:val="13"/>
          <w:b w:val="1"/>
          <w:bCs w:val="1"/>
          <w:color w:val="auto"/>
        </w:rPr>
        <w:t>Compensation Discussion &amp; Analysis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Grants of Plan-Based Awards</w:t>
      </w:r>
    </w:p>
    <w:p>
      <w:pPr>
        <w:spacing w:after="0" w:line="112"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The following table presents equity awards (pursuant to the 2020 Long-Term Incentive Plan) and cash awards (pursuant to the 2024 Annual Incentive Plan) granted during fiscal year 2024.</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0" w:type="dxa"/>
            <w:vAlign w:val="bottom"/>
          </w:tcPr>
          <w:p>
            <w:pPr>
              <w:jc w:val="right"/>
              <w:ind w:right="66"/>
              <w:spacing w:after="0"/>
              <w:rPr>
                <w:sz w:val="20"/>
                <w:szCs w:val="20"/>
                <w:color w:val="auto"/>
              </w:rPr>
            </w:pPr>
            <w:r>
              <w:rPr>
                <w:rFonts w:ascii="Arial" w:cs="Arial" w:eastAsia="Arial" w:hAnsi="Arial"/>
                <w:sz w:val="14"/>
                <w:szCs w:val="14"/>
                <w:b w:val="1"/>
                <w:bCs w:val="1"/>
                <w:color w:val="170D67"/>
              </w:rPr>
              <w:t>All Other</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170D67"/>
              </w:rPr>
              <w:t>Grant Date</w:t>
            </w:r>
          </w:p>
        </w:tc>
        <w:tc>
          <w:tcPr>
            <w:tcW w:w="0" w:type="dxa"/>
            <w:vAlign w:val="bottom"/>
          </w:tcPr>
          <w:p>
            <w:pPr>
              <w:spacing w:after="0"/>
              <w:rPr>
                <w:sz w:val="1"/>
                <w:szCs w:val="1"/>
                <w:color w:val="auto"/>
              </w:rPr>
            </w:pPr>
          </w:p>
        </w:tc>
      </w:tr>
      <w:tr>
        <w:trPr>
          <w:trHeight w:val="175"/>
        </w:trPr>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30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170D67"/>
              </w:rPr>
              <w:t>Estimated Future Payouts</w:t>
            </w:r>
          </w:p>
        </w:tc>
        <w:tc>
          <w:tcPr>
            <w:tcW w:w="31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170D67"/>
              </w:rPr>
              <w:t>Estimated Future Payouts</w:t>
            </w:r>
          </w:p>
        </w:tc>
        <w:tc>
          <w:tcPr>
            <w:tcW w:w="1600" w:type="dxa"/>
            <w:vAlign w:val="bottom"/>
          </w:tcPr>
          <w:p>
            <w:pPr>
              <w:jc w:val="right"/>
              <w:ind w:right="66"/>
              <w:spacing w:after="0"/>
              <w:rPr>
                <w:sz w:val="20"/>
                <w:szCs w:val="20"/>
                <w:color w:val="auto"/>
              </w:rPr>
            </w:pPr>
            <w:r>
              <w:rPr>
                <w:rFonts w:ascii="Arial" w:cs="Arial" w:eastAsia="Arial" w:hAnsi="Arial"/>
                <w:sz w:val="14"/>
                <w:szCs w:val="14"/>
                <w:b w:val="1"/>
                <w:bCs w:val="1"/>
                <w:color w:val="170D67"/>
              </w:rPr>
              <w:t>Stock Awards: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170D67"/>
              </w:rPr>
              <w:t>Fair Value</w:t>
            </w: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300" w:type="dxa"/>
            <w:vAlign w:val="bottom"/>
            <w:gridSpan w:val="4"/>
            <w:vMerge w:val="continue"/>
          </w:tcPr>
          <w:p>
            <w:pPr>
              <w:spacing w:after="0"/>
              <w:rPr>
                <w:sz w:val="9"/>
                <w:szCs w:val="9"/>
                <w:color w:val="auto"/>
              </w:rPr>
            </w:pPr>
          </w:p>
        </w:tc>
        <w:tc>
          <w:tcPr>
            <w:tcW w:w="3100" w:type="dxa"/>
            <w:vAlign w:val="bottom"/>
            <w:gridSpan w:val="3"/>
            <w:vMerge w:val="continue"/>
          </w:tcPr>
          <w:p>
            <w:pPr>
              <w:spacing w:after="0"/>
              <w:rPr>
                <w:sz w:val="9"/>
                <w:szCs w:val="9"/>
                <w:color w:val="auto"/>
              </w:rPr>
            </w:pPr>
          </w:p>
        </w:tc>
        <w:tc>
          <w:tcPr>
            <w:tcW w:w="1600" w:type="dxa"/>
            <w:vAlign w:val="bottom"/>
            <w:vMerge w:val="restart"/>
          </w:tcPr>
          <w:p>
            <w:pPr>
              <w:jc w:val="right"/>
              <w:ind w:right="66"/>
              <w:spacing w:after="0"/>
              <w:rPr>
                <w:sz w:val="20"/>
                <w:szCs w:val="20"/>
                <w:color w:val="auto"/>
              </w:rPr>
            </w:pPr>
            <w:r>
              <w:rPr>
                <w:rFonts w:ascii="Arial" w:cs="Arial" w:eastAsia="Arial" w:hAnsi="Arial"/>
                <w:sz w:val="14"/>
                <w:szCs w:val="14"/>
                <w:b w:val="1"/>
                <w:bCs w:val="1"/>
                <w:color w:val="170D67"/>
              </w:rPr>
              <w:t>Number of</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170D67"/>
              </w:rPr>
              <w:t>of Stock</w:t>
            </w:r>
          </w:p>
        </w:tc>
        <w:tc>
          <w:tcPr>
            <w:tcW w:w="0" w:type="dxa"/>
            <w:vAlign w:val="bottom"/>
          </w:tcPr>
          <w:p>
            <w:pPr>
              <w:spacing w:after="0"/>
              <w:rPr>
                <w:sz w:val="1"/>
                <w:szCs w:val="1"/>
                <w:color w:val="auto"/>
              </w:rPr>
            </w:pPr>
          </w:p>
        </w:tc>
      </w:tr>
      <w:tr>
        <w:trPr>
          <w:trHeight w:val="68"/>
        </w:trPr>
        <w:tc>
          <w:tcPr>
            <w:tcW w:w="1420" w:type="dxa"/>
            <w:vAlign w:val="bottom"/>
          </w:tcPr>
          <w:p>
            <w:pPr>
              <w:spacing w:after="0"/>
              <w:rPr>
                <w:sz w:val="5"/>
                <w:szCs w:val="5"/>
                <w:color w:val="auto"/>
              </w:rPr>
            </w:pPr>
          </w:p>
        </w:tc>
        <w:tc>
          <w:tcPr>
            <w:tcW w:w="900" w:type="dxa"/>
            <w:vAlign w:val="bottom"/>
          </w:tcPr>
          <w:p>
            <w:pPr>
              <w:spacing w:after="0"/>
              <w:rPr>
                <w:sz w:val="5"/>
                <w:szCs w:val="5"/>
                <w:color w:val="auto"/>
              </w:rPr>
            </w:pPr>
          </w:p>
        </w:tc>
        <w:tc>
          <w:tcPr>
            <w:tcW w:w="330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170D67"/>
              </w:rPr>
              <w:t>Under Non-Equity Incentive</w:t>
            </w:r>
          </w:p>
        </w:tc>
        <w:tc>
          <w:tcPr>
            <w:tcW w:w="2380" w:type="dxa"/>
            <w:vAlign w:val="bottom"/>
            <w:gridSpan w:val="2"/>
            <w:vMerge w:val="restart"/>
          </w:tcPr>
          <w:p>
            <w:pPr>
              <w:jc w:val="center"/>
              <w:ind w:left="646"/>
              <w:spacing w:after="0"/>
              <w:rPr>
                <w:sz w:val="20"/>
                <w:szCs w:val="20"/>
                <w:color w:val="auto"/>
              </w:rPr>
            </w:pPr>
            <w:r>
              <w:rPr>
                <w:rFonts w:ascii="Arial" w:cs="Arial" w:eastAsia="Arial" w:hAnsi="Arial"/>
                <w:sz w:val="14"/>
                <w:szCs w:val="14"/>
                <w:b w:val="1"/>
                <w:bCs w:val="1"/>
                <w:color w:val="170D67"/>
              </w:rPr>
              <w:t>Under Equity Incentive</w:t>
            </w:r>
          </w:p>
        </w:tc>
        <w:tc>
          <w:tcPr>
            <w:tcW w:w="7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300" w:type="dxa"/>
            <w:vAlign w:val="bottom"/>
            <w:gridSpan w:val="4"/>
            <w:vMerge w:val="continue"/>
          </w:tcPr>
          <w:p>
            <w:pPr>
              <w:spacing w:after="0"/>
              <w:rPr>
                <w:sz w:val="9"/>
                <w:szCs w:val="9"/>
                <w:color w:val="auto"/>
              </w:rPr>
            </w:pPr>
          </w:p>
        </w:tc>
        <w:tc>
          <w:tcPr>
            <w:tcW w:w="238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1600" w:type="dxa"/>
            <w:vAlign w:val="bottom"/>
            <w:vMerge w:val="restart"/>
          </w:tcPr>
          <w:p>
            <w:pPr>
              <w:jc w:val="right"/>
              <w:ind w:right="66"/>
              <w:spacing w:after="0"/>
              <w:rPr>
                <w:sz w:val="20"/>
                <w:szCs w:val="20"/>
                <w:color w:val="auto"/>
              </w:rPr>
            </w:pPr>
            <w:r>
              <w:rPr>
                <w:rFonts w:ascii="Arial" w:cs="Arial" w:eastAsia="Arial" w:hAnsi="Arial"/>
                <w:sz w:val="14"/>
                <w:szCs w:val="14"/>
                <w:b w:val="1"/>
                <w:bCs w:val="1"/>
                <w:color w:val="170D67"/>
              </w:rPr>
              <w:t>Shares of</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170D67"/>
              </w:rPr>
              <w:t>and Option</w:t>
            </w:r>
          </w:p>
        </w:tc>
        <w:tc>
          <w:tcPr>
            <w:tcW w:w="0" w:type="dxa"/>
            <w:vAlign w:val="bottom"/>
          </w:tcPr>
          <w:p>
            <w:pPr>
              <w:spacing w:after="0"/>
              <w:rPr>
                <w:sz w:val="1"/>
                <w:szCs w:val="1"/>
                <w:color w:val="auto"/>
              </w:rPr>
            </w:pPr>
          </w:p>
        </w:tc>
      </w:tr>
      <w:tr>
        <w:trPr>
          <w:trHeight w:val="68"/>
        </w:trPr>
        <w:tc>
          <w:tcPr>
            <w:tcW w:w="14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320" w:type="dxa"/>
            <w:vAlign w:val="bottom"/>
            <w:gridSpan w:val="2"/>
            <w:vMerge w:val="restart"/>
          </w:tcPr>
          <w:p>
            <w:pPr>
              <w:jc w:val="center"/>
              <w:ind w:left="726"/>
              <w:spacing w:after="0"/>
              <w:rPr>
                <w:sz w:val="20"/>
                <w:szCs w:val="20"/>
                <w:color w:val="auto"/>
              </w:rPr>
            </w:pPr>
            <w:r>
              <w:rPr>
                <w:rFonts w:ascii="Arial" w:cs="Arial" w:eastAsia="Arial" w:hAnsi="Arial"/>
                <w:sz w:val="14"/>
                <w:szCs w:val="14"/>
                <w:b w:val="1"/>
                <w:bCs w:val="1"/>
                <w:color w:val="170D67"/>
              </w:rPr>
              <w:t>Plan Awards (Note 1)</w:t>
            </w: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380" w:type="dxa"/>
            <w:vAlign w:val="bottom"/>
            <w:gridSpan w:val="2"/>
            <w:vMerge w:val="restart"/>
          </w:tcPr>
          <w:p>
            <w:pPr>
              <w:jc w:val="center"/>
              <w:ind w:left="646"/>
              <w:spacing w:after="0"/>
              <w:rPr>
                <w:sz w:val="20"/>
                <w:szCs w:val="20"/>
                <w:color w:val="auto"/>
              </w:rPr>
            </w:pPr>
            <w:r>
              <w:rPr>
                <w:rFonts w:ascii="Arial" w:cs="Arial" w:eastAsia="Arial" w:hAnsi="Arial"/>
                <w:sz w:val="14"/>
                <w:szCs w:val="14"/>
                <w:b w:val="1"/>
                <w:bCs w:val="1"/>
                <w:color w:val="170D67"/>
              </w:rPr>
              <w:t>Plan Awards (Note 2)</w:t>
            </w:r>
          </w:p>
        </w:tc>
        <w:tc>
          <w:tcPr>
            <w:tcW w:w="7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20" w:type="dxa"/>
            <w:vAlign w:val="bottom"/>
            <w:tcBorders>
              <w:bottom w:val="single" w:sz="8" w:color="170D67"/>
            </w:tcBorders>
            <w:gridSpan w:val="2"/>
            <w:vMerge w:val="continue"/>
          </w:tcPr>
          <w:p>
            <w:pPr>
              <w:spacing w:after="0"/>
              <w:rPr>
                <w:sz w:val="11"/>
                <w:szCs w:val="11"/>
                <w:color w:val="auto"/>
              </w:rPr>
            </w:pPr>
          </w:p>
        </w:tc>
        <w:tc>
          <w:tcPr>
            <w:tcW w:w="800" w:type="dxa"/>
            <w:vAlign w:val="bottom"/>
            <w:tcBorders>
              <w:bottom w:val="single" w:sz="8" w:color="170D67"/>
            </w:tcBorders>
          </w:tcPr>
          <w:p>
            <w:pPr>
              <w:spacing w:after="0"/>
              <w:rPr>
                <w:sz w:val="11"/>
                <w:szCs w:val="11"/>
                <w:color w:val="auto"/>
              </w:rPr>
            </w:pPr>
          </w:p>
        </w:tc>
        <w:tc>
          <w:tcPr>
            <w:tcW w:w="180" w:type="dxa"/>
            <w:vAlign w:val="bottom"/>
          </w:tcPr>
          <w:p>
            <w:pPr>
              <w:spacing w:after="0"/>
              <w:rPr>
                <w:sz w:val="11"/>
                <w:szCs w:val="11"/>
                <w:color w:val="auto"/>
              </w:rPr>
            </w:pPr>
          </w:p>
        </w:tc>
        <w:tc>
          <w:tcPr>
            <w:tcW w:w="2380" w:type="dxa"/>
            <w:vAlign w:val="bottom"/>
            <w:tcBorders>
              <w:bottom w:val="single" w:sz="8" w:color="170D67"/>
            </w:tcBorders>
            <w:gridSpan w:val="2"/>
            <w:vMerge w:val="continue"/>
          </w:tcPr>
          <w:p>
            <w:pPr>
              <w:spacing w:after="0"/>
              <w:rPr>
                <w:sz w:val="11"/>
                <w:szCs w:val="11"/>
                <w:color w:val="auto"/>
              </w:rPr>
            </w:pPr>
          </w:p>
        </w:tc>
        <w:tc>
          <w:tcPr>
            <w:tcW w:w="720" w:type="dxa"/>
            <w:vAlign w:val="bottom"/>
            <w:tcBorders>
              <w:bottom w:val="single" w:sz="8" w:color="170D67"/>
            </w:tcBorders>
          </w:tcPr>
          <w:p>
            <w:pPr>
              <w:spacing w:after="0"/>
              <w:rPr>
                <w:sz w:val="11"/>
                <w:szCs w:val="11"/>
                <w:color w:val="auto"/>
              </w:rPr>
            </w:pPr>
          </w:p>
        </w:tc>
        <w:tc>
          <w:tcPr>
            <w:tcW w:w="1600" w:type="dxa"/>
            <w:vAlign w:val="bottom"/>
          </w:tcPr>
          <w:p>
            <w:pPr>
              <w:jc w:val="right"/>
              <w:ind w:right="66"/>
              <w:spacing w:after="0" w:line="125" w:lineRule="exact"/>
              <w:rPr>
                <w:sz w:val="20"/>
                <w:szCs w:val="20"/>
                <w:color w:val="auto"/>
              </w:rPr>
            </w:pPr>
            <w:r>
              <w:rPr>
                <w:rFonts w:ascii="Arial" w:cs="Arial" w:eastAsia="Arial" w:hAnsi="Arial"/>
                <w:sz w:val="14"/>
                <w:szCs w:val="14"/>
                <w:b w:val="1"/>
                <w:bCs w:val="1"/>
                <w:color w:val="170D67"/>
              </w:rPr>
              <w:t>Stock or Units</w:t>
            </w:r>
          </w:p>
        </w:tc>
        <w:tc>
          <w:tcPr>
            <w:tcW w:w="900" w:type="dxa"/>
            <w:vAlign w:val="bottom"/>
          </w:tcPr>
          <w:p>
            <w:pPr>
              <w:jc w:val="right"/>
              <w:spacing w:after="0" w:line="125" w:lineRule="exact"/>
              <w:rPr>
                <w:sz w:val="20"/>
                <w:szCs w:val="20"/>
                <w:color w:val="auto"/>
              </w:rPr>
            </w:pPr>
            <w:r>
              <w:rPr>
                <w:rFonts w:ascii="Arial" w:cs="Arial" w:eastAsia="Arial" w:hAnsi="Arial"/>
                <w:sz w:val="14"/>
                <w:szCs w:val="14"/>
                <w:b w:val="1"/>
                <w:bCs w:val="1"/>
                <w:color w:val="170D67"/>
              </w:rPr>
              <w:t>Awards</w:t>
            </w:r>
          </w:p>
        </w:tc>
        <w:tc>
          <w:tcPr>
            <w:tcW w:w="0" w:type="dxa"/>
            <w:vAlign w:val="bottom"/>
          </w:tcPr>
          <w:p>
            <w:pPr>
              <w:spacing w:after="0"/>
              <w:rPr>
                <w:sz w:val="1"/>
                <w:szCs w:val="1"/>
                <w:color w:val="auto"/>
              </w:rPr>
            </w:pPr>
          </w:p>
        </w:tc>
      </w:tr>
      <w:tr>
        <w:trPr>
          <w:trHeight w:val="188"/>
        </w:trPr>
        <w:tc>
          <w:tcPr>
            <w:tcW w:w="14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170D67"/>
              </w:rPr>
              <w:t>Grant</w:t>
            </w:r>
          </w:p>
        </w:tc>
        <w:tc>
          <w:tcPr>
            <w:tcW w:w="1180" w:type="dxa"/>
            <w:vAlign w:val="bottom"/>
          </w:tcPr>
          <w:p>
            <w:pPr>
              <w:jc w:val="right"/>
              <w:ind w:right="86"/>
              <w:spacing w:after="0"/>
              <w:rPr>
                <w:sz w:val="20"/>
                <w:szCs w:val="20"/>
                <w:color w:val="auto"/>
              </w:rPr>
            </w:pPr>
            <w:r>
              <w:rPr>
                <w:rFonts w:ascii="Arial" w:cs="Arial" w:eastAsia="Arial" w:hAnsi="Arial"/>
                <w:sz w:val="14"/>
                <w:szCs w:val="14"/>
                <w:b w:val="1"/>
                <w:bCs w:val="1"/>
                <w:color w:val="170D67"/>
              </w:rPr>
              <w:t>Threshold</w:t>
            </w:r>
          </w:p>
        </w:tc>
        <w:tc>
          <w:tcPr>
            <w:tcW w:w="1140" w:type="dxa"/>
            <w:vAlign w:val="bottom"/>
          </w:tcPr>
          <w:p>
            <w:pPr>
              <w:jc w:val="right"/>
              <w:ind w:right="185"/>
              <w:spacing w:after="0"/>
              <w:rPr>
                <w:sz w:val="20"/>
                <w:szCs w:val="20"/>
                <w:color w:val="auto"/>
              </w:rPr>
            </w:pPr>
            <w:r>
              <w:rPr>
                <w:rFonts w:ascii="Arial" w:cs="Arial" w:eastAsia="Arial" w:hAnsi="Arial"/>
                <w:sz w:val="14"/>
                <w:szCs w:val="14"/>
                <w:b w:val="1"/>
                <w:bCs w:val="1"/>
                <w:color w:val="170D67"/>
              </w:rPr>
              <w:t>Target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170D67"/>
              </w:rPr>
              <w:t>Maximum</w:t>
            </w:r>
          </w:p>
        </w:tc>
        <w:tc>
          <w:tcPr>
            <w:tcW w:w="1220" w:type="dxa"/>
            <w:vAlign w:val="bottom"/>
          </w:tcPr>
          <w:p>
            <w:pPr>
              <w:jc w:val="right"/>
              <w:ind w:right="126"/>
              <w:spacing w:after="0"/>
              <w:rPr>
                <w:sz w:val="20"/>
                <w:szCs w:val="20"/>
                <w:color w:val="auto"/>
              </w:rPr>
            </w:pPr>
            <w:r>
              <w:rPr>
                <w:rFonts w:ascii="Arial" w:cs="Arial" w:eastAsia="Arial" w:hAnsi="Arial"/>
                <w:sz w:val="14"/>
                <w:szCs w:val="14"/>
                <w:b w:val="1"/>
                <w:bCs w:val="1"/>
                <w:color w:val="170D67"/>
              </w:rPr>
              <w:t>Threshold</w:t>
            </w:r>
          </w:p>
        </w:tc>
        <w:tc>
          <w:tcPr>
            <w:tcW w:w="1160" w:type="dxa"/>
            <w:vAlign w:val="bottom"/>
          </w:tcPr>
          <w:p>
            <w:pPr>
              <w:jc w:val="right"/>
              <w:ind w:right="245"/>
              <w:spacing w:after="0"/>
              <w:rPr>
                <w:sz w:val="20"/>
                <w:szCs w:val="20"/>
                <w:color w:val="auto"/>
              </w:rPr>
            </w:pPr>
            <w:r>
              <w:rPr>
                <w:rFonts w:ascii="Arial" w:cs="Arial" w:eastAsia="Arial" w:hAnsi="Arial"/>
                <w:sz w:val="14"/>
                <w:szCs w:val="14"/>
                <w:b w:val="1"/>
                <w:bCs w:val="1"/>
                <w:color w:val="170D67"/>
              </w:rPr>
              <w:t>Target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170D67"/>
              </w:rPr>
              <w:t>Maximum</w:t>
            </w:r>
          </w:p>
        </w:tc>
        <w:tc>
          <w:tcPr>
            <w:tcW w:w="1600" w:type="dxa"/>
            <w:vAlign w:val="bottom"/>
          </w:tcPr>
          <w:p>
            <w:pPr>
              <w:jc w:val="right"/>
              <w:ind w:right="66"/>
              <w:spacing w:after="0"/>
              <w:rPr>
                <w:sz w:val="20"/>
                <w:szCs w:val="20"/>
                <w:color w:val="auto"/>
              </w:rPr>
            </w:pPr>
            <w:r>
              <w:rPr>
                <w:rFonts w:ascii="Arial" w:cs="Arial" w:eastAsia="Arial" w:hAnsi="Arial"/>
                <w:sz w:val="14"/>
                <w:szCs w:val="14"/>
                <w:b w:val="1"/>
                <w:bCs w:val="1"/>
                <w:color w:val="170D67"/>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170D67"/>
              </w:rPr>
              <w:t>($)</w:t>
            </w:r>
          </w:p>
        </w:tc>
        <w:tc>
          <w:tcPr>
            <w:tcW w:w="0" w:type="dxa"/>
            <w:vAlign w:val="bottom"/>
          </w:tcPr>
          <w:p>
            <w:pPr>
              <w:spacing w:after="0"/>
              <w:rPr>
                <w:sz w:val="1"/>
                <w:szCs w:val="1"/>
                <w:color w:val="auto"/>
              </w:rPr>
            </w:pPr>
          </w:p>
        </w:tc>
      </w:tr>
      <w:tr>
        <w:trPr>
          <w:trHeight w:val="205"/>
        </w:trPr>
        <w:tc>
          <w:tcPr>
            <w:tcW w:w="1420" w:type="dxa"/>
            <w:vAlign w:val="bottom"/>
            <w:tcBorders>
              <w:bottom w:val="single" w:sz="8" w:color="170D67"/>
            </w:tcBorders>
          </w:tcPr>
          <w:p>
            <w:pPr>
              <w:ind w:left="20"/>
              <w:spacing w:after="0"/>
              <w:rPr>
                <w:sz w:val="20"/>
                <w:szCs w:val="20"/>
                <w:color w:val="auto"/>
              </w:rPr>
            </w:pPr>
            <w:r>
              <w:rPr>
                <w:rFonts w:ascii="Arial" w:cs="Arial" w:eastAsia="Arial" w:hAnsi="Arial"/>
                <w:sz w:val="14"/>
                <w:szCs w:val="14"/>
                <w:b w:val="1"/>
                <w:bCs w:val="1"/>
                <w:color w:val="170D67"/>
              </w:rPr>
              <w:t>Name</w:t>
            </w:r>
          </w:p>
        </w:tc>
        <w:tc>
          <w:tcPr>
            <w:tcW w:w="900" w:type="dxa"/>
            <w:vAlign w:val="bottom"/>
            <w:tcBorders>
              <w:bottom w:val="single" w:sz="8" w:color="170D67"/>
            </w:tcBorders>
          </w:tcPr>
          <w:p>
            <w:pPr>
              <w:jc w:val="center"/>
              <w:spacing w:after="0"/>
              <w:rPr>
                <w:sz w:val="20"/>
                <w:szCs w:val="20"/>
                <w:color w:val="auto"/>
              </w:rPr>
            </w:pPr>
            <w:r>
              <w:rPr>
                <w:rFonts w:ascii="Arial" w:cs="Arial" w:eastAsia="Arial" w:hAnsi="Arial"/>
                <w:sz w:val="14"/>
                <w:szCs w:val="14"/>
                <w:b w:val="1"/>
                <w:bCs w:val="1"/>
                <w:color w:val="170D67"/>
              </w:rPr>
              <w:t>Date</w:t>
            </w:r>
          </w:p>
        </w:tc>
        <w:tc>
          <w:tcPr>
            <w:tcW w:w="1180" w:type="dxa"/>
            <w:vAlign w:val="bottom"/>
            <w:tcBorders>
              <w:bottom w:val="single" w:sz="8" w:color="170D67"/>
            </w:tcBorders>
          </w:tcPr>
          <w:p>
            <w:pPr>
              <w:jc w:val="right"/>
              <w:ind w:right="86"/>
              <w:spacing w:after="0"/>
              <w:rPr>
                <w:sz w:val="20"/>
                <w:szCs w:val="20"/>
                <w:color w:val="auto"/>
              </w:rPr>
            </w:pPr>
            <w:r>
              <w:rPr>
                <w:rFonts w:ascii="Arial" w:cs="Arial" w:eastAsia="Arial" w:hAnsi="Arial"/>
                <w:sz w:val="14"/>
                <w:szCs w:val="14"/>
                <w:b w:val="1"/>
                <w:bCs w:val="1"/>
                <w:color w:val="170D67"/>
              </w:rPr>
              <w:t>($)</w:t>
            </w:r>
          </w:p>
        </w:tc>
        <w:tc>
          <w:tcPr>
            <w:tcW w:w="1140" w:type="dxa"/>
            <w:vAlign w:val="bottom"/>
            <w:tcBorders>
              <w:bottom w:val="single" w:sz="8" w:color="170D67"/>
            </w:tcBorders>
          </w:tcPr>
          <w:p>
            <w:pPr>
              <w:jc w:val="right"/>
              <w:ind w:right="185"/>
              <w:spacing w:after="0"/>
              <w:rPr>
                <w:sz w:val="20"/>
                <w:szCs w:val="20"/>
                <w:color w:val="auto"/>
              </w:rPr>
            </w:pPr>
            <w:r>
              <w:rPr>
                <w:rFonts w:ascii="Arial" w:cs="Arial" w:eastAsia="Arial" w:hAnsi="Arial"/>
                <w:sz w:val="14"/>
                <w:szCs w:val="14"/>
                <w:b w:val="1"/>
                <w:bCs w:val="1"/>
                <w:color w:val="170D67"/>
              </w:rPr>
              <w:t>($)</w:t>
            </w:r>
          </w:p>
        </w:tc>
        <w:tc>
          <w:tcPr>
            <w:tcW w:w="800" w:type="dxa"/>
            <w:vAlign w:val="bottom"/>
            <w:tcBorders>
              <w:bottom w:val="single" w:sz="8" w:color="170D67"/>
            </w:tcBorders>
          </w:tcPr>
          <w:p>
            <w:pPr>
              <w:jc w:val="right"/>
              <w:spacing w:after="0"/>
              <w:rPr>
                <w:sz w:val="20"/>
                <w:szCs w:val="20"/>
                <w:color w:val="auto"/>
              </w:rPr>
            </w:pPr>
            <w:r>
              <w:rPr>
                <w:rFonts w:ascii="Arial" w:cs="Arial" w:eastAsia="Arial" w:hAnsi="Arial"/>
                <w:sz w:val="14"/>
                <w:szCs w:val="14"/>
                <w:b w:val="1"/>
                <w:bCs w:val="1"/>
                <w:color w:val="170D67"/>
              </w:rPr>
              <w:t>($)</w:t>
            </w:r>
          </w:p>
        </w:tc>
        <w:tc>
          <w:tcPr>
            <w:tcW w:w="180" w:type="dxa"/>
            <w:vAlign w:val="bottom"/>
            <w:tcBorders>
              <w:bottom w:val="single" w:sz="8" w:color="170D67"/>
            </w:tcBorders>
          </w:tcPr>
          <w:p>
            <w:pPr>
              <w:spacing w:after="0"/>
              <w:rPr>
                <w:sz w:val="17"/>
                <w:szCs w:val="17"/>
                <w:color w:val="auto"/>
              </w:rPr>
            </w:pPr>
          </w:p>
        </w:tc>
        <w:tc>
          <w:tcPr>
            <w:tcW w:w="1220" w:type="dxa"/>
            <w:vAlign w:val="bottom"/>
            <w:tcBorders>
              <w:bottom w:val="single" w:sz="8" w:color="170D67"/>
            </w:tcBorders>
          </w:tcPr>
          <w:p>
            <w:pPr>
              <w:jc w:val="right"/>
              <w:ind w:right="126"/>
              <w:spacing w:after="0"/>
              <w:rPr>
                <w:sz w:val="20"/>
                <w:szCs w:val="20"/>
                <w:color w:val="auto"/>
              </w:rPr>
            </w:pPr>
            <w:r>
              <w:rPr>
                <w:rFonts w:ascii="Arial" w:cs="Arial" w:eastAsia="Arial" w:hAnsi="Arial"/>
                <w:sz w:val="14"/>
                <w:szCs w:val="14"/>
                <w:b w:val="1"/>
                <w:bCs w:val="1"/>
                <w:color w:val="170D67"/>
              </w:rPr>
              <w:t>(#)</w:t>
            </w:r>
          </w:p>
        </w:tc>
        <w:tc>
          <w:tcPr>
            <w:tcW w:w="1160" w:type="dxa"/>
            <w:vAlign w:val="bottom"/>
            <w:tcBorders>
              <w:bottom w:val="single" w:sz="8" w:color="170D67"/>
            </w:tcBorders>
          </w:tcPr>
          <w:p>
            <w:pPr>
              <w:jc w:val="right"/>
              <w:ind w:right="245"/>
              <w:spacing w:after="0"/>
              <w:rPr>
                <w:sz w:val="20"/>
                <w:szCs w:val="20"/>
                <w:color w:val="auto"/>
              </w:rPr>
            </w:pPr>
            <w:r>
              <w:rPr>
                <w:rFonts w:ascii="Arial" w:cs="Arial" w:eastAsia="Arial" w:hAnsi="Arial"/>
                <w:sz w:val="14"/>
                <w:szCs w:val="14"/>
                <w:b w:val="1"/>
                <w:bCs w:val="1"/>
                <w:color w:val="170D67"/>
              </w:rPr>
              <w:t>(#)</w:t>
            </w:r>
          </w:p>
        </w:tc>
        <w:tc>
          <w:tcPr>
            <w:tcW w:w="720" w:type="dxa"/>
            <w:vAlign w:val="bottom"/>
            <w:tcBorders>
              <w:bottom w:val="single" w:sz="8" w:color="170D67"/>
            </w:tcBorders>
          </w:tcPr>
          <w:p>
            <w:pPr>
              <w:jc w:val="right"/>
              <w:spacing w:after="0"/>
              <w:rPr>
                <w:sz w:val="20"/>
                <w:szCs w:val="20"/>
                <w:color w:val="auto"/>
              </w:rPr>
            </w:pPr>
            <w:r>
              <w:rPr>
                <w:rFonts w:ascii="Arial" w:cs="Arial" w:eastAsia="Arial" w:hAnsi="Arial"/>
                <w:sz w:val="14"/>
                <w:szCs w:val="14"/>
                <w:b w:val="1"/>
                <w:bCs w:val="1"/>
                <w:color w:val="170D67"/>
              </w:rPr>
              <w:t>(#)</w:t>
            </w:r>
          </w:p>
        </w:tc>
        <w:tc>
          <w:tcPr>
            <w:tcW w:w="1600" w:type="dxa"/>
            <w:vAlign w:val="bottom"/>
            <w:tcBorders>
              <w:bottom w:val="single" w:sz="8" w:color="170D67"/>
            </w:tcBorders>
          </w:tcPr>
          <w:p>
            <w:pPr>
              <w:jc w:val="right"/>
              <w:ind w:right="66"/>
              <w:spacing w:after="0"/>
              <w:rPr>
                <w:sz w:val="20"/>
                <w:szCs w:val="20"/>
                <w:color w:val="auto"/>
              </w:rPr>
            </w:pPr>
            <w:r>
              <w:rPr>
                <w:rFonts w:ascii="Arial" w:cs="Arial" w:eastAsia="Arial" w:hAnsi="Arial"/>
                <w:sz w:val="14"/>
                <w:szCs w:val="14"/>
                <w:b w:val="1"/>
                <w:bCs w:val="1"/>
                <w:color w:val="170D67"/>
              </w:rPr>
              <w:t>(Note 3)</w:t>
            </w:r>
          </w:p>
        </w:tc>
        <w:tc>
          <w:tcPr>
            <w:tcW w:w="900" w:type="dxa"/>
            <w:vAlign w:val="bottom"/>
            <w:tcBorders>
              <w:bottom w:val="single" w:sz="8" w:color="170D67"/>
            </w:tcBorders>
          </w:tcPr>
          <w:p>
            <w:pPr>
              <w:jc w:val="right"/>
              <w:spacing w:after="0"/>
              <w:rPr>
                <w:sz w:val="20"/>
                <w:szCs w:val="20"/>
                <w:color w:val="auto"/>
              </w:rPr>
            </w:pPr>
            <w:r>
              <w:rPr>
                <w:rFonts w:ascii="Arial" w:cs="Arial" w:eastAsia="Arial" w:hAnsi="Arial"/>
                <w:sz w:val="14"/>
                <w:szCs w:val="14"/>
                <w:b w:val="1"/>
                <w:bCs w:val="1"/>
                <w:color w:val="170D67"/>
              </w:rPr>
              <w:t>(Note 4)</w:t>
            </w:r>
          </w:p>
        </w:tc>
        <w:tc>
          <w:tcPr>
            <w:tcW w:w="0" w:type="dxa"/>
            <w:vAlign w:val="bottom"/>
          </w:tcPr>
          <w:p>
            <w:pPr>
              <w:spacing w:after="0"/>
              <w:rPr>
                <w:sz w:val="1"/>
                <w:szCs w:val="1"/>
                <w:color w:val="auto"/>
              </w:rPr>
            </w:pPr>
          </w:p>
        </w:tc>
      </w:tr>
      <w:tr>
        <w:trPr>
          <w:trHeight w:val="210"/>
        </w:trPr>
        <w:tc>
          <w:tcPr>
            <w:tcW w:w="1420" w:type="dxa"/>
            <w:vAlign w:val="bottom"/>
          </w:tcPr>
          <w:p>
            <w:pPr>
              <w:ind w:left="20"/>
              <w:spacing w:after="0"/>
              <w:rPr>
                <w:sz w:val="20"/>
                <w:szCs w:val="20"/>
                <w:color w:val="auto"/>
              </w:rPr>
            </w:pPr>
            <w:r>
              <w:rPr>
                <w:rFonts w:ascii="Arial" w:cs="Arial" w:eastAsia="Arial" w:hAnsi="Arial"/>
                <w:sz w:val="15"/>
                <w:szCs w:val="15"/>
                <w:color w:val="auto"/>
              </w:rPr>
              <w:t>Butler</w:t>
            </w:r>
          </w:p>
        </w:tc>
        <w:tc>
          <w:tcPr>
            <w:tcW w:w="900" w:type="dxa"/>
            <w:vAlign w:val="bottom"/>
          </w:tcPr>
          <w:p>
            <w:pPr>
              <w:jc w:val="center"/>
              <w:spacing w:after="0"/>
              <w:rPr>
                <w:sz w:val="20"/>
                <w:szCs w:val="20"/>
                <w:color w:val="auto"/>
              </w:rPr>
            </w:pPr>
            <w:r>
              <w:rPr>
                <w:rFonts w:ascii="Arial" w:cs="Arial" w:eastAsia="Arial" w:hAnsi="Arial"/>
                <w:sz w:val="15"/>
                <w:szCs w:val="15"/>
                <w:color w:val="auto"/>
              </w:rPr>
              <w:t>1/29/24</w:t>
            </w:r>
          </w:p>
        </w:tc>
        <w:tc>
          <w:tcPr>
            <w:tcW w:w="1180" w:type="dxa"/>
            <w:vAlign w:val="bottom"/>
          </w:tcPr>
          <w:p>
            <w:pPr>
              <w:jc w:val="right"/>
              <w:ind w:right="146"/>
              <w:spacing w:after="0"/>
              <w:rPr>
                <w:sz w:val="20"/>
                <w:szCs w:val="20"/>
                <w:color w:val="auto"/>
              </w:rPr>
            </w:pPr>
            <w:r>
              <w:rPr>
                <w:rFonts w:ascii="Arial" w:cs="Arial" w:eastAsia="Arial" w:hAnsi="Arial"/>
                <w:sz w:val="15"/>
                <w:szCs w:val="15"/>
                <w:color w:val="auto"/>
              </w:rPr>
              <w:t>96,600</w:t>
            </w:r>
          </w:p>
        </w:tc>
        <w:tc>
          <w:tcPr>
            <w:tcW w:w="1140" w:type="dxa"/>
            <w:vAlign w:val="bottom"/>
          </w:tcPr>
          <w:p>
            <w:pPr>
              <w:jc w:val="right"/>
              <w:ind w:right="245"/>
              <w:spacing w:after="0"/>
              <w:rPr>
                <w:sz w:val="20"/>
                <w:szCs w:val="20"/>
                <w:color w:val="auto"/>
              </w:rPr>
            </w:pPr>
            <w:r>
              <w:rPr>
                <w:rFonts w:ascii="Arial" w:cs="Arial" w:eastAsia="Arial" w:hAnsi="Arial"/>
                <w:sz w:val="15"/>
                <w:szCs w:val="15"/>
                <w:color w:val="auto"/>
              </w:rPr>
              <w:t>1,932,000</w:t>
            </w: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3,864,000</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420" w:type="dxa"/>
            <w:vAlign w:val="bottom"/>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1180" w:type="dxa"/>
            <w:vAlign w:val="bottom"/>
            <w:tcBorders>
              <w:bottom w:val="single" w:sz="8" w:color="808080"/>
            </w:tcBorders>
          </w:tcPr>
          <w:p>
            <w:pPr>
              <w:spacing w:after="0"/>
              <w:rPr>
                <w:sz w:val="2"/>
                <w:szCs w:val="2"/>
                <w:color w:val="auto"/>
              </w:rPr>
            </w:pPr>
          </w:p>
        </w:tc>
        <w:tc>
          <w:tcPr>
            <w:tcW w:w="114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1220" w:type="dxa"/>
            <w:vAlign w:val="bottom"/>
            <w:tcBorders>
              <w:bottom w:val="single" w:sz="8" w:color="808080"/>
            </w:tcBorders>
          </w:tcPr>
          <w:p>
            <w:pPr>
              <w:spacing w:after="0"/>
              <w:rPr>
                <w:sz w:val="2"/>
                <w:szCs w:val="2"/>
                <w:color w:val="auto"/>
              </w:rPr>
            </w:pPr>
          </w:p>
        </w:tc>
        <w:tc>
          <w:tcPr>
            <w:tcW w:w="116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1600" w:type="dxa"/>
            <w:vAlign w:val="bottom"/>
            <w:tcBorders>
              <w:bottom w:val="single" w:sz="8" w:color="808080"/>
            </w:tcBorders>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rPr>
              <w:t>1/29/24</w:t>
            </w: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0" w:type="dxa"/>
            <w:vAlign w:val="bottom"/>
          </w:tcPr>
          <w:p>
            <w:pPr>
              <w:jc w:val="right"/>
              <w:ind w:right="106"/>
              <w:spacing w:after="0"/>
              <w:rPr>
                <w:sz w:val="20"/>
                <w:szCs w:val="20"/>
                <w:color w:val="auto"/>
              </w:rPr>
            </w:pPr>
            <w:r>
              <w:rPr>
                <w:rFonts w:ascii="Arial" w:cs="Arial" w:eastAsia="Arial" w:hAnsi="Arial"/>
                <w:sz w:val="15"/>
                <w:szCs w:val="15"/>
                <w:color w:val="auto"/>
              </w:rPr>
              <w:t>88,836</w:t>
            </w:r>
          </w:p>
        </w:tc>
        <w:tc>
          <w:tcPr>
            <w:tcW w:w="900" w:type="dxa"/>
            <w:vAlign w:val="bottom"/>
          </w:tcPr>
          <w:p>
            <w:pPr>
              <w:jc w:val="right"/>
              <w:spacing w:after="0"/>
              <w:rPr>
                <w:sz w:val="20"/>
                <w:szCs w:val="20"/>
                <w:color w:val="auto"/>
              </w:rPr>
            </w:pPr>
            <w:r>
              <w:rPr>
                <w:rFonts w:ascii="Arial" w:cs="Arial" w:eastAsia="Arial" w:hAnsi="Arial"/>
                <w:sz w:val="15"/>
                <w:szCs w:val="15"/>
                <w:color w:val="auto"/>
              </w:rPr>
              <w:t>3,135,022</w:t>
            </w:r>
          </w:p>
        </w:tc>
        <w:tc>
          <w:tcPr>
            <w:tcW w:w="0" w:type="dxa"/>
            <w:vAlign w:val="bottom"/>
          </w:tcPr>
          <w:p>
            <w:pPr>
              <w:spacing w:after="0"/>
              <w:rPr>
                <w:sz w:val="1"/>
                <w:szCs w:val="1"/>
                <w:color w:val="auto"/>
              </w:rPr>
            </w:pPr>
          </w:p>
        </w:tc>
      </w:tr>
      <w:tr>
        <w:trPr>
          <w:trHeight w:val="33"/>
        </w:trPr>
        <w:tc>
          <w:tcPr>
            <w:tcW w:w="1420" w:type="dxa"/>
            <w:vAlign w:val="bottom"/>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1180" w:type="dxa"/>
            <w:vAlign w:val="bottom"/>
            <w:tcBorders>
              <w:bottom w:val="single" w:sz="8" w:color="808080"/>
            </w:tcBorders>
          </w:tcPr>
          <w:p>
            <w:pPr>
              <w:spacing w:after="0"/>
              <w:rPr>
                <w:sz w:val="2"/>
                <w:szCs w:val="2"/>
                <w:color w:val="auto"/>
              </w:rPr>
            </w:pPr>
          </w:p>
        </w:tc>
        <w:tc>
          <w:tcPr>
            <w:tcW w:w="114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1220" w:type="dxa"/>
            <w:vAlign w:val="bottom"/>
            <w:tcBorders>
              <w:bottom w:val="single" w:sz="8" w:color="808080"/>
            </w:tcBorders>
          </w:tcPr>
          <w:p>
            <w:pPr>
              <w:spacing w:after="0"/>
              <w:rPr>
                <w:sz w:val="2"/>
                <w:szCs w:val="2"/>
                <w:color w:val="auto"/>
              </w:rPr>
            </w:pPr>
          </w:p>
        </w:tc>
        <w:tc>
          <w:tcPr>
            <w:tcW w:w="116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1600" w:type="dxa"/>
            <w:vAlign w:val="bottom"/>
            <w:tcBorders>
              <w:bottom w:val="single" w:sz="8" w:color="808080"/>
            </w:tcBorders>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4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rPr>
              <w:t>1/29/24</w:t>
            </w: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186"/>
              <w:spacing w:after="0"/>
              <w:rPr>
                <w:sz w:val="20"/>
                <w:szCs w:val="20"/>
                <w:color w:val="auto"/>
              </w:rPr>
            </w:pPr>
            <w:r>
              <w:rPr>
                <w:rFonts w:ascii="Arial" w:cs="Arial" w:eastAsia="Arial" w:hAnsi="Arial"/>
                <w:sz w:val="15"/>
                <w:szCs w:val="15"/>
                <w:color w:val="auto"/>
              </w:rPr>
              <w:t>30,067</w:t>
            </w:r>
          </w:p>
        </w:tc>
        <w:tc>
          <w:tcPr>
            <w:tcW w:w="1160" w:type="dxa"/>
            <w:vAlign w:val="bottom"/>
          </w:tcPr>
          <w:p>
            <w:pPr>
              <w:jc w:val="right"/>
              <w:ind w:right="305"/>
              <w:spacing w:after="0"/>
              <w:rPr>
                <w:sz w:val="20"/>
                <w:szCs w:val="20"/>
                <w:color w:val="auto"/>
              </w:rPr>
            </w:pPr>
            <w:r>
              <w:rPr>
                <w:rFonts w:ascii="Arial" w:cs="Arial" w:eastAsia="Arial" w:hAnsi="Arial"/>
                <w:sz w:val="15"/>
                <w:szCs w:val="15"/>
                <w:color w:val="auto"/>
              </w:rPr>
              <w:t>180,363</w:t>
            </w:r>
          </w:p>
        </w:tc>
        <w:tc>
          <w:tcPr>
            <w:tcW w:w="720" w:type="dxa"/>
            <w:vAlign w:val="bottom"/>
          </w:tcPr>
          <w:p>
            <w:pPr>
              <w:jc w:val="right"/>
              <w:spacing w:after="0"/>
              <w:rPr>
                <w:sz w:val="20"/>
                <w:szCs w:val="20"/>
                <w:color w:val="auto"/>
              </w:rPr>
            </w:pPr>
            <w:r>
              <w:rPr>
                <w:rFonts w:ascii="Arial" w:cs="Arial" w:eastAsia="Arial" w:hAnsi="Arial"/>
                <w:sz w:val="15"/>
                <w:szCs w:val="15"/>
                <w:color w:val="auto"/>
              </w:rPr>
              <w:t>360,726</w:t>
            </w:r>
          </w:p>
        </w:tc>
        <w:tc>
          <w:tcPr>
            <w:tcW w:w="1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6,034,030</w:t>
            </w:r>
          </w:p>
        </w:tc>
        <w:tc>
          <w:tcPr>
            <w:tcW w:w="0" w:type="dxa"/>
            <w:vAlign w:val="bottom"/>
          </w:tcPr>
          <w:p>
            <w:pPr>
              <w:spacing w:after="0"/>
              <w:rPr>
                <w:sz w:val="1"/>
                <w:szCs w:val="1"/>
                <w:color w:val="auto"/>
              </w:rPr>
            </w:pPr>
          </w:p>
        </w:tc>
      </w:tr>
      <w:tr>
        <w:trPr>
          <w:trHeight w:val="33"/>
        </w:trPr>
        <w:tc>
          <w:tcPr>
            <w:tcW w:w="1420" w:type="dxa"/>
            <w:vAlign w:val="bottom"/>
            <w:tcBorders>
              <w:bottom w:val="single" w:sz="8" w:color="808080"/>
            </w:tcBorders>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1180" w:type="dxa"/>
            <w:vAlign w:val="bottom"/>
            <w:tcBorders>
              <w:bottom w:val="single" w:sz="8" w:color="808080"/>
            </w:tcBorders>
          </w:tcPr>
          <w:p>
            <w:pPr>
              <w:spacing w:after="0"/>
              <w:rPr>
                <w:sz w:val="2"/>
                <w:szCs w:val="2"/>
                <w:color w:val="auto"/>
              </w:rPr>
            </w:pPr>
          </w:p>
        </w:tc>
        <w:tc>
          <w:tcPr>
            <w:tcW w:w="114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1220" w:type="dxa"/>
            <w:vAlign w:val="bottom"/>
            <w:tcBorders>
              <w:bottom w:val="single" w:sz="8" w:color="808080"/>
            </w:tcBorders>
          </w:tcPr>
          <w:p>
            <w:pPr>
              <w:spacing w:after="0"/>
              <w:rPr>
                <w:sz w:val="2"/>
                <w:szCs w:val="2"/>
                <w:color w:val="auto"/>
              </w:rPr>
            </w:pPr>
          </w:p>
        </w:tc>
        <w:tc>
          <w:tcPr>
            <w:tcW w:w="116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1600" w:type="dxa"/>
            <w:vAlign w:val="bottom"/>
            <w:tcBorders>
              <w:bottom w:val="single" w:sz="8" w:color="808080"/>
            </w:tcBorders>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420" w:type="dxa"/>
            <w:vAlign w:val="bottom"/>
          </w:tcPr>
          <w:p>
            <w:pPr>
              <w:ind w:left="20"/>
              <w:spacing w:after="0"/>
              <w:rPr>
                <w:sz w:val="20"/>
                <w:szCs w:val="20"/>
                <w:color w:val="auto"/>
              </w:rPr>
            </w:pPr>
            <w:r>
              <w:rPr>
                <w:rFonts w:ascii="Arial" w:cs="Arial" w:eastAsia="Arial" w:hAnsi="Arial"/>
                <w:sz w:val="15"/>
                <w:szCs w:val="15"/>
                <w:color w:val="auto"/>
              </w:rPr>
              <w:t>Jones</w:t>
            </w:r>
          </w:p>
        </w:tc>
        <w:tc>
          <w:tcPr>
            <w:tcW w:w="900" w:type="dxa"/>
            <w:vAlign w:val="bottom"/>
          </w:tcPr>
          <w:p>
            <w:pPr>
              <w:jc w:val="center"/>
              <w:spacing w:after="0"/>
              <w:rPr>
                <w:sz w:val="20"/>
                <w:szCs w:val="20"/>
                <w:color w:val="auto"/>
              </w:rPr>
            </w:pPr>
            <w:r>
              <w:rPr>
                <w:rFonts w:ascii="Arial" w:cs="Arial" w:eastAsia="Arial" w:hAnsi="Arial"/>
                <w:sz w:val="15"/>
                <w:szCs w:val="15"/>
                <w:color w:val="auto"/>
              </w:rPr>
              <w:t>1/29/24</w:t>
            </w:r>
          </w:p>
        </w:tc>
        <w:tc>
          <w:tcPr>
            <w:tcW w:w="1180" w:type="dxa"/>
            <w:vAlign w:val="bottom"/>
          </w:tcPr>
          <w:p>
            <w:pPr>
              <w:jc w:val="right"/>
              <w:ind w:right="146"/>
              <w:spacing w:after="0"/>
              <w:rPr>
                <w:sz w:val="20"/>
                <w:szCs w:val="20"/>
                <w:color w:val="auto"/>
              </w:rPr>
            </w:pPr>
            <w:r>
              <w:rPr>
                <w:rFonts w:ascii="Arial" w:cs="Arial" w:eastAsia="Arial" w:hAnsi="Arial"/>
                <w:sz w:val="15"/>
                <w:szCs w:val="15"/>
                <w:color w:val="auto"/>
              </w:rPr>
              <w:t>32,549</w:t>
            </w:r>
          </w:p>
        </w:tc>
        <w:tc>
          <w:tcPr>
            <w:tcW w:w="1140" w:type="dxa"/>
            <w:vAlign w:val="bottom"/>
          </w:tcPr>
          <w:p>
            <w:pPr>
              <w:jc w:val="right"/>
              <w:ind w:right="245"/>
              <w:spacing w:after="0"/>
              <w:rPr>
                <w:sz w:val="20"/>
                <w:szCs w:val="20"/>
                <w:color w:val="auto"/>
              </w:rPr>
            </w:pPr>
            <w:r>
              <w:rPr>
                <w:rFonts w:ascii="Arial" w:cs="Arial" w:eastAsia="Arial" w:hAnsi="Arial"/>
                <w:sz w:val="15"/>
                <w:szCs w:val="15"/>
                <w:color w:val="auto"/>
              </w:rPr>
              <w:t>650,988</w:t>
            </w: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1,301,976</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420" w:type="dxa"/>
            <w:vAlign w:val="bottom"/>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1180" w:type="dxa"/>
            <w:vAlign w:val="bottom"/>
            <w:tcBorders>
              <w:bottom w:val="single" w:sz="8" w:color="808080"/>
            </w:tcBorders>
          </w:tcPr>
          <w:p>
            <w:pPr>
              <w:spacing w:after="0"/>
              <w:rPr>
                <w:sz w:val="2"/>
                <w:szCs w:val="2"/>
                <w:color w:val="auto"/>
              </w:rPr>
            </w:pPr>
          </w:p>
        </w:tc>
        <w:tc>
          <w:tcPr>
            <w:tcW w:w="114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1220" w:type="dxa"/>
            <w:vAlign w:val="bottom"/>
            <w:tcBorders>
              <w:bottom w:val="single" w:sz="8" w:color="808080"/>
            </w:tcBorders>
          </w:tcPr>
          <w:p>
            <w:pPr>
              <w:spacing w:after="0"/>
              <w:rPr>
                <w:sz w:val="2"/>
                <w:szCs w:val="2"/>
                <w:color w:val="auto"/>
              </w:rPr>
            </w:pPr>
          </w:p>
        </w:tc>
        <w:tc>
          <w:tcPr>
            <w:tcW w:w="116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1600" w:type="dxa"/>
            <w:vAlign w:val="bottom"/>
            <w:tcBorders>
              <w:bottom w:val="single" w:sz="8" w:color="808080"/>
            </w:tcBorders>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4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rPr>
              <w:t>1/29/24</w:t>
            </w: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0" w:type="dxa"/>
            <w:vAlign w:val="bottom"/>
          </w:tcPr>
          <w:p>
            <w:pPr>
              <w:jc w:val="right"/>
              <w:ind w:right="106"/>
              <w:spacing w:after="0"/>
              <w:rPr>
                <w:sz w:val="20"/>
                <w:szCs w:val="20"/>
                <w:color w:val="auto"/>
              </w:rPr>
            </w:pPr>
            <w:r>
              <w:rPr>
                <w:rFonts w:ascii="Arial" w:cs="Arial" w:eastAsia="Arial" w:hAnsi="Arial"/>
                <w:sz w:val="15"/>
                <w:szCs w:val="15"/>
                <w:color w:val="auto"/>
              </w:rPr>
              <w:t>18,011</w:t>
            </w:r>
          </w:p>
        </w:tc>
        <w:tc>
          <w:tcPr>
            <w:tcW w:w="900" w:type="dxa"/>
            <w:vAlign w:val="bottom"/>
          </w:tcPr>
          <w:p>
            <w:pPr>
              <w:jc w:val="right"/>
              <w:spacing w:after="0"/>
              <w:rPr>
                <w:sz w:val="20"/>
                <w:szCs w:val="20"/>
                <w:color w:val="auto"/>
              </w:rPr>
            </w:pPr>
            <w:r>
              <w:rPr>
                <w:rFonts w:ascii="Arial" w:cs="Arial" w:eastAsia="Arial" w:hAnsi="Arial"/>
                <w:sz w:val="15"/>
                <w:szCs w:val="15"/>
                <w:color w:val="auto"/>
              </w:rPr>
              <w:t>635,608</w:t>
            </w:r>
          </w:p>
        </w:tc>
        <w:tc>
          <w:tcPr>
            <w:tcW w:w="0" w:type="dxa"/>
            <w:vAlign w:val="bottom"/>
          </w:tcPr>
          <w:p>
            <w:pPr>
              <w:spacing w:after="0"/>
              <w:rPr>
                <w:sz w:val="1"/>
                <w:szCs w:val="1"/>
                <w:color w:val="auto"/>
              </w:rPr>
            </w:pPr>
          </w:p>
        </w:tc>
      </w:tr>
      <w:tr>
        <w:trPr>
          <w:trHeight w:val="33"/>
        </w:trPr>
        <w:tc>
          <w:tcPr>
            <w:tcW w:w="1420" w:type="dxa"/>
            <w:vAlign w:val="bottom"/>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1180" w:type="dxa"/>
            <w:vAlign w:val="bottom"/>
            <w:tcBorders>
              <w:bottom w:val="single" w:sz="8" w:color="808080"/>
            </w:tcBorders>
          </w:tcPr>
          <w:p>
            <w:pPr>
              <w:spacing w:after="0"/>
              <w:rPr>
                <w:sz w:val="2"/>
                <w:szCs w:val="2"/>
                <w:color w:val="auto"/>
              </w:rPr>
            </w:pPr>
          </w:p>
        </w:tc>
        <w:tc>
          <w:tcPr>
            <w:tcW w:w="114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1220" w:type="dxa"/>
            <w:vAlign w:val="bottom"/>
            <w:tcBorders>
              <w:bottom w:val="single" w:sz="8" w:color="808080"/>
            </w:tcBorders>
          </w:tcPr>
          <w:p>
            <w:pPr>
              <w:spacing w:after="0"/>
              <w:rPr>
                <w:sz w:val="2"/>
                <w:szCs w:val="2"/>
                <w:color w:val="auto"/>
              </w:rPr>
            </w:pPr>
          </w:p>
        </w:tc>
        <w:tc>
          <w:tcPr>
            <w:tcW w:w="116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1600" w:type="dxa"/>
            <w:vAlign w:val="bottom"/>
            <w:tcBorders>
              <w:bottom w:val="single" w:sz="8" w:color="808080"/>
            </w:tcBorders>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rPr>
              <w:t>1/29/24</w:t>
            </w: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186"/>
              <w:spacing w:after="0"/>
              <w:rPr>
                <w:sz w:val="20"/>
                <w:szCs w:val="20"/>
                <w:color w:val="auto"/>
              </w:rPr>
            </w:pPr>
            <w:r>
              <w:rPr>
                <w:rFonts w:ascii="Arial" w:cs="Arial" w:eastAsia="Arial" w:hAnsi="Arial"/>
                <w:sz w:val="15"/>
                <w:szCs w:val="15"/>
                <w:color w:val="auto"/>
              </w:rPr>
              <w:t>6,096</w:t>
            </w:r>
          </w:p>
        </w:tc>
        <w:tc>
          <w:tcPr>
            <w:tcW w:w="1160" w:type="dxa"/>
            <w:vAlign w:val="bottom"/>
          </w:tcPr>
          <w:p>
            <w:pPr>
              <w:jc w:val="right"/>
              <w:ind w:right="305"/>
              <w:spacing w:after="0"/>
              <w:rPr>
                <w:sz w:val="20"/>
                <w:szCs w:val="20"/>
                <w:color w:val="auto"/>
              </w:rPr>
            </w:pPr>
            <w:r>
              <w:rPr>
                <w:rFonts w:ascii="Arial" w:cs="Arial" w:eastAsia="Arial" w:hAnsi="Arial"/>
                <w:sz w:val="15"/>
                <w:szCs w:val="15"/>
                <w:color w:val="auto"/>
              </w:rPr>
              <w:t>36,567</w:t>
            </w:r>
          </w:p>
        </w:tc>
        <w:tc>
          <w:tcPr>
            <w:tcW w:w="720" w:type="dxa"/>
            <w:vAlign w:val="bottom"/>
          </w:tcPr>
          <w:p>
            <w:pPr>
              <w:jc w:val="right"/>
              <w:spacing w:after="0"/>
              <w:rPr>
                <w:sz w:val="20"/>
                <w:szCs w:val="20"/>
                <w:color w:val="auto"/>
              </w:rPr>
            </w:pPr>
            <w:r>
              <w:rPr>
                <w:rFonts w:ascii="Arial" w:cs="Arial" w:eastAsia="Arial" w:hAnsi="Arial"/>
                <w:sz w:val="15"/>
                <w:szCs w:val="15"/>
                <w:color w:val="auto"/>
              </w:rPr>
              <w:t>73,134</w:t>
            </w:r>
          </w:p>
        </w:tc>
        <w:tc>
          <w:tcPr>
            <w:tcW w:w="1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1,223,346</w:t>
            </w:r>
          </w:p>
        </w:tc>
        <w:tc>
          <w:tcPr>
            <w:tcW w:w="0" w:type="dxa"/>
            <w:vAlign w:val="bottom"/>
          </w:tcPr>
          <w:p>
            <w:pPr>
              <w:spacing w:after="0"/>
              <w:rPr>
                <w:sz w:val="1"/>
                <w:szCs w:val="1"/>
                <w:color w:val="auto"/>
              </w:rPr>
            </w:pPr>
          </w:p>
        </w:tc>
      </w:tr>
      <w:tr>
        <w:trPr>
          <w:trHeight w:val="33"/>
        </w:trPr>
        <w:tc>
          <w:tcPr>
            <w:tcW w:w="1420" w:type="dxa"/>
            <w:vAlign w:val="bottom"/>
            <w:tcBorders>
              <w:bottom w:val="single" w:sz="8" w:color="808080"/>
            </w:tcBorders>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1180" w:type="dxa"/>
            <w:vAlign w:val="bottom"/>
            <w:tcBorders>
              <w:bottom w:val="single" w:sz="8" w:color="808080"/>
            </w:tcBorders>
          </w:tcPr>
          <w:p>
            <w:pPr>
              <w:spacing w:after="0"/>
              <w:rPr>
                <w:sz w:val="2"/>
                <w:szCs w:val="2"/>
                <w:color w:val="auto"/>
              </w:rPr>
            </w:pPr>
          </w:p>
        </w:tc>
        <w:tc>
          <w:tcPr>
            <w:tcW w:w="114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1220" w:type="dxa"/>
            <w:vAlign w:val="bottom"/>
            <w:tcBorders>
              <w:bottom w:val="single" w:sz="8" w:color="808080"/>
            </w:tcBorders>
          </w:tcPr>
          <w:p>
            <w:pPr>
              <w:spacing w:after="0"/>
              <w:rPr>
                <w:sz w:val="2"/>
                <w:szCs w:val="2"/>
                <w:color w:val="auto"/>
              </w:rPr>
            </w:pPr>
          </w:p>
        </w:tc>
        <w:tc>
          <w:tcPr>
            <w:tcW w:w="116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1600" w:type="dxa"/>
            <w:vAlign w:val="bottom"/>
            <w:tcBorders>
              <w:bottom w:val="single" w:sz="8" w:color="808080"/>
            </w:tcBorders>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420" w:type="dxa"/>
            <w:vAlign w:val="bottom"/>
          </w:tcPr>
          <w:p>
            <w:pPr>
              <w:ind w:left="20"/>
              <w:spacing w:after="0"/>
              <w:rPr>
                <w:sz w:val="20"/>
                <w:szCs w:val="20"/>
                <w:color w:val="auto"/>
              </w:rPr>
            </w:pPr>
            <w:r>
              <w:rPr>
                <w:rFonts w:ascii="Arial" w:cs="Arial" w:eastAsia="Arial" w:hAnsi="Arial"/>
                <w:sz w:val="15"/>
                <w:szCs w:val="15"/>
                <w:color w:val="auto"/>
              </w:rPr>
              <w:t>Littleton</w:t>
            </w:r>
          </w:p>
        </w:tc>
        <w:tc>
          <w:tcPr>
            <w:tcW w:w="900" w:type="dxa"/>
            <w:vAlign w:val="bottom"/>
          </w:tcPr>
          <w:p>
            <w:pPr>
              <w:jc w:val="center"/>
              <w:spacing w:after="0"/>
              <w:rPr>
                <w:sz w:val="20"/>
                <w:szCs w:val="20"/>
                <w:color w:val="auto"/>
              </w:rPr>
            </w:pPr>
            <w:r>
              <w:rPr>
                <w:rFonts w:ascii="Arial" w:cs="Arial" w:eastAsia="Arial" w:hAnsi="Arial"/>
                <w:sz w:val="15"/>
                <w:szCs w:val="15"/>
                <w:color w:val="auto"/>
              </w:rPr>
              <w:t>1/29/24</w:t>
            </w:r>
          </w:p>
        </w:tc>
        <w:tc>
          <w:tcPr>
            <w:tcW w:w="1180" w:type="dxa"/>
            <w:vAlign w:val="bottom"/>
          </w:tcPr>
          <w:p>
            <w:pPr>
              <w:jc w:val="right"/>
              <w:ind w:right="146"/>
              <w:spacing w:after="0"/>
              <w:rPr>
                <w:sz w:val="20"/>
                <w:szCs w:val="20"/>
                <w:color w:val="auto"/>
              </w:rPr>
            </w:pPr>
            <w:r>
              <w:rPr>
                <w:rFonts w:ascii="Arial" w:cs="Arial" w:eastAsia="Arial" w:hAnsi="Arial"/>
                <w:sz w:val="15"/>
                <w:szCs w:val="15"/>
                <w:color w:val="auto"/>
              </w:rPr>
              <w:t>31,333</w:t>
            </w:r>
          </w:p>
        </w:tc>
        <w:tc>
          <w:tcPr>
            <w:tcW w:w="1140" w:type="dxa"/>
            <w:vAlign w:val="bottom"/>
          </w:tcPr>
          <w:p>
            <w:pPr>
              <w:jc w:val="right"/>
              <w:ind w:right="245"/>
              <w:spacing w:after="0"/>
              <w:rPr>
                <w:sz w:val="20"/>
                <w:szCs w:val="20"/>
                <w:color w:val="auto"/>
              </w:rPr>
            </w:pPr>
            <w:r>
              <w:rPr>
                <w:rFonts w:ascii="Arial" w:cs="Arial" w:eastAsia="Arial" w:hAnsi="Arial"/>
                <w:sz w:val="15"/>
                <w:szCs w:val="15"/>
                <w:color w:val="auto"/>
              </w:rPr>
              <w:t>626,652</w:t>
            </w: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1,253,304</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420" w:type="dxa"/>
            <w:vAlign w:val="bottom"/>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1180" w:type="dxa"/>
            <w:vAlign w:val="bottom"/>
            <w:tcBorders>
              <w:bottom w:val="single" w:sz="8" w:color="808080"/>
            </w:tcBorders>
          </w:tcPr>
          <w:p>
            <w:pPr>
              <w:spacing w:after="0"/>
              <w:rPr>
                <w:sz w:val="2"/>
                <w:szCs w:val="2"/>
                <w:color w:val="auto"/>
              </w:rPr>
            </w:pPr>
          </w:p>
        </w:tc>
        <w:tc>
          <w:tcPr>
            <w:tcW w:w="114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1220" w:type="dxa"/>
            <w:vAlign w:val="bottom"/>
            <w:tcBorders>
              <w:bottom w:val="single" w:sz="8" w:color="808080"/>
            </w:tcBorders>
          </w:tcPr>
          <w:p>
            <w:pPr>
              <w:spacing w:after="0"/>
              <w:rPr>
                <w:sz w:val="2"/>
                <w:szCs w:val="2"/>
                <w:color w:val="auto"/>
              </w:rPr>
            </w:pPr>
          </w:p>
        </w:tc>
        <w:tc>
          <w:tcPr>
            <w:tcW w:w="116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1600" w:type="dxa"/>
            <w:vAlign w:val="bottom"/>
            <w:tcBorders>
              <w:bottom w:val="single" w:sz="8" w:color="808080"/>
            </w:tcBorders>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4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rPr>
              <w:t>1/29/24</w:t>
            </w: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0" w:type="dxa"/>
            <w:vAlign w:val="bottom"/>
          </w:tcPr>
          <w:p>
            <w:pPr>
              <w:jc w:val="right"/>
              <w:ind w:right="106"/>
              <w:spacing w:after="0"/>
              <w:rPr>
                <w:sz w:val="20"/>
                <w:szCs w:val="20"/>
                <w:color w:val="auto"/>
              </w:rPr>
            </w:pPr>
            <w:r>
              <w:rPr>
                <w:rFonts w:ascii="Arial" w:cs="Arial" w:eastAsia="Arial" w:hAnsi="Arial"/>
                <w:sz w:val="15"/>
                <w:szCs w:val="15"/>
                <w:color w:val="auto"/>
              </w:rPr>
              <w:t>16,505</w:t>
            </w:r>
          </w:p>
        </w:tc>
        <w:tc>
          <w:tcPr>
            <w:tcW w:w="900" w:type="dxa"/>
            <w:vAlign w:val="bottom"/>
          </w:tcPr>
          <w:p>
            <w:pPr>
              <w:jc w:val="right"/>
              <w:spacing w:after="0"/>
              <w:rPr>
                <w:sz w:val="20"/>
                <w:szCs w:val="20"/>
                <w:color w:val="auto"/>
              </w:rPr>
            </w:pPr>
            <w:r>
              <w:rPr>
                <w:rFonts w:ascii="Arial" w:cs="Arial" w:eastAsia="Arial" w:hAnsi="Arial"/>
                <w:sz w:val="15"/>
                <w:szCs w:val="15"/>
                <w:color w:val="auto"/>
              </w:rPr>
              <w:t>582,461</w:t>
            </w:r>
          </w:p>
        </w:tc>
        <w:tc>
          <w:tcPr>
            <w:tcW w:w="0" w:type="dxa"/>
            <w:vAlign w:val="bottom"/>
          </w:tcPr>
          <w:p>
            <w:pPr>
              <w:spacing w:after="0"/>
              <w:rPr>
                <w:sz w:val="1"/>
                <w:szCs w:val="1"/>
                <w:color w:val="auto"/>
              </w:rPr>
            </w:pPr>
          </w:p>
        </w:tc>
      </w:tr>
      <w:tr>
        <w:trPr>
          <w:trHeight w:val="33"/>
        </w:trPr>
        <w:tc>
          <w:tcPr>
            <w:tcW w:w="1420" w:type="dxa"/>
            <w:vAlign w:val="bottom"/>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1180" w:type="dxa"/>
            <w:vAlign w:val="bottom"/>
            <w:tcBorders>
              <w:bottom w:val="single" w:sz="8" w:color="808080"/>
            </w:tcBorders>
          </w:tcPr>
          <w:p>
            <w:pPr>
              <w:spacing w:after="0"/>
              <w:rPr>
                <w:sz w:val="2"/>
                <w:szCs w:val="2"/>
                <w:color w:val="auto"/>
              </w:rPr>
            </w:pPr>
          </w:p>
        </w:tc>
        <w:tc>
          <w:tcPr>
            <w:tcW w:w="114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1220" w:type="dxa"/>
            <w:vAlign w:val="bottom"/>
            <w:tcBorders>
              <w:bottom w:val="single" w:sz="8" w:color="808080"/>
            </w:tcBorders>
          </w:tcPr>
          <w:p>
            <w:pPr>
              <w:spacing w:after="0"/>
              <w:rPr>
                <w:sz w:val="2"/>
                <w:szCs w:val="2"/>
                <w:color w:val="auto"/>
              </w:rPr>
            </w:pPr>
          </w:p>
        </w:tc>
        <w:tc>
          <w:tcPr>
            <w:tcW w:w="116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1600" w:type="dxa"/>
            <w:vAlign w:val="bottom"/>
            <w:tcBorders>
              <w:bottom w:val="single" w:sz="8" w:color="808080"/>
            </w:tcBorders>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4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rPr>
              <w:t>1/29/24</w:t>
            </w: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186"/>
              <w:spacing w:after="0"/>
              <w:rPr>
                <w:sz w:val="20"/>
                <w:szCs w:val="20"/>
                <w:color w:val="auto"/>
              </w:rPr>
            </w:pPr>
            <w:r>
              <w:rPr>
                <w:rFonts w:ascii="Arial" w:cs="Arial" w:eastAsia="Arial" w:hAnsi="Arial"/>
                <w:sz w:val="15"/>
                <w:szCs w:val="15"/>
                <w:color w:val="auto"/>
              </w:rPr>
              <w:t>5,586</w:t>
            </w:r>
          </w:p>
        </w:tc>
        <w:tc>
          <w:tcPr>
            <w:tcW w:w="1160" w:type="dxa"/>
            <w:vAlign w:val="bottom"/>
          </w:tcPr>
          <w:p>
            <w:pPr>
              <w:jc w:val="right"/>
              <w:ind w:right="305"/>
              <w:spacing w:after="0"/>
              <w:rPr>
                <w:sz w:val="20"/>
                <w:szCs w:val="20"/>
                <w:color w:val="auto"/>
              </w:rPr>
            </w:pPr>
            <w:r>
              <w:rPr>
                <w:rFonts w:ascii="Arial" w:cs="Arial" w:eastAsia="Arial" w:hAnsi="Arial"/>
                <w:sz w:val="15"/>
                <w:szCs w:val="15"/>
                <w:color w:val="auto"/>
              </w:rPr>
              <w:t>33,510</w:t>
            </w:r>
          </w:p>
        </w:tc>
        <w:tc>
          <w:tcPr>
            <w:tcW w:w="720" w:type="dxa"/>
            <w:vAlign w:val="bottom"/>
          </w:tcPr>
          <w:p>
            <w:pPr>
              <w:jc w:val="right"/>
              <w:spacing w:after="0"/>
              <w:rPr>
                <w:sz w:val="20"/>
                <w:szCs w:val="20"/>
                <w:color w:val="auto"/>
              </w:rPr>
            </w:pPr>
            <w:r>
              <w:rPr>
                <w:rFonts w:ascii="Arial" w:cs="Arial" w:eastAsia="Arial" w:hAnsi="Arial"/>
                <w:sz w:val="15"/>
                <w:szCs w:val="15"/>
                <w:color w:val="auto"/>
              </w:rPr>
              <w:t>67,020</w:t>
            </w:r>
          </w:p>
        </w:tc>
        <w:tc>
          <w:tcPr>
            <w:tcW w:w="1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1,121,074</w:t>
            </w:r>
          </w:p>
        </w:tc>
        <w:tc>
          <w:tcPr>
            <w:tcW w:w="0" w:type="dxa"/>
            <w:vAlign w:val="bottom"/>
          </w:tcPr>
          <w:p>
            <w:pPr>
              <w:spacing w:after="0"/>
              <w:rPr>
                <w:sz w:val="1"/>
                <w:szCs w:val="1"/>
                <w:color w:val="auto"/>
              </w:rPr>
            </w:pPr>
          </w:p>
        </w:tc>
      </w:tr>
      <w:tr>
        <w:trPr>
          <w:trHeight w:val="33"/>
        </w:trPr>
        <w:tc>
          <w:tcPr>
            <w:tcW w:w="1420" w:type="dxa"/>
            <w:vAlign w:val="bottom"/>
            <w:tcBorders>
              <w:bottom w:val="single" w:sz="8" w:color="808080"/>
            </w:tcBorders>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1180" w:type="dxa"/>
            <w:vAlign w:val="bottom"/>
            <w:tcBorders>
              <w:bottom w:val="single" w:sz="8" w:color="808080"/>
            </w:tcBorders>
          </w:tcPr>
          <w:p>
            <w:pPr>
              <w:spacing w:after="0"/>
              <w:rPr>
                <w:sz w:val="2"/>
                <w:szCs w:val="2"/>
                <w:color w:val="auto"/>
              </w:rPr>
            </w:pPr>
          </w:p>
        </w:tc>
        <w:tc>
          <w:tcPr>
            <w:tcW w:w="114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1220" w:type="dxa"/>
            <w:vAlign w:val="bottom"/>
            <w:tcBorders>
              <w:bottom w:val="single" w:sz="8" w:color="808080"/>
            </w:tcBorders>
          </w:tcPr>
          <w:p>
            <w:pPr>
              <w:spacing w:after="0"/>
              <w:rPr>
                <w:sz w:val="2"/>
                <w:szCs w:val="2"/>
                <w:color w:val="auto"/>
              </w:rPr>
            </w:pPr>
          </w:p>
        </w:tc>
        <w:tc>
          <w:tcPr>
            <w:tcW w:w="116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1600" w:type="dxa"/>
            <w:vAlign w:val="bottom"/>
            <w:tcBorders>
              <w:bottom w:val="single" w:sz="8" w:color="808080"/>
            </w:tcBorders>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420" w:type="dxa"/>
            <w:vAlign w:val="bottom"/>
          </w:tcPr>
          <w:p>
            <w:pPr>
              <w:ind w:left="20"/>
              <w:spacing w:after="0"/>
              <w:rPr>
                <w:sz w:val="20"/>
                <w:szCs w:val="20"/>
                <w:color w:val="auto"/>
              </w:rPr>
            </w:pPr>
            <w:r>
              <w:rPr>
                <w:rFonts w:ascii="Arial" w:cs="Arial" w:eastAsia="Arial" w:hAnsi="Arial"/>
                <w:sz w:val="15"/>
                <w:szCs w:val="15"/>
                <w:color w:val="auto"/>
              </w:rPr>
              <w:t>Glockner</w:t>
            </w:r>
          </w:p>
        </w:tc>
        <w:tc>
          <w:tcPr>
            <w:tcW w:w="900" w:type="dxa"/>
            <w:vAlign w:val="bottom"/>
          </w:tcPr>
          <w:p>
            <w:pPr>
              <w:jc w:val="center"/>
              <w:spacing w:after="0"/>
              <w:rPr>
                <w:sz w:val="20"/>
                <w:szCs w:val="20"/>
                <w:color w:val="auto"/>
              </w:rPr>
            </w:pPr>
            <w:r>
              <w:rPr>
                <w:rFonts w:ascii="Arial" w:cs="Arial" w:eastAsia="Arial" w:hAnsi="Arial"/>
                <w:sz w:val="15"/>
                <w:szCs w:val="15"/>
                <w:color w:val="auto"/>
              </w:rPr>
              <w:t>1/29/24</w:t>
            </w:r>
          </w:p>
        </w:tc>
        <w:tc>
          <w:tcPr>
            <w:tcW w:w="1180" w:type="dxa"/>
            <w:vAlign w:val="bottom"/>
          </w:tcPr>
          <w:p>
            <w:pPr>
              <w:jc w:val="right"/>
              <w:ind w:right="146"/>
              <w:spacing w:after="0"/>
              <w:rPr>
                <w:sz w:val="20"/>
                <w:szCs w:val="20"/>
                <w:color w:val="auto"/>
              </w:rPr>
            </w:pPr>
            <w:r>
              <w:rPr>
                <w:rFonts w:ascii="Arial" w:cs="Arial" w:eastAsia="Arial" w:hAnsi="Arial"/>
                <w:sz w:val="15"/>
                <w:szCs w:val="15"/>
                <w:color w:val="auto"/>
              </w:rPr>
              <w:t>26,615</w:t>
            </w:r>
          </w:p>
        </w:tc>
        <w:tc>
          <w:tcPr>
            <w:tcW w:w="1140" w:type="dxa"/>
            <w:vAlign w:val="bottom"/>
          </w:tcPr>
          <w:p>
            <w:pPr>
              <w:jc w:val="right"/>
              <w:ind w:right="245"/>
              <w:spacing w:after="0"/>
              <w:rPr>
                <w:sz w:val="20"/>
                <w:szCs w:val="20"/>
                <w:color w:val="auto"/>
              </w:rPr>
            </w:pPr>
            <w:r>
              <w:rPr>
                <w:rFonts w:ascii="Arial" w:cs="Arial" w:eastAsia="Arial" w:hAnsi="Arial"/>
                <w:sz w:val="15"/>
                <w:szCs w:val="15"/>
                <w:color w:val="auto"/>
              </w:rPr>
              <w:t>532,301</w:t>
            </w: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1,064,601</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420" w:type="dxa"/>
            <w:vAlign w:val="bottom"/>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1180" w:type="dxa"/>
            <w:vAlign w:val="bottom"/>
            <w:tcBorders>
              <w:bottom w:val="single" w:sz="8" w:color="808080"/>
            </w:tcBorders>
          </w:tcPr>
          <w:p>
            <w:pPr>
              <w:spacing w:after="0"/>
              <w:rPr>
                <w:sz w:val="2"/>
                <w:szCs w:val="2"/>
                <w:color w:val="auto"/>
              </w:rPr>
            </w:pPr>
          </w:p>
        </w:tc>
        <w:tc>
          <w:tcPr>
            <w:tcW w:w="114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1220" w:type="dxa"/>
            <w:vAlign w:val="bottom"/>
            <w:tcBorders>
              <w:bottom w:val="single" w:sz="8" w:color="808080"/>
            </w:tcBorders>
          </w:tcPr>
          <w:p>
            <w:pPr>
              <w:spacing w:after="0"/>
              <w:rPr>
                <w:sz w:val="2"/>
                <w:szCs w:val="2"/>
                <w:color w:val="auto"/>
              </w:rPr>
            </w:pPr>
          </w:p>
        </w:tc>
        <w:tc>
          <w:tcPr>
            <w:tcW w:w="116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1600" w:type="dxa"/>
            <w:vAlign w:val="bottom"/>
            <w:tcBorders>
              <w:bottom w:val="single" w:sz="8" w:color="808080"/>
            </w:tcBorders>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rPr>
              <w:t>1/29/24</w:t>
            </w: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0" w:type="dxa"/>
            <w:vAlign w:val="bottom"/>
          </w:tcPr>
          <w:p>
            <w:pPr>
              <w:jc w:val="right"/>
              <w:ind w:right="106"/>
              <w:spacing w:after="0"/>
              <w:rPr>
                <w:sz w:val="20"/>
                <w:szCs w:val="20"/>
                <w:color w:val="auto"/>
              </w:rPr>
            </w:pPr>
            <w:r>
              <w:rPr>
                <w:rFonts w:ascii="Arial" w:cs="Arial" w:eastAsia="Arial" w:hAnsi="Arial"/>
                <w:sz w:val="15"/>
                <w:szCs w:val="15"/>
                <w:color w:val="auto"/>
              </w:rPr>
              <w:t>13,279</w:t>
            </w:r>
          </w:p>
        </w:tc>
        <w:tc>
          <w:tcPr>
            <w:tcW w:w="900" w:type="dxa"/>
            <w:vAlign w:val="bottom"/>
          </w:tcPr>
          <w:p>
            <w:pPr>
              <w:jc w:val="right"/>
              <w:spacing w:after="0"/>
              <w:rPr>
                <w:sz w:val="20"/>
                <w:szCs w:val="20"/>
                <w:color w:val="auto"/>
              </w:rPr>
            </w:pPr>
            <w:r>
              <w:rPr>
                <w:rFonts w:ascii="Arial" w:cs="Arial" w:eastAsia="Arial" w:hAnsi="Arial"/>
                <w:sz w:val="15"/>
                <w:szCs w:val="15"/>
                <w:color w:val="auto"/>
              </w:rPr>
              <w:t>468,616</w:t>
            </w:r>
          </w:p>
        </w:tc>
        <w:tc>
          <w:tcPr>
            <w:tcW w:w="0" w:type="dxa"/>
            <w:vAlign w:val="bottom"/>
          </w:tcPr>
          <w:p>
            <w:pPr>
              <w:spacing w:after="0"/>
              <w:rPr>
                <w:sz w:val="1"/>
                <w:szCs w:val="1"/>
                <w:color w:val="auto"/>
              </w:rPr>
            </w:pPr>
          </w:p>
        </w:tc>
      </w:tr>
      <w:tr>
        <w:trPr>
          <w:trHeight w:val="33"/>
        </w:trPr>
        <w:tc>
          <w:tcPr>
            <w:tcW w:w="1420" w:type="dxa"/>
            <w:vAlign w:val="bottom"/>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1180" w:type="dxa"/>
            <w:vAlign w:val="bottom"/>
            <w:tcBorders>
              <w:bottom w:val="single" w:sz="8" w:color="808080"/>
            </w:tcBorders>
          </w:tcPr>
          <w:p>
            <w:pPr>
              <w:spacing w:after="0"/>
              <w:rPr>
                <w:sz w:val="2"/>
                <w:szCs w:val="2"/>
                <w:color w:val="auto"/>
              </w:rPr>
            </w:pPr>
          </w:p>
        </w:tc>
        <w:tc>
          <w:tcPr>
            <w:tcW w:w="114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1220" w:type="dxa"/>
            <w:vAlign w:val="bottom"/>
            <w:tcBorders>
              <w:bottom w:val="single" w:sz="8" w:color="808080"/>
            </w:tcBorders>
          </w:tcPr>
          <w:p>
            <w:pPr>
              <w:spacing w:after="0"/>
              <w:rPr>
                <w:sz w:val="2"/>
                <w:szCs w:val="2"/>
                <w:color w:val="auto"/>
              </w:rPr>
            </w:pPr>
          </w:p>
        </w:tc>
        <w:tc>
          <w:tcPr>
            <w:tcW w:w="116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1600" w:type="dxa"/>
            <w:vAlign w:val="bottom"/>
            <w:tcBorders>
              <w:bottom w:val="single" w:sz="8" w:color="808080"/>
            </w:tcBorders>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4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rPr>
              <w:t>1/29/24</w:t>
            </w: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186"/>
              <w:spacing w:after="0"/>
              <w:rPr>
                <w:sz w:val="20"/>
                <w:szCs w:val="20"/>
                <w:color w:val="auto"/>
              </w:rPr>
            </w:pPr>
            <w:r>
              <w:rPr>
                <w:rFonts w:ascii="Arial" w:cs="Arial" w:eastAsia="Arial" w:hAnsi="Arial"/>
                <w:sz w:val="15"/>
                <w:szCs w:val="15"/>
                <w:color w:val="auto"/>
              </w:rPr>
              <w:t>4,494</w:t>
            </w:r>
          </w:p>
        </w:tc>
        <w:tc>
          <w:tcPr>
            <w:tcW w:w="1160" w:type="dxa"/>
            <w:vAlign w:val="bottom"/>
          </w:tcPr>
          <w:p>
            <w:pPr>
              <w:jc w:val="right"/>
              <w:ind w:right="305"/>
              <w:spacing w:after="0"/>
              <w:rPr>
                <w:sz w:val="20"/>
                <w:szCs w:val="20"/>
                <w:color w:val="auto"/>
              </w:rPr>
            </w:pPr>
            <w:r>
              <w:rPr>
                <w:rFonts w:ascii="Arial" w:cs="Arial" w:eastAsia="Arial" w:hAnsi="Arial"/>
                <w:sz w:val="15"/>
                <w:szCs w:val="15"/>
                <w:color w:val="auto"/>
              </w:rPr>
              <w:t>26,960</w:t>
            </w:r>
          </w:p>
        </w:tc>
        <w:tc>
          <w:tcPr>
            <w:tcW w:w="720" w:type="dxa"/>
            <w:vAlign w:val="bottom"/>
          </w:tcPr>
          <w:p>
            <w:pPr>
              <w:jc w:val="right"/>
              <w:spacing w:after="0"/>
              <w:rPr>
                <w:sz w:val="20"/>
                <w:szCs w:val="20"/>
                <w:color w:val="auto"/>
              </w:rPr>
            </w:pPr>
            <w:r>
              <w:rPr>
                <w:rFonts w:ascii="Arial" w:cs="Arial" w:eastAsia="Arial" w:hAnsi="Arial"/>
                <w:sz w:val="15"/>
                <w:szCs w:val="15"/>
                <w:color w:val="auto"/>
              </w:rPr>
              <w:t>53,920</w:t>
            </w:r>
          </w:p>
        </w:tc>
        <w:tc>
          <w:tcPr>
            <w:tcW w:w="1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901,945</w:t>
            </w:r>
          </w:p>
        </w:tc>
        <w:tc>
          <w:tcPr>
            <w:tcW w:w="0" w:type="dxa"/>
            <w:vAlign w:val="bottom"/>
          </w:tcPr>
          <w:p>
            <w:pPr>
              <w:spacing w:after="0"/>
              <w:rPr>
                <w:sz w:val="1"/>
                <w:szCs w:val="1"/>
                <w:color w:val="auto"/>
              </w:rPr>
            </w:pPr>
          </w:p>
        </w:tc>
      </w:tr>
      <w:tr>
        <w:trPr>
          <w:trHeight w:val="33"/>
        </w:trPr>
        <w:tc>
          <w:tcPr>
            <w:tcW w:w="1420" w:type="dxa"/>
            <w:vAlign w:val="bottom"/>
            <w:tcBorders>
              <w:bottom w:val="single" w:sz="8" w:color="808080"/>
            </w:tcBorders>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1180" w:type="dxa"/>
            <w:vAlign w:val="bottom"/>
            <w:tcBorders>
              <w:bottom w:val="single" w:sz="8" w:color="808080"/>
            </w:tcBorders>
          </w:tcPr>
          <w:p>
            <w:pPr>
              <w:spacing w:after="0"/>
              <w:rPr>
                <w:sz w:val="2"/>
                <w:szCs w:val="2"/>
                <w:color w:val="auto"/>
              </w:rPr>
            </w:pPr>
          </w:p>
        </w:tc>
        <w:tc>
          <w:tcPr>
            <w:tcW w:w="114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1220" w:type="dxa"/>
            <w:vAlign w:val="bottom"/>
            <w:tcBorders>
              <w:bottom w:val="single" w:sz="8" w:color="808080"/>
            </w:tcBorders>
          </w:tcPr>
          <w:p>
            <w:pPr>
              <w:spacing w:after="0"/>
              <w:rPr>
                <w:sz w:val="2"/>
                <w:szCs w:val="2"/>
                <w:color w:val="auto"/>
              </w:rPr>
            </w:pPr>
          </w:p>
        </w:tc>
        <w:tc>
          <w:tcPr>
            <w:tcW w:w="116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1600" w:type="dxa"/>
            <w:vAlign w:val="bottom"/>
            <w:tcBorders>
              <w:bottom w:val="single" w:sz="8" w:color="808080"/>
            </w:tcBorders>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420" w:type="dxa"/>
            <w:vAlign w:val="bottom"/>
          </w:tcPr>
          <w:p>
            <w:pPr>
              <w:ind w:left="20"/>
              <w:spacing w:after="0"/>
              <w:rPr>
                <w:sz w:val="20"/>
                <w:szCs w:val="20"/>
                <w:color w:val="auto"/>
              </w:rPr>
            </w:pPr>
            <w:r>
              <w:rPr>
                <w:rFonts w:ascii="Arial" w:cs="Arial" w:eastAsia="Arial" w:hAnsi="Arial"/>
                <w:sz w:val="15"/>
                <w:szCs w:val="15"/>
                <w:color w:val="auto"/>
              </w:rPr>
              <w:t>Innocenzo</w:t>
            </w:r>
          </w:p>
        </w:tc>
        <w:tc>
          <w:tcPr>
            <w:tcW w:w="900" w:type="dxa"/>
            <w:vAlign w:val="bottom"/>
          </w:tcPr>
          <w:p>
            <w:pPr>
              <w:jc w:val="center"/>
              <w:spacing w:after="0"/>
              <w:rPr>
                <w:sz w:val="20"/>
                <w:szCs w:val="20"/>
                <w:color w:val="auto"/>
              </w:rPr>
            </w:pPr>
            <w:r>
              <w:rPr>
                <w:rFonts w:ascii="Arial" w:cs="Arial" w:eastAsia="Arial" w:hAnsi="Arial"/>
                <w:sz w:val="15"/>
                <w:szCs w:val="15"/>
                <w:color w:val="auto"/>
              </w:rPr>
              <w:t>1/29/24</w:t>
            </w:r>
          </w:p>
        </w:tc>
        <w:tc>
          <w:tcPr>
            <w:tcW w:w="1180" w:type="dxa"/>
            <w:vAlign w:val="bottom"/>
          </w:tcPr>
          <w:p>
            <w:pPr>
              <w:jc w:val="right"/>
              <w:ind w:right="146"/>
              <w:spacing w:after="0"/>
              <w:rPr>
                <w:sz w:val="20"/>
                <w:szCs w:val="20"/>
                <w:color w:val="auto"/>
              </w:rPr>
            </w:pPr>
            <w:r>
              <w:rPr>
                <w:rFonts w:ascii="Arial" w:cs="Arial" w:eastAsia="Arial" w:hAnsi="Arial"/>
                <w:sz w:val="15"/>
                <w:szCs w:val="15"/>
                <w:color w:val="auto"/>
              </w:rPr>
              <w:t>2,272</w:t>
            </w:r>
          </w:p>
        </w:tc>
        <w:tc>
          <w:tcPr>
            <w:tcW w:w="1140" w:type="dxa"/>
            <w:vAlign w:val="bottom"/>
          </w:tcPr>
          <w:p>
            <w:pPr>
              <w:jc w:val="right"/>
              <w:ind w:right="245"/>
              <w:spacing w:after="0"/>
              <w:rPr>
                <w:sz w:val="20"/>
                <w:szCs w:val="20"/>
                <w:color w:val="auto"/>
              </w:rPr>
            </w:pPr>
            <w:r>
              <w:rPr>
                <w:rFonts w:ascii="Arial" w:cs="Arial" w:eastAsia="Arial" w:hAnsi="Arial"/>
                <w:sz w:val="15"/>
                <w:szCs w:val="15"/>
                <w:color w:val="auto"/>
              </w:rPr>
              <w:t>90,882</w:t>
            </w: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181,763</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420" w:type="dxa"/>
            <w:vAlign w:val="bottom"/>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1180" w:type="dxa"/>
            <w:vAlign w:val="bottom"/>
            <w:tcBorders>
              <w:bottom w:val="single" w:sz="8" w:color="808080"/>
            </w:tcBorders>
          </w:tcPr>
          <w:p>
            <w:pPr>
              <w:spacing w:after="0"/>
              <w:rPr>
                <w:sz w:val="2"/>
                <w:szCs w:val="2"/>
                <w:color w:val="auto"/>
              </w:rPr>
            </w:pPr>
          </w:p>
        </w:tc>
        <w:tc>
          <w:tcPr>
            <w:tcW w:w="114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1220" w:type="dxa"/>
            <w:vAlign w:val="bottom"/>
            <w:tcBorders>
              <w:bottom w:val="single" w:sz="8" w:color="808080"/>
            </w:tcBorders>
          </w:tcPr>
          <w:p>
            <w:pPr>
              <w:spacing w:after="0"/>
              <w:rPr>
                <w:sz w:val="2"/>
                <w:szCs w:val="2"/>
                <w:color w:val="auto"/>
              </w:rPr>
            </w:pPr>
          </w:p>
        </w:tc>
        <w:tc>
          <w:tcPr>
            <w:tcW w:w="116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1600" w:type="dxa"/>
            <w:vAlign w:val="bottom"/>
            <w:tcBorders>
              <w:bottom w:val="single" w:sz="8" w:color="808080"/>
            </w:tcBorders>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rPr>
              <w:t>1/29/24</w:t>
            </w: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0" w:type="dxa"/>
            <w:vAlign w:val="bottom"/>
          </w:tcPr>
          <w:p>
            <w:pPr>
              <w:jc w:val="right"/>
              <w:ind w:right="106"/>
              <w:spacing w:after="0"/>
              <w:rPr>
                <w:sz w:val="20"/>
                <w:szCs w:val="20"/>
                <w:color w:val="auto"/>
              </w:rPr>
            </w:pPr>
            <w:r>
              <w:rPr>
                <w:rFonts w:ascii="Arial" w:cs="Arial" w:eastAsia="Arial" w:hAnsi="Arial"/>
                <w:sz w:val="15"/>
                <w:szCs w:val="15"/>
                <w:color w:val="auto"/>
              </w:rPr>
              <w:t>7,721</w:t>
            </w:r>
          </w:p>
        </w:tc>
        <w:tc>
          <w:tcPr>
            <w:tcW w:w="900" w:type="dxa"/>
            <w:vAlign w:val="bottom"/>
          </w:tcPr>
          <w:p>
            <w:pPr>
              <w:jc w:val="right"/>
              <w:spacing w:after="0"/>
              <w:rPr>
                <w:sz w:val="20"/>
                <w:szCs w:val="20"/>
                <w:color w:val="auto"/>
              </w:rPr>
            </w:pPr>
            <w:r>
              <w:rPr>
                <w:rFonts w:ascii="Arial" w:cs="Arial" w:eastAsia="Arial" w:hAnsi="Arial"/>
                <w:sz w:val="15"/>
                <w:szCs w:val="15"/>
                <w:color w:val="auto"/>
              </w:rPr>
              <w:t>272,474</w:t>
            </w:r>
          </w:p>
        </w:tc>
        <w:tc>
          <w:tcPr>
            <w:tcW w:w="0" w:type="dxa"/>
            <w:vAlign w:val="bottom"/>
          </w:tcPr>
          <w:p>
            <w:pPr>
              <w:spacing w:after="0"/>
              <w:rPr>
                <w:sz w:val="1"/>
                <w:szCs w:val="1"/>
                <w:color w:val="auto"/>
              </w:rPr>
            </w:pPr>
          </w:p>
        </w:tc>
      </w:tr>
      <w:tr>
        <w:trPr>
          <w:trHeight w:val="33"/>
        </w:trPr>
        <w:tc>
          <w:tcPr>
            <w:tcW w:w="1420" w:type="dxa"/>
            <w:vAlign w:val="bottom"/>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1180" w:type="dxa"/>
            <w:vAlign w:val="bottom"/>
            <w:tcBorders>
              <w:bottom w:val="single" w:sz="8" w:color="808080"/>
            </w:tcBorders>
          </w:tcPr>
          <w:p>
            <w:pPr>
              <w:spacing w:after="0"/>
              <w:rPr>
                <w:sz w:val="2"/>
                <w:szCs w:val="2"/>
                <w:color w:val="auto"/>
              </w:rPr>
            </w:pPr>
          </w:p>
        </w:tc>
        <w:tc>
          <w:tcPr>
            <w:tcW w:w="114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1220" w:type="dxa"/>
            <w:vAlign w:val="bottom"/>
            <w:tcBorders>
              <w:bottom w:val="single" w:sz="8" w:color="808080"/>
            </w:tcBorders>
          </w:tcPr>
          <w:p>
            <w:pPr>
              <w:spacing w:after="0"/>
              <w:rPr>
                <w:sz w:val="2"/>
                <w:szCs w:val="2"/>
                <w:color w:val="auto"/>
              </w:rPr>
            </w:pPr>
          </w:p>
        </w:tc>
        <w:tc>
          <w:tcPr>
            <w:tcW w:w="116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1600" w:type="dxa"/>
            <w:vAlign w:val="bottom"/>
            <w:tcBorders>
              <w:bottom w:val="single" w:sz="8" w:color="808080"/>
            </w:tcBorders>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rPr>
              <w:t>1/29/24</w:t>
            </w: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186"/>
              <w:spacing w:after="0"/>
              <w:rPr>
                <w:sz w:val="20"/>
                <w:szCs w:val="20"/>
                <w:color w:val="auto"/>
              </w:rPr>
            </w:pPr>
            <w:r>
              <w:rPr>
                <w:rFonts w:ascii="Arial" w:cs="Arial" w:eastAsia="Arial" w:hAnsi="Arial"/>
                <w:sz w:val="15"/>
                <w:szCs w:val="15"/>
                <w:color w:val="auto"/>
              </w:rPr>
              <w:t>2,613</w:t>
            </w:r>
          </w:p>
        </w:tc>
        <w:tc>
          <w:tcPr>
            <w:tcW w:w="1160" w:type="dxa"/>
            <w:vAlign w:val="bottom"/>
          </w:tcPr>
          <w:p>
            <w:pPr>
              <w:jc w:val="right"/>
              <w:ind w:right="305"/>
              <w:spacing w:after="0"/>
              <w:rPr>
                <w:sz w:val="20"/>
                <w:szCs w:val="20"/>
                <w:color w:val="auto"/>
              </w:rPr>
            </w:pPr>
            <w:r>
              <w:rPr>
                <w:rFonts w:ascii="Arial" w:cs="Arial" w:eastAsia="Arial" w:hAnsi="Arial"/>
                <w:sz w:val="15"/>
                <w:szCs w:val="15"/>
                <w:color w:val="auto"/>
              </w:rPr>
              <w:t>15,676</w:t>
            </w:r>
          </w:p>
        </w:tc>
        <w:tc>
          <w:tcPr>
            <w:tcW w:w="720" w:type="dxa"/>
            <w:vAlign w:val="bottom"/>
          </w:tcPr>
          <w:p>
            <w:pPr>
              <w:jc w:val="right"/>
              <w:spacing w:after="0"/>
              <w:rPr>
                <w:sz w:val="20"/>
                <w:szCs w:val="20"/>
                <w:color w:val="auto"/>
              </w:rPr>
            </w:pPr>
            <w:r>
              <w:rPr>
                <w:rFonts w:ascii="Arial" w:cs="Arial" w:eastAsia="Arial" w:hAnsi="Arial"/>
                <w:sz w:val="15"/>
                <w:szCs w:val="15"/>
                <w:color w:val="auto"/>
              </w:rPr>
              <w:t>31,352</w:t>
            </w:r>
          </w:p>
        </w:tc>
        <w:tc>
          <w:tcPr>
            <w:tcW w:w="1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524,439</w:t>
            </w:r>
          </w:p>
        </w:tc>
        <w:tc>
          <w:tcPr>
            <w:tcW w:w="0" w:type="dxa"/>
            <w:vAlign w:val="bottom"/>
          </w:tcPr>
          <w:p>
            <w:pPr>
              <w:spacing w:after="0"/>
              <w:rPr>
                <w:sz w:val="1"/>
                <w:szCs w:val="1"/>
                <w:color w:val="auto"/>
              </w:rPr>
            </w:pPr>
          </w:p>
        </w:tc>
      </w:tr>
      <w:tr>
        <w:trPr>
          <w:trHeight w:val="33"/>
        </w:trPr>
        <w:tc>
          <w:tcPr>
            <w:tcW w:w="1420" w:type="dxa"/>
            <w:vAlign w:val="bottom"/>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1180" w:type="dxa"/>
            <w:vAlign w:val="bottom"/>
            <w:tcBorders>
              <w:bottom w:val="single" w:sz="8" w:color="808080"/>
            </w:tcBorders>
          </w:tcPr>
          <w:p>
            <w:pPr>
              <w:spacing w:after="0"/>
              <w:rPr>
                <w:sz w:val="2"/>
                <w:szCs w:val="2"/>
                <w:color w:val="auto"/>
              </w:rPr>
            </w:pPr>
          </w:p>
        </w:tc>
        <w:tc>
          <w:tcPr>
            <w:tcW w:w="114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1220" w:type="dxa"/>
            <w:vAlign w:val="bottom"/>
            <w:tcBorders>
              <w:bottom w:val="single" w:sz="8" w:color="808080"/>
            </w:tcBorders>
          </w:tcPr>
          <w:p>
            <w:pPr>
              <w:spacing w:after="0"/>
              <w:rPr>
                <w:sz w:val="2"/>
                <w:szCs w:val="2"/>
                <w:color w:val="auto"/>
              </w:rPr>
            </w:pPr>
          </w:p>
        </w:tc>
        <w:tc>
          <w:tcPr>
            <w:tcW w:w="116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1600" w:type="dxa"/>
            <w:vAlign w:val="bottom"/>
            <w:tcBorders>
              <w:bottom w:val="single" w:sz="8" w:color="808080"/>
            </w:tcBorders>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rPr>
              <w:t>4/1/24</w:t>
            </w:r>
          </w:p>
        </w:tc>
        <w:tc>
          <w:tcPr>
            <w:tcW w:w="1180" w:type="dxa"/>
            <w:vAlign w:val="bottom"/>
          </w:tcPr>
          <w:p>
            <w:pPr>
              <w:jc w:val="right"/>
              <w:ind w:right="146"/>
              <w:spacing w:after="0"/>
              <w:rPr>
                <w:sz w:val="20"/>
                <w:szCs w:val="20"/>
                <w:color w:val="auto"/>
              </w:rPr>
            </w:pPr>
            <w:r>
              <w:rPr>
                <w:rFonts w:ascii="Arial" w:cs="Arial" w:eastAsia="Arial" w:hAnsi="Arial"/>
                <w:sz w:val="15"/>
                <w:szCs w:val="15"/>
                <w:color w:val="auto"/>
              </w:rPr>
              <w:t>23,835</w:t>
            </w:r>
          </w:p>
        </w:tc>
        <w:tc>
          <w:tcPr>
            <w:tcW w:w="1140" w:type="dxa"/>
            <w:vAlign w:val="bottom"/>
          </w:tcPr>
          <w:p>
            <w:pPr>
              <w:jc w:val="right"/>
              <w:ind w:right="245"/>
              <w:spacing w:after="0"/>
              <w:rPr>
                <w:sz w:val="20"/>
                <w:szCs w:val="20"/>
                <w:color w:val="auto"/>
              </w:rPr>
            </w:pPr>
            <w:r>
              <w:rPr>
                <w:rFonts w:ascii="Arial" w:cs="Arial" w:eastAsia="Arial" w:hAnsi="Arial"/>
                <w:sz w:val="15"/>
                <w:szCs w:val="15"/>
                <w:color w:val="auto"/>
              </w:rPr>
              <w:t>476,693</w:t>
            </w: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953,385</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420" w:type="dxa"/>
            <w:vAlign w:val="bottom"/>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1180" w:type="dxa"/>
            <w:vAlign w:val="bottom"/>
            <w:tcBorders>
              <w:bottom w:val="single" w:sz="8" w:color="808080"/>
            </w:tcBorders>
          </w:tcPr>
          <w:p>
            <w:pPr>
              <w:spacing w:after="0"/>
              <w:rPr>
                <w:sz w:val="2"/>
                <w:szCs w:val="2"/>
                <w:color w:val="auto"/>
              </w:rPr>
            </w:pPr>
          </w:p>
        </w:tc>
        <w:tc>
          <w:tcPr>
            <w:tcW w:w="114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1220" w:type="dxa"/>
            <w:vAlign w:val="bottom"/>
            <w:tcBorders>
              <w:bottom w:val="single" w:sz="8" w:color="808080"/>
            </w:tcBorders>
          </w:tcPr>
          <w:p>
            <w:pPr>
              <w:spacing w:after="0"/>
              <w:rPr>
                <w:sz w:val="2"/>
                <w:szCs w:val="2"/>
                <w:color w:val="auto"/>
              </w:rPr>
            </w:pPr>
          </w:p>
        </w:tc>
        <w:tc>
          <w:tcPr>
            <w:tcW w:w="116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1600" w:type="dxa"/>
            <w:vAlign w:val="bottom"/>
            <w:tcBorders>
              <w:bottom w:val="single" w:sz="8" w:color="808080"/>
            </w:tcBorders>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rPr>
              <w:t>4/1/24</w:t>
            </w: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0" w:type="dxa"/>
            <w:vAlign w:val="bottom"/>
          </w:tcPr>
          <w:p>
            <w:pPr>
              <w:jc w:val="right"/>
              <w:ind w:right="106"/>
              <w:spacing w:after="0"/>
              <w:rPr>
                <w:sz w:val="20"/>
                <w:szCs w:val="20"/>
                <w:color w:val="auto"/>
              </w:rPr>
            </w:pPr>
            <w:r>
              <w:rPr>
                <w:rFonts w:ascii="Arial" w:cs="Arial" w:eastAsia="Arial" w:hAnsi="Arial"/>
                <w:sz w:val="15"/>
                <w:szCs w:val="15"/>
                <w:color w:val="auto"/>
              </w:rPr>
              <w:t>8,327</w:t>
            </w:r>
          </w:p>
        </w:tc>
        <w:tc>
          <w:tcPr>
            <w:tcW w:w="900" w:type="dxa"/>
            <w:vAlign w:val="bottom"/>
          </w:tcPr>
          <w:p>
            <w:pPr>
              <w:jc w:val="right"/>
              <w:spacing w:after="0"/>
              <w:rPr>
                <w:sz w:val="20"/>
                <w:szCs w:val="20"/>
                <w:color w:val="auto"/>
              </w:rPr>
            </w:pPr>
            <w:r>
              <w:rPr>
                <w:rFonts w:ascii="Arial" w:cs="Arial" w:eastAsia="Arial" w:hAnsi="Arial"/>
                <w:sz w:val="15"/>
                <w:szCs w:val="15"/>
                <w:color w:val="auto"/>
              </w:rPr>
              <w:t>310,014</w:t>
            </w:r>
          </w:p>
        </w:tc>
        <w:tc>
          <w:tcPr>
            <w:tcW w:w="0" w:type="dxa"/>
            <w:vAlign w:val="bottom"/>
          </w:tcPr>
          <w:p>
            <w:pPr>
              <w:spacing w:after="0"/>
              <w:rPr>
                <w:sz w:val="1"/>
                <w:szCs w:val="1"/>
                <w:color w:val="auto"/>
              </w:rPr>
            </w:pPr>
          </w:p>
        </w:tc>
      </w:tr>
      <w:tr>
        <w:trPr>
          <w:trHeight w:val="33"/>
        </w:trPr>
        <w:tc>
          <w:tcPr>
            <w:tcW w:w="1420" w:type="dxa"/>
            <w:vAlign w:val="bottom"/>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1180" w:type="dxa"/>
            <w:vAlign w:val="bottom"/>
            <w:tcBorders>
              <w:bottom w:val="single" w:sz="8" w:color="808080"/>
            </w:tcBorders>
          </w:tcPr>
          <w:p>
            <w:pPr>
              <w:spacing w:after="0"/>
              <w:rPr>
                <w:sz w:val="2"/>
                <w:szCs w:val="2"/>
                <w:color w:val="auto"/>
              </w:rPr>
            </w:pPr>
          </w:p>
        </w:tc>
        <w:tc>
          <w:tcPr>
            <w:tcW w:w="114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1220" w:type="dxa"/>
            <w:vAlign w:val="bottom"/>
            <w:tcBorders>
              <w:bottom w:val="single" w:sz="8" w:color="808080"/>
            </w:tcBorders>
          </w:tcPr>
          <w:p>
            <w:pPr>
              <w:spacing w:after="0"/>
              <w:rPr>
                <w:sz w:val="2"/>
                <w:szCs w:val="2"/>
                <w:color w:val="auto"/>
              </w:rPr>
            </w:pPr>
          </w:p>
        </w:tc>
        <w:tc>
          <w:tcPr>
            <w:tcW w:w="116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1600" w:type="dxa"/>
            <w:vAlign w:val="bottom"/>
            <w:tcBorders>
              <w:bottom w:val="single" w:sz="8" w:color="808080"/>
            </w:tcBorders>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rPr>
              <w:t>4/1/24</w:t>
            </w: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186"/>
              <w:spacing w:after="0"/>
              <w:rPr>
                <w:sz w:val="20"/>
                <w:szCs w:val="20"/>
                <w:color w:val="auto"/>
              </w:rPr>
            </w:pPr>
            <w:r>
              <w:rPr>
                <w:rFonts w:ascii="Arial" w:cs="Arial" w:eastAsia="Arial" w:hAnsi="Arial"/>
                <w:sz w:val="15"/>
                <w:szCs w:val="15"/>
                <w:color w:val="auto"/>
              </w:rPr>
              <w:t>2,818</w:t>
            </w:r>
          </w:p>
        </w:tc>
        <w:tc>
          <w:tcPr>
            <w:tcW w:w="1160" w:type="dxa"/>
            <w:vAlign w:val="bottom"/>
          </w:tcPr>
          <w:p>
            <w:pPr>
              <w:jc w:val="right"/>
              <w:ind w:right="305"/>
              <w:spacing w:after="0"/>
              <w:rPr>
                <w:sz w:val="20"/>
                <w:szCs w:val="20"/>
                <w:color w:val="auto"/>
              </w:rPr>
            </w:pPr>
            <w:r>
              <w:rPr>
                <w:rFonts w:ascii="Arial" w:cs="Arial" w:eastAsia="Arial" w:hAnsi="Arial"/>
                <w:sz w:val="15"/>
                <w:szCs w:val="15"/>
                <w:color w:val="auto"/>
              </w:rPr>
              <w:t>16,905</w:t>
            </w:r>
          </w:p>
        </w:tc>
        <w:tc>
          <w:tcPr>
            <w:tcW w:w="720" w:type="dxa"/>
            <w:vAlign w:val="bottom"/>
          </w:tcPr>
          <w:p>
            <w:pPr>
              <w:jc w:val="right"/>
              <w:spacing w:after="0"/>
              <w:rPr>
                <w:sz w:val="20"/>
                <w:szCs w:val="20"/>
                <w:color w:val="auto"/>
              </w:rPr>
            </w:pPr>
            <w:r>
              <w:rPr>
                <w:rFonts w:ascii="Arial" w:cs="Arial" w:eastAsia="Arial" w:hAnsi="Arial"/>
                <w:sz w:val="15"/>
                <w:szCs w:val="15"/>
                <w:color w:val="auto"/>
              </w:rPr>
              <w:t>33,810</w:t>
            </w:r>
          </w:p>
        </w:tc>
        <w:tc>
          <w:tcPr>
            <w:tcW w:w="1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596,646</w:t>
            </w:r>
          </w:p>
        </w:tc>
        <w:tc>
          <w:tcPr>
            <w:tcW w:w="0" w:type="dxa"/>
            <w:vAlign w:val="bottom"/>
          </w:tcPr>
          <w:p>
            <w:pPr>
              <w:spacing w:after="0"/>
              <w:rPr>
                <w:sz w:val="1"/>
                <w:szCs w:val="1"/>
                <w:color w:val="auto"/>
              </w:rPr>
            </w:pPr>
          </w:p>
        </w:tc>
      </w:tr>
      <w:tr>
        <w:trPr>
          <w:trHeight w:val="33"/>
        </w:trPr>
        <w:tc>
          <w:tcPr>
            <w:tcW w:w="1420" w:type="dxa"/>
            <w:vAlign w:val="bottom"/>
            <w:tcBorders>
              <w:bottom w:val="single" w:sz="8" w:color="808080"/>
            </w:tcBorders>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1180" w:type="dxa"/>
            <w:vAlign w:val="bottom"/>
            <w:tcBorders>
              <w:bottom w:val="single" w:sz="8" w:color="808080"/>
            </w:tcBorders>
          </w:tcPr>
          <w:p>
            <w:pPr>
              <w:spacing w:after="0"/>
              <w:rPr>
                <w:sz w:val="2"/>
                <w:szCs w:val="2"/>
                <w:color w:val="auto"/>
              </w:rPr>
            </w:pPr>
          </w:p>
        </w:tc>
        <w:tc>
          <w:tcPr>
            <w:tcW w:w="114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1220" w:type="dxa"/>
            <w:vAlign w:val="bottom"/>
            <w:tcBorders>
              <w:bottom w:val="single" w:sz="8" w:color="808080"/>
            </w:tcBorders>
          </w:tcPr>
          <w:p>
            <w:pPr>
              <w:spacing w:after="0"/>
              <w:rPr>
                <w:sz w:val="2"/>
                <w:szCs w:val="2"/>
                <w:color w:val="auto"/>
              </w:rPr>
            </w:pPr>
          </w:p>
        </w:tc>
        <w:tc>
          <w:tcPr>
            <w:tcW w:w="116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1600" w:type="dxa"/>
            <w:vAlign w:val="bottom"/>
            <w:tcBorders>
              <w:bottom w:val="single" w:sz="8" w:color="808080"/>
            </w:tcBorders>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20" w:hanging="252"/>
        <w:spacing w:after="0" w:line="296" w:lineRule="auto"/>
        <w:tabs>
          <w:tab w:leader="none" w:pos="263" w:val="left"/>
        </w:tabs>
        <w:numPr>
          <w:ilvl w:val="0"/>
          <w:numId w:val="129"/>
        </w:numPr>
        <w:rPr>
          <w:rFonts w:ascii="Arial" w:cs="Arial" w:eastAsia="Arial" w:hAnsi="Arial"/>
          <w:sz w:val="8"/>
          <w:szCs w:val="8"/>
          <w:color w:val="auto"/>
        </w:rPr>
      </w:pPr>
      <w:r>
        <w:rPr>
          <w:rFonts w:ascii="Arial" w:cs="Arial" w:eastAsia="Arial" w:hAnsi="Arial"/>
          <w:sz w:val="14"/>
          <w:szCs w:val="14"/>
          <w:color w:val="auto"/>
        </w:rPr>
        <w:t>All NEOs have AIP target opportunities based on a fixed percentage of their respective base salaries. Under the terms of the AIP, threshold performance earns 50% of the respective target, while performance at target earns 100% of the respective target and the maximum payout is capped at 200% of target. For Messrs. Butler and Glockner and Mses. Jones and Littleton, the possible payout at threshold for AIP shown in the table was calculated at 5% of target, which is 50% performance on the lowest weighted AIP performance metric, and assumes performance for all other performance metrics is below threshold.</w:t>
      </w:r>
    </w:p>
    <w:p>
      <w:pPr>
        <w:spacing w:after="0" w:line="29" w:lineRule="exact"/>
        <w:rPr>
          <w:rFonts w:ascii="Arial" w:cs="Arial" w:eastAsia="Arial" w:hAnsi="Arial"/>
          <w:sz w:val="8"/>
          <w:szCs w:val="8"/>
          <w:color w:val="auto"/>
        </w:rPr>
      </w:pPr>
    </w:p>
    <w:p>
      <w:pPr>
        <w:ind w:left="260" w:right="380"/>
        <w:spacing w:after="0" w:line="329" w:lineRule="auto"/>
        <w:rPr>
          <w:rFonts w:ascii="Arial" w:cs="Arial" w:eastAsia="Arial" w:hAnsi="Arial"/>
          <w:sz w:val="8"/>
          <w:szCs w:val="8"/>
          <w:color w:val="auto"/>
        </w:rPr>
      </w:pPr>
      <w:r>
        <w:rPr>
          <w:rFonts w:ascii="Arial" w:cs="Arial" w:eastAsia="Arial" w:hAnsi="Arial"/>
          <w:sz w:val="14"/>
          <w:szCs w:val="14"/>
          <w:color w:val="auto"/>
        </w:rPr>
        <w:t>Mr. Innocenzo served as CEO of PECO before his promotion to COO of Exelon on April 1, 2024. His 2024 AIP target was prorated based on his time in each role, with payout determined by the achievement of PECO and Exelon goals. The possible payout at threshold shown in the table reflects 50% of the lowest weighted AIP performance metrics for PECO CEO and Exelon COO, calculated at 2.5% and 5% of target, respectively, assuming all other performance metrics are below threshold. For additional information about the terms of these programs, refer to the Compensation Discussion and Analysis (CD&amp;A).</w:t>
      </w:r>
    </w:p>
    <w:p>
      <w:pPr>
        <w:spacing w:after="0" w:line="8" w:lineRule="exact"/>
        <w:rPr>
          <w:rFonts w:ascii="Arial" w:cs="Arial" w:eastAsia="Arial" w:hAnsi="Arial"/>
          <w:sz w:val="8"/>
          <w:szCs w:val="8"/>
          <w:color w:val="auto"/>
        </w:rPr>
      </w:pPr>
    </w:p>
    <w:p>
      <w:pPr>
        <w:ind w:left="260" w:right="40" w:hanging="252"/>
        <w:spacing w:after="0" w:line="289" w:lineRule="auto"/>
        <w:tabs>
          <w:tab w:leader="none" w:pos="249" w:val="left"/>
        </w:tabs>
        <w:numPr>
          <w:ilvl w:val="0"/>
          <w:numId w:val="129"/>
        </w:numPr>
        <w:rPr>
          <w:rFonts w:ascii="Arial" w:cs="Arial" w:eastAsia="Arial" w:hAnsi="Arial"/>
          <w:sz w:val="8"/>
          <w:szCs w:val="8"/>
          <w:color w:val="auto"/>
        </w:rPr>
      </w:pPr>
      <w:r>
        <w:rPr>
          <w:rFonts w:ascii="Arial" w:cs="Arial" w:eastAsia="Arial" w:hAnsi="Arial"/>
          <w:sz w:val="14"/>
          <w:szCs w:val="14"/>
          <w:color w:val="auto"/>
        </w:rPr>
        <w:t>NEOs have a long-term performance share target opportunity that is a fixed number of performance shares commensurate with the officer’s position. The possible payout at threshold for performance share awards was calculated at 16.67% of target, which is 50% performance on the lowest weighted long-term performance share metric. The maximum possible payout for performance shares was calculated at 150% of target, prior to application of a TSR modifier, which may increase or decrease the amount of awards but which may not cause payment to exceed 200% of target. For additional information about the terms of this program, refer to the CD&amp;A.</w:t>
      </w:r>
    </w:p>
    <w:p>
      <w:pPr>
        <w:spacing w:after="0" w:line="48" w:lineRule="exact"/>
        <w:rPr>
          <w:rFonts w:ascii="Arial" w:cs="Arial" w:eastAsia="Arial" w:hAnsi="Arial"/>
          <w:sz w:val="8"/>
          <w:szCs w:val="8"/>
          <w:color w:val="auto"/>
        </w:rPr>
      </w:pPr>
    </w:p>
    <w:p>
      <w:pPr>
        <w:ind w:left="260" w:right="280" w:hanging="252"/>
        <w:spacing w:after="0" w:line="291" w:lineRule="auto"/>
        <w:tabs>
          <w:tab w:leader="none" w:pos="249" w:val="left"/>
        </w:tabs>
        <w:numPr>
          <w:ilvl w:val="0"/>
          <w:numId w:val="129"/>
        </w:numPr>
        <w:rPr>
          <w:rFonts w:ascii="Arial" w:cs="Arial" w:eastAsia="Arial" w:hAnsi="Arial"/>
          <w:sz w:val="16"/>
          <w:szCs w:val="16"/>
          <w:color w:val="auto"/>
          <w:vertAlign w:val="superscript"/>
        </w:rPr>
      </w:pPr>
      <w:r>
        <w:rPr>
          <w:rFonts w:ascii="Arial" w:cs="Arial" w:eastAsia="Arial" w:hAnsi="Arial"/>
          <w:sz w:val="14"/>
          <w:szCs w:val="14"/>
          <w:color w:val="auto"/>
        </w:rPr>
        <w:t>Reflects the number of restricted stock units granted during 2024, the first third of which will vest in 2025, the second third of which will vest in 2026, and the final third of which will vest in 2027.</w:t>
      </w:r>
    </w:p>
    <w:p>
      <w:pPr>
        <w:spacing w:after="0" w:line="27" w:lineRule="exact"/>
        <w:rPr>
          <w:rFonts w:ascii="Arial" w:cs="Arial" w:eastAsia="Arial" w:hAnsi="Arial"/>
          <w:sz w:val="16"/>
          <w:szCs w:val="16"/>
          <w:color w:val="auto"/>
          <w:vertAlign w:val="superscript"/>
        </w:rPr>
      </w:pPr>
    </w:p>
    <w:p>
      <w:pPr>
        <w:ind w:left="260" w:right="400" w:hanging="252"/>
        <w:spacing w:after="0" w:line="291" w:lineRule="auto"/>
        <w:tabs>
          <w:tab w:leader="none" w:pos="249" w:val="left"/>
        </w:tabs>
        <w:numPr>
          <w:ilvl w:val="0"/>
          <w:numId w:val="129"/>
        </w:numPr>
        <w:rPr>
          <w:rFonts w:ascii="Arial" w:cs="Arial" w:eastAsia="Arial" w:hAnsi="Arial"/>
          <w:sz w:val="16"/>
          <w:szCs w:val="16"/>
          <w:color w:val="auto"/>
          <w:vertAlign w:val="superscript"/>
        </w:rPr>
      </w:pPr>
      <w:r>
        <w:rPr>
          <w:rFonts w:ascii="Arial" w:cs="Arial" w:eastAsia="Arial" w:hAnsi="Arial"/>
          <w:sz w:val="14"/>
          <w:szCs w:val="14"/>
          <w:color w:val="auto"/>
        </w:rPr>
        <w:t>Shows the grant date fair value, calculated in accordance with FASB ASC Topic 718, of the performance share awards and restricted stock units granted to each NEO during 2024. Fair value of performance share awards is based on an estimated payout of 100% of target.</w:t>
      </w:r>
    </w:p>
    <w:p>
      <w:pPr>
        <w:spacing w:after="0" w:line="200" w:lineRule="exact"/>
        <w:rPr>
          <w:sz w:val="20"/>
          <w:szCs w:val="20"/>
          <w:color w:val="auto"/>
        </w:rPr>
      </w:pPr>
    </w:p>
    <w:p>
      <w:pPr>
        <w:spacing w:after="0" w:line="354" w:lineRule="exact"/>
        <w:rPr>
          <w:sz w:val="20"/>
          <w:szCs w:val="20"/>
          <w:color w:val="auto"/>
        </w:rPr>
      </w:pPr>
    </w:p>
    <w:p>
      <w:pPr>
        <w:ind w:left="480" w:hanging="454"/>
        <w:spacing w:after="0"/>
        <w:tabs>
          <w:tab w:leader="none" w:pos="480" w:val="left"/>
        </w:tabs>
        <w:numPr>
          <w:ilvl w:val="0"/>
          <w:numId w:val="13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6" w:name="page67"/>
    <w:bookmarkEnd w:id="66"/>
    <w:p>
      <w:pPr>
        <w:jc w:val="right"/>
        <w:spacing w:after="0"/>
        <w:rPr>
          <w:sz w:val="20"/>
          <w:szCs w:val="20"/>
          <w:color w:val="auto"/>
        </w:rPr>
      </w:pPr>
      <w:r>
        <w:rPr>
          <w:rFonts w:ascii="Arial" w:cs="Arial" w:eastAsia="Arial" w:hAnsi="Arial"/>
          <w:sz w:val="13"/>
          <w:szCs w:val="13"/>
          <w:b w:val="1"/>
          <w:bCs w:val="1"/>
          <w:color w:val="auto"/>
        </w:rPr>
        <w:t>Compensation Discussion &amp; Analysis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Outstanding Equity Awards at Year End</w:t>
      </w:r>
    </w:p>
    <w:p>
      <w:pPr>
        <w:spacing w:after="0" w:line="112" w:lineRule="exact"/>
        <w:rPr>
          <w:sz w:val="20"/>
          <w:szCs w:val="20"/>
          <w:color w:val="auto"/>
        </w:rPr>
      </w:pPr>
    </w:p>
    <w:p>
      <w:pPr>
        <w:ind w:right="340"/>
        <w:spacing w:after="0" w:line="292" w:lineRule="auto"/>
        <w:rPr>
          <w:sz w:val="20"/>
          <w:szCs w:val="20"/>
          <w:color w:val="auto"/>
        </w:rPr>
      </w:pPr>
      <w:r>
        <w:rPr>
          <w:rFonts w:ascii="Arial" w:cs="Arial" w:eastAsia="Arial" w:hAnsi="Arial"/>
          <w:sz w:val="16"/>
          <w:szCs w:val="16"/>
          <w:color w:val="auto"/>
        </w:rPr>
        <w:t>The following table provides information regarding outstanding equity awards held by the NEOs as of December 31, 2024. Unless otherwise specified, market value for stock awards is determined by multiplying the number of shares by the closing price of Exelon common stock on December 31, 2024 of $37.64.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80" w:type="dxa"/>
            <w:vAlign w:val="bottom"/>
          </w:tcPr>
          <w:p>
            <w:pPr>
              <w:spacing w:after="0"/>
              <w:rPr>
                <w:sz w:val="17"/>
                <w:szCs w:val="17"/>
                <w:color w:val="auto"/>
              </w:rPr>
            </w:pPr>
          </w:p>
        </w:tc>
        <w:tc>
          <w:tcPr>
            <w:tcW w:w="2240" w:type="dxa"/>
            <w:vAlign w:val="bottom"/>
            <w:tcBorders>
              <w:bottom w:val="single" w:sz="8" w:color="170D67"/>
            </w:tcBorders>
          </w:tcPr>
          <w:p>
            <w:pPr>
              <w:spacing w:after="0"/>
              <w:rPr>
                <w:sz w:val="17"/>
                <w:szCs w:val="17"/>
                <w:color w:val="auto"/>
              </w:rPr>
            </w:pPr>
          </w:p>
        </w:tc>
        <w:tc>
          <w:tcPr>
            <w:tcW w:w="4300" w:type="dxa"/>
            <w:vAlign w:val="bottom"/>
            <w:tcBorders>
              <w:bottom w:val="single" w:sz="8" w:color="170D67"/>
            </w:tcBorders>
            <w:gridSpan w:val="2"/>
          </w:tcPr>
          <w:p>
            <w:pPr>
              <w:jc w:val="right"/>
              <w:ind w:right="1766"/>
              <w:spacing w:after="0"/>
              <w:rPr>
                <w:sz w:val="20"/>
                <w:szCs w:val="20"/>
                <w:color w:val="auto"/>
              </w:rPr>
            </w:pPr>
            <w:r>
              <w:rPr>
                <w:rFonts w:ascii="Arial" w:cs="Arial" w:eastAsia="Arial" w:hAnsi="Arial"/>
                <w:sz w:val="14"/>
                <w:szCs w:val="14"/>
                <w:b w:val="1"/>
                <w:bCs w:val="1"/>
                <w:color w:val="170D67"/>
              </w:rPr>
              <w:t>Stock Awards</w:t>
            </w:r>
          </w:p>
        </w:tc>
        <w:tc>
          <w:tcPr>
            <w:tcW w:w="1900" w:type="dxa"/>
            <w:vAlign w:val="bottom"/>
            <w:tcBorders>
              <w:bottom w:val="single" w:sz="8" w:color="170D67"/>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780" w:type="dxa"/>
            <w:vAlign w:val="bottom"/>
          </w:tcPr>
          <w:p>
            <w:pPr>
              <w:spacing w:after="0"/>
              <w:rPr>
                <w:sz w:val="19"/>
                <w:szCs w:val="19"/>
                <w:color w:val="auto"/>
              </w:rPr>
            </w:pPr>
          </w:p>
        </w:tc>
        <w:tc>
          <w:tcPr>
            <w:tcW w:w="2240" w:type="dxa"/>
            <w:vAlign w:val="bottom"/>
            <w:tcBorders>
              <w:bottom w:val="single" w:sz="8" w:color="170D67"/>
            </w:tcBorders>
          </w:tcPr>
          <w:p>
            <w:pPr>
              <w:jc w:val="right"/>
              <w:ind w:right="1086"/>
              <w:spacing w:after="0"/>
              <w:rPr>
                <w:sz w:val="20"/>
                <w:szCs w:val="20"/>
                <w:color w:val="auto"/>
              </w:rPr>
            </w:pPr>
            <w:r>
              <w:rPr>
                <w:rFonts w:ascii="Arial" w:cs="Arial" w:eastAsia="Arial" w:hAnsi="Arial"/>
                <w:sz w:val="14"/>
                <w:szCs w:val="14"/>
                <w:b w:val="1"/>
                <w:bCs w:val="1"/>
                <w:color w:val="170D67"/>
              </w:rPr>
              <w:t>(a)</w:t>
            </w:r>
          </w:p>
        </w:tc>
        <w:tc>
          <w:tcPr>
            <w:tcW w:w="2140" w:type="dxa"/>
            <w:vAlign w:val="bottom"/>
            <w:tcBorders>
              <w:bottom w:val="single" w:sz="8" w:color="170D67"/>
            </w:tcBorders>
          </w:tcPr>
          <w:p>
            <w:pPr>
              <w:jc w:val="right"/>
              <w:ind w:right="1166"/>
              <w:spacing w:after="0"/>
              <w:rPr>
                <w:sz w:val="20"/>
                <w:szCs w:val="20"/>
                <w:color w:val="auto"/>
              </w:rPr>
            </w:pPr>
            <w:r>
              <w:rPr>
                <w:rFonts w:ascii="Arial" w:cs="Arial" w:eastAsia="Arial" w:hAnsi="Arial"/>
                <w:sz w:val="14"/>
                <w:szCs w:val="14"/>
                <w:b w:val="1"/>
                <w:bCs w:val="1"/>
                <w:color w:val="170D67"/>
              </w:rPr>
              <w:t>(b)</w:t>
            </w:r>
          </w:p>
        </w:tc>
        <w:tc>
          <w:tcPr>
            <w:tcW w:w="2160" w:type="dxa"/>
            <w:vAlign w:val="bottom"/>
            <w:tcBorders>
              <w:bottom w:val="single" w:sz="8" w:color="170D67"/>
            </w:tcBorders>
          </w:tcPr>
          <w:p>
            <w:pPr>
              <w:jc w:val="right"/>
              <w:ind w:right="1186"/>
              <w:spacing w:after="0"/>
              <w:rPr>
                <w:sz w:val="20"/>
                <w:szCs w:val="20"/>
                <w:color w:val="auto"/>
              </w:rPr>
            </w:pPr>
            <w:r>
              <w:rPr>
                <w:rFonts w:ascii="Arial" w:cs="Arial" w:eastAsia="Arial" w:hAnsi="Arial"/>
                <w:sz w:val="14"/>
                <w:szCs w:val="14"/>
                <w:b w:val="1"/>
                <w:bCs w:val="1"/>
                <w:color w:val="170D67"/>
              </w:rPr>
              <w:t>(c)</w:t>
            </w:r>
          </w:p>
        </w:tc>
        <w:tc>
          <w:tcPr>
            <w:tcW w:w="1900" w:type="dxa"/>
            <w:vAlign w:val="bottom"/>
            <w:tcBorders>
              <w:bottom w:val="single" w:sz="8" w:color="170D67"/>
            </w:tcBorders>
          </w:tcPr>
          <w:p>
            <w:pPr>
              <w:jc w:val="right"/>
              <w:ind w:right="906"/>
              <w:spacing w:after="0"/>
              <w:rPr>
                <w:sz w:val="20"/>
                <w:szCs w:val="20"/>
                <w:color w:val="auto"/>
              </w:rPr>
            </w:pPr>
            <w:r>
              <w:rPr>
                <w:rFonts w:ascii="Arial" w:cs="Arial" w:eastAsia="Arial" w:hAnsi="Arial"/>
                <w:sz w:val="14"/>
                <w:szCs w:val="14"/>
                <w:b w:val="1"/>
                <w:bCs w:val="1"/>
                <w:color w:val="170D67"/>
              </w:rPr>
              <w:t>(d)</w:t>
            </w:r>
          </w:p>
        </w:tc>
        <w:tc>
          <w:tcPr>
            <w:tcW w:w="0" w:type="dxa"/>
            <w:vAlign w:val="bottom"/>
          </w:tcPr>
          <w:p>
            <w:pPr>
              <w:spacing w:after="0"/>
              <w:rPr>
                <w:sz w:val="1"/>
                <w:szCs w:val="1"/>
                <w:color w:val="auto"/>
              </w:rPr>
            </w:pPr>
          </w:p>
        </w:tc>
      </w:tr>
      <w:tr>
        <w:trPr>
          <w:trHeight w:val="193"/>
        </w:trPr>
        <w:tc>
          <w:tcPr>
            <w:tcW w:w="27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160" w:type="dxa"/>
            <w:vAlign w:val="bottom"/>
            <w:vMerge w:val="restart"/>
          </w:tcPr>
          <w:p>
            <w:pPr>
              <w:jc w:val="right"/>
              <w:ind w:right="206"/>
              <w:spacing w:after="0"/>
              <w:rPr>
                <w:sz w:val="20"/>
                <w:szCs w:val="20"/>
                <w:color w:val="auto"/>
              </w:rPr>
            </w:pPr>
            <w:r>
              <w:rPr>
                <w:rFonts w:ascii="Arial" w:cs="Arial" w:eastAsia="Arial" w:hAnsi="Arial"/>
                <w:sz w:val="14"/>
                <w:szCs w:val="14"/>
                <w:b w:val="1"/>
                <w:bCs w:val="1"/>
                <w:color w:val="170D67"/>
              </w:rPr>
              <w:t>Equity Incentive Plan</w:t>
            </w:r>
          </w:p>
        </w:tc>
        <w:tc>
          <w:tcPr>
            <w:tcW w:w="1900" w:type="dxa"/>
            <w:vAlign w:val="bottom"/>
          </w:tcPr>
          <w:p>
            <w:pPr>
              <w:jc w:val="right"/>
              <w:spacing w:after="0"/>
              <w:rPr>
                <w:sz w:val="20"/>
                <w:szCs w:val="20"/>
                <w:color w:val="auto"/>
              </w:rPr>
            </w:pPr>
            <w:r>
              <w:rPr>
                <w:rFonts w:ascii="Arial" w:cs="Arial" w:eastAsia="Arial" w:hAnsi="Arial"/>
                <w:sz w:val="14"/>
                <w:szCs w:val="14"/>
                <w:b w:val="1"/>
                <w:bCs w:val="1"/>
                <w:color w:val="170D67"/>
              </w:rPr>
              <w:t>Equity Incentive Plan</w:t>
            </w: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160" w:type="dxa"/>
            <w:vAlign w:val="bottom"/>
            <w:vMerge w:val="continue"/>
          </w:tcPr>
          <w:p>
            <w:pPr>
              <w:spacing w:after="0"/>
              <w:rPr>
                <w:sz w:val="14"/>
                <w:szCs w:val="14"/>
                <w:color w:val="auto"/>
              </w:rPr>
            </w:pPr>
          </w:p>
        </w:tc>
        <w:tc>
          <w:tcPr>
            <w:tcW w:w="1900" w:type="dxa"/>
            <w:vAlign w:val="bottom"/>
          </w:tcPr>
          <w:p>
            <w:pPr>
              <w:jc w:val="right"/>
              <w:spacing w:after="0"/>
              <w:rPr>
                <w:sz w:val="20"/>
                <w:szCs w:val="20"/>
                <w:color w:val="auto"/>
              </w:rPr>
            </w:pPr>
            <w:r>
              <w:rPr>
                <w:rFonts w:ascii="Arial" w:cs="Arial" w:eastAsia="Arial" w:hAnsi="Arial"/>
                <w:sz w:val="14"/>
                <w:szCs w:val="14"/>
                <w:b w:val="1"/>
                <w:bCs w:val="1"/>
                <w:color w:val="170D67"/>
              </w:rPr>
              <w:t>Awards: Market or</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160" w:type="dxa"/>
            <w:vAlign w:val="bottom"/>
          </w:tcPr>
          <w:p>
            <w:pPr>
              <w:jc w:val="right"/>
              <w:ind w:right="206"/>
              <w:spacing w:after="0"/>
              <w:rPr>
                <w:sz w:val="20"/>
                <w:szCs w:val="20"/>
                <w:color w:val="auto"/>
              </w:rPr>
            </w:pPr>
            <w:r>
              <w:rPr>
                <w:rFonts w:ascii="Arial" w:cs="Arial" w:eastAsia="Arial" w:hAnsi="Arial"/>
                <w:sz w:val="14"/>
                <w:szCs w:val="14"/>
                <w:b w:val="1"/>
                <w:bCs w:val="1"/>
                <w:color w:val="170D67"/>
              </w:rPr>
              <w:t>Awards: Number of</w:t>
            </w:r>
          </w:p>
        </w:tc>
        <w:tc>
          <w:tcPr>
            <w:tcW w:w="1900" w:type="dxa"/>
            <w:vAlign w:val="bottom"/>
          </w:tcPr>
          <w:p>
            <w:pPr>
              <w:jc w:val="right"/>
              <w:spacing w:after="0"/>
              <w:rPr>
                <w:sz w:val="20"/>
                <w:szCs w:val="20"/>
                <w:color w:val="auto"/>
              </w:rPr>
            </w:pPr>
            <w:r>
              <w:rPr>
                <w:rFonts w:ascii="Arial" w:cs="Arial" w:eastAsia="Arial" w:hAnsi="Arial"/>
                <w:sz w:val="14"/>
                <w:szCs w:val="14"/>
                <w:b w:val="1"/>
                <w:bCs w:val="1"/>
                <w:color w:val="170D67"/>
              </w:rPr>
              <w:t>Payout Value of</w:t>
            </w: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2240" w:type="dxa"/>
            <w:vAlign w:val="bottom"/>
          </w:tcPr>
          <w:p>
            <w:pPr>
              <w:jc w:val="right"/>
              <w:ind w:right="206"/>
              <w:spacing w:after="0"/>
              <w:rPr>
                <w:sz w:val="20"/>
                <w:szCs w:val="20"/>
                <w:color w:val="auto"/>
              </w:rPr>
            </w:pPr>
            <w:r>
              <w:rPr>
                <w:rFonts w:ascii="Arial" w:cs="Arial" w:eastAsia="Arial" w:hAnsi="Arial"/>
                <w:sz w:val="14"/>
                <w:szCs w:val="14"/>
                <w:b w:val="1"/>
                <w:bCs w:val="1"/>
                <w:color w:val="170D67"/>
              </w:rPr>
              <w:t>Number of Shares or</w:t>
            </w:r>
          </w:p>
        </w:tc>
        <w:tc>
          <w:tcPr>
            <w:tcW w:w="2140" w:type="dxa"/>
            <w:vAlign w:val="bottom"/>
          </w:tcPr>
          <w:p>
            <w:pPr>
              <w:jc w:val="right"/>
              <w:ind w:right="206"/>
              <w:spacing w:after="0"/>
              <w:rPr>
                <w:sz w:val="20"/>
                <w:szCs w:val="20"/>
                <w:color w:val="auto"/>
              </w:rPr>
            </w:pPr>
            <w:r>
              <w:rPr>
                <w:rFonts w:ascii="Arial" w:cs="Arial" w:eastAsia="Arial" w:hAnsi="Arial"/>
                <w:sz w:val="14"/>
                <w:szCs w:val="14"/>
                <w:b w:val="1"/>
                <w:bCs w:val="1"/>
                <w:color w:val="170D67"/>
              </w:rPr>
              <w:t>Market Value of Shares</w:t>
            </w:r>
          </w:p>
        </w:tc>
        <w:tc>
          <w:tcPr>
            <w:tcW w:w="2160" w:type="dxa"/>
            <w:vAlign w:val="bottom"/>
          </w:tcPr>
          <w:p>
            <w:pPr>
              <w:jc w:val="right"/>
              <w:ind w:right="206"/>
              <w:spacing w:after="0"/>
              <w:rPr>
                <w:sz w:val="20"/>
                <w:szCs w:val="20"/>
                <w:color w:val="auto"/>
              </w:rPr>
            </w:pPr>
            <w:r>
              <w:rPr>
                <w:rFonts w:ascii="Arial" w:cs="Arial" w:eastAsia="Arial" w:hAnsi="Arial"/>
                <w:sz w:val="14"/>
                <w:szCs w:val="14"/>
                <w:b w:val="1"/>
                <w:bCs w:val="1"/>
                <w:color w:val="170D67"/>
              </w:rPr>
              <w:t>Unearned Shares, Units</w:t>
            </w:r>
          </w:p>
        </w:tc>
        <w:tc>
          <w:tcPr>
            <w:tcW w:w="1900" w:type="dxa"/>
            <w:vAlign w:val="bottom"/>
          </w:tcPr>
          <w:p>
            <w:pPr>
              <w:jc w:val="right"/>
              <w:spacing w:after="0"/>
              <w:rPr>
                <w:sz w:val="20"/>
                <w:szCs w:val="20"/>
                <w:color w:val="auto"/>
              </w:rPr>
            </w:pPr>
            <w:r>
              <w:rPr>
                <w:rFonts w:ascii="Arial" w:cs="Arial" w:eastAsia="Arial" w:hAnsi="Arial"/>
                <w:sz w:val="14"/>
                <w:szCs w:val="14"/>
                <w:b w:val="1"/>
                <w:bCs w:val="1"/>
                <w:color w:val="170D67"/>
              </w:rPr>
              <w:t>Unearned Shares, Units</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15"/>
                <w:szCs w:val="15"/>
                <w:color w:val="auto"/>
              </w:rPr>
            </w:pPr>
          </w:p>
        </w:tc>
        <w:tc>
          <w:tcPr>
            <w:tcW w:w="2240" w:type="dxa"/>
            <w:vAlign w:val="bottom"/>
          </w:tcPr>
          <w:p>
            <w:pPr>
              <w:jc w:val="right"/>
              <w:ind w:right="206"/>
              <w:spacing w:after="0"/>
              <w:rPr>
                <w:sz w:val="20"/>
                <w:szCs w:val="20"/>
                <w:color w:val="auto"/>
              </w:rPr>
            </w:pPr>
            <w:r>
              <w:rPr>
                <w:rFonts w:ascii="Arial" w:cs="Arial" w:eastAsia="Arial" w:hAnsi="Arial"/>
                <w:sz w:val="14"/>
                <w:szCs w:val="14"/>
                <w:b w:val="1"/>
                <w:bCs w:val="1"/>
                <w:color w:val="170D67"/>
              </w:rPr>
              <w:t>Units of Stock That</w:t>
            </w:r>
          </w:p>
        </w:tc>
        <w:tc>
          <w:tcPr>
            <w:tcW w:w="2140" w:type="dxa"/>
            <w:vAlign w:val="bottom"/>
          </w:tcPr>
          <w:p>
            <w:pPr>
              <w:jc w:val="right"/>
              <w:ind w:right="206"/>
              <w:spacing w:after="0"/>
              <w:rPr>
                <w:sz w:val="20"/>
                <w:szCs w:val="20"/>
                <w:color w:val="auto"/>
              </w:rPr>
            </w:pPr>
            <w:r>
              <w:rPr>
                <w:rFonts w:ascii="Arial" w:cs="Arial" w:eastAsia="Arial" w:hAnsi="Arial"/>
                <w:sz w:val="14"/>
                <w:szCs w:val="14"/>
                <w:b w:val="1"/>
                <w:bCs w:val="1"/>
                <w:color w:val="170D67"/>
              </w:rPr>
              <w:t>or Units of Stock That</w:t>
            </w:r>
          </w:p>
        </w:tc>
        <w:tc>
          <w:tcPr>
            <w:tcW w:w="2160" w:type="dxa"/>
            <w:vAlign w:val="bottom"/>
          </w:tcPr>
          <w:p>
            <w:pPr>
              <w:jc w:val="right"/>
              <w:ind w:right="206"/>
              <w:spacing w:after="0"/>
              <w:rPr>
                <w:sz w:val="20"/>
                <w:szCs w:val="20"/>
                <w:color w:val="auto"/>
              </w:rPr>
            </w:pPr>
            <w:r>
              <w:rPr>
                <w:rFonts w:ascii="Arial" w:cs="Arial" w:eastAsia="Arial" w:hAnsi="Arial"/>
                <w:sz w:val="14"/>
                <w:szCs w:val="14"/>
                <w:b w:val="1"/>
                <w:bCs w:val="1"/>
                <w:color w:val="170D67"/>
              </w:rPr>
              <w:t>or Other Rights That</w:t>
            </w:r>
          </w:p>
        </w:tc>
        <w:tc>
          <w:tcPr>
            <w:tcW w:w="1900" w:type="dxa"/>
            <w:vAlign w:val="bottom"/>
          </w:tcPr>
          <w:p>
            <w:pPr>
              <w:jc w:val="right"/>
              <w:spacing w:after="0"/>
              <w:rPr>
                <w:sz w:val="20"/>
                <w:szCs w:val="20"/>
                <w:color w:val="auto"/>
              </w:rPr>
            </w:pPr>
            <w:r>
              <w:rPr>
                <w:rFonts w:ascii="Arial" w:cs="Arial" w:eastAsia="Arial" w:hAnsi="Arial"/>
                <w:sz w:val="14"/>
                <w:szCs w:val="14"/>
                <w:b w:val="1"/>
                <w:bCs w:val="1"/>
                <w:color w:val="170D67"/>
              </w:rPr>
              <w:t>or Other Rights That</w:t>
            </w:r>
          </w:p>
        </w:tc>
        <w:tc>
          <w:tcPr>
            <w:tcW w:w="0" w:type="dxa"/>
            <w:vAlign w:val="bottom"/>
          </w:tcPr>
          <w:p>
            <w:pPr>
              <w:spacing w:after="0"/>
              <w:rPr>
                <w:sz w:val="1"/>
                <w:szCs w:val="1"/>
                <w:color w:val="auto"/>
              </w:rPr>
            </w:pPr>
          </w:p>
        </w:tc>
      </w:tr>
      <w:tr>
        <w:trPr>
          <w:trHeight w:val="175"/>
        </w:trPr>
        <w:tc>
          <w:tcPr>
            <w:tcW w:w="2780" w:type="dxa"/>
            <w:vAlign w:val="bottom"/>
          </w:tcPr>
          <w:p>
            <w:pPr>
              <w:spacing w:after="0"/>
              <w:rPr>
                <w:sz w:val="15"/>
                <w:szCs w:val="15"/>
                <w:color w:val="auto"/>
              </w:rPr>
            </w:pPr>
          </w:p>
        </w:tc>
        <w:tc>
          <w:tcPr>
            <w:tcW w:w="2240" w:type="dxa"/>
            <w:vAlign w:val="bottom"/>
          </w:tcPr>
          <w:p>
            <w:pPr>
              <w:jc w:val="right"/>
              <w:ind w:right="206"/>
              <w:spacing w:after="0"/>
              <w:rPr>
                <w:sz w:val="20"/>
                <w:szCs w:val="20"/>
                <w:color w:val="auto"/>
              </w:rPr>
            </w:pPr>
            <w:r>
              <w:rPr>
                <w:rFonts w:ascii="Arial" w:cs="Arial" w:eastAsia="Arial" w:hAnsi="Arial"/>
                <w:sz w:val="14"/>
                <w:szCs w:val="14"/>
                <w:b w:val="1"/>
                <w:bCs w:val="1"/>
                <w:color w:val="170D67"/>
              </w:rPr>
              <w:t>Have Not Yet Vested</w:t>
            </w:r>
          </w:p>
        </w:tc>
        <w:tc>
          <w:tcPr>
            <w:tcW w:w="2140" w:type="dxa"/>
            <w:vAlign w:val="bottom"/>
          </w:tcPr>
          <w:p>
            <w:pPr>
              <w:jc w:val="right"/>
              <w:ind w:right="206"/>
              <w:spacing w:after="0"/>
              <w:rPr>
                <w:sz w:val="20"/>
                <w:szCs w:val="20"/>
                <w:color w:val="auto"/>
              </w:rPr>
            </w:pPr>
            <w:r>
              <w:rPr>
                <w:rFonts w:ascii="Arial" w:cs="Arial" w:eastAsia="Arial" w:hAnsi="Arial"/>
                <w:sz w:val="14"/>
                <w:szCs w:val="14"/>
                <w:b w:val="1"/>
                <w:bCs w:val="1"/>
                <w:color w:val="170D67"/>
              </w:rPr>
              <w:t>Have Not Yet Vested</w:t>
            </w:r>
          </w:p>
        </w:tc>
        <w:tc>
          <w:tcPr>
            <w:tcW w:w="2160" w:type="dxa"/>
            <w:vAlign w:val="bottom"/>
          </w:tcPr>
          <w:p>
            <w:pPr>
              <w:jc w:val="right"/>
              <w:ind w:right="206"/>
              <w:spacing w:after="0"/>
              <w:rPr>
                <w:sz w:val="20"/>
                <w:szCs w:val="20"/>
                <w:color w:val="auto"/>
              </w:rPr>
            </w:pPr>
            <w:r>
              <w:rPr>
                <w:rFonts w:ascii="Arial" w:cs="Arial" w:eastAsia="Arial" w:hAnsi="Arial"/>
                <w:sz w:val="14"/>
                <w:szCs w:val="14"/>
                <w:b w:val="1"/>
                <w:bCs w:val="1"/>
                <w:color w:val="170D67"/>
              </w:rPr>
              <w:t>Have Not Yet Vested</w:t>
            </w:r>
          </w:p>
        </w:tc>
        <w:tc>
          <w:tcPr>
            <w:tcW w:w="1900" w:type="dxa"/>
            <w:vAlign w:val="bottom"/>
          </w:tcPr>
          <w:p>
            <w:pPr>
              <w:jc w:val="right"/>
              <w:spacing w:after="0"/>
              <w:rPr>
                <w:sz w:val="20"/>
                <w:szCs w:val="20"/>
                <w:color w:val="auto"/>
              </w:rPr>
            </w:pPr>
            <w:r>
              <w:rPr>
                <w:rFonts w:ascii="Arial" w:cs="Arial" w:eastAsia="Arial" w:hAnsi="Arial"/>
                <w:sz w:val="14"/>
                <w:szCs w:val="14"/>
                <w:b w:val="1"/>
                <w:bCs w:val="1"/>
                <w:color w:val="170D67"/>
              </w:rPr>
              <w:t>Have Not Yet Vested</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15"/>
                <w:szCs w:val="15"/>
                <w:color w:val="auto"/>
              </w:rPr>
            </w:pPr>
          </w:p>
        </w:tc>
        <w:tc>
          <w:tcPr>
            <w:tcW w:w="2240" w:type="dxa"/>
            <w:vAlign w:val="bottom"/>
          </w:tcPr>
          <w:p>
            <w:pPr>
              <w:jc w:val="right"/>
              <w:ind w:right="206"/>
              <w:spacing w:after="0"/>
              <w:rPr>
                <w:sz w:val="20"/>
                <w:szCs w:val="20"/>
                <w:color w:val="auto"/>
              </w:rPr>
            </w:pPr>
            <w:r>
              <w:rPr>
                <w:rFonts w:ascii="Arial" w:cs="Arial" w:eastAsia="Arial" w:hAnsi="Arial"/>
                <w:sz w:val="14"/>
                <w:szCs w:val="14"/>
                <w:b w:val="1"/>
                <w:bCs w:val="1"/>
                <w:color w:val="170D67"/>
              </w:rPr>
              <w:t>(#)</w:t>
            </w:r>
          </w:p>
        </w:tc>
        <w:tc>
          <w:tcPr>
            <w:tcW w:w="2140" w:type="dxa"/>
            <w:vAlign w:val="bottom"/>
          </w:tcPr>
          <w:p>
            <w:pPr>
              <w:jc w:val="right"/>
              <w:ind w:right="206"/>
              <w:spacing w:after="0"/>
              <w:rPr>
                <w:sz w:val="20"/>
                <w:szCs w:val="20"/>
                <w:color w:val="auto"/>
              </w:rPr>
            </w:pPr>
            <w:r>
              <w:rPr>
                <w:rFonts w:ascii="Arial" w:cs="Arial" w:eastAsia="Arial" w:hAnsi="Arial"/>
                <w:sz w:val="14"/>
                <w:szCs w:val="14"/>
                <w:b w:val="1"/>
                <w:bCs w:val="1"/>
                <w:color w:val="170D67"/>
              </w:rPr>
              <w:t>($)</w:t>
            </w:r>
          </w:p>
        </w:tc>
        <w:tc>
          <w:tcPr>
            <w:tcW w:w="2160" w:type="dxa"/>
            <w:vAlign w:val="bottom"/>
          </w:tcPr>
          <w:p>
            <w:pPr>
              <w:jc w:val="right"/>
              <w:ind w:right="206"/>
              <w:spacing w:after="0"/>
              <w:rPr>
                <w:sz w:val="20"/>
                <w:szCs w:val="20"/>
                <w:color w:val="auto"/>
              </w:rPr>
            </w:pPr>
            <w:r>
              <w:rPr>
                <w:rFonts w:ascii="Arial" w:cs="Arial" w:eastAsia="Arial" w:hAnsi="Arial"/>
                <w:sz w:val="14"/>
                <w:szCs w:val="14"/>
                <w:b w:val="1"/>
                <w:bCs w:val="1"/>
                <w:color w:val="170D67"/>
              </w:rPr>
              <w:t>(#)</w:t>
            </w:r>
          </w:p>
        </w:tc>
        <w:tc>
          <w:tcPr>
            <w:tcW w:w="1900" w:type="dxa"/>
            <w:vAlign w:val="bottom"/>
          </w:tcPr>
          <w:p>
            <w:pPr>
              <w:jc w:val="right"/>
              <w:spacing w:after="0"/>
              <w:rPr>
                <w:sz w:val="20"/>
                <w:szCs w:val="20"/>
                <w:color w:val="auto"/>
              </w:rPr>
            </w:pPr>
            <w:r>
              <w:rPr>
                <w:rFonts w:ascii="Arial" w:cs="Arial" w:eastAsia="Arial" w:hAnsi="Arial"/>
                <w:sz w:val="14"/>
                <w:szCs w:val="14"/>
                <w:b w:val="1"/>
                <w:bCs w:val="1"/>
                <w:color w:val="170D67"/>
              </w:rPr>
              <w:t>($)</w:t>
            </w:r>
          </w:p>
        </w:tc>
        <w:tc>
          <w:tcPr>
            <w:tcW w:w="0" w:type="dxa"/>
            <w:vAlign w:val="bottom"/>
          </w:tcPr>
          <w:p>
            <w:pPr>
              <w:spacing w:after="0"/>
              <w:rPr>
                <w:sz w:val="1"/>
                <w:szCs w:val="1"/>
                <w:color w:val="auto"/>
              </w:rPr>
            </w:pPr>
          </w:p>
        </w:tc>
      </w:tr>
      <w:tr>
        <w:trPr>
          <w:trHeight w:val="211"/>
        </w:trPr>
        <w:tc>
          <w:tcPr>
            <w:tcW w:w="2780" w:type="dxa"/>
            <w:vAlign w:val="bottom"/>
            <w:tcBorders>
              <w:bottom w:val="single" w:sz="8" w:color="170D67"/>
            </w:tcBorders>
          </w:tcPr>
          <w:p>
            <w:pPr>
              <w:ind w:left="20"/>
              <w:spacing w:after="0"/>
              <w:rPr>
                <w:sz w:val="20"/>
                <w:szCs w:val="20"/>
                <w:color w:val="auto"/>
              </w:rPr>
            </w:pPr>
            <w:r>
              <w:rPr>
                <w:rFonts w:ascii="Arial" w:cs="Arial" w:eastAsia="Arial" w:hAnsi="Arial"/>
                <w:sz w:val="14"/>
                <w:szCs w:val="14"/>
                <w:b w:val="1"/>
                <w:bCs w:val="1"/>
                <w:color w:val="170D67"/>
              </w:rPr>
              <w:t>Name</w:t>
            </w:r>
          </w:p>
        </w:tc>
        <w:tc>
          <w:tcPr>
            <w:tcW w:w="2240" w:type="dxa"/>
            <w:vAlign w:val="bottom"/>
            <w:tcBorders>
              <w:bottom w:val="single" w:sz="8" w:color="170D67"/>
            </w:tcBorders>
          </w:tcPr>
          <w:p>
            <w:pPr>
              <w:jc w:val="right"/>
              <w:ind w:right="206"/>
              <w:spacing w:after="0"/>
              <w:rPr>
                <w:sz w:val="20"/>
                <w:szCs w:val="20"/>
                <w:color w:val="auto"/>
              </w:rPr>
            </w:pPr>
            <w:r>
              <w:rPr>
                <w:rFonts w:ascii="Arial" w:cs="Arial" w:eastAsia="Arial" w:hAnsi="Arial"/>
                <w:sz w:val="14"/>
                <w:szCs w:val="14"/>
                <w:b w:val="1"/>
                <w:bCs w:val="1"/>
                <w:color w:val="170D67"/>
              </w:rPr>
              <w:t>(Note 1)</w:t>
            </w:r>
          </w:p>
        </w:tc>
        <w:tc>
          <w:tcPr>
            <w:tcW w:w="2140" w:type="dxa"/>
            <w:vAlign w:val="bottom"/>
            <w:tcBorders>
              <w:bottom w:val="single" w:sz="8" w:color="170D67"/>
            </w:tcBorders>
          </w:tcPr>
          <w:p>
            <w:pPr>
              <w:jc w:val="right"/>
              <w:ind w:right="206"/>
              <w:spacing w:after="0"/>
              <w:rPr>
                <w:sz w:val="20"/>
                <w:szCs w:val="20"/>
                <w:color w:val="auto"/>
              </w:rPr>
            </w:pPr>
            <w:r>
              <w:rPr>
                <w:rFonts w:ascii="Arial" w:cs="Arial" w:eastAsia="Arial" w:hAnsi="Arial"/>
                <w:sz w:val="14"/>
                <w:szCs w:val="14"/>
                <w:b w:val="1"/>
                <w:bCs w:val="1"/>
                <w:color w:val="170D67"/>
              </w:rPr>
              <w:t>(Note 2)</w:t>
            </w:r>
          </w:p>
        </w:tc>
        <w:tc>
          <w:tcPr>
            <w:tcW w:w="2160" w:type="dxa"/>
            <w:vAlign w:val="bottom"/>
            <w:tcBorders>
              <w:bottom w:val="single" w:sz="8" w:color="170D67"/>
            </w:tcBorders>
          </w:tcPr>
          <w:p>
            <w:pPr>
              <w:jc w:val="right"/>
              <w:ind w:right="206"/>
              <w:spacing w:after="0"/>
              <w:rPr>
                <w:sz w:val="20"/>
                <w:szCs w:val="20"/>
                <w:color w:val="auto"/>
              </w:rPr>
            </w:pPr>
            <w:r>
              <w:rPr>
                <w:rFonts w:ascii="Arial" w:cs="Arial" w:eastAsia="Arial" w:hAnsi="Arial"/>
                <w:sz w:val="14"/>
                <w:szCs w:val="14"/>
                <w:b w:val="1"/>
                <w:bCs w:val="1"/>
                <w:color w:val="170D67"/>
              </w:rPr>
              <w:t>(Note 3)</w:t>
            </w:r>
          </w:p>
        </w:tc>
        <w:tc>
          <w:tcPr>
            <w:tcW w:w="1900" w:type="dxa"/>
            <w:vAlign w:val="bottom"/>
            <w:tcBorders>
              <w:bottom w:val="single" w:sz="8" w:color="170D67"/>
            </w:tcBorders>
          </w:tcPr>
          <w:p>
            <w:pPr>
              <w:jc w:val="right"/>
              <w:spacing w:after="0"/>
              <w:rPr>
                <w:sz w:val="20"/>
                <w:szCs w:val="20"/>
                <w:color w:val="auto"/>
              </w:rPr>
            </w:pPr>
            <w:r>
              <w:rPr>
                <w:rFonts w:ascii="Arial" w:cs="Arial" w:eastAsia="Arial" w:hAnsi="Arial"/>
                <w:sz w:val="14"/>
                <w:szCs w:val="14"/>
                <w:b w:val="1"/>
                <w:bCs w:val="1"/>
                <w:color w:val="170D67"/>
              </w:rPr>
              <w:t>(Note 4)</w:t>
            </w:r>
          </w:p>
        </w:tc>
        <w:tc>
          <w:tcPr>
            <w:tcW w:w="0" w:type="dxa"/>
            <w:vAlign w:val="bottom"/>
          </w:tcPr>
          <w:p>
            <w:pPr>
              <w:spacing w:after="0"/>
              <w:rPr>
                <w:sz w:val="1"/>
                <w:szCs w:val="1"/>
                <w:color w:val="auto"/>
              </w:rPr>
            </w:pPr>
          </w:p>
        </w:tc>
      </w:tr>
      <w:tr>
        <w:trPr>
          <w:trHeight w:val="205"/>
        </w:trPr>
        <w:tc>
          <w:tcPr>
            <w:tcW w:w="2780" w:type="dxa"/>
            <w:vAlign w:val="bottom"/>
          </w:tcPr>
          <w:p>
            <w:pPr>
              <w:ind w:left="20"/>
              <w:spacing w:after="0"/>
              <w:rPr>
                <w:sz w:val="20"/>
                <w:szCs w:val="20"/>
                <w:color w:val="auto"/>
              </w:rPr>
            </w:pPr>
            <w:r>
              <w:rPr>
                <w:rFonts w:ascii="Arial" w:cs="Arial" w:eastAsia="Arial" w:hAnsi="Arial"/>
                <w:sz w:val="15"/>
                <w:szCs w:val="15"/>
                <w:color w:val="auto"/>
              </w:rPr>
              <w:t>Butler</w:t>
            </w:r>
          </w:p>
        </w:tc>
        <w:tc>
          <w:tcPr>
            <w:tcW w:w="2240" w:type="dxa"/>
            <w:vAlign w:val="bottom"/>
          </w:tcPr>
          <w:p>
            <w:pPr>
              <w:jc w:val="right"/>
              <w:ind w:right="246"/>
              <w:spacing w:after="0"/>
              <w:rPr>
                <w:sz w:val="20"/>
                <w:szCs w:val="20"/>
                <w:color w:val="auto"/>
              </w:rPr>
            </w:pPr>
            <w:r>
              <w:rPr>
                <w:rFonts w:ascii="Arial" w:cs="Arial" w:eastAsia="Arial" w:hAnsi="Arial"/>
                <w:sz w:val="15"/>
                <w:szCs w:val="15"/>
                <w:color w:val="auto"/>
              </w:rPr>
              <w:t>188,720</w:t>
            </w:r>
          </w:p>
        </w:tc>
        <w:tc>
          <w:tcPr>
            <w:tcW w:w="2140" w:type="dxa"/>
            <w:vAlign w:val="bottom"/>
          </w:tcPr>
          <w:p>
            <w:pPr>
              <w:jc w:val="right"/>
              <w:ind w:right="246"/>
              <w:spacing w:after="0"/>
              <w:rPr>
                <w:sz w:val="20"/>
                <w:szCs w:val="20"/>
                <w:color w:val="auto"/>
              </w:rPr>
            </w:pPr>
            <w:r>
              <w:rPr>
                <w:rFonts w:ascii="Arial" w:cs="Arial" w:eastAsia="Arial" w:hAnsi="Arial"/>
                <w:sz w:val="15"/>
                <w:szCs w:val="15"/>
                <w:color w:val="auto"/>
              </w:rPr>
              <w:t>7,103,421</w:t>
            </w:r>
          </w:p>
        </w:tc>
        <w:tc>
          <w:tcPr>
            <w:tcW w:w="2160" w:type="dxa"/>
            <w:vAlign w:val="bottom"/>
          </w:tcPr>
          <w:p>
            <w:pPr>
              <w:jc w:val="right"/>
              <w:ind w:right="266"/>
              <w:spacing w:after="0"/>
              <w:rPr>
                <w:sz w:val="20"/>
                <w:szCs w:val="20"/>
                <w:color w:val="auto"/>
              </w:rPr>
            </w:pPr>
            <w:r>
              <w:rPr>
                <w:rFonts w:ascii="Arial" w:cs="Arial" w:eastAsia="Arial" w:hAnsi="Arial"/>
                <w:sz w:val="15"/>
                <w:szCs w:val="15"/>
                <w:color w:val="auto"/>
              </w:rPr>
              <w:t>308,532</w:t>
            </w:r>
          </w:p>
        </w:tc>
        <w:tc>
          <w:tcPr>
            <w:tcW w:w="1900" w:type="dxa"/>
            <w:vAlign w:val="bottom"/>
          </w:tcPr>
          <w:p>
            <w:pPr>
              <w:jc w:val="right"/>
              <w:spacing w:after="0"/>
              <w:rPr>
                <w:sz w:val="20"/>
                <w:szCs w:val="20"/>
                <w:color w:val="auto"/>
              </w:rPr>
            </w:pPr>
            <w:r>
              <w:rPr>
                <w:rFonts w:ascii="Arial" w:cs="Arial" w:eastAsia="Arial" w:hAnsi="Arial"/>
                <w:sz w:val="15"/>
                <w:szCs w:val="15"/>
                <w:color w:val="auto"/>
              </w:rPr>
              <w:t>11,613,144</w:t>
            </w:r>
          </w:p>
        </w:tc>
        <w:tc>
          <w:tcPr>
            <w:tcW w:w="0" w:type="dxa"/>
            <w:vAlign w:val="bottom"/>
          </w:tcPr>
          <w:p>
            <w:pPr>
              <w:spacing w:after="0"/>
              <w:rPr>
                <w:sz w:val="1"/>
                <w:szCs w:val="1"/>
                <w:color w:val="auto"/>
              </w:rPr>
            </w:pPr>
          </w:p>
        </w:tc>
      </w:tr>
      <w:tr>
        <w:trPr>
          <w:trHeight w:val="33"/>
        </w:trPr>
        <w:tc>
          <w:tcPr>
            <w:tcW w:w="2780" w:type="dxa"/>
            <w:vAlign w:val="bottom"/>
            <w:tcBorders>
              <w:bottom w:val="single" w:sz="8" w:color="808080"/>
            </w:tcBorders>
          </w:tcPr>
          <w:p>
            <w:pPr>
              <w:spacing w:after="0"/>
              <w:rPr>
                <w:sz w:val="2"/>
                <w:szCs w:val="2"/>
                <w:color w:val="auto"/>
              </w:rPr>
            </w:pPr>
          </w:p>
        </w:tc>
        <w:tc>
          <w:tcPr>
            <w:tcW w:w="2240" w:type="dxa"/>
            <w:vAlign w:val="bottom"/>
            <w:tcBorders>
              <w:bottom w:val="single" w:sz="8" w:color="808080"/>
            </w:tcBorders>
          </w:tcPr>
          <w:p>
            <w:pPr>
              <w:spacing w:after="0"/>
              <w:rPr>
                <w:sz w:val="2"/>
                <w:szCs w:val="2"/>
                <w:color w:val="auto"/>
              </w:rPr>
            </w:pPr>
          </w:p>
        </w:tc>
        <w:tc>
          <w:tcPr>
            <w:tcW w:w="2140" w:type="dxa"/>
            <w:vAlign w:val="bottom"/>
            <w:tcBorders>
              <w:bottom w:val="single" w:sz="8" w:color="808080"/>
            </w:tcBorders>
          </w:tcPr>
          <w:p>
            <w:pPr>
              <w:spacing w:after="0"/>
              <w:rPr>
                <w:sz w:val="2"/>
                <w:szCs w:val="2"/>
                <w:color w:val="auto"/>
              </w:rPr>
            </w:pPr>
          </w:p>
        </w:tc>
        <w:tc>
          <w:tcPr>
            <w:tcW w:w="2160" w:type="dxa"/>
            <w:vAlign w:val="bottom"/>
            <w:tcBorders>
              <w:bottom w:val="single" w:sz="8" w:color="808080"/>
            </w:tcBorders>
          </w:tcPr>
          <w:p>
            <w:pPr>
              <w:spacing w:after="0"/>
              <w:rPr>
                <w:sz w:val="2"/>
                <w:szCs w:val="2"/>
                <w:color w:val="auto"/>
              </w:rPr>
            </w:pPr>
          </w:p>
        </w:tc>
        <w:tc>
          <w:tcPr>
            <w:tcW w:w="19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780" w:type="dxa"/>
            <w:vAlign w:val="bottom"/>
          </w:tcPr>
          <w:p>
            <w:pPr>
              <w:ind w:left="20"/>
              <w:spacing w:after="0"/>
              <w:rPr>
                <w:sz w:val="20"/>
                <w:szCs w:val="20"/>
                <w:color w:val="auto"/>
              </w:rPr>
            </w:pPr>
            <w:r>
              <w:rPr>
                <w:rFonts w:ascii="Arial" w:cs="Arial" w:eastAsia="Arial" w:hAnsi="Arial"/>
                <w:sz w:val="15"/>
                <w:szCs w:val="15"/>
                <w:color w:val="auto"/>
              </w:rPr>
              <w:t>Jones</w:t>
            </w:r>
          </w:p>
        </w:tc>
        <w:tc>
          <w:tcPr>
            <w:tcW w:w="2240" w:type="dxa"/>
            <w:vAlign w:val="bottom"/>
          </w:tcPr>
          <w:p>
            <w:pPr>
              <w:jc w:val="right"/>
              <w:ind w:right="246"/>
              <w:spacing w:after="0"/>
              <w:rPr>
                <w:sz w:val="20"/>
                <w:szCs w:val="20"/>
                <w:color w:val="auto"/>
              </w:rPr>
            </w:pPr>
            <w:r>
              <w:rPr>
                <w:rFonts w:ascii="Arial" w:cs="Arial" w:eastAsia="Arial" w:hAnsi="Arial"/>
                <w:sz w:val="15"/>
                <w:szCs w:val="15"/>
                <w:color w:val="auto"/>
              </w:rPr>
              <w:t>36,714</w:t>
            </w:r>
          </w:p>
        </w:tc>
        <w:tc>
          <w:tcPr>
            <w:tcW w:w="2140" w:type="dxa"/>
            <w:vAlign w:val="bottom"/>
          </w:tcPr>
          <w:p>
            <w:pPr>
              <w:jc w:val="right"/>
              <w:ind w:right="246"/>
              <w:spacing w:after="0"/>
              <w:rPr>
                <w:sz w:val="20"/>
                <w:szCs w:val="20"/>
                <w:color w:val="auto"/>
              </w:rPr>
            </w:pPr>
            <w:r>
              <w:rPr>
                <w:rFonts w:ascii="Arial" w:cs="Arial" w:eastAsia="Arial" w:hAnsi="Arial"/>
                <w:sz w:val="15"/>
                <w:szCs w:val="15"/>
                <w:color w:val="auto"/>
              </w:rPr>
              <w:t>1,381,915</w:t>
            </w:r>
          </w:p>
        </w:tc>
        <w:tc>
          <w:tcPr>
            <w:tcW w:w="2160" w:type="dxa"/>
            <w:vAlign w:val="bottom"/>
          </w:tcPr>
          <w:p>
            <w:pPr>
              <w:jc w:val="right"/>
              <w:ind w:right="266"/>
              <w:spacing w:after="0"/>
              <w:rPr>
                <w:sz w:val="20"/>
                <w:szCs w:val="20"/>
                <w:color w:val="auto"/>
              </w:rPr>
            </w:pPr>
            <w:r>
              <w:rPr>
                <w:rFonts w:ascii="Arial" w:cs="Arial" w:eastAsia="Arial" w:hAnsi="Arial"/>
                <w:sz w:val="15"/>
                <w:szCs w:val="15"/>
                <w:color w:val="auto"/>
              </w:rPr>
              <w:t>64,845</w:t>
            </w:r>
          </w:p>
        </w:tc>
        <w:tc>
          <w:tcPr>
            <w:tcW w:w="1900" w:type="dxa"/>
            <w:vAlign w:val="bottom"/>
          </w:tcPr>
          <w:p>
            <w:pPr>
              <w:jc w:val="right"/>
              <w:spacing w:after="0"/>
              <w:rPr>
                <w:sz w:val="20"/>
                <w:szCs w:val="20"/>
                <w:color w:val="auto"/>
              </w:rPr>
            </w:pPr>
            <w:r>
              <w:rPr>
                <w:rFonts w:ascii="Arial" w:cs="Arial" w:eastAsia="Arial" w:hAnsi="Arial"/>
                <w:sz w:val="15"/>
                <w:szCs w:val="15"/>
                <w:color w:val="auto"/>
              </w:rPr>
              <w:t>2,440,766</w:t>
            </w:r>
          </w:p>
        </w:tc>
        <w:tc>
          <w:tcPr>
            <w:tcW w:w="0" w:type="dxa"/>
            <w:vAlign w:val="bottom"/>
          </w:tcPr>
          <w:p>
            <w:pPr>
              <w:spacing w:after="0"/>
              <w:rPr>
                <w:sz w:val="1"/>
                <w:szCs w:val="1"/>
                <w:color w:val="auto"/>
              </w:rPr>
            </w:pPr>
          </w:p>
        </w:tc>
      </w:tr>
      <w:tr>
        <w:trPr>
          <w:trHeight w:val="33"/>
        </w:trPr>
        <w:tc>
          <w:tcPr>
            <w:tcW w:w="2780" w:type="dxa"/>
            <w:vAlign w:val="bottom"/>
            <w:tcBorders>
              <w:bottom w:val="single" w:sz="8" w:color="808080"/>
            </w:tcBorders>
          </w:tcPr>
          <w:p>
            <w:pPr>
              <w:spacing w:after="0"/>
              <w:rPr>
                <w:sz w:val="2"/>
                <w:szCs w:val="2"/>
                <w:color w:val="auto"/>
              </w:rPr>
            </w:pPr>
          </w:p>
        </w:tc>
        <w:tc>
          <w:tcPr>
            <w:tcW w:w="2240" w:type="dxa"/>
            <w:vAlign w:val="bottom"/>
            <w:tcBorders>
              <w:bottom w:val="single" w:sz="8" w:color="808080"/>
            </w:tcBorders>
          </w:tcPr>
          <w:p>
            <w:pPr>
              <w:spacing w:after="0"/>
              <w:rPr>
                <w:sz w:val="2"/>
                <w:szCs w:val="2"/>
                <w:color w:val="auto"/>
              </w:rPr>
            </w:pPr>
          </w:p>
        </w:tc>
        <w:tc>
          <w:tcPr>
            <w:tcW w:w="2140" w:type="dxa"/>
            <w:vAlign w:val="bottom"/>
            <w:tcBorders>
              <w:bottom w:val="single" w:sz="8" w:color="808080"/>
            </w:tcBorders>
          </w:tcPr>
          <w:p>
            <w:pPr>
              <w:spacing w:after="0"/>
              <w:rPr>
                <w:sz w:val="2"/>
                <w:szCs w:val="2"/>
                <w:color w:val="auto"/>
              </w:rPr>
            </w:pPr>
          </w:p>
        </w:tc>
        <w:tc>
          <w:tcPr>
            <w:tcW w:w="2160" w:type="dxa"/>
            <w:vAlign w:val="bottom"/>
            <w:tcBorders>
              <w:bottom w:val="single" w:sz="8" w:color="808080"/>
            </w:tcBorders>
          </w:tcPr>
          <w:p>
            <w:pPr>
              <w:spacing w:after="0"/>
              <w:rPr>
                <w:sz w:val="2"/>
                <w:szCs w:val="2"/>
                <w:color w:val="auto"/>
              </w:rPr>
            </w:pPr>
          </w:p>
        </w:tc>
        <w:tc>
          <w:tcPr>
            <w:tcW w:w="19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780" w:type="dxa"/>
            <w:vAlign w:val="bottom"/>
          </w:tcPr>
          <w:p>
            <w:pPr>
              <w:ind w:left="20"/>
              <w:spacing w:after="0"/>
              <w:rPr>
                <w:sz w:val="20"/>
                <w:szCs w:val="20"/>
                <w:color w:val="auto"/>
              </w:rPr>
            </w:pPr>
            <w:r>
              <w:rPr>
                <w:rFonts w:ascii="Arial" w:cs="Arial" w:eastAsia="Arial" w:hAnsi="Arial"/>
                <w:sz w:val="15"/>
                <w:szCs w:val="15"/>
                <w:color w:val="auto"/>
              </w:rPr>
              <w:t>Littleton</w:t>
            </w:r>
          </w:p>
        </w:tc>
        <w:tc>
          <w:tcPr>
            <w:tcW w:w="2240" w:type="dxa"/>
            <w:vAlign w:val="bottom"/>
          </w:tcPr>
          <w:p>
            <w:pPr>
              <w:jc w:val="right"/>
              <w:ind w:right="246"/>
              <w:spacing w:after="0"/>
              <w:rPr>
                <w:sz w:val="20"/>
                <w:szCs w:val="20"/>
                <w:color w:val="auto"/>
              </w:rPr>
            </w:pPr>
            <w:r>
              <w:rPr>
                <w:rFonts w:ascii="Arial" w:cs="Arial" w:eastAsia="Arial" w:hAnsi="Arial"/>
                <w:sz w:val="15"/>
                <w:szCs w:val="15"/>
                <w:color w:val="auto"/>
              </w:rPr>
              <w:t>48,630</w:t>
            </w:r>
          </w:p>
        </w:tc>
        <w:tc>
          <w:tcPr>
            <w:tcW w:w="2140" w:type="dxa"/>
            <w:vAlign w:val="bottom"/>
          </w:tcPr>
          <w:p>
            <w:pPr>
              <w:jc w:val="right"/>
              <w:ind w:right="246"/>
              <w:spacing w:after="0"/>
              <w:rPr>
                <w:sz w:val="20"/>
                <w:szCs w:val="20"/>
                <w:color w:val="auto"/>
              </w:rPr>
            </w:pPr>
            <w:r>
              <w:rPr>
                <w:rFonts w:ascii="Arial" w:cs="Arial" w:eastAsia="Arial" w:hAnsi="Arial"/>
                <w:sz w:val="15"/>
                <w:szCs w:val="15"/>
                <w:color w:val="auto"/>
              </w:rPr>
              <w:t>1,830,433</w:t>
            </w:r>
          </w:p>
        </w:tc>
        <w:tc>
          <w:tcPr>
            <w:tcW w:w="2160" w:type="dxa"/>
            <w:vAlign w:val="bottom"/>
          </w:tcPr>
          <w:p>
            <w:pPr>
              <w:jc w:val="right"/>
              <w:ind w:right="266"/>
              <w:spacing w:after="0"/>
              <w:rPr>
                <w:sz w:val="20"/>
                <w:szCs w:val="20"/>
                <w:color w:val="auto"/>
              </w:rPr>
            </w:pPr>
            <w:r>
              <w:rPr>
                <w:rFonts w:ascii="Arial" w:cs="Arial" w:eastAsia="Arial" w:hAnsi="Arial"/>
                <w:sz w:val="15"/>
                <w:szCs w:val="15"/>
                <w:color w:val="auto"/>
              </w:rPr>
              <w:t>61,788</w:t>
            </w:r>
          </w:p>
        </w:tc>
        <w:tc>
          <w:tcPr>
            <w:tcW w:w="1900" w:type="dxa"/>
            <w:vAlign w:val="bottom"/>
          </w:tcPr>
          <w:p>
            <w:pPr>
              <w:jc w:val="right"/>
              <w:spacing w:after="0"/>
              <w:rPr>
                <w:sz w:val="20"/>
                <w:szCs w:val="20"/>
                <w:color w:val="auto"/>
              </w:rPr>
            </w:pPr>
            <w:r>
              <w:rPr>
                <w:rFonts w:ascii="Arial" w:cs="Arial" w:eastAsia="Arial" w:hAnsi="Arial"/>
                <w:sz w:val="15"/>
                <w:szCs w:val="15"/>
                <w:color w:val="auto"/>
              </w:rPr>
              <w:t>2,325,700</w:t>
            </w:r>
          </w:p>
        </w:tc>
        <w:tc>
          <w:tcPr>
            <w:tcW w:w="0" w:type="dxa"/>
            <w:vAlign w:val="bottom"/>
          </w:tcPr>
          <w:p>
            <w:pPr>
              <w:spacing w:after="0"/>
              <w:rPr>
                <w:sz w:val="1"/>
                <w:szCs w:val="1"/>
                <w:color w:val="auto"/>
              </w:rPr>
            </w:pPr>
          </w:p>
        </w:tc>
      </w:tr>
      <w:tr>
        <w:trPr>
          <w:trHeight w:val="33"/>
        </w:trPr>
        <w:tc>
          <w:tcPr>
            <w:tcW w:w="2780" w:type="dxa"/>
            <w:vAlign w:val="bottom"/>
            <w:tcBorders>
              <w:bottom w:val="single" w:sz="8" w:color="808080"/>
            </w:tcBorders>
          </w:tcPr>
          <w:p>
            <w:pPr>
              <w:spacing w:after="0"/>
              <w:rPr>
                <w:sz w:val="2"/>
                <w:szCs w:val="2"/>
                <w:color w:val="auto"/>
              </w:rPr>
            </w:pPr>
          </w:p>
        </w:tc>
        <w:tc>
          <w:tcPr>
            <w:tcW w:w="2240" w:type="dxa"/>
            <w:vAlign w:val="bottom"/>
            <w:tcBorders>
              <w:bottom w:val="single" w:sz="8" w:color="808080"/>
            </w:tcBorders>
          </w:tcPr>
          <w:p>
            <w:pPr>
              <w:spacing w:after="0"/>
              <w:rPr>
                <w:sz w:val="2"/>
                <w:szCs w:val="2"/>
                <w:color w:val="auto"/>
              </w:rPr>
            </w:pPr>
          </w:p>
        </w:tc>
        <w:tc>
          <w:tcPr>
            <w:tcW w:w="2140" w:type="dxa"/>
            <w:vAlign w:val="bottom"/>
            <w:tcBorders>
              <w:bottom w:val="single" w:sz="8" w:color="808080"/>
            </w:tcBorders>
          </w:tcPr>
          <w:p>
            <w:pPr>
              <w:spacing w:after="0"/>
              <w:rPr>
                <w:sz w:val="2"/>
                <w:szCs w:val="2"/>
                <w:color w:val="auto"/>
              </w:rPr>
            </w:pPr>
          </w:p>
        </w:tc>
        <w:tc>
          <w:tcPr>
            <w:tcW w:w="2160" w:type="dxa"/>
            <w:vAlign w:val="bottom"/>
            <w:tcBorders>
              <w:bottom w:val="single" w:sz="8" w:color="808080"/>
            </w:tcBorders>
          </w:tcPr>
          <w:p>
            <w:pPr>
              <w:spacing w:after="0"/>
              <w:rPr>
                <w:sz w:val="2"/>
                <w:szCs w:val="2"/>
                <w:color w:val="auto"/>
              </w:rPr>
            </w:pPr>
          </w:p>
        </w:tc>
        <w:tc>
          <w:tcPr>
            <w:tcW w:w="19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Arial" w:cs="Arial" w:eastAsia="Arial" w:hAnsi="Arial"/>
                <w:sz w:val="15"/>
                <w:szCs w:val="15"/>
                <w:color w:val="auto"/>
              </w:rPr>
              <w:t>Glockner</w:t>
            </w:r>
          </w:p>
        </w:tc>
        <w:tc>
          <w:tcPr>
            <w:tcW w:w="2240" w:type="dxa"/>
            <w:vAlign w:val="bottom"/>
          </w:tcPr>
          <w:p>
            <w:pPr>
              <w:jc w:val="right"/>
              <w:ind w:right="246"/>
              <w:spacing w:after="0"/>
              <w:rPr>
                <w:sz w:val="20"/>
                <w:szCs w:val="20"/>
                <w:color w:val="auto"/>
              </w:rPr>
            </w:pPr>
            <w:r>
              <w:rPr>
                <w:rFonts w:ascii="Arial" w:cs="Arial" w:eastAsia="Arial" w:hAnsi="Arial"/>
                <w:sz w:val="15"/>
                <w:szCs w:val="15"/>
                <w:color w:val="auto"/>
              </w:rPr>
              <w:t>44,422</w:t>
            </w:r>
          </w:p>
        </w:tc>
        <w:tc>
          <w:tcPr>
            <w:tcW w:w="2140" w:type="dxa"/>
            <w:vAlign w:val="bottom"/>
          </w:tcPr>
          <w:p>
            <w:pPr>
              <w:jc w:val="right"/>
              <w:ind w:right="246"/>
              <w:spacing w:after="0"/>
              <w:rPr>
                <w:sz w:val="20"/>
                <w:szCs w:val="20"/>
                <w:color w:val="auto"/>
              </w:rPr>
            </w:pPr>
            <w:r>
              <w:rPr>
                <w:rFonts w:ascii="Arial" w:cs="Arial" w:eastAsia="Arial" w:hAnsi="Arial"/>
                <w:sz w:val="15"/>
                <w:szCs w:val="15"/>
                <w:color w:val="auto"/>
              </w:rPr>
              <w:t>1,672,044</w:t>
            </w:r>
          </w:p>
        </w:tc>
        <w:tc>
          <w:tcPr>
            <w:tcW w:w="2160" w:type="dxa"/>
            <w:vAlign w:val="bottom"/>
          </w:tcPr>
          <w:p>
            <w:pPr>
              <w:jc w:val="right"/>
              <w:ind w:right="266"/>
              <w:spacing w:after="0"/>
              <w:rPr>
                <w:sz w:val="20"/>
                <w:szCs w:val="20"/>
                <w:color w:val="auto"/>
              </w:rPr>
            </w:pPr>
            <w:r>
              <w:rPr>
                <w:rFonts w:ascii="Arial" w:cs="Arial" w:eastAsia="Arial" w:hAnsi="Arial"/>
                <w:sz w:val="15"/>
                <w:szCs w:val="15"/>
                <w:color w:val="auto"/>
              </w:rPr>
              <w:t>49,710</w:t>
            </w:r>
          </w:p>
        </w:tc>
        <w:tc>
          <w:tcPr>
            <w:tcW w:w="1900" w:type="dxa"/>
            <w:vAlign w:val="bottom"/>
          </w:tcPr>
          <w:p>
            <w:pPr>
              <w:jc w:val="right"/>
              <w:spacing w:after="0"/>
              <w:rPr>
                <w:sz w:val="20"/>
                <w:szCs w:val="20"/>
                <w:color w:val="auto"/>
              </w:rPr>
            </w:pPr>
            <w:r>
              <w:rPr>
                <w:rFonts w:ascii="Arial" w:cs="Arial" w:eastAsia="Arial" w:hAnsi="Arial"/>
                <w:sz w:val="15"/>
                <w:szCs w:val="15"/>
                <w:color w:val="auto"/>
              </w:rPr>
              <w:t>1,871,084</w:t>
            </w:r>
          </w:p>
        </w:tc>
        <w:tc>
          <w:tcPr>
            <w:tcW w:w="0" w:type="dxa"/>
            <w:vAlign w:val="bottom"/>
          </w:tcPr>
          <w:p>
            <w:pPr>
              <w:spacing w:after="0"/>
              <w:rPr>
                <w:sz w:val="1"/>
                <w:szCs w:val="1"/>
                <w:color w:val="auto"/>
              </w:rPr>
            </w:pPr>
          </w:p>
        </w:tc>
      </w:tr>
      <w:tr>
        <w:trPr>
          <w:trHeight w:val="33"/>
        </w:trPr>
        <w:tc>
          <w:tcPr>
            <w:tcW w:w="2780" w:type="dxa"/>
            <w:vAlign w:val="bottom"/>
            <w:tcBorders>
              <w:bottom w:val="single" w:sz="8" w:color="808080"/>
            </w:tcBorders>
          </w:tcPr>
          <w:p>
            <w:pPr>
              <w:spacing w:after="0"/>
              <w:rPr>
                <w:sz w:val="2"/>
                <w:szCs w:val="2"/>
                <w:color w:val="auto"/>
              </w:rPr>
            </w:pPr>
          </w:p>
        </w:tc>
        <w:tc>
          <w:tcPr>
            <w:tcW w:w="2240" w:type="dxa"/>
            <w:vAlign w:val="bottom"/>
            <w:tcBorders>
              <w:bottom w:val="single" w:sz="8" w:color="808080"/>
            </w:tcBorders>
          </w:tcPr>
          <w:p>
            <w:pPr>
              <w:spacing w:after="0"/>
              <w:rPr>
                <w:sz w:val="2"/>
                <w:szCs w:val="2"/>
                <w:color w:val="auto"/>
              </w:rPr>
            </w:pPr>
          </w:p>
        </w:tc>
        <w:tc>
          <w:tcPr>
            <w:tcW w:w="2140" w:type="dxa"/>
            <w:vAlign w:val="bottom"/>
            <w:tcBorders>
              <w:bottom w:val="single" w:sz="8" w:color="808080"/>
            </w:tcBorders>
          </w:tcPr>
          <w:p>
            <w:pPr>
              <w:spacing w:after="0"/>
              <w:rPr>
                <w:sz w:val="2"/>
                <w:szCs w:val="2"/>
                <w:color w:val="auto"/>
              </w:rPr>
            </w:pPr>
          </w:p>
        </w:tc>
        <w:tc>
          <w:tcPr>
            <w:tcW w:w="2160" w:type="dxa"/>
            <w:vAlign w:val="bottom"/>
            <w:tcBorders>
              <w:bottom w:val="single" w:sz="8" w:color="808080"/>
            </w:tcBorders>
          </w:tcPr>
          <w:p>
            <w:pPr>
              <w:spacing w:after="0"/>
              <w:rPr>
                <w:sz w:val="2"/>
                <w:szCs w:val="2"/>
                <w:color w:val="auto"/>
              </w:rPr>
            </w:pPr>
          </w:p>
        </w:tc>
        <w:tc>
          <w:tcPr>
            <w:tcW w:w="19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Arial" w:cs="Arial" w:eastAsia="Arial" w:hAnsi="Arial"/>
                <w:sz w:val="15"/>
                <w:szCs w:val="15"/>
                <w:color w:val="auto"/>
              </w:rPr>
              <w:t>Innocenzo</w:t>
            </w:r>
          </w:p>
        </w:tc>
        <w:tc>
          <w:tcPr>
            <w:tcW w:w="2240" w:type="dxa"/>
            <w:vAlign w:val="bottom"/>
          </w:tcPr>
          <w:p>
            <w:pPr>
              <w:jc w:val="right"/>
              <w:ind w:right="246"/>
              <w:spacing w:after="0"/>
              <w:rPr>
                <w:sz w:val="20"/>
                <w:szCs w:val="20"/>
                <w:color w:val="auto"/>
              </w:rPr>
            </w:pPr>
            <w:r>
              <w:rPr>
                <w:rFonts w:ascii="Arial" w:cs="Arial" w:eastAsia="Arial" w:hAnsi="Arial"/>
                <w:sz w:val="15"/>
                <w:szCs w:val="15"/>
                <w:color w:val="auto"/>
              </w:rPr>
              <w:t>34,413</w:t>
            </w:r>
          </w:p>
        </w:tc>
        <w:tc>
          <w:tcPr>
            <w:tcW w:w="2140" w:type="dxa"/>
            <w:vAlign w:val="bottom"/>
          </w:tcPr>
          <w:p>
            <w:pPr>
              <w:jc w:val="right"/>
              <w:ind w:right="246"/>
              <w:spacing w:after="0"/>
              <w:rPr>
                <w:sz w:val="20"/>
                <w:szCs w:val="20"/>
                <w:color w:val="auto"/>
              </w:rPr>
            </w:pPr>
            <w:r>
              <w:rPr>
                <w:rFonts w:ascii="Arial" w:cs="Arial" w:eastAsia="Arial" w:hAnsi="Arial"/>
                <w:sz w:val="15"/>
                <w:szCs w:val="15"/>
                <w:color w:val="auto"/>
              </w:rPr>
              <w:t>1,295,305</w:t>
            </w:r>
          </w:p>
        </w:tc>
        <w:tc>
          <w:tcPr>
            <w:tcW w:w="2160" w:type="dxa"/>
            <w:vAlign w:val="bottom"/>
          </w:tcPr>
          <w:p>
            <w:pPr>
              <w:jc w:val="right"/>
              <w:ind w:right="266"/>
              <w:spacing w:after="0"/>
              <w:rPr>
                <w:sz w:val="20"/>
                <w:szCs w:val="20"/>
                <w:color w:val="auto"/>
              </w:rPr>
            </w:pPr>
            <w:r>
              <w:rPr>
                <w:rFonts w:ascii="Arial" w:cs="Arial" w:eastAsia="Arial" w:hAnsi="Arial"/>
                <w:sz w:val="15"/>
                <w:szCs w:val="15"/>
                <w:color w:val="auto"/>
              </w:rPr>
              <w:t>45,809</w:t>
            </w:r>
          </w:p>
        </w:tc>
        <w:tc>
          <w:tcPr>
            <w:tcW w:w="1900" w:type="dxa"/>
            <w:vAlign w:val="bottom"/>
          </w:tcPr>
          <w:p>
            <w:pPr>
              <w:jc w:val="right"/>
              <w:spacing w:after="0"/>
              <w:rPr>
                <w:sz w:val="20"/>
                <w:szCs w:val="20"/>
                <w:color w:val="auto"/>
              </w:rPr>
            </w:pPr>
            <w:r>
              <w:rPr>
                <w:rFonts w:ascii="Arial" w:cs="Arial" w:eastAsia="Arial" w:hAnsi="Arial"/>
                <w:sz w:val="15"/>
                <w:szCs w:val="15"/>
                <w:color w:val="auto"/>
              </w:rPr>
              <w:t>1,724,251</w:t>
            </w:r>
          </w:p>
        </w:tc>
        <w:tc>
          <w:tcPr>
            <w:tcW w:w="0" w:type="dxa"/>
            <w:vAlign w:val="bottom"/>
          </w:tcPr>
          <w:p>
            <w:pPr>
              <w:spacing w:after="0"/>
              <w:rPr>
                <w:sz w:val="1"/>
                <w:szCs w:val="1"/>
                <w:color w:val="auto"/>
              </w:rPr>
            </w:pPr>
          </w:p>
        </w:tc>
      </w:tr>
      <w:tr>
        <w:trPr>
          <w:trHeight w:val="33"/>
        </w:trPr>
        <w:tc>
          <w:tcPr>
            <w:tcW w:w="2780" w:type="dxa"/>
            <w:vAlign w:val="bottom"/>
            <w:tcBorders>
              <w:bottom w:val="single" w:sz="8" w:color="808080"/>
            </w:tcBorders>
          </w:tcPr>
          <w:p>
            <w:pPr>
              <w:spacing w:after="0"/>
              <w:rPr>
                <w:sz w:val="2"/>
                <w:szCs w:val="2"/>
                <w:color w:val="auto"/>
              </w:rPr>
            </w:pPr>
          </w:p>
        </w:tc>
        <w:tc>
          <w:tcPr>
            <w:tcW w:w="2240" w:type="dxa"/>
            <w:vAlign w:val="bottom"/>
            <w:tcBorders>
              <w:bottom w:val="single" w:sz="8" w:color="808080"/>
            </w:tcBorders>
          </w:tcPr>
          <w:p>
            <w:pPr>
              <w:spacing w:after="0"/>
              <w:rPr>
                <w:sz w:val="2"/>
                <w:szCs w:val="2"/>
                <w:color w:val="auto"/>
              </w:rPr>
            </w:pPr>
          </w:p>
        </w:tc>
        <w:tc>
          <w:tcPr>
            <w:tcW w:w="2140" w:type="dxa"/>
            <w:vAlign w:val="bottom"/>
            <w:tcBorders>
              <w:bottom w:val="single" w:sz="8" w:color="808080"/>
            </w:tcBorders>
          </w:tcPr>
          <w:p>
            <w:pPr>
              <w:spacing w:after="0"/>
              <w:rPr>
                <w:sz w:val="2"/>
                <w:szCs w:val="2"/>
                <w:color w:val="auto"/>
              </w:rPr>
            </w:pPr>
          </w:p>
        </w:tc>
        <w:tc>
          <w:tcPr>
            <w:tcW w:w="2160" w:type="dxa"/>
            <w:vAlign w:val="bottom"/>
            <w:tcBorders>
              <w:bottom w:val="single" w:sz="8" w:color="808080"/>
            </w:tcBorders>
          </w:tcPr>
          <w:p>
            <w:pPr>
              <w:spacing w:after="0"/>
              <w:rPr>
                <w:sz w:val="2"/>
                <w:szCs w:val="2"/>
                <w:color w:val="auto"/>
              </w:rPr>
            </w:pPr>
          </w:p>
        </w:tc>
        <w:tc>
          <w:tcPr>
            <w:tcW w:w="19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100" w:hanging="252"/>
        <w:spacing w:after="0" w:line="270" w:lineRule="auto"/>
        <w:tabs>
          <w:tab w:leader="none" w:pos="263" w:val="left"/>
        </w:tabs>
        <w:numPr>
          <w:ilvl w:val="0"/>
          <w:numId w:val="131"/>
        </w:numPr>
        <w:rPr>
          <w:rFonts w:ascii="Arial" w:cs="Arial" w:eastAsia="Arial" w:hAnsi="Arial"/>
          <w:sz w:val="16"/>
          <w:szCs w:val="16"/>
          <w:color w:val="auto"/>
          <w:vertAlign w:val="superscript"/>
        </w:rPr>
      </w:pPr>
      <w:r>
        <w:rPr>
          <w:rFonts w:ascii="Arial" w:cs="Arial" w:eastAsia="Arial" w:hAnsi="Arial"/>
          <w:sz w:val="14"/>
          <w:szCs w:val="14"/>
          <w:color w:val="auto"/>
        </w:rPr>
        <w:t>The amount shown in column (a) includes performance share awards granted in 2022, which were subject to a three-year performance period that ended on December 31, 2024, and vested on February 3, 2025, with an approved payout of 83.76%.</w:t>
      </w:r>
    </w:p>
    <w:p>
      <w:pPr>
        <w:spacing w:after="0" w:line="57" w:lineRule="exact"/>
        <w:rPr>
          <w:rFonts w:ascii="Arial" w:cs="Arial" w:eastAsia="Arial" w:hAnsi="Arial"/>
          <w:sz w:val="16"/>
          <w:szCs w:val="16"/>
          <w:color w:val="auto"/>
          <w:vertAlign w:val="superscript"/>
        </w:rPr>
      </w:pPr>
    </w:p>
    <w:p>
      <w:pPr>
        <w:jc w:val="both"/>
        <w:ind w:left="260" w:right="60"/>
        <w:spacing w:after="0" w:line="293" w:lineRule="auto"/>
        <w:rPr>
          <w:rFonts w:ascii="Arial" w:cs="Arial" w:eastAsia="Arial" w:hAnsi="Arial"/>
          <w:sz w:val="16"/>
          <w:szCs w:val="16"/>
          <w:color w:val="auto"/>
          <w:vertAlign w:val="superscript"/>
        </w:rPr>
      </w:pPr>
      <w:r>
        <w:rPr>
          <w:rFonts w:ascii="Arial" w:cs="Arial" w:eastAsia="Arial" w:hAnsi="Arial"/>
          <w:sz w:val="14"/>
          <w:szCs w:val="14"/>
          <w:color w:val="auto"/>
        </w:rPr>
        <w:t>The amount shown also includes the following tranches of unvested restricted stock unit (RSU) awards: the final third of an award granted in January 2022; two-thirds of an award granted in January 2023; and the full award granted on January 29, 2024. All RSU awards accrue additional units through automatic dividend reinvestment subject to the vesting requirement applicable to the underlying award.</w:t>
      </w:r>
    </w:p>
    <w:p>
      <w:pPr>
        <w:spacing w:after="0" w:line="71" w:lineRule="exact"/>
        <w:rPr>
          <w:rFonts w:ascii="Arial" w:cs="Arial" w:eastAsia="Arial" w:hAnsi="Arial"/>
          <w:sz w:val="16"/>
          <w:szCs w:val="16"/>
          <w:color w:val="auto"/>
          <w:vertAlign w:val="superscript"/>
        </w:rPr>
      </w:pPr>
    </w:p>
    <w:p>
      <w:pPr>
        <w:ind w:left="260" w:right="20" w:hanging="252"/>
        <w:spacing w:after="0" w:line="325" w:lineRule="auto"/>
        <w:tabs>
          <w:tab w:leader="none" w:pos="249" w:val="left"/>
        </w:tabs>
        <w:numPr>
          <w:ilvl w:val="0"/>
          <w:numId w:val="131"/>
        </w:numPr>
        <w:rPr>
          <w:rFonts w:ascii="Arial" w:cs="Arial" w:eastAsia="Arial" w:hAnsi="Arial"/>
          <w:sz w:val="8"/>
          <w:szCs w:val="8"/>
          <w:color w:val="auto"/>
        </w:rPr>
      </w:pPr>
      <w:r>
        <w:rPr>
          <w:rFonts w:ascii="Arial" w:cs="Arial" w:eastAsia="Arial" w:hAnsi="Arial"/>
          <w:sz w:val="14"/>
          <w:szCs w:val="14"/>
          <w:color w:val="auto"/>
        </w:rPr>
        <w:t>The value of the awards in column (b) is determined by multiplying the number of shares or units in column (a) by the closing price of Company stock on December 31, 2024 of $37.64.</w:t>
      </w:r>
    </w:p>
    <w:p>
      <w:pPr>
        <w:spacing w:after="0" w:line="9" w:lineRule="exact"/>
        <w:rPr>
          <w:rFonts w:ascii="Arial" w:cs="Arial" w:eastAsia="Arial" w:hAnsi="Arial"/>
          <w:sz w:val="8"/>
          <w:szCs w:val="8"/>
          <w:color w:val="auto"/>
        </w:rPr>
      </w:pPr>
    </w:p>
    <w:p>
      <w:pPr>
        <w:ind w:left="260" w:right="80" w:hanging="252"/>
        <w:spacing w:after="0" w:line="303" w:lineRule="auto"/>
        <w:tabs>
          <w:tab w:leader="none" w:pos="249" w:val="left"/>
        </w:tabs>
        <w:numPr>
          <w:ilvl w:val="0"/>
          <w:numId w:val="131"/>
        </w:numPr>
        <w:rPr>
          <w:rFonts w:ascii="Arial" w:cs="Arial" w:eastAsia="Arial" w:hAnsi="Arial"/>
          <w:sz w:val="8"/>
          <w:szCs w:val="8"/>
          <w:color w:val="auto"/>
        </w:rPr>
      </w:pPr>
      <w:r>
        <w:rPr>
          <w:rFonts w:ascii="Arial" w:cs="Arial" w:eastAsia="Arial" w:hAnsi="Arial"/>
          <w:sz w:val="14"/>
          <w:szCs w:val="14"/>
          <w:color w:val="auto"/>
        </w:rPr>
        <w:t>The amount in column (c) reflects the target number of performance shares granted under the LTIP in 2023 (for the performance period ending on December 31, 2025) and 2024 (for the performance period ending on December 31, 2026). The ultimate number of shares earned, if any, will be based on the actual performance results at the end of each respective performance period with final awards vesting in January/February 2026 for the 2023-2025 cycle and January/February 2027 for the 2024-2026 cycle.</w:t>
      </w:r>
    </w:p>
    <w:p>
      <w:pPr>
        <w:spacing w:after="0" w:line="24" w:lineRule="exact"/>
        <w:rPr>
          <w:rFonts w:ascii="Arial" w:cs="Arial" w:eastAsia="Arial" w:hAnsi="Arial"/>
          <w:sz w:val="8"/>
          <w:szCs w:val="8"/>
          <w:color w:val="auto"/>
        </w:rPr>
      </w:pPr>
    </w:p>
    <w:p>
      <w:pPr>
        <w:ind w:left="260" w:right="20" w:hanging="252"/>
        <w:spacing w:after="0" w:line="325" w:lineRule="auto"/>
        <w:tabs>
          <w:tab w:leader="none" w:pos="249" w:val="left"/>
        </w:tabs>
        <w:numPr>
          <w:ilvl w:val="0"/>
          <w:numId w:val="131"/>
        </w:numPr>
        <w:rPr>
          <w:rFonts w:ascii="Arial" w:cs="Arial" w:eastAsia="Arial" w:hAnsi="Arial"/>
          <w:sz w:val="8"/>
          <w:szCs w:val="8"/>
          <w:color w:val="auto"/>
        </w:rPr>
      </w:pPr>
      <w:r>
        <w:rPr>
          <w:rFonts w:ascii="Arial" w:cs="Arial" w:eastAsia="Arial" w:hAnsi="Arial"/>
          <w:sz w:val="14"/>
          <w:szCs w:val="14"/>
          <w:color w:val="auto"/>
        </w:rPr>
        <w:t>The value of the awards in column (d) is determined by multiplying the number of shares or units in column (c) by the closing price of Company stock on December 31, 2024 of $37.64.</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780"/>
              <w:spacing w:after="0"/>
              <w:rPr>
                <w:sz w:val="20"/>
                <w:szCs w:val="20"/>
                <w:color w:val="auto"/>
              </w:rPr>
            </w:pPr>
            <w:r>
              <w:rPr>
                <w:rFonts w:ascii="Arial" w:cs="Arial" w:eastAsia="Arial" w:hAnsi="Arial"/>
                <w:sz w:val="14"/>
                <w:szCs w:val="14"/>
                <w:color w:val="auto"/>
              </w:rPr>
              <w:t>2025 ׀ Exelon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63</w:t>
            </w:r>
          </w:p>
        </w:tc>
      </w:tr>
      <w:tr>
        <w:trPr>
          <w:trHeight w:val="225"/>
        </w:trPr>
        <w:tc>
          <w:tcPr>
            <w:tcW w:w="1092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3"/>
          <w:szCs w:val="13"/>
          <w:b w:val="1"/>
          <w:bCs w:val="1"/>
          <w:color w:val="auto"/>
        </w:rPr>
        <w:t>Compensation Discussion &amp; Analysis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Option Exercises and Stock Vested</w:t>
      </w:r>
    </w:p>
    <w:p>
      <w:pPr>
        <w:spacing w:after="0" w:line="112"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The following table provides information on RSU and performance share awards that vested during fiscal year 2024. No stock option awards are outstanding and no stock options were exercised in 2024.</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740" w:type="dxa"/>
            <w:vAlign w:val="bottom"/>
          </w:tcPr>
          <w:p>
            <w:pPr>
              <w:spacing w:after="0"/>
              <w:rPr>
                <w:sz w:val="17"/>
                <w:szCs w:val="17"/>
                <w:color w:val="auto"/>
              </w:rPr>
            </w:pPr>
          </w:p>
        </w:tc>
        <w:tc>
          <w:tcPr>
            <w:tcW w:w="2340" w:type="dxa"/>
            <w:vAlign w:val="bottom"/>
            <w:tcBorders>
              <w:bottom w:val="single" w:sz="8" w:color="170D67"/>
            </w:tcBorders>
          </w:tcPr>
          <w:p>
            <w:pPr>
              <w:jc w:val="right"/>
              <w:ind w:right="46"/>
              <w:spacing w:after="0"/>
              <w:rPr>
                <w:sz w:val="20"/>
                <w:szCs w:val="20"/>
                <w:color w:val="auto"/>
              </w:rPr>
            </w:pPr>
            <w:r>
              <w:rPr>
                <w:rFonts w:ascii="Arial" w:cs="Arial" w:eastAsia="Arial" w:hAnsi="Arial"/>
                <w:sz w:val="14"/>
                <w:szCs w:val="14"/>
                <w:b w:val="1"/>
                <w:bCs w:val="1"/>
                <w:color w:val="170D67"/>
              </w:rPr>
              <w:t>Stock Awards</w:t>
            </w:r>
          </w:p>
        </w:tc>
        <w:tc>
          <w:tcPr>
            <w:tcW w:w="1140" w:type="dxa"/>
            <w:vAlign w:val="bottom"/>
            <w:tcBorders>
              <w:bottom w:val="single" w:sz="8" w:color="170D67"/>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740" w:type="dxa"/>
            <w:vAlign w:val="bottom"/>
          </w:tcPr>
          <w:p>
            <w:pPr>
              <w:spacing w:after="0"/>
              <w:rPr>
                <w:sz w:val="16"/>
                <w:szCs w:val="16"/>
                <w:color w:val="auto"/>
              </w:rPr>
            </w:pPr>
          </w:p>
        </w:tc>
        <w:tc>
          <w:tcPr>
            <w:tcW w:w="2340" w:type="dxa"/>
            <w:vAlign w:val="bottom"/>
          </w:tcPr>
          <w:p>
            <w:pPr>
              <w:jc w:val="right"/>
              <w:ind w:right="326"/>
              <w:spacing w:after="0"/>
              <w:rPr>
                <w:sz w:val="20"/>
                <w:szCs w:val="20"/>
                <w:color w:val="auto"/>
              </w:rPr>
            </w:pPr>
            <w:r>
              <w:rPr>
                <w:rFonts w:ascii="Arial" w:cs="Arial" w:eastAsia="Arial" w:hAnsi="Arial"/>
                <w:sz w:val="14"/>
                <w:szCs w:val="14"/>
                <w:b w:val="1"/>
                <w:bCs w:val="1"/>
                <w:color w:val="170D67"/>
              </w:rPr>
              <w:t>Number of Shares</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170D67"/>
              </w:rPr>
              <w:t>Value Realized</w:t>
            </w:r>
          </w:p>
        </w:tc>
        <w:tc>
          <w:tcPr>
            <w:tcW w:w="0" w:type="dxa"/>
            <w:vAlign w:val="bottom"/>
          </w:tcPr>
          <w:p>
            <w:pPr>
              <w:spacing w:after="0"/>
              <w:rPr>
                <w:sz w:val="1"/>
                <w:szCs w:val="1"/>
                <w:color w:val="auto"/>
              </w:rPr>
            </w:pPr>
          </w:p>
        </w:tc>
      </w:tr>
      <w:tr>
        <w:trPr>
          <w:trHeight w:val="176"/>
        </w:trPr>
        <w:tc>
          <w:tcPr>
            <w:tcW w:w="7740" w:type="dxa"/>
            <w:vAlign w:val="bottom"/>
          </w:tcPr>
          <w:p>
            <w:pPr>
              <w:spacing w:after="0"/>
              <w:rPr>
                <w:sz w:val="15"/>
                <w:szCs w:val="15"/>
                <w:color w:val="auto"/>
              </w:rPr>
            </w:pPr>
          </w:p>
        </w:tc>
        <w:tc>
          <w:tcPr>
            <w:tcW w:w="2340" w:type="dxa"/>
            <w:vAlign w:val="bottom"/>
          </w:tcPr>
          <w:p>
            <w:pPr>
              <w:jc w:val="right"/>
              <w:ind w:right="326"/>
              <w:spacing w:after="0"/>
              <w:rPr>
                <w:sz w:val="20"/>
                <w:szCs w:val="20"/>
                <w:color w:val="auto"/>
              </w:rPr>
            </w:pPr>
            <w:r>
              <w:rPr>
                <w:rFonts w:ascii="Arial" w:cs="Arial" w:eastAsia="Arial" w:hAnsi="Arial"/>
                <w:sz w:val="14"/>
                <w:szCs w:val="14"/>
                <w:b w:val="1"/>
                <w:bCs w:val="1"/>
                <w:color w:val="170D67"/>
              </w:rPr>
              <w:t>Acquired on Vesting</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170D67"/>
              </w:rPr>
              <w:t>on Vesting</w:t>
            </w:r>
          </w:p>
        </w:tc>
        <w:tc>
          <w:tcPr>
            <w:tcW w:w="0" w:type="dxa"/>
            <w:vAlign w:val="bottom"/>
          </w:tcPr>
          <w:p>
            <w:pPr>
              <w:spacing w:after="0"/>
              <w:rPr>
                <w:sz w:val="1"/>
                <w:szCs w:val="1"/>
                <w:color w:val="auto"/>
              </w:rPr>
            </w:pPr>
          </w:p>
        </w:tc>
      </w:tr>
      <w:tr>
        <w:trPr>
          <w:trHeight w:val="175"/>
        </w:trPr>
        <w:tc>
          <w:tcPr>
            <w:tcW w:w="7740" w:type="dxa"/>
            <w:vAlign w:val="bottom"/>
            <w:vMerge w:val="restart"/>
          </w:tcPr>
          <w:p>
            <w:pPr>
              <w:ind w:left="20"/>
              <w:spacing w:after="0"/>
              <w:rPr>
                <w:sz w:val="20"/>
                <w:szCs w:val="20"/>
                <w:color w:val="auto"/>
              </w:rPr>
            </w:pPr>
            <w:r>
              <w:rPr>
                <w:rFonts w:ascii="Arial" w:cs="Arial" w:eastAsia="Arial" w:hAnsi="Arial"/>
                <w:sz w:val="14"/>
                <w:szCs w:val="14"/>
                <w:b w:val="1"/>
                <w:bCs w:val="1"/>
                <w:color w:val="170D67"/>
              </w:rPr>
              <w:t>Name</w:t>
            </w:r>
          </w:p>
        </w:tc>
        <w:tc>
          <w:tcPr>
            <w:tcW w:w="2340" w:type="dxa"/>
            <w:vAlign w:val="bottom"/>
          </w:tcPr>
          <w:p>
            <w:pPr>
              <w:jc w:val="right"/>
              <w:ind w:right="326"/>
              <w:spacing w:after="0"/>
              <w:rPr>
                <w:sz w:val="20"/>
                <w:szCs w:val="20"/>
                <w:color w:val="auto"/>
              </w:rPr>
            </w:pPr>
            <w:r>
              <w:rPr>
                <w:rFonts w:ascii="Arial" w:cs="Arial" w:eastAsia="Arial" w:hAnsi="Arial"/>
                <w:sz w:val="14"/>
                <w:szCs w:val="14"/>
                <w:b w:val="1"/>
                <w:bCs w:val="1"/>
                <w:color w:val="170D67"/>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170D67"/>
              </w:rPr>
              <w:t>($)</w:t>
            </w:r>
          </w:p>
        </w:tc>
        <w:tc>
          <w:tcPr>
            <w:tcW w:w="0" w:type="dxa"/>
            <w:vAlign w:val="bottom"/>
          </w:tcPr>
          <w:p>
            <w:pPr>
              <w:spacing w:after="0"/>
              <w:rPr>
                <w:sz w:val="1"/>
                <w:szCs w:val="1"/>
                <w:color w:val="auto"/>
              </w:rPr>
            </w:pPr>
          </w:p>
        </w:tc>
      </w:tr>
      <w:tr>
        <w:trPr>
          <w:trHeight w:val="197"/>
        </w:trPr>
        <w:tc>
          <w:tcPr>
            <w:tcW w:w="7740" w:type="dxa"/>
            <w:vAlign w:val="bottom"/>
            <w:tcBorders>
              <w:bottom w:val="single" w:sz="8" w:color="170D67"/>
            </w:tcBorders>
            <w:vMerge w:val="continue"/>
          </w:tcPr>
          <w:p>
            <w:pPr>
              <w:spacing w:after="0"/>
              <w:rPr>
                <w:sz w:val="17"/>
                <w:szCs w:val="17"/>
                <w:color w:val="auto"/>
              </w:rPr>
            </w:pPr>
          </w:p>
        </w:tc>
        <w:tc>
          <w:tcPr>
            <w:tcW w:w="2340" w:type="dxa"/>
            <w:vAlign w:val="bottom"/>
            <w:tcBorders>
              <w:bottom w:val="single" w:sz="8" w:color="170D67"/>
            </w:tcBorders>
          </w:tcPr>
          <w:p>
            <w:pPr>
              <w:jc w:val="right"/>
              <w:ind w:right="326"/>
              <w:spacing w:after="0"/>
              <w:rPr>
                <w:sz w:val="20"/>
                <w:szCs w:val="20"/>
                <w:color w:val="auto"/>
              </w:rPr>
            </w:pPr>
            <w:r>
              <w:rPr>
                <w:rFonts w:ascii="Arial" w:cs="Arial" w:eastAsia="Arial" w:hAnsi="Arial"/>
                <w:sz w:val="14"/>
                <w:szCs w:val="14"/>
                <w:b w:val="1"/>
                <w:bCs w:val="1"/>
                <w:color w:val="170D67"/>
              </w:rPr>
              <w:t>(Note 1)</w:t>
            </w:r>
          </w:p>
        </w:tc>
        <w:tc>
          <w:tcPr>
            <w:tcW w:w="1140" w:type="dxa"/>
            <w:vAlign w:val="bottom"/>
            <w:tcBorders>
              <w:bottom w:val="single" w:sz="8" w:color="170D67"/>
            </w:tcBorders>
          </w:tcPr>
          <w:p>
            <w:pPr>
              <w:jc w:val="right"/>
              <w:spacing w:after="0"/>
              <w:rPr>
                <w:sz w:val="20"/>
                <w:szCs w:val="20"/>
                <w:color w:val="auto"/>
              </w:rPr>
            </w:pPr>
            <w:r>
              <w:rPr>
                <w:rFonts w:ascii="Arial" w:cs="Arial" w:eastAsia="Arial" w:hAnsi="Arial"/>
                <w:sz w:val="14"/>
                <w:szCs w:val="14"/>
                <w:b w:val="1"/>
                <w:bCs w:val="1"/>
                <w:color w:val="170D67"/>
              </w:rPr>
              <w:t>(Note 2)</w:t>
            </w:r>
          </w:p>
        </w:tc>
        <w:tc>
          <w:tcPr>
            <w:tcW w:w="0" w:type="dxa"/>
            <w:vAlign w:val="bottom"/>
          </w:tcPr>
          <w:p>
            <w:pPr>
              <w:spacing w:after="0"/>
              <w:rPr>
                <w:sz w:val="1"/>
                <w:szCs w:val="1"/>
                <w:color w:val="auto"/>
              </w:rPr>
            </w:pPr>
          </w:p>
        </w:tc>
      </w:tr>
      <w:tr>
        <w:trPr>
          <w:trHeight w:val="204"/>
        </w:trPr>
        <w:tc>
          <w:tcPr>
            <w:tcW w:w="7740" w:type="dxa"/>
            <w:vAlign w:val="bottom"/>
          </w:tcPr>
          <w:p>
            <w:pPr>
              <w:ind w:left="20"/>
              <w:spacing w:after="0"/>
              <w:rPr>
                <w:sz w:val="20"/>
                <w:szCs w:val="20"/>
                <w:color w:val="auto"/>
              </w:rPr>
            </w:pPr>
            <w:r>
              <w:rPr>
                <w:rFonts w:ascii="Arial" w:cs="Arial" w:eastAsia="Arial" w:hAnsi="Arial"/>
                <w:sz w:val="15"/>
                <w:szCs w:val="15"/>
                <w:color w:val="auto"/>
              </w:rPr>
              <w:t>Butler</w:t>
            </w:r>
          </w:p>
        </w:tc>
        <w:tc>
          <w:tcPr>
            <w:tcW w:w="2340" w:type="dxa"/>
            <w:vAlign w:val="bottom"/>
          </w:tcPr>
          <w:p>
            <w:pPr>
              <w:jc w:val="right"/>
              <w:ind w:right="366"/>
              <w:spacing w:after="0"/>
              <w:rPr>
                <w:sz w:val="20"/>
                <w:szCs w:val="20"/>
                <w:color w:val="auto"/>
              </w:rPr>
            </w:pPr>
            <w:r>
              <w:rPr>
                <w:rFonts w:ascii="Arial" w:cs="Arial" w:eastAsia="Arial" w:hAnsi="Arial"/>
                <w:sz w:val="15"/>
                <w:szCs w:val="15"/>
                <w:color w:val="auto"/>
              </w:rPr>
              <w:t>141,598</w:t>
            </w:r>
          </w:p>
        </w:tc>
        <w:tc>
          <w:tcPr>
            <w:tcW w:w="1140" w:type="dxa"/>
            <w:vAlign w:val="bottom"/>
          </w:tcPr>
          <w:p>
            <w:pPr>
              <w:jc w:val="right"/>
              <w:spacing w:after="0"/>
              <w:rPr>
                <w:sz w:val="20"/>
                <w:szCs w:val="20"/>
                <w:color w:val="auto"/>
              </w:rPr>
            </w:pPr>
            <w:r>
              <w:rPr>
                <w:rFonts w:ascii="Arial" w:cs="Arial" w:eastAsia="Arial" w:hAnsi="Arial"/>
                <w:sz w:val="15"/>
                <w:szCs w:val="15"/>
                <w:color w:val="auto"/>
              </w:rPr>
              <w:t>5,112,581</w:t>
            </w:r>
          </w:p>
        </w:tc>
        <w:tc>
          <w:tcPr>
            <w:tcW w:w="0" w:type="dxa"/>
            <w:vAlign w:val="bottom"/>
          </w:tcPr>
          <w:p>
            <w:pPr>
              <w:spacing w:after="0"/>
              <w:rPr>
                <w:sz w:val="1"/>
                <w:szCs w:val="1"/>
                <w:color w:val="auto"/>
              </w:rPr>
            </w:pPr>
          </w:p>
        </w:tc>
      </w:tr>
      <w:tr>
        <w:trPr>
          <w:trHeight w:val="33"/>
        </w:trPr>
        <w:tc>
          <w:tcPr>
            <w:tcW w:w="7740" w:type="dxa"/>
            <w:vAlign w:val="bottom"/>
            <w:tcBorders>
              <w:bottom w:val="single" w:sz="8" w:color="808080"/>
            </w:tcBorders>
          </w:tcPr>
          <w:p>
            <w:pPr>
              <w:spacing w:after="0"/>
              <w:rPr>
                <w:sz w:val="2"/>
                <w:szCs w:val="2"/>
                <w:color w:val="auto"/>
              </w:rPr>
            </w:pPr>
          </w:p>
        </w:tc>
        <w:tc>
          <w:tcPr>
            <w:tcW w:w="2340" w:type="dxa"/>
            <w:vAlign w:val="bottom"/>
            <w:tcBorders>
              <w:bottom w:val="single" w:sz="8" w:color="808080"/>
            </w:tcBorders>
          </w:tcPr>
          <w:p>
            <w:pPr>
              <w:spacing w:after="0"/>
              <w:rPr>
                <w:sz w:val="2"/>
                <w:szCs w:val="2"/>
                <w:color w:val="auto"/>
              </w:rPr>
            </w:pPr>
          </w:p>
        </w:tc>
        <w:tc>
          <w:tcPr>
            <w:tcW w:w="11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740" w:type="dxa"/>
            <w:vAlign w:val="bottom"/>
          </w:tcPr>
          <w:p>
            <w:pPr>
              <w:ind w:left="20"/>
              <w:spacing w:after="0"/>
              <w:rPr>
                <w:sz w:val="20"/>
                <w:szCs w:val="20"/>
                <w:color w:val="auto"/>
              </w:rPr>
            </w:pPr>
            <w:r>
              <w:rPr>
                <w:rFonts w:ascii="Arial" w:cs="Arial" w:eastAsia="Arial" w:hAnsi="Arial"/>
                <w:sz w:val="15"/>
                <w:szCs w:val="15"/>
                <w:color w:val="auto"/>
              </w:rPr>
              <w:t>Jones</w:t>
            </w:r>
          </w:p>
        </w:tc>
        <w:tc>
          <w:tcPr>
            <w:tcW w:w="2340" w:type="dxa"/>
            <w:vAlign w:val="bottom"/>
          </w:tcPr>
          <w:p>
            <w:pPr>
              <w:jc w:val="right"/>
              <w:ind w:right="366"/>
              <w:spacing w:after="0"/>
              <w:rPr>
                <w:sz w:val="20"/>
                <w:szCs w:val="20"/>
                <w:color w:val="auto"/>
              </w:rPr>
            </w:pPr>
            <w:r>
              <w:rPr>
                <w:rFonts w:ascii="Arial" w:cs="Arial" w:eastAsia="Arial" w:hAnsi="Arial"/>
                <w:sz w:val="15"/>
                <w:szCs w:val="15"/>
                <w:color w:val="auto"/>
              </w:rPr>
              <w:t>16,206</w:t>
            </w:r>
          </w:p>
        </w:tc>
        <w:tc>
          <w:tcPr>
            <w:tcW w:w="1140" w:type="dxa"/>
            <w:vAlign w:val="bottom"/>
          </w:tcPr>
          <w:p>
            <w:pPr>
              <w:jc w:val="right"/>
              <w:spacing w:after="0"/>
              <w:rPr>
                <w:sz w:val="20"/>
                <w:szCs w:val="20"/>
                <w:color w:val="auto"/>
              </w:rPr>
            </w:pPr>
            <w:r>
              <w:rPr>
                <w:rFonts w:ascii="Arial" w:cs="Arial" w:eastAsia="Arial" w:hAnsi="Arial"/>
                <w:sz w:val="15"/>
                <w:szCs w:val="15"/>
                <w:color w:val="auto"/>
              </w:rPr>
              <w:t>571,915</w:t>
            </w:r>
          </w:p>
        </w:tc>
        <w:tc>
          <w:tcPr>
            <w:tcW w:w="0" w:type="dxa"/>
            <w:vAlign w:val="bottom"/>
          </w:tcPr>
          <w:p>
            <w:pPr>
              <w:spacing w:after="0"/>
              <w:rPr>
                <w:sz w:val="1"/>
                <w:szCs w:val="1"/>
                <w:color w:val="auto"/>
              </w:rPr>
            </w:pPr>
          </w:p>
        </w:tc>
      </w:tr>
      <w:tr>
        <w:trPr>
          <w:trHeight w:val="33"/>
        </w:trPr>
        <w:tc>
          <w:tcPr>
            <w:tcW w:w="7740" w:type="dxa"/>
            <w:vAlign w:val="bottom"/>
            <w:tcBorders>
              <w:bottom w:val="single" w:sz="8" w:color="808080"/>
            </w:tcBorders>
          </w:tcPr>
          <w:p>
            <w:pPr>
              <w:spacing w:after="0"/>
              <w:rPr>
                <w:sz w:val="2"/>
                <w:szCs w:val="2"/>
                <w:color w:val="auto"/>
              </w:rPr>
            </w:pPr>
          </w:p>
        </w:tc>
        <w:tc>
          <w:tcPr>
            <w:tcW w:w="2340" w:type="dxa"/>
            <w:vAlign w:val="bottom"/>
            <w:tcBorders>
              <w:bottom w:val="single" w:sz="8" w:color="808080"/>
            </w:tcBorders>
          </w:tcPr>
          <w:p>
            <w:pPr>
              <w:spacing w:after="0"/>
              <w:rPr>
                <w:sz w:val="2"/>
                <w:szCs w:val="2"/>
                <w:color w:val="auto"/>
              </w:rPr>
            </w:pPr>
          </w:p>
        </w:tc>
        <w:tc>
          <w:tcPr>
            <w:tcW w:w="11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740" w:type="dxa"/>
            <w:vAlign w:val="bottom"/>
          </w:tcPr>
          <w:p>
            <w:pPr>
              <w:ind w:left="20"/>
              <w:spacing w:after="0"/>
              <w:rPr>
                <w:sz w:val="20"/>
                <w:szCs w:val="20"/>
                <w:color w:val="auto"/>
              </w:rPr>
            </w:pPr>
            <w:r>
              <w:rPr>
                <w:rFonts w:ascii="Arial" w:cs="Arial" w:eastAsia="Arial" w:hAnsi="Arial"/>
                <w:sz w:val="15"/>
                <w:szCs w:val="15"/>
                <w:color w:val="auto"/>
              </w:rPr>
              <w:t>Littleton</w:t>
            </w:r>
          </w:p>
        </w:tc>
        <w:tc>
          <w:tcPr>
            <w:tcW w:w="2340" w:type="dxa"/>
            <w:vAlign w:val="bottom"/>
          </w:tcPr>
          <w:p>
            <w:pPr>
              <w:jc w:val="right"/>
              <w:ind w:right="366"/>
              <w:spacing w:after="0"/>
              <w:rPr>
                <w:sz w:val="20"/>
                <w:szCs w:val="20"/>
                <w:color w:val="auto"/>
              </w:rPr>
            </w:pPr>
            <w:r>
              <w:rPr>
                <w:rFonts w:ascii="Arial" w:cs="Arial" w:eastAsia="Arial" w:hAnsi="Arial"/>
                <w:sz w:val="15"/>
                <w:szCs w:val="15"/>
                <w:color w:val="auto"/>
              </w:rPr>
              <w:t>45,258</w:t>
            </w:r>
          </w:p>
        </w:tc>
        <w:tc>
          <w:tcPr>
            <w:tcW w:w="1140" w:type="dxa"/>
            <w:vAlign w:val="bottom"/>
          </w:tcPr>
          <w:p>
            <w:pPr>
              <w:jc w:val="right"/>
              <w:spacing w:after="0"/>
              <w:rPr>
                <w:sz w:val="20"/>
                <w:szCs w:val="20"/>
                <w:color w:val="auto"/>
              </w:rPr>
            </w:pPr>
            <w:r>
              <w:rPr>
                <w:rFonts w:ascii="Arial" w:cs="Arial" w:eastAsia="Arial" w:hAnsi="Arial"/>
                <w:sz w:val="15"/>
                <w:szCs w:val="15"/>
                <w:color w:val="auto"/>
              </w:rPr>
              <w:t>1,597,164</w:t>
            </w:r>
          </w:p>
        </w:tc>
        <w:tc>
          <w:tcPr>
            <w:tcW w:w="0" w:type="dxa"/>
            <w:vAlign w:val="bottom"/>
          </w:tcPr>
          <w:p>
            <w:pPr>
              <w:spacing w:after="0"/>
              <w:rPr>
                <w:sz w:val="1"/>
                <w:szCs w:val="1"/>
                <w:color w:val="auto"/>
              </w:rPr>
            </w:pPr>
          </w:p>
        </w:tc>
      </w:tr>
      <w:tr>
        <w:trPr>
          <w:trHeight w:val="33"/>
        </w:trPr>
        <w:tc>
          <w:tcPr>
            <w:tcW w:w="7740" w:type="dxa"/>
            <w:vAlign w:val="bottom"/>
            <w:tcBorders>
              <w:bottom w:val="single" w:sz="8" w:color="808080"/>
            </w:tcBorders>
          </w:tcPr>
          <w:p>
            <w:pPr>
              <w:spacing w:after="0"/>
              <w:rPr>
                <w:sz w:val="2"/>
                <w:szCs w:val="2"/>
                <w:color w:val="auto"/>
              </w:rPr>
            </w:pPr>
          </w:p>
        </w:tc>
        <w:tc>
          <w:tcPr>
            <w:tcW w:w="2340" w:type="dxa"/>
            <w:vAlign w:val="bottom"/>
            <w:tcBorders>
              <w:bottom w:val="single" w:sz="8" w:color="808080"/>
            </w:tcBorders>
          </w:tcPr>
          <w:p>
            <w:pPr>
              <w:spacing w:after="0"/>
              <w:rPr>
                <w:sz w:val="2"/>
                <w:szCs w:val="2"/>
                <w:color w:val="auto"/>
              </w:rPr>
            </w:pPr>
          </w:p>
        </w:tc>
        <w:tc>
          <w:tcPr>
            <w:tcW w:w="11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740" w:type="dxa"/>
            <w:vAlign w:val="bottom"/>
          </w:tcPr>
          <w:p>
            <w:pPr>
              <w:ind w:left="20"/>
              <w:spacing w:after="0"/>
              <w:rPr>
                <w:sz w:val="20"/>
                <w:szCs w:val="20"/>
                <w:color w:val="auto"/>
              </w:rPr>
            </w:pPr>
            <w:r>
              <w:rPr>
                <w:rFonts w:ascii="Arial" w:cs="Arial" w:eastAsia="Arial" w:hAnsi="Arial"/>
                <w:sz w:val="15"/>
                <w:szCs w:val="15"/>
                <w:color w:val="auto"/>
              </w:rPr>
              <w:t>Glockner</w:t>
            </w:r>
          </w:p>
        </w:tc>
        <w:tc>
          <w:tcPr>
            <w:tcW w:w="2340" w:type="dxa"/>
            <w:vAlign w:val="bottom"/>
          </w:tcPr>
          <w:p>
            <w:pPr>
              <w:jc w:val="right"/>
              <w:ind w:right="366"/>
              <w:spacing w:after="0"/>
              <w:rPr>
                <w:sz w:val="20"/>
                <w:szCs w:val="20"/>
                <w:color w:val="auto"/>
              </w:rPr>
            </w:pPr>
            <w:r>
              <w:rPr>
                <w:rFonts w:ascii="Arial" w:cs="Arial" w:eastAsia="Arial" w:hAnsi="Arial"/>
                <w:sz w:val="15"/>
                <w:szCs w:val="15"/>
                <w:color w:val="auto"/>
              </w:rPr>
              <w:t>49,508</w:t>
            </w:r>
          </w:p>
        </w:tc>
        <w:tc>
          <w:tcPr>
            <w:tcW w:w="1140" w:type="dxa"/>
            <w:vAlign w:val="bottom"/>
          </w:tcPr>
          <w:p>
            <w:pPr>
              <w:jc w:val="right"/>
              <w:spacing w:after="0"/>
              <w:rPr>
                <w:sz w:val="20"/>
                <w:szCs w:val="20"/>
                <w:color w:val="auto"/>
              </w:rPr>
            </w:pPr>
            <w:r>
              <w:rPr>
                <w:rFonts w:ascii="Arial" w:cs="Arial" w:eastAsia="Arial" w:hAnsi="Arial"/>
                <w:sz w:val="15"/>
                <w:szCs w:val="15"/>
                <w:color w:val="auto"/>
              </w:rPr>
              <w:t>1,747,139</w:t>
            </w:r>
          </w:p>
        </w:tc>
        <w:tc>
          <w:tcPr>
            <w:tcW w:w="0" w:type="dxa"/>
            <w:vAlign w:val="bottom"/>
          </w:tcPr>
          <w:p>
            <w:pPr>
              <w:spacing w:after="0"/>
              <w:rPr>
                <w:sz w:val="1"/>
                <w:szCs w:val="1"/>
                <w:color w:val="auto"/>
              </w:rPr>
            </w:pPr>
          </w:p>
        </w:tc>
      </w:tr>
      <w:tr>
        <w:trPr>
          <w:trHeight w:val="33"/>
        </w:trPr>
        <w:tc>
          <w:tcPr>
            <w:tcW w:w="7740" w:type="dxa"/>
            <w:vAlign w:val="bottom"/>
            <w:tcBorders>
              <w:bottom w:val="single" w:sz="8" w:color="808080"/>
            </w:tcBorders>
          </w:tcPr>
          <w:p>
            <w:pPr>
              <w:spacing w:after="0"/>
              <w:rPr>
                <w:sz w:val="2"/>
                <w:szCs w:val="2"/>
                <w:color w:val="auto"/>
              </w:rPr>
            </w:pPr>
          </w:p>
        </w:tc>
        <w:tc>
          <w:tcPr>
            <w:tcW w:w="2340" w:type="dxa"/>
            <w:vAlign w:val="bottom"/>
            <w:tcBorders>
              <w:bottom w:val="single" w:sz="8" w:color="808080"/>
            </w:tcBorders>
          </w:tcPr>
          <w:p>
            <w:pPr>
              <w:spacing w:after="0"/>
              <w:rPr>
                <w:sz w:val="2"/>
                <w:szCs w:val="2"/>
                <w:color w:val="auto"/>
              </w:rPr>
            </w:pPr>
          </w:p>
        </w:tc>
        <w:tc>
          <w:tcPr>
            <w:tcW w:w="11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0"/>
              <w:spacing w:after="0"/>
              <w:rPr>
                <w:sz w:val="20"/>
                <w:szCs w:val="20"/>
                <w:color w:val="auto"/>
              </w:rPr>
            </w:pPr>
            <w:r>
              <w:rPr>
                <w:rFonts w:ascii="Arial" w:cs="Arial" w:eastAsia="Arial" w:hAnsi="Arial"/>
                <w:sz w:val="15"/>
                <w:szCs w:val="15"/>
                <w:color w:val="auto"/>
              </w:rPr>
              <w:t>Innocenzo</w:t>
            </w:r>
          </w:p>
        </w:tc>
        <w:tc>
          <w:tcPr>
            <w:tcW w:w="2340" w:type="dxa"/>
            <w:vAlign w:val="bottom"/>
          </w:tcPr>
          <w:p>
            <w:pPr>
              <w:jc w:val="right"/>
              <w:ind w:right="366"/>
              <w:spacing w:after="0"/>
              <w:rPr>
                <w:sz w:val="20"/>
                <w:szCs w:val="20"/>
                <w:color w:val="auto"/>
              </w:rPr>
            </w:pPr>
            <w:r>
              <w:rPr>
                <w:rFonts w:ascii="Arial" w:cs="Arial" w:eastAsia="Arial" w:hAnsi="Arial"/>
                <w:sz w:val="15"/>
                <w:szCs w:val="15"/>
                <w:color w:val="auto"/>
              </w:rPr>
              <w:t>28,786</w:t>
            </w:r>
          </w:p>
        </w:tc>
        <w:tc>
          <w:tcPr>
            <w:tcW w:w="1140" w:type="dxa"/>
            <w:vAlign w:val="bottom"/>
          </w:tcPr>
          <w:p>
            <w:pPr>
              <w:jc w:val="right"/>
              <w:spacing w:after="0"/>
              <w:rPr>
                <w:sz w:val="20"/>
                <w:szCs w:val="20"/>
                <w:color w:val="auto"/>
              </w:rPr>
            </w:pPr>
            <w:r>
              <w:rPr>
                <w:rFonts w:ascii="Arial" w:cs="Arial" w:eastAsia="Arial" w:hAnsi="Arial"/>
                <w:sz w:val="15"/>
                <w:szCs w:val="15"/>
                <w:color w:val="auto"/>
              </w:rPr>
              <w:t>1,015,870</w:t>
            </w:r>
          </w:p>
        </w:tc>
        <w:tc>
          <w:tcPr>
            <w:tcW w:w="0" w:type="dxa"/>
            <w:vAlign w:val="bottom"/>
          </w:tcPr>
          <w:p>
            <w:pPr>
              <w:spacing w:after="0"/>
              <w:rPr>
                <w:sz w:val="1"/>
                <w:szCs w:val="1"/>
                <w:color w:val="auto"/>
              </w:rPr>
            </w:pPr>
          </w:p>
        </w:tc>
      </w:tr>
      <w:tr>
        <w:trPr>
          <w:trHeight w:val="33"/>
        </w:trPr>
        <w:tc>
          <w:tcPr>
            <w:tcW w:w="7740" w:type="dxa"/>
            <w:vAlign w:val="bottom"/>
            <w:tcBorders>
              <w:bottom w:val="single" w:sz="8" w:color="808080"/>
            </w:tcBorders>
          </w:tcPr>
          <w:p>
            <w:pPr>
              <w:spacing w:after="0"/>
              <w:rPr>
                <w:sz w:val="2"/>
                <w:szCs w:val="2"/>
                <w:color w:val="auto"/>
              </w:rPr>
            </w:pPr>
          </w:p>
        </w:tc>
        <w:tc>
          <w:tcPr>
            <w:tcW w:w="2340" w:type="dxa"/>
            <w:vAlign w:val="bottom"/>
            <w:tcBorders>
              <w:bottom w:val="single" w:sz="8" w:color="808080"/>
            </w:tcBorders>
          </w:tcPr>
          <w:p>
            <w:pPr>
              <w:spacing w:after="0"/>
              <w:rPr>
                <w:sz w:val="2"/>
                <w:szCs w:val="2"/>
                <w:color w:val="auto"/>
              </w:rPr>
            </w:pPr>
          </w:p>
        </w:tc>
        <w:tc>
          <w:tcPr>
            <w:tcW w:w="11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100" w:hanging="252"/>
        <w:spacing w:after="0" w:line="325" w:lineRule="auto"/>
        <w:tabs>
          <w:tab w:leader="none" w:pos="263" w:val="left"/>
        </w:tabs>
        <w:numPr>
          <w:ilvl w:val="0"/>
          <w:numId w:val="132"/>
        </w:numPr>
        <w:rPr>
          <w:rFonts w:ascii="Arial" w:cs="Arial" w:eastAsia="Arial" w:hAnsi="Arial"/>
          <w:sz w:val="8"/>
          <w:szCs w:val="8"/>
          <w:color w:val="auto"/>
        </w:rPr>
      </w:pPr>
      <w:r>
        <w:rPr>
          <w:rFonts w:ascii="Arial" w:cs="Arial" w:eastAsia="Arial" w:hAnsi="Arial"/>
          <w:sz w:val="14"/>
          <w:szCs w:val="14"/>
          <w:color w:val="auto"/>
        </w:rPr>
        <w:t>Share amounts are composed of the 2021-2023 performance share awards and the following tranches of prior RSU awards that vested on January 29, 2024: the final third of the RSU awards granted in 2021, the second third of the RSU awards granted in 2022, and the first third of the RSU awards granted in 2023.</w:t>
      </w:r>
    </w:p>
    <w:p>
      <w:pPr>
        <w:spacing w:after="0" w:line="9" w:lineRule="exact"/>
        <w:rPr>
          <w:rFonts w:ascii="Arial" w:cs="Arial" w:eastAsia="Arial" w:hAnsi="Arial"/>
          <w:sz w:val="8"/>
          <w:szCs w:val="8"/>
          <w:color w:val="auto"/>
        </w:rPr>
      </w:pPr>
    </w:p>
    <w:p>
      <w:pPr>
        <w:ind w:left="260" w:right="140"/>
        <w:spacing w:after="0" w:line="325" w:lineRule="auto"/>
        <w:rPr>
          <w:rFonts w:ascii="Arial" w:cs="Arial" w:eastAsia="Arial" w:hAnsi="Arial"/>
          <w:sz w:val="8"/>
          <w:szCs w:val="8"/>
          <w:color w:val="auto"/>
        </w:rPr>
      </w:pPr>
      <w:r>
        <w:rPr>
          <w:rFonts w:ascii="Arial" w:cs="Arial" w:eastAsia="Arial" w:hAnsi="Arial"/>
          <w:sz w:val="14"/>
          <w:szCs w:val="14"/>
          <w:color w:val="auto"/>
        </w:rPr>
        <w:t>For Mr. Butler, the number of shares includes a promotional RSU award of 28,468 shares granted on December 2, 2019 and an additional 9,064 shares the Compensation Committee approved at the time of Exelon’s separation from Constellation to maintain the overall value of the original promotional RSU award.</w:t>
      </w:r>
    </w:p>
    <w:p>
      <w:pPr>
        <w:spacing w:after="0" w:line="9" w:lineRule="exact"/>
        <w:rPr>
          <w:rFonts w:ascii="Arial" w:cs="Arial" w:eastAsia="Arial" w:hAnsi="Arial"/>
          <w:sz w:val="8"/>
          <w:szCs w:val="8"/>
          <w:color w:val="auto"/>
        </w:rPr>
      </w:pPr>
    </w:p>
    <w:p>
      <w:pPr>
        <w:ind w:left="260" w:right="100" w:hanging="252"/>
        <w:spacing w:after="0" w:line="325" w:lineRule="auto"/>
        <w:tabs>
          <w:tab w:leader="none" w:pos="249" w:val="left"/>
        </w:tabs>
        <w:numPr>
          <w:ilvl w:val="0"/>
          <w:numId w:val="132"/>
        </w:numPr>
        <w:rPr>
          <w:rFonts w:ascii="Arial" w:cs="Arial" w:eastAsia="Arial" w:hAnsi="Arial"/>
          <w:sz w:val="8"/>
          <w:szCs w:val="8"/>
          <w:color w:val="auto"/>
        </w:rPr>
      </w:pPr>
      <w:r>
        <w:rPr>
          <w:rFonts w:ascii="Arial" w:cs="Arial" w:eastAsia="Arial" w:hAnsi="Arial"/>
          <w:sz w:val="14"/>
          <w:szCs w:val="14"/>
          <w:color w:val="auto"/>
        </w:rPr>
        <w:t>The value of the awards is determined by multiplying the number of shares that vested by the market value of the underlying shares as of the close of business on the date the applicable shares vested.</w:t>
      </w:r>
    </w:p>
    <w:p>
      <w:pPr>
        <w:spacing w:after="0" w:line="200" w:lineRule="exact"/>
        <w:rPr>
          <w:sz w:val="20"/>
          <w:szCs w:val="20"/>
          <w:color w:val="auto"/>
        </w:rPr>
      </w:pPr>
    </w:p>
    <w:p>
      <w:pPr>
        <w:spacing w:after="0" w:line="336" w:lineRule="exact"/>
        <w:rPr>
          <w:sz w:val="20"/>
          <w:szCs w:val="20"/>
          <w:color w:val="auto"/>
        </w:rPr>
      </w:pPr>
    </w:p>
    <w:p>
      <w:pPr>
        <w:ind w:left="480" w:hanging="454"/>
        <w:spacing w:after="0"/>
        <w:tabs>
          <w:tab w:leader="none" w:pos="480" w:val="left"/>
        </w:tabs>
        <w:numPr>
          <w:ilvl w:val="0"/>
          <w:numId w:val="13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8" w:name="page69"/>
    <w:bookmarkEnd w:id="68"/>
    <w:p>
      <w:pPr>
        <w:jc w:val="right"/>
        <w:spacing w:after="0"/>
        <w:rPr>
          <w:sz w:val="20"/>
          <w:szCs w:val="20"/>
          <w:color w:val="auto"/>
        </w:rPr>
      </w:pPr>
      <w:r>
        <w:rPr>
          <w:rFonts w:ascii="Arial" w:cs="Arial" w:eastAsia="Arial" w:hAnsi="Arial"/>
          <w:sz w:val="13"/>
          <w:szCs w:val="13"/>
          <w:b w:val="1"/>
          <w:bCs w:val="1"/>
          <w:color w:val="auto"/>
        </w:rPr>
        <w:t>Compensation Discussion &amp; Analysis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Pension Benefits</w:t>
      </w:r>
    </w:p>
    <w:p>
      <w:pPr>
        <w:spacing w:after="0" w:line="112"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The Exelon Corporation Cash Balance Pension Plan (CBPP) under the Exelon Corporation Retirement Program is a defined benefit pension plan covering eligible management employees hired prior to February 1, 2018. The CBPP is intended to be tax-qualified under Section 401(a) of the Internal Revenue Code. Eligible NEOs and other employees who participate in the CBPP also participate in the Exelon Corporation Supplemental Management Retirement Plan (SMRP), a non-qualified pension plan that supplements benefits provided under the CBPP to the extent participants’ annual compensation or benefits exceed the limits imposed on the CBPP under the Internal Revenue Code.</w:t>
      </w:r>
    </w:p>
    <w:p>
      <w:pPr>
        <w:spacing w:after="0" w:line="61"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Messrs. Butler and Innocenzo and Ms. Jones participate in the CBPP and SMRP. Due to their dates of hire, Ms. Littleton and Mr. Glockner do not participate in the defined benefit pension plans.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Cash Balance Pension Plan (CBPP)</w:t>
      </w:r>
    </w:p>
    <w:p>
      <w:pPr>
        <w:spacing w:after="0" w:line="122"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auto"/>
        </w:rPr>
        <w:t>Under the CBPP, a notional account is established for each participant, and the account balance grows as a result of annual benefit credits and annual investment credits. NEO participants in the CBPP currently accrue an annual benefit credit ranging from 7.0% to 10.5% (depending on length of service) of base salary and annual incentive award, and an annual investment credit based on the third segment spot rate of interest on long-term investment grade corporate bonds for the month of November of the year credited (subject to a 4% minimum). Accrued benefits vest after three years of service, without reduction due to age, and are payable in an annuity or a lump sum at any time following termination of employment.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Supplemental Management Retirement Plan (SMRP)</w:t>
      </w:r>
    </w:p>
    <w:p>
      <w:pPr>
        <w:spacing w:after="0" w:line="122"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auto"/>
        </w:rPr>
        <w:t>Under the SMRP, participants are credited with the additional amount of benefit and investment credits they would have earned under the CBPP but for the application of the Internal Revenue Code limits. Like the CBPP, the SMRP offers a lump sum as an optional form of payment. The SMRP also provides a benefit based on the amount of FICA taxes (and, in certain situations, a state income tax differential) imposed on the participant’s SMRP benefits. This benefit is intended to equalize the after-tax treatment of participants’ qualified and non-qualified pension benefits and is provided to all participants in the SMRP.</w:t>
      </w:r>
    </w:p>
    <w:p>
      <w:pPr>
        <w:spacing w:after="0" w:line="80"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The lump sum value of the benefits earned under the SMRP are shown below separately from the lump sum value of the benefits earned under the CBPP. Exelon does not grant additional years of credited service to executives under the SMRP for any period in which services are not actually performed, except that up to two years of service credits may be provided upon a qualifying termination of employment under severance. The amount of the change in the pension value for each of the participating NEOs is included in the “Change in Pension Value and Non-qualified Deferred Compensation Earnings” column of the Summary Compensation Table.</w:t>
      </w:r>
    </w:p>
    <w:p>
      <w:pPr>
        <w:spacing w:after="0" w:line="80" w:lineRule="exact"/>
        <w:rPr>
          <w:sz w:val="20"/>
          <w:szCs w:val="20"/>
          <w:color w:val="auto"/>
        </w:rPr>
      </w:pPr>
    </w:p>
    <w:p>
      <w:pPr>
        <w:ind w:right="820"/>
        <w:spacing w:after="0" w:line="321" w:lineRule="auto"/>
        <w:rPr>
          <w:sz w:val="20"/>
          <w:szCs w:val="20"/>
          <w:color w:val="auto"/>
        </w:rPr>
      </w:pPr>
      <w:r>
        <w:rPr>
          <w:rFonts w:ascii="Arial" w:cs="Arial" w:eastAsia="Arial" w:hAnsi="Arial"/>
          <w:sz w:val="16"/>
          <w:szCs w:val="16"/>
          <w:color w:val="auto"/>
        </w:rPr>
        <w:t>The following table shows the present value of each participating NEO’s accrued pension benefit (if any) under the CBPP and SMRP, which is the participating NEO’s vested account balance without reduction due to age.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0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900" w:type="dxa"/>
            <w:vAlign w:val="bottom"/>
          </w:tcPr>
          <w:p>
            <w:pPr>
              <w:jc w:val="right"/>
              <w:ind w:right="185"/>
              <w:spacing w:after="0"/>
              <w:rPr>
                <w:sz w:val="20"/>
                <w:szCs w:val="20"/>
                <w:color w:val="auto"/>
              </w:rPr>
            </w:pPr>
            <w:r>
              <w:rPr>
                <w:rFonts w:ascii="Arial" w:cs="Arial" w:eastAsia="Arial" w:hAnsi="Arial"/>
                <w:sz w:val="14"/>
                <w:szCs w:val="14"/>
                <w:b w:val="1"/>
                <w:bCs w:val="1"/>
                <w:color w:val="170D67"/>
              </w:rPr>
              <w:t>Number of</w:t>
            </w:r>
          </w:p>
        </w:tc>
        <w:tc>
          <w:tcPr>
            <w:tcW w:w="1580" w:type="dxa"/>
            <w:vAlign w:val="bottom"/>
          </w:tcPr>
          <w:p>
            <w:pPr>
              <w:jc w:val="right"/>
              <w:ind w:right="165"/>
              <w:spacing w:after="0"/>
              <w:rPr>
                <w:sz w:val="20"/>
                <w:szCs w:val="20"/>
                <w:color w:val="auto"/>
              </w:rPr>
            </w:pPr>
            <w:r>
              <w:rPr>
                <w:rFonts w:ascii="Arial" w:cs="Arial" w:eastAsia="Arial" w:hAnsi="Arial"/>
                <w:sz w:val="14"/>
                <w:szCs w:val="14"/>
                <w:b w:val="1"/>
                <w:bCs w:val="1"/>
                <w:color w:val="170D67"/>
              </w:rPr>
              <w:t>Present Value</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170D67"/>
              </w:rPr>
              <w:t>Payments</w:t>
            </w:r>
          </w:p>
        </w:tc>
        <w:tc>
          <w:tcPr>
            <w:tcW w:w="0" w:type="dxa"/>
            <w:vAlign w:val="bottom"/>
          </w:tcPr>
          <w:p>
            <w:pPr>
              <w:spacing w:after="0"/>
              <w:rPr>
                <w:sz w:val="1"/>
                <w:szCs w:val="1"/>
                <w:color w:val="auto"/>
              </w:rPr>
            </w:pPr>
          </w:p>
        </w:tc>
      </w:tr>
      <w:tr>
        <w:trPr>
          <w:trHeight w:val="175"/>
        </w:trPr>
        <w:tc>
          <w:tcPr>
            <w:tcW w:w="110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900" w:type="dxa"/>
            <w:vAlign w:val="bottom"/>
          </w:tcPr>
          <w:p>
            <w:pPr>
              <w:jc w:val="right"/>
              <w:ind w:right="185"/>
              <w:spacing w:after="0"/>
              <w:rPr>
                <w:sz w:val="20"/>
                <w:szCs w:val="20"/>
                <w:color w:val="auto"/>
              </w:rPr>
            </w:pPr>
            <w:r>
              <w:rPr>
                <w:rFonts w:ascii="Arial" w:cs="Arial" w:eastAsia="Arial" w:hAnsi="Arial"/>
                <w:sz w:val="14"/>
                <w:szCs w:val="14"/>
                <w:b w:val="1"/>
                <w:bCs w:val="1"/>
                <w:color w:val="170D67"/>
              </w:rPr>
              <w:t>Years Credited</w:t>
            </w:r>
          </w:p>
        </w:tc>
        <w:tc>
          <w:tcPr>
            <w:tcW w:w="1580" w:type="dxa"/>
            <w:vAlign w:val="bottom"/>
          </w:tcPr>
          <w:p>
            <w:pPr>
              <w:jc w:val="right"/>
              <w:ind w:right="165"/>
              <w:spacing w:after="0"/>
              <w:rPr>
                <w:sz w:val="20"/>
                <w:szCs w:val="20"/>
                <w:color w:val="auto"/>
              </w:rPr>
            </w:pPr>
            <w:r>
              <w:rPr>
                <w:rFonts w:ascii="Arial" w:cs="Arial" w:eastAsia="Arial" w:hAnsi="Arial"/>
                <w:sz w:val="14"/>
                <w:szCs w:val="14"/>
                <w:b w:val="1"/>
                <w:bCs w:val="1"/>
                <w:color w:val="170D67"/>
              </w:rPr>
              <w:t>of Accumulated</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170D67"/>
              </w:rPr>
              <w:t>During</w:t>
            </w:r>
          </w:p>
        </w:tc>
        <w:tc>
          <w:tcPr>
            <w:tcW w:w="0" w:type="dxa"/>
            <w:vAlign w:val="bottom"/>
          </w:tcPr>
          <w:p>
            <w:pPr>
              <w:spacing w:after="0"/>
              <w:rPr>
                <w:sz w:val="1"/>
                <w:szCs w:val="1"/>
                <w:color w:val="auto"/>
              </w:rPr>
            </w:pPr>
          </w:p>
        </w:tc>
      </w:tr>
      <w:tr>
        <w:trPr>
          <w:trHeight w:val="175"/>
        </w:trPr>
        <w:tc>
          <w:tcPr>
            <w:tcW w:w="1100" w:type="dxa"/>
            <w:vAlign w:val="bottom"/>
            <w:vMerge w:val="restart"/>
          </w:tcPr>
          <w:p>
            <w:pPr>
              <w:ind w:left="20"/>
              <w:spacing w:after="0"/>
              <w:rPr>
                <w:sz w:val="20"/>
                <w:szCs w:val="20"/>
                <w:color w:val="auto"/>
              </w:rPr>
            </w:pPr>
            <w:r>
              <w:rPr>
                <w:rFonts w:ascii="Arial" w:cs="Arial" w:eastAsia="Arial" w:hAnsi="Arial"/>
                <w:sz w:val="14"/>
                <w:szCs w:val="14"/>
                <w:b w:val="1"/>
                <w:bCs w:val="1"/>
                <w:color w:val="170D67"/>
              </w:rPr>
              <w:t>Name</w:t>
            </w:r>
          </w:p>
        </w:tc>
        <w:tc>
          <w:tcPr>
            <w:tcW w:w="4720" w:type="dxa"/>
            <w:vAlign w:val="bottom"/>
            <w:vMerge w:val="restart"/>
          </w:tcPr>
          <w:p>
            <w:pPr>
              <w:ind w:left="20"/>
              <w:spacing w:after="0"/>
              <w:rPr>
                <w:sz w:val="20"/>
                <w:szCs w:val="20"/>
                <w:color w:val="auto"/>
              </w:rPr>
            </w:pPr>
            <w:r>
              <w:rPr>
                <w:rFonts w:ascii="Arial" w:cs="Arial" w:eastAsia="Arial" w:hAnsi="Arial"/>
                <w:sz w:val="14"/>
                <w:szCs w:val="14"/>
                <w:b w:val="1"/>
                <w:bCs w:val="1"/>
                <w:color w:val="170D67"/>
              </w:rPr>
              <w:t>Plan Name</w:t>
            </w:r>
          </w:p>
        </w:tc>
        <w:tc>
          <w:tcPr>
            <w:tcW w:w="2900" w:type="dxa"/>
            <w:vAlign w:val="bottom"/>
          </w:tcPr>
          <w:p>
            <w:pPr>
              <w:jc w:val="right"/>
              <w:ind w:right="185"/>
              <w:spacing w:after="0"/>
              <w:rPr>
                <w:sz w:val="20"/>
                <w:szCs w:val="20"/>
                <w:color w:val="auto"/>
              </w:rPr>
            </w:pPr>
            <w:r>
              <w:rPr>
                <w:rFonts w:ascii="Arial" w:cs="Arial" w:eastAsia="Arial" w:hAnsi="Arial"/>
                <w:sz w:val="14"/>
                <w:szCs w:val="14"/>
                <w:b w:val="1"/>
                <w:bCs w:val="1"/>
                <w:color w:val="170D67"/>
              </w:rPr>
              <w:t>Service</w:t>
            </w:r>
          </w:p>
        </w:tc>
        <w:tc>
          <w:tcPr>
            <w:tcW w:w="1580" w:type="dxa"/>
            <w:vAlign w:val="bottom"/>
          </w:tcPr>
          <w:p>
            <w:pPr>
              <w:jc w:val="right"/>
              <w:ind w:right="165"/>
              <w:spacing w:after="0"/>
              <w:rPr>
                <w:sz w:val="20"/>
                <w:szCs w:val="20"/>
                <w:color w:val="auto"/>
              </w:rPr>
            </w:pPr>
            <w:r>
              <w:rPr>
                <w:rFonts w:ascii="Arial" w:cs="Arial" w:eastAsia="Arial" w:hAnsi="Arial"/>
                <w:sz w:val="14"/>
                <w:szCs w:val="14"/>
                <w:b w:val="1"/>
                <w:bCs w:val="1"/>
                <w:color w:val="170D67"/>
              </w:rPr>
              <w:t>Benefit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170D67"/>
              </w:rPr>
              <w:t>last FY</w:t>
            </w:r>
          </w:p>
        </w:tc>
        <w:tc>
          <w:tcPr>
            <w:tcW w:w="0" w:type="dxa"/>
            <w:vAlign w:val="bottom"/>
          </w:tcPr>
          <w:p>
            <w:pPr>
              <w:spacing w:after="0"/>
              <w:rPr>
                <w:sz w:val="1"/>
                <w:szCs w:val="1"/>
                <w:color w:val="auto"/>
              </w:rPr>
            </w:pPr>
          </w:p>
        </w:tc>
      </w:tr>
      <w:tr>
        <w:trPr>
          <w:trHeight w:val="197"/>
        </w:trPr>
        <w:tc>
          <w:tcPr>
            <w:tcW w:w="1100" w:type="dxa"/>
            <w:vAlign w:val="bottom"/>
            <w:tcBorders>
              <w:bottom w:val="single" w:sz="8" w:color="170D67"/>
            </w:tcBorders>
            <w:vMerge w:val="continue"/>
          </w:tcPr>
          <w:p>
            <w:pPr>
              <w:spacing w:after="0"/>
              <w:rPr>
                <w:sz w:val="17"/>
                <w:szCs w:val="17"/>
                <w:color w:val="auto"/>
              </w:rPr>
            </w:pPr>
          </w:p>
        </w:tc>
        <w:tc>
          <w:tcPr>
            <w:tcW w:w="4720" w:type="dxa"/>
            <w:vAlign w:val="bottom"/>
            <w:tcBorders>
              <w:bottom w:val="single" w:sz="8" w:color="170D67"/>
            </w:tcBorders>
            <w:vMerge w:val="continue"/>
          </w:tcPr>
          <w:p>
            <w:pPr>
              <w:spacing w:after="0"/>
              <w:rPr>
                <w:sz w:val="17"/>
                <w:szCs w:val="17"/>
                <w:color w:val="auto"/>
              </w:rPr>
            </w:pPr>
          </w:p>
        </w:tc>
        <w:tc>
          <w:tcPr>
            <w:tcW w:w="2900" w:type="dxa"/>
            <w:vAlign w:val="bottom"/>
            <w:tcBorders>
              <w:bottom w:val="single" w:sz="8" w:color="170D67"/>
            </w:tcBorders>
          </w:tcPr>
          <w:p>
            <w:pPr>
              <w:jc w:val="right"/>
              <w:ind w:right="185"/>
              <w:spacing w:after="0"/>
              <w:rPr>
                <w:sz w:val="20"/>
                <w:szCs w:val="20"/>
                <w:color w:val="auto"/>
              </w:rPr>
            </w:pPr>
            <w:r>
              <w:rPr>
                <w:rFonts w:ascii="Arial" w:cs="Arial" w:eastAsia="Arial" w:hAnsi="Arial"/>
                <w:sz w:val="14"/>
                <w:szCs w:val="14"/>
                <w:b w:val="1"/>
                <w:bCs w:val="1"/>
                <w:color w:val="170D67"/>
              </w:rPr>
              <w:t>(#)</w:t>
            </w:r>
          </w:p>
        </w:tc>
        <w:tc>
          <w:tcPr>
            <w:tcW w:w="1580" w:type="dxa"/>
            <w:vAlign w:val="bottom"/>
            <w:tcBorders>
              <w:bottom w:val="single" w:sz="8" w:color="170D67"/>
            </w:tcBorders>
          </w:tcPr>
          <w:p>
            <w:pPr>
              <w:jc w:val="right"/>
              <w:ind w:right="165"/>
              <w:spacing w:after="0"/>
              <w:rPr>
                <w:sz w:val="20"/>
                <w:szCs w:val="20"/>
                <w:color w:val="auto"/>
              </w:rPr>
            </w:pPr>
            <w:r>
              <w:rPr>
                <w:rFonts w:ascii="Arial" w:cs="Arial" w:eastAsia="Arial" w:hAnsi="Arial"/>
                <w:sz w:val="14"/>
                <w:szCs w:val="14"/>
                <w:b w:val="1"/>
                <w:bCs w:val="1"/>
                <w:color w:val="170D67"/>
              </w:rPr>
              <w:t>($)</w:t>
            </w:r>
          </w:p>
        </w:tc>
        <w:tc>
          <w:tcPr>
            <w:tcW w:w="920" w:type="dxa"/>
            <w:vAlign w:val="bottom"/>
            <w:tcBorders>
              <w:bottom w:val="single" w:sz="8" w:color="170D67"/>
            </w:tcBorders>
          </w:tcPr>
          <w:p>
            <w:pPr>
              <w:jc w:val="right"/>
              <w:spacing w:after="0"/>
              <w:rPr>
                <w:sz w:val="20"/>
                <w:szCs w:val="20"/>
                <w:color w:val="auto"/>
              </w:rPr>
            </w:pPr>
            <w:r>
              <w:rPr>
                <w:rFonts w:ascii="Arial" w:cs="Arial" w:eastAsia="Arial" w:hAnsi="Arial"/>
                <w:sz w:val="14"/>
                <w:szCs w:val="14"/>
                <w:b w:val="1"/>
                <w:bCs w:val="1"/>
                <w:color w:val="170D67"/>
              </w:rPr>
              <w:t>($)</w:t>
            </w:r>
          </w:p>
        </w:tc>
        <w:tc>
          <w:tcPr>
            <w:tcW w:w="0" w:type="dxa"/>
            <w:vAlign w:val="bottom"/>
          </w:tcPr>
          <w:p>
            <w:pPr>
              <w:spacing w:after="0"/>
              <w:rPr>
                <w:sz w:val="1"/>
                <w:szCs w:val="1"/>
                <w:color w:val="auto"/>
              </w:rPr>
            </w:pPr>
          </w:p>
        </w:tc>
      </w:tr>
      <w:tr>
        <w:trPr>
          <w:trHeight w:val="204"/>
        </w:trPr>
        <w:tc>
          <w:tcPr>
            <w:tcW w:w="1100" w:type="dxa"/>
            <w:vAlign w:val="bottom"/>
          </w:tcPr>
          <w:p>
            <w:pPr>
              <w:ind w:left="20"/>
              <w:spacing w:after="0"/>
              <w:rPr>
                <w:sz w:val="20"/>
                <w:szCs w:val="20"/>
                <w:color w:val="auto"/>
              </w:rPr>
            </w:pPr>
            <w:r>
              <w:rPr>
                <w:rFonts w:ascii="Arial" w:cs="Arial" w:eastAsia="Arial" w:hAnsi="Arial"/>
                <w:sz w:val="15"/>
                <w:szCs w:val="15"/>
                <w:color w:val="auto"/>
              </w:rPr>
              <w:t>Butler</w:t>
            </w:r>
          </w:p>
        </w:tc>
        <w:tc>
          <w:tcPr>
            <w:tcW w:w="4720" w:type="dxa"/>
            <w:vAlign w:val="bottom"/>
          </w:tcPr>
          <w:p>
            <w:pPr>
              <w:ind w:left="20"/>
              <w:spacing w:after="0"/>
              <w:rPr>
                <w:sz w:val="20"/>
                <w:szCs w:val="20"/>
                <w:color w:val="auto"/>
              </w:rPr>
            </w:pPr>
            <w:r>
              <w:rPr>
                <w:rFonts w:ascii="Arial" w:cs="Arial" w:eastAsia="Arial" w:hAnsi="Arial"/>
                <w:sz w:val="15"/>
                <w:szCs w:val="15"/>
                <w:color w:val="auto"/>
              </w:rPr>
              <w:t>Cash Balance Pension Plan</w:t>
            </w:r>
          </w:p>
        </w:tc>
        <w:tc>
          <w:tcPr>
            <w:tcW w:w="2900" w:type="dxa"/>
            <w:vAlign w:val="bottom"/>
          </w:tcPr>
          <w:p>
            <w:pPr>
              <w:jc w:val="right"/>
              <w:ind w:right="245"/>
              <w:spacing w:after="0"/>
              <w:rPr>
                <w:sz w:val="20"/>
                <w:szCs w:val="20"/>
                <w:color w:val="auto"/>
              </w:rPr>
            </w:pPr>
            <w:r>
              <w:rPr>
                <w:rFonts w:ascii="Arial" w:cs="Arial" w:eastAsia="Arial" w:hAnsi="Arial"/>
                <w:sz w:val="15"/>
                <w:szCs w:val="15"/>
                <w:color w:val="auto"/>
              </w:rPr>
              <w:t>16.91</w:t>
            </w:r>
          </w:p>
        </w:tc>
        <w:tc>
          <w:tcPr>
            <w:tcW w:w="1580" w:type="dxa"/>
            <w:vAlign w:val="bottom"/>
          </w:tcPr>
          <w:p>
            <w:pPr>
              <w:jc w:val="right"/>
              <w:ind w:right="225"/>
              <w:spacing w:after="0"/>
              <w:rPr>
                <w:sz w:val="20"/>
                <w:szCs w:val="20"/>
                <w:color w:val="auto"/>
              </w:rPr>
            </w:pPr>
            <w:r>
              <w:rPr>
                <w:rFonts w:ascii="Arial" w:cs="Arial" w:eastAsia="Arial" w:hAnsi="Arial"/>
                <w:sz w:val="15"/>
                <w:szCs w:val="15"/>
                <w:color w:val="auto"/>
              </w:rPr>
              <w:t>478,437</w:t>
            </w:r>
          </w:p>
        </w:tc>
        <w:tc>
          <w:tcPr>
            <w:tcW w:w="920" w:type="dxa"/>
            <w:vAlign w:val="bottom"/>
          </w:tcPr>
          <w:p>
            <w:pPr>
              <w:ind w:left="7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3"/>
        </w:trPr>
        <w:tc>
          <w:tcPr>
            <w:tcW w:w="1100" w:type="dxa"/>
            <w:vAlign w:val="bottom"/>
          </w:tcPr>
          <w:p>
            <w:pPr>
              <w:spacing w:after="0"/>
              <w:rPr>
                <w:sz w:val="2"/>
                <w:szCs w:val="2"/>
                <w:color w:val="auto"/>
              </w:rPr>
            </w:pPr>
          </w:p>
        </w:tc>
        <w:tc>
          <w:tcPr>
            <w:tcW w:w="4720" w:type="dxa"/>
            <w:vAlign w:val="bottom"/>
            <w:tcBorders>
              <w:bottom w:val="single" w:sz="8" w:color="808080"/>
            </w:tcBorders>
          </w:tcPr>
          <w:p>
            <w:pPr>
              <w:spacing w:after="0"/>
              <w:rPr>
                <w:sz w:val="2"/>
                <w:szCs w:val="2"/>
                <w:color w:val="auto"/>
              </w:rPr>
            </w:pPr>
          </w:p>
        </w:tc>
        <w:tc>
          <w:tcPr>
            <w:tcW w:w="2900" w:type="dxa"/>
            <w:vAlign w:val="bottom"/>
            <w:tcBorders>
              <w:bottom w:val="single" w:sz="8" w:color="808080"/>
            </w:tcBorders>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9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 w:type="dxa"/>
            <w:vAlign w:val="bottom"/>
            <w:tcBorders>
              <w:bottom w:val="single" w:sz="8" w:color="808080"/>
            </w:tcBorders>
          </w:tcPr>
          <w:p>
            <w:pPr>
              <w:spacing w:after="0"/>
              <w:rPr>
                <w:sz w:val="20"/>
                <w:szCs w:val="20"/>
                <w:color w:val="auto"/>
              </w:rPr>
            </w:pPr>
          </w:p>
        </w:tc>
        <w:tc>
          <w:tcPr>
            <w:tcW w:w="4720" w:type="dxa"/>
            <w:vAlign w:val="bottom"/>
            <w:tcBorders>
              <w:bottom w:val="single" w:sz="8" w:color="808080"/>
            </w:tcBorders>
          </w:tcPr>
          <w:p>
            <w:pPr>
              <w:ind w:left="20"/>
              <w:spacing w:after="0"/>
              <w:rPr>
                <w:sz w:val="20"/>
                <w:szCs w:val="20"/>
                <w:color w:val="auto"/>
              </w:rPr>
            </w:pPr>
            <w:r>
              <w:rPr>
                <w:rFonts w:ascii="Arial" w:cs="Arial" w:eastAsia="Arial" w:hAnsi="Arial"/>
                <w:sz w:val="15"/>
                <w:szCs w:val="15"/>
                <w:color w:val="auto"/>
              </w:rPr>
              <w:t>Supplemental Management Retirement Plan</w:t>
            </w:r>
            <w:r>
              <w:rPr>
                <w:rFonts w:ascii="Arial" w:cs="Arial" w:eastAsia="Arial" w:hAnsi="Arial"/>
                <w:sz w:val="19"/>
                <w:szCs w:val="19"/>
                <w:color w:val="auto"/>
                <w:vertAlign w:val="superscript"/>
              </w:rPr>
              <w:t>2</w:t>
            </w:r>
          </w:p>
        </w:tc>
        <w:tc>
          <w:tcPr>
            <w:tcW w:w="2900" w:type="dxa"/>
            <w:vAlign w:val="bottom"/>
            <w:tcBorders>
              <w:bottom w:val="single" w:sz="8" w:color="808080"/>
            </w:tcBorders>
          </w:tcPr>
          <w:p>
            <w:pPr>
              <w:jc w:val="right"/>
              <w:ind w:right="245"/>
              <w:spacing w:after="0"/>
              <w:rPr>
                <w:sz w:val="20"/>
                <w:szCs w:val="20"/>
                <w:color w:val="auto"/>
              </w:rPr>
            </w:pPr>
            <w:r>
              <w:rPr>
                <w:rFonts w:ascii="Arial" w:cs="Arial" w:eastAsia="Arial" w:hAnsi="Arial"/>
                <w:sz w:val="15"/>
                <w:szCs w:val="15"/>
                <w:color w:val="auto"/>
              </w:rPr>
              <w:t>16.91</w:t>
            </w:r>
          </w:p>
        </w:tc>
        <w:tc>
          <w:tcPr>
            <w:tcW w:w="1580" w:type="dxa"/>
            <w:vAlign w:val="bottom"/>
            <w:tcBorders>
              <w:bottom w:val="single" w:sz="8" w:color="808080"/>
            </w:tcBorders>
          </w:tcPr>
          <w:p>
            <w:pPr>
              <w:jc w:val="right"/>
              <w:ind w:right="225"/>
              <w:spacing w:after="0"/>
              <w:rPr>
                <w:sz w:val="20"/>
                <w:szCs w:val="20"/>
                <w:color w:val="auto"/>
              </w:rPr>
            </w:pPr>
            <w:r>
              <w:rPr>
                <w:rFonts w:ascii="Arial" w:cs="Arial" w:eastAsia="Arial" w:hAnsi="Arial"/>
                <w:sz w:val="15"/>
                <w:szCs w:val="15"/>
                <w:color w:val="auto"/>
              </w:rPr>
              <w:t>1,487,789</w:t>
            </w:r>
          </w:p>
        </w:tc>
        <w:tc>
          <w:tcPr>
            <w:tcW w:w="920" w:type="dxa"/>
            <w:vAlign w:val="bottom"/>
            <w:tcBorders>
              <w:bottom w:val="single" w:sz="8" w:color="808080"/>
            </w:tcBorders>
          </w:tcPr>
          <w:p>
            <w:pPr>
              <w:ind w:left="7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1100" w:type="dxa"/>
            <w:vAlign w:val="bottom"/>
          </w:tcPr>
          <w:p>
            <w:pPr>
              <w:ind w:left="20"/>
              <w:spacing w:after="0"/>
              <w:rPr>
                <w:sz w:val="20"/>
                <w:szCs w:val="20"/>
                <w:color w:val="auto"/>
              </w:rPr>
            </w:pPr>
            <w:r>
              <w:rPr>
                <w:rFonts w:ascii="Arial" w:cs="Arial" w:eastAsia="Arial" w:hAnsi="Arial"/>
                <w:sz w:val="15"/>
                <w:szCs w:val="15"/>
                <w:color w:val="auto"/>
              </w:rPr>
              <w:t>Jones</w:t>
            </w:r>
          </w:p>
        </w:tc>
        <w:tc>
          <w:tcPr>
            <w:tcW w:w="4720" w:type="dxa"/>
            <w:vAlign w:val="bottom"/>
          </w:tcPr>
          <w:p>
            <w:pPr>
              <w:ind w:left="20"/>
              <w:spacing w:after="0"/>
              <w:rPr>
                <w:sz w:val="20"/>
                <w:szCs w:val="20"/>
                <w:color w:val="auto"/>
              </w:rPr>
            </w:pPr>
            <w:r>
              <w:rPr>
                <w:rFonts w:ascii="Arial" w:cs="Arial" w:eastAsia="Arial" w:hAnsi="Arial"/>
                <w:sz w:val="15"/>
                <w:szCs w:val="15"/>
                <w:color w:val="auto"/>
              </w:rPr>
              <w:t>Cash Balance Pension Plan</w:t>
            </w:r>
          </w:p>
        </w:tc>
        <w:tc>
          <w:tcPr>
            <w:tcW w:w="2900" w:type="dxa"/>
            <w:vAlign w:val="bottom"/>
          </w:tcPr>
          <w:p>
            <w:pPr>
              <w:jc w:val="right"/>
              <w:ind w:right="245"/>
              <w:spacing w:after="0"/>
              <w:rPr>
                <w:sz w:val="20"/>
                <w:szCs w:val="20"/>
                <w:color w:val="auto"/>
              </w:rPr>
            </w:pPr>
            <w:r>
              <w:rPr>
                <w:rFonts w:ascii="Arial" w:cs="Arial" w:eastAsia="Arial" w:hAnsi="Arial"/>
                <w:sz w:val="15"/>
                <w:szCs w:val="15"/>
                <w:color w:val="auto"/>
              </w:rPr>
              <w:t>17.41</w:t>
            </w:r>
          </w:p>
        </w:tc>
        <w:tc>
          <w:tcPr>
            <w:tcW w:w="1580" w:type="dxa"/>
            <w:vAlign w:val="bottom"/>
          </w:tcPr>
          <w:p>
            <w:pPr>
              <w:jc w:val="right"/>
              <w:ind w:right="225"/>
              <w:spacing w:after="0"/>
              <w:rPr>
                <w:sz w:val="20"/>
                <w:szCs w:val="20"/>
                <w:color w:val="auto"/>
              </w:rPr>
            </w:pPr>
            <w:r>
              <w:rPr>
                <w:rFonts w:ascii="Arial" w:cs="Arial" w:eastAsia="Arial" w:hAnsi="Arial"/>
                <w:sz w:val="15"/>
                <w:szCs w:val="15"/>
                <w:color w:val="auto"/>
              </w:rPr>
              <w:t>454,695</w:t>
            </w:r>
          </w:p>
        </w:tc>
        <w:tc>
          <w:tcPr>
            <w:tcW w:w="920" w:type="dxa"/>
            <w:vAlign w:val="bottom"/>
          </w:tcPr>
          <w:p>
            <w:pPr>
              <w:ind w:left="7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3"/>
        </w:trPr>
        <w:tc>
          <w:tcPr>
            <w:tcW w:w="1100" w:type="dxa"/>
            <w:vAlign w:val="bottom"/>
          </w:tcPr>
          <w:p>
            <w:pPr>
              <w:spacing w:after="0"/>
              <w:rPr>
                <w:sz w:val="2"/>
                <w:szCs w:val="2"/>
                <w:color w:val="auto"/>
              </w:rPr>
            </w:pPr>
          </w:p>
        </w:tc>
        <w:tc>
          <w:tcPr>
            <w:tcW w:w="4720" w:type="dxa"/>
            <w:vAlign w:val="bottom"/>
            <w:tcBorders>
              <w:bottom w:val="single" w:sz="8" w:color="808080"/>
            </w:tcBorders>
          </w:tcPr>
          <w:p>
            <w:pPr>
              <w:spacing w:after="0"/>
              <w:rPr>
                <w:sz w:val="2"/>
                <w:szCs w:val="2"/>
                <w:color w:val="auto"/>
              </w:rPr>
            </w:pPr>
          </w:p>
        </w:tc>
        <w:tc>
          <w:tcPr>
            <w:tcW w:w="2900" w:type="dxa"/>
            <w:vAlign w:val="bottom"/>
            <w:tcBorders>
              <w:bottom w:val="single" w:sz="8" w:color="808080"/>
            </w:tcBorders>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9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 w:type="dxa"/>
            <w:vAlign w:val="bottom"/>
            <w:tcBorders>
              <w:bottom w:val="single" w:sz="8" w:color="808080"/>
            </w:tcBorders>
          </w:tcPr>
          <w:p>
            <w:pPr>
              <w:spacing w:after="0"/>
              <w:rPr>
                <w:sz w:val="20"/>
                <w:szCs w:val="20"/>
                <w:color w:val="auto"/>
              </w:rPr>
            </w:pPr>
          </w:p>
        </w:tc>
        <w:tc>
          <w:tcPr>
            <w:tcW w:w="4720" w:type="dxa"/>
            <w:vAlign w:val="bottom"/>
            <w:tcBorders>
              <w:bottom w:val="single" w:sz="8" w:color="808080"/>
            </w:tcBorders>
          </w:tcPr>
          <w:p>
            <w:pPr>
              <w:ind w:left="20"/>
              <w:spacing w:after="0"/>
              <w:rPr>
                <w:sz w:val="20"/>
                <w:szCs w:val="20"/>
                <w:color w:val="auto"/>
              </w:rPr>
            </w:pPr>
            <w:r>
              <w:rPr>
                <w:rFonts w:ascii="Arial" w:cs="Arial" w:eastAsia="Arial" w:hAnsi="Arial"/>
                <w:sz w:val="15"/>
                <w:szCs w:val="15"/>
                <w:color w:val="auto"/>
              </w:rPr>
              <w:t>Supplemental Management Retirement Plan</w:t>
            </w:r>
            <w:r>
              <w:rPr>
                <w:rFonts w:ascii="Arial" w:cs="Arial" w:eastAsia="Arial" w:hAnsi="Arial"/>
                <w:sz w:val="19"/>
                <w:szCs w:val="19"/>
                <w:color w:val="auto"/>
                <w:vertAlign w:val="superscript"/>
              </w:rPr>
              <w:t>2</w:t>
            </w:r>
          </w:p>
        </w:tc>
        <w:tc>
          <w:tcPr>
            <w:tcW w:w="2900" w:type="dxa"/>
            <w:vAlign w:val="bottom"/>
            <w:tcBorders>
              <w:bottom w:val="single" w:sz="8" w:color="808080"/>
            </w:tcBorders>
          </w:tcPr>
          <w:p>
            <w:pPr>
              <w:jc w:val="right"/>
              <w:ind w:right="245"/>
              <w:spacing w:after="0"/>
              <w:rPr>
                <w:sz w:val="20"/>
                <w:szCs w:val="20"/>
                <w:color w:val="auto"/>
              </w:rPr>
            </w:pPr>
            <w:r>
              <w:rPr>
                <w:rFonts w:ascii="Arial" w:cs="Arial" w:eastAsia="Arial" w:hAnsi="Arial"/>
                <w:sz w:val="15"/>
                <w:szCs w:val="15"/>
                <w:color w:val="auto"/>
              </w:rPr>
              <w:t>17.41</w:t>
            </w:r>
          </w:p>
        </w:tc>
        <w:tc>
          <w:tcPr>
            <w:tcW w:w="1580" w:type="dxa"/>
            <w:vAlign w:val="bottom"/>
            <w:tcBorders>
              <w:bottom w:val="single" w:sz="8" w:color="808080"/>
            </w:tcBorders>
          </w:tcPr>
          <w:p>
            <w:pPr>
              <w:jc w:val="right"/>
              <w:ind w:right="225"/>
              <w:spacing w:after="0"/>
              <w:rPr>
                <w:sz w:val="20"/>
                <w:szCs w:val="20"/>
                <w:color w:val="auto"/>
              </w:rPr>
            </w:pPr>
            <w:r>
              <w:rPr>
                <w:rFonts w:ascii="Arial" w:cs="Arial" w:eastAsia="Arial" w:hAnsi="Arial"/>
                <w:sz w:val="15"/>
                <w:szCs w:val="15"/>
                <w:color w:val="auto"/>
              </w:rPr>
              <w:t>372,571</w:t>
            </w:r>
          </w:p>
        </w:tc>
        <w:tc>
          <w:tcPr>
            <w:tcW w:w="920" w:type="dxa"/>
            <w:vAlign w:val="bottom"/>
            <w:tcBorders>
              <w:bottom w:val="single" w:sz="8" w:color="808080"/>
            </w:tcBorders>
          </w:tcPr>
          <w:p>
            <w:pPr>
              <w:ind w:left="7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7"/>
        </w:trPr>
        <w:tc>
          <w:tcPr>
            <w:tcW w:w="1100" w:type="dxa"/>
            <w:vAlign w:val="bottom"/>
          </w:tcPr>
          <w:p>
            <w:pPr>
              <w:ind w:left="20"/>
              <w:spacing w:after="0"/>
              <w:rPr>
                <w:sz w:val="20"/>
                <w:szCs w:val="20"/>
                <w:color w:val="auto"/>
              </w:rPr>
            </w:pPr>
            <w:r>
              <w:rPr>
                <w:rFonts w:ascii="Arial" w:cs="Arial" w:eastAsia="Arial" w:hAnsi="Arial"/>
                <w:sz w:val="15"/>
                <w:szCs w:val="15"/>
                <w:color w:val="auto"/>
              </w:rPr>
              <w:t>Littleton</w:t>
            </w:r>
            <w:r>
              <w:rPr>
                <w:rFonts w:ascii="Arial" w:cs="Arial" w:eastAsia="Arial" w:hAnsi="Arial"/>
                <w:sz w:val="19"/>
                <w:szCs w:val="19"/>
                <w:color w:val="auto"/>
                <w:vertAlign w:val="superscript"/>
              </w:rPr>
              <w:t>1</w:t>
            </w:r>
          </w:p>
        </w:tc>
        <w:tc>
          <w:tcPr>
            <w:tcW w:w="4720" w:type="dxa"/>
            <w:vAlign w:val="bottom"/>
            <w:tcBorders>
              <w:bottom w:val="single" w:sz="8" w:color="808080"/>
            </w:tcBorders>
          </w:tcPr>
          <w:p>
            <w:pPr>
              <w:ind w:left="20"/>
              <w:spacing w:after="0"/>
              <w:rPr>
                <w:sz w:val="20"/>
                <w:szCs w:val="20"/>
                <w:color w:val="auto"/>
              </w:rPr>
            </w:pPr>
            <w:r>
              <w:rPr>
                <w:rFonts w:ascii="Arial" w:cs="Arial" w:eastAsia="Arial" w:hAnsi="Arial"/>
                <w:sz w:val="15"/>
                <w:szCs w:val="15"/>
                <w:color w:val="auto"/>
              </w:rPr>
              <w:t>Cash Balance Pension Plan</w:t>
            </w:r>
          </w:p>
        </w:tc>
        <w:tc>
          <w:tcPr>
            <w:tcW w:w="2900" w:type="dxa"/>
            <w:vAlign w:val="bottom"/>
            <w:tcBorders>
              <w:bottom w:val="single" w:sz="8" w:color="808080"/>
            </w:tcBorders>
          </w:tcPr>
          <w:p>
            <w:pPr>
              <w:jc w:val="right"/>
              <w:ind w:right="245"/>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808080"/>
            </w:tcBorders>
          </w:tcPr>
          <w:p>
            <w:pPr>
              <w:jc w:val="right"/>
              <w:ind w:right="225"/>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808080"/>
            </w:tcBorders>
          </w:tcPr>
          <w:p>
            <w:pPr>
              <w:ind w:left="7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4720" w:type="dxa"/>
            <w:vAlign w:val="bottom"/>
          </w:tcPr>
          <w:p>
            <w:pPr>
              <w:ind w:left="20"/>
              <w:spacing w:after="0"/>
              <w:rPr>
                <w:sz w:val="20"/>
                <w:szCs w:val="20"/>
                <w:color w:val="auto"/>
              </w:rPr>
            </w:pPr>
            <w:r>
              <w:rPr>
                <w:rFonts w:ascii="Arial" w:cs="Arial" w:eastAsia="Arial" w:hAnsi="Arial"/>
                <w:sz w:val="15"/>
                <w:szCs w:val="15"/>
                <w:color w:val="auto"/>
              </w:rPr>
              <w:t>Supplemental Management Retirement Plan</w:t>
            </w:r>
          </w:p>
        </w:tc>
        <w:tc>
          <w:tcPr>
            <w:tcW w:w="2900" w:type="dxa"/>
            <w:vAlign w:val="bottom"/>
          </w:tcPr>
          <w:p>
            <w:pPr>
              <w:jc w:val="right"/>
              <w:ind w:right="245"/>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920" w:type="dxa"/>
            <w:vAlign w:val="bottom"/>
          </w:tcPr>
          <w:p>
            <w:pPr>
              <w:ind w:left="7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3"/>
        </w:trPr>
        <w:tc>
          <w:tcPr>
            <w:tcW w:w="1100" w:type="dxa"/>
            <w:vAlign w:val="bottom"/>
            <w:tcBorders>
              <w:bottom w:val="single" w:sz="8" w:color="808080"/>
            </w:tcBorders>
          </w:tcPr>
          <w:p>
            <w:pPr>
              <w:spacing w:after="0"/>
              <w:rPr>
                <w:sz w:val="2"/>
                <w:szCs w:val="2"/>
                <w:color w:val="auto"/>
              </w:rPr>
            </w:pPr>
          </w:p>
        </w:tc>
        <w:tc>
          <w:tcPr>
            <w:tcW w:w="4720" w:type="dxa"/>
            <w:vAlign w:val="bottom"/>
            <w:tcBorders>
              <w:bottom w:val="single" w:sz="8" w:color="808080"/>
            </w:tcBorders>
          </w:tcPr>
          <w:p>
            <w:pPr>
              <w:spacing w:after="0"/>
              <w:rPr>
                <w:sz w:val="2"/>
                <w:szCs w:val="2"/>
                <w:color w:val="auto"/>
              </w:rPr>
            </w:pPr>
          </w:p>
        </w:tc>
        <w:tc>
          <w:tcPr>
            <w:tcW w:w="2900" w:type="dxa"/>
            <w:vAlign w:val="bottom"/>
            <w:tcBorders>
              <w:bottom w:val="single" w:sz="8" w:color="808080"/>
            </w:tcBorders>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9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 w:type="dxa"/>
            <w:vAlign w:val="bottom"/>
          </w:tcPr>
          <w:p>
            <w:pPr>
              <w:ind w:left="20"/>
              <w:spacing w:after="0"/>
              <w:rPr>
                <w:sz w:val="20"/>
                <w:szCs w:val="20"/>
                <w:color w:val="auto"/>
              </w:rPr>
            </w:pPr>
            <w:r>
              <w:rPr>
                <w:rFonts w:ascii="Arial" w:cs="Arial" w:eastAsia="Arial" w:hAnsi="Arial"/>
                <w:sz w:val="15"/>
                <w:szCs w:val="15"/>
                <w:color w:val="auto"/>
              </w:rPr>
              <w:t>Glockner</w:t>
            </w:r>
            <w:r>
              <w:rPr>
                <w:rFonts w:ascii="Arial" w:cs="Arial" w:eastAsia="Arial" w:hAnsi="Arial"/>
                <w:sz w:val="19"/>
                <w:szCs w:val="19"/>
                <w:color w:val="auto"/>
                <w:vertAlign w:val="superscript"/>
              </w:rPr>
              <w:t>1</w:t>
            </w:r>
          </w:p>
        </w:tc>
        <w:tc>
          <w:tcPr>
            <w:tcW w:w="4720" w:type="dxa"/>
            <w:vAlign w:val="bottom"/>
            <w:tcBorders>
              <w:bottom w:val="single" w:sz="8" w:color="808080"/>
            </w:tcBorders>
          </w:tcPr>
          <w:p>
            <w:pPr>
              <w:ind w:left="20"/>
              <w:spacing w:after="0"/>
              <w:rPr>
                <w:sz w:val="20"/>
                <w:szCs w:val="20"/>
                <w:color w:val="auto"/>
              </w:rPr>
            </w:pPr>
            <w:r>
              <w:rPr>
                <w:rFonts w:ascii="Arial" w:cs="Arial" w:eastAsia="Arial" w:hAnsi="Arial"/>
                <w:sz w:val="15"/>
                <w:szCs w:val="15"/>
                <w:color w:val="auto"/>
              </w:rPr>
              <w:t>Cash Balance Pension Plan</w:t>
            </w:r>
          </w:p>
        </w:tc>
        <w:tc>
          <w:tcPr>
            <w:tcW w:w="2900" w:type="dxa"/>
            <w:vAlign w:val="bottom"/>
            <w:tcBorders>
              <w:bottom w:val="single" w:sz="8" w:color="808080"/>
            </w:tcBorders>
          </w:tcPr>
          <w:p>
            <w:pPr>
              <w:jc w:val="right"/>
              <w:ind w:right="245"/>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808080"/>
            </w:tcBorders>
          </w:tcPr>
          <w:p>
            <w:pPr>
              <w:jc w:val="right"/>
              <w:ind w:right="225"/>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808080"/>
            </w:tcBorders>
          </w:tcPr>
          <w:p>
            <w:pPr>
              <w:ind w:left="7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4720" w:type="dxa"/>
            <w:vAlign w:val="bottom"/>
          </w:tcPr>
          <w:p>
            <w:pPr>
              <w:ind w:left="20"/>
              <w:spacing w:after="0"/>
              <w:rPr>
                <w:sz w:val="20"/>
                <w:szCs w:val="20"/>
                <w:color w:val="auto"/>
              </w:rPr>
            </w:pPr>
            <w:r>
              <w:rPr>
                <w:rFonts w:ascii="Arial" w:cs="Arial" w:eastAsia="Arial" w:hAnsi="Arial"/>
                <w:sz w:val="15"/>
                <w:szCs w:val="15"/>
                <w:color w:val="auto"/>
              </w:rPr>
              <w:t>Supplemental Management Retirement Plan</w:t>
            </w:r>
          </w:p>
        </w:tc>
        <w:tc>
          <w:tcPr>
            <w:tcW w:w="2900" w:type="dxa"/>
            <w:vAlign w:val="bottom"/>
          </w:tcPr>
          <w:p>
            <w:pPr>
              <w:jc w:val="right"/>
              <w:ind w:right="245"/>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920" w:type="dxa"/>
            <w:vAlign w:val="bottom"/>
          </w:tcPr>
          <w:p>
            <w:pPr>
              <w:ind w:left="7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3"/>
        </w:trPr>
        <w:tc>
          <w:tcPr>
            <w:tcW w:w="1100" w:type="dxa"/>
            <w:vAlign w:val="bottom"/>
            <w:tcBorders>
              <w:bottom w:val="single" w:sz="8" w:color="808080"/>
            </w:tcBorders>
          </w:tcPr>
          <w:p>
            <w:pPr>
              <w:spacing w:after="0"/>
              <w:rPr>
                <w:sz w:val="2"/>
                <w:szCs w:val="2"/>
                <w:color w:val="auto"/>
              </w:rPr>
            </w:pPr>
          </w:p>
        </w:tc>
        <w:tc>
          <w:tcPr>
            <w:tcW w:w="4720" w:type="dxa"/>
            <w:vAlign w:val="bottom"/>
            <w:tcBorders>
              <w:bottom w:val="single" w:sz="8" w:color="808080"/>
            </w:tcBorders>
          </w:tcPr>
          <w:p>
            <w:pPr>
              <w:spacing w:after="0"/>
              <w:rPr>
                <w:sz w:val="2"/>
                <w:szCs w:val="2"/>
                <w:color w:val="auto"/>
              </w:rPr>
            </w:pPr>
          </w:p>
        </w:tc>
        <w:tc>
          <w:tcPr>
            <w:tcW w:w="2900" w:type="dxa"/>
            <w:vAlign w:val="bottom"/>
            <w:tcBorders>
              <w:bottom w:val="single" w:sz="8" w:color="808080"/>
            </w:tcBorders>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9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 w:type="dxa"/>
            <w:vAlign w:val="bottom"/>
          </w:tcPr>
          <w:p>
            <w:pPr>
              <w:ind w:left="20"/>
              <w:spacing w:after="0"/>
              <w:rPr>
                <w:sz w:val="20"/>
                <w:szCs w:val="20"/>
                <w:color w:val="auto"/>
              </w:rPr>
            </w:pPr>
            <w:r>
              <w:rPr>
                <w:rFonts w:ascii="Arial" w:cs="Arial" w:eastAsia="Arial" w:hAnsi="Arial"/>
                <w:sz w:val="15"/>
                <w:szCs w:val="15"/>
                <w:color w:val="auto"/>
              </w:rPr>
              <w:t>Innocenzo</w:t>
            </w:r>
          </w:p>
        </w:tc>
        <w:tc>
          <w:tcPr>
            <w:tcW w:w="4720" w:type="dxa"/>
            <w:vAlign w:val="bottom"/>
            <w:tcBorders>
              <w:bottom w:val="single" w:sz="8" w:color="808080"/>
            </w:tcBorders>
          </w:tcPr>
          <w:p>
            <w:pPr>
              <w:ind w:left="20"/>
              <w:spacing w:after="0"/>
              <w:rPr>
                <w:sz w:val="20"/>
                <w:szCs w:val="20"/>
                <w:color w:val="auto"/>
              </w:rPr>
            </w:pPr>
            <w:r>
              <w:rPr>
                <w:rFonts w:ascii="Arial" w:cs="Arial" w:eastAsia="Arial" w:hAnsi="Arial"/>
                <w:sz w:val="15"/>
                <w:szCs w:val="15"/>
                <w:color w:val="auto"/>
              </w:rPr>
              <w:t>Cash Balance Pension Plan</w:t>
            </w:r>
            <w:r>
              <w:rPr>
                <w:rFonts w:ascii="Arial" w:cs="Arial" w:eastAsia="Arial" w:hAnsi="Arial"/>
                <w:sz w:val="19"/>
                <w:szCs w:val="19"/>
                <w:color w:val="auto"/>
                <w:vertAlign w:val="superscript"/>
              </w:rPr>
              <w:t>3</w:t>
            </w:r>
          </w:p>
        </w:tc>
        <w:tc>
          <w:tcPr>
            <w:tcW w:w="2900" w:type="dxa"/>
            <w:vAlign w:val="bottom"/>
            <w:tcBorders>
              <w:bottom w:val="single" w:sz="8" w:color="808080"/>
            </w:tcBorders>
          </w:tcPr>
          <w:p>
            <w:pPr>
              <w:jc w:val="right"/>
              <w:ind w:right="245"/>
              <w:spacing w:after="0"/>
              <w:rPr>
                <w:sz w:val="20"/>
                <w:szCs w:val="20"/>
                <w:color w:val="auto"/>
              </w:rPr>
            </w:pPr>
            <w:r>
              <w:rPr>
                <w:rFonts w:ascii="Arial" w:cs="Arial" w:eastAsia="Arial" w:hAnsi="Arial"/>
                <w:sz w:val="15"/>
                <w:szCs w:val="15"/>
                <w:color w:val="auto"/>
              </w:rPr>
              <w:t>36.55</w:t>
            </w:r>
          </w:p>
        </w:tc>
        <w:tc>
          <w:tcPr>
            <w:tcW w:w="1580" w:type="dxa"/>
            <w:vAlign w:val="bottom"/>
            <w:tcBorders>
              <w:bottom w:val="single" w:sz="8" w:color="808080"/>
            </w:tcBorders>
          </w:tcPr>
          <w:p>
            <w:pPr>
              <w:jc w:val="right"/>
              <w:ind w:right="225"/>
              <w:spacing w:after="0"/>
              <w:rPr>
                <w:sz w:val="20"/>
                <w:szCs w:val="20"/>
                <w:color w:val="auto"/>
              </w:rPr>
            </w:pPr>
            <w:r>
              <w:rPr>
                <w:rFonts w:ascii="Arial" w:cs="Arial" w:eastAsia="Arial" w:hAnsi="Arial"/>
                <w:sz w:val="15"/>
                <w:szCs w:val="15"/>
                <w:color w:val="auto"/>
              </w:rPr>
              <w:t>1,606,882</w:t>
            </w:r>
          </w:p>
        </w:tc>
        <w:tc>
          <w:tcPr>
            <w:tcW w:w="920" w:type="dxa"/>
            <w:vAlign w:val="bottom"/>
            <w:tcBorders>
              <w:bottom w:val="single" w:sz="8" w:color="808080"/>
            </w:tcBorders>
          </w:tcPr>
          <w:p>
            <w:pPr>
              <w:ind w:left="7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6"/>
        </w:trPr>
        <w:tc>
          <w:tcPr>
            <w:tcW w:w="1100" w:type="dxa"/>
            <w:vAlign w:val="bottom"/>
            <w:tcBorders>
              <w:bottom w:val="single" w:sz="8" w:color="808080"/>
            </w:tcBorders>
          </w:tcPr>
          <w:p>
            <w:pPr>
              <w:spacing w:after="0"/>
              <w:rPr>
                <w:sz w:val="20"/>
                <w:szCs w:val="20"/>
                <w:color w:val="auto"/>
              </w:rPr>
            </w:pPr>
          </w:p>
        </w:tc>
        <w:tc>
          <w:tcPr>
            <w:tcW w:w="4720" w:type="dxa"/>
            <w:vAlign w:val="bottom"/>
            <w:tcBorders>
              <w:bottom w:val="single" w:sz="8" w:color="808080"/>
            </w:tcBorders>
          </w:tcPr>
          <w:p>
            <w:pPr>
              <w:ind w:left="20"/>
              <w:spacing w:after="0"/>
              <w:rPr>
                <w:sz w:val="20"/>
                <w:szCs w:val="20"/>
                <w:color w:val="auto"/>
              </w:rPr>
            </w:pPr>
            <w:r>
              <w:rPr>
                <w:rFonts w:ascii="Arial" w:cs="Arial" w:eastAsia="Arial" w:hAnsi="Arial"/>
                <w:sz w:val="15"/>
                <w:szCs w:val="15"/>
                <w:color w:val="auto"/>
              </w:rPr>
              <w:t>Supplemental Management Retirement Plan</w:t>
            </w:r>
            <w:r>
              <w:rPr>
                <w:rFonts w:ascii="Arial" w:cs="Arial" w:eastAsia="Arial" w:hAnsi="Arial"/>
                <w:sz w:val="19"/>
                <w:szCs w:val="19"/>
                <w:color w:val="auto"/>
                <w:vertAlign w:val="superscript"/>
              </w:rPr>
              <w:t>2</w:t>
            </w:r>
          </w:p>
        </w:tc>
        <w:tc>
          <w:tcPr>
            <w:tcW w:w="2900" w:type="dxa"/>
            <w:vAlign w:val="bottom"/>
            <w:tcBorders>
              <w:bottom w:val="single" w:sz="8" w:color="808080"/>
            </w:tcBorders>
          </w:tcPr>
          <w:p>
            <w:pPr>
              <w:jc w:val="right"/>
              <w:ind w:right="245"/>
              <w:spacing w:after="0"/>
              <w:rPr>
                <w:sz w:val="20"/>
                <w:szCs w:val="20"/>
                <w:color w:val="auto"/>
              </w:rPr>
            </w:pPr>
            <w:r>
              <w:rPr>
                <w:rFonts w:ascii="Arial" w:cs="Arial" w:eastAsia="Arial" w:hAnsi="Arial"/>
                <w:sz w:val="15"/>
                <w:szCs w:val="15"/>
                <w:color w:val="auto"/>
              </w:rPr>
              <w:t>36.55</w:t>
            </w:r>
          </w:p>
        </w:tc>
        <w:tc>
          <w:tcPr>
            <w:tcW w:w="1580" w:type="dxa"/>
            <w:vAlign w:val="bottom"/>
            <w:tcBorders>
              <w:bottom w:val="single" w:sz="8" w:color="808080"/>
            </w:tcBorders>
          </w:tcPr>
          <w:p>
            <w:pPr>
              <w:jc w:val="right"/>
              <w:ind w:right="225"/>
              <w:spacing w:after="0"/>
              <w:rPr>
                <w:sz w:val="20"/>
                <w:szCs w:val="20"/>
                <w:color w:val="auto"/>
              </w:rPr>
            </w:pPr>
            <w:r>
              <w:rPr>
                <w:rFonts w:ascii="Arial" w:cs="Arial" w:eastAsia="Arial" w:hAnsi="Arial"/>
                <w:sz w:val="15"/>
                <w:szCs w:val="15"/>
                <w:color w:val="auto"/>
              </w:rPr>
              <w:t>969,876</w:t>
            </w:r>
          </w:p>
        </w:tc>
        <w:tc>
          <w:tcPr>
            <w:tcW w:w="920" w:type="dxa"/>
            <w:vAlign w:val="bottom"/>
            <w:tcBorders>
              <w:bottom w:val="single" w:sz="8" w:color="808080"/>
            </w:tcBorders>
          </w:tcPr>
          <w:p>
            <w:pPr>
              <w:ind w:left="7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hanging="252"/>
        <w:spacing w:after="0"/>
        <w:tabs>
          <w:tab w:leader="none" w:pos="260" w:val="left"/>
        </w:tabs>
        <w:numPr>
          <w:ilvl w:val="0"/>
          <w:numId w:val="134"/>
        </w:numPr>
        <w:rPr>
          <w:rFonts w:ascii="Arial" w:cs="Arial" w:eastAsia="Arial" w:hAnsi="Arial"/>
          <w:sz w:val="8"/>
          <w:szCs w:val="8"/>
          <w:color w:val="auto"/>
        </w:rPr>
      </w:pPr>
      <w:r>
        <w:rPr>
          <w:rFonts w:ascii="Arial" w:cs="Arial" w:eastAsia="Arial" w:hAnsi="Arial"/>
          <w:sz w:val="14"/>
          <w:szCs w:val="14"/>
          <w:color w:val="auto"/>
        </w:rPr>
        <w:t>Due to their dates of hire, Ms. Littleton and Mr. Glockner do not participate in the defined benefit pension plans.</w:t>
      </w:r>
    </w:p>
    <w:p>
      <w:pPr>
        <w:spacing w:after="0" w:line="95" w:lineRule="exact"/>
        <w:rPr>
          <w:rFonts w:ascii="Arial" w:cs="Arial" w:eastAsia="Arial" w:hAnsi="Arial"/>
          <w:sz w:val="8"/>
          <w:szCs w:val="8"/>
          <w:color w:val="auto"/>
        </w:rPr>
      </w:pPr>
    </w:p>
    <w:p>
      <w:pPr>
        <w:ind w:left="260" w:right="520" w:hanging="252"/>
        <w:spacing w:after="0" w:line="325" w:lineRule="auto"/>
        <w:tabs>
          <w:tab w:leader="none" w:pos="249" w:val="left"/>
        </w:tabs>
        <w:numPr>
          <w:ilvl w:val="0"/>
          <w:numId w:val="134"/>
        </w:numPr>
        <w:rPr>
          <w:rFonts w:ascii="Arial" w:cs="Arial" w:eastAsia="Arial" w:hAnsi="Arial"/>
          <w:sz w:val="8"/>
          <w:szCs w:val="8"/>
          <w:color w:val="auto"/>
        </w:rPr>
      </w:pPr>
      <w:r>
        <w:rPr>
          <w:rFonts w:ascii="Arial" w:cs="Arial" w:eastAsia="Arial" w:hAnsi="Arial"/>
          <w:sz w:val="14"/>
          <w:szCs w:val="14"/>
          <w:color w:val="auto"/>
        </w:rPr>
        <w:t>The SMRP pension values do not include the value of the FICA (and state income) tax equalization benefits described in the SMRP plan description above, as these benefits are not known until the date of retirement.</w:t>
      </w:r>
    </w:p>
    <w:p>
      <w:pPr>
        <w:spacing w:after="0" w:line="9" w:lineRule="exact"/>
        <w:rPr>
          <w:rFonts w:ascii="Arial" w:cs="Arial" w:eastAsia="Arial" w:hAnsi="Arial"/>
          <w:sz w:val="8"/>
          <w:szCs w:val="8"/>
          <w:color w:val="auto"/>
        </w:rPr>
      </w:pPr>
    </w:p>
    <w:p>
      <w:pPr>
        <w:ind w:left="260" w:right="120" w:hanging="252"/>
        <w:spacing w:after="0" w:line="325" w:lineRule="auto"/>
        <w:tabs>
          <w:tab w:leader="none" w:pos="249" w:val="left"/>
        </w:tabs>
        <w:numPr>
          <w:ilvl w:val="0"/>
          <w:numId w:val="134"/>
        </w:numPr>
        <w:rPr>
          <w:rFonts w:ascii="Arial" w:cs="Arial" w:eastAsia="Arial" w:hAnsi="Arial"/>
          <w:sz w:val="8"/>
          <w:szCs w:val="8"/>
          <w:color w:val="auto"/>
        </w:rPr>
      </w:pPr>
      <w:r>
        <w:rPr>
          <w:rFonts w:ascii="Arial" w:cs="Arial" w:eastAsia="Arial" w:hAnsi="Arial"/>
          <w:sz w:val="14"/>
          <w:szCs w:val="14"/>
          <w:color w:val="auto"/>
        </w:rPr>
        <w:t>A small portion of Mr. Innocenzo’s Cash Balance Pension Plan benefit is associated with a converted prior plan benefit that is eligible for minimum investment crediting that may be larger than the plan's ongoing investment credits, if interest rates decline in the future.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8780"/>
        <w:spacing w:after="0"/>
        <w:tabs>
          <w:tab w:leader="none" w:pos="11040" w:val="left"/>
        </w:tabs>
        <w:rPr>
          <w:sz w:val="20"/>
          <w:szCs w:val="20"/>
          <w:color w:val="auto"/>
        </w:rPr>
      </w:pPr>
      <w:r>
        <w:rPr>
          <w:rFonts w:ascii="Arial" w:cs="Arial" w:eastAsia="Arial" w:hAnsi="Arial"/>
          <w:sz w:val="14"/>
          <w:szCs w:val="14"/>
          <w:color w:val="auto"/>
        </w:rPr>
        <w:t>2025 ׀ Exelon Proxy Statement</w:t>
      </w:r>
      <w:r>
        <w:rPr>
          <w:sz w:val="20"/>
          <w:szCs w:val="20"/>
          <w:color w:val="auto"/>
        </w:rPr>
        <w:tab/>
      </w:r>
      <w:r>
        <w:rPr>
          <w:rFonts w:ascii="Arial" w:cs="Arial" w:eastAsia="Arial" w:hAnsi="Arial"/>
          <w:sz w:val="14"/>
          <w:szCs w:val="14"/>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3"/>
          <w:szCs w:val="13"/>
          <w:b w:val="1"/>
          <w:bCs w:val="1"/>
          <w:color w:val="auto"/>
        </w:rPr>
        <w:t>Compensation Discussion &amp; Analysis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Deferred Compensation Programs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Exelon Corporation Employee Savings Plan</w:t>
      </w:r>
    </w:p>
    <w:p>
      <w:pPr>
        <w:spacing w:after="0" w:line="122" w:lineRule="exact"/>
        <w:rPr>
          <w:sz w:val="20"/>
          <w:szCs w:val="20"/>
          <w:color w:val="auto"/>
        </w:rPr>
      </w:pPr>
    </w:p>
    <w:p>
      <w:pPr>
        <w:ind w:right="200"/>
        <w:spacing w:after="0" w:line="282" w:lineRule="auto"/>
        <w:rPr>
          <w:sz w:val="20"/>
          <w:szCs w:val="20"/>
          <w:color w:val="auto"/>
        </w:rPr>
      </w:pPr>
      <w:r>
        <w:rPr>
          <w:rFonts w:ascii="Arial" w:cs="Arial" w:eastAsia="Arial" w:hAnsi="Arial"/>
          <w:sz w:val="16"/>
          <w:szCs w:val="16"/>
          <w:color w:val="auto"/>
        </w:rPr>
        <w:t>The Exelon Corporation Employee Savings Plan (ESP) is a defined contribution plan intended to be tax-qualified under Section 401(a) of the Internal Revenue Code. Exelon maintains the ESP to attract and retain qualified employees, including the NEOs, and encourage retirement savings. The ESP generally provides the opportunity for participants, including NEOs, to direct pre-tax, after-tax, and Roth payroll contributions, which may be supplemented by Company matching and profit-sharing contributions, in each case subject to Internal Revenue Code limits and additional limits imposed by the terms of the ESP plan document.</w:t>
      </w:r>
    </w:p>
    <w:p>
      <w:pPr>
        <w:spacing w:after="0" w:line="67" w:lineRule="exact"/>
        <w:rPr>
          <w:sz w:val="20"/>
          <w:szCs w:val="20"/>
          <w:color w:val="auto"/>
        </w:rPr>
      </w:pPr>
    </w:p>
    <w:p>
      <w:pPr>
        <w:ind w:right="340"/>
        <w:spacing w:after="0" w:line="287" w:lineRule="auto"/>
        <w:rPr>
          <w:sz w:val="20"/>
          <w:szCs w:val="20"/>
          <w:color w:val="auto"/>
        </w:rPr>
      </w:pPr>
      <w:r>
        <w:rPr>
          <w:rFonts w:ascii="Arial" w:cs="Arial" w:eastAsia="Arial" w:hAnsi="Arial"/>
          <w:sz w:val="16"/>
          <w:szCs w:val="16"/>
          <w:color w:val="auto"/>
        </w:rPr>
        <w:t>All of the NEOs participate in the ESP. In addition, Ms. Littleton and Mr. Glockner, who are not eligible to participate in the CBPP, receive an annual non-discretionary 401(k) contribution equal to 4% of base salary and annual incentive award. Contributions to the ESP are invested in participant-selected investment funds, which may include the Exelon Corporation Stock Fund. Distributions are payable pursuant to participant-selected elections after termination of employment. Prior to termination of employment, in-service “hardship” withdrawals, distributions, or loans are permitted in limited circumstances.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Exelon Corporation Deferred Compensation Plan</w:t>
      </w:r>
    </w:p>
    <w:p>
      <w:pPr>
        <w:spacing w:after="0" w:line="122" w:lineRule="exact"/>
        <w:rPr>
          <w:sz w:val="20"/>
          <w:szCs w:val="20"/>
          <w:color w:val="auto"/>
        </w:rPr>
      </w:pPr>
    </w:p>
    <w:p>
      <w:pPr>
        <w:ind w:right="180"/>
        <w:spacing w:after="0" w:line="282" w:lineRule="auto"/>
        <w:rPr>
          <w:sz w:val="20"/>
          <w:szCs w:val="20"/>
          <w:color w:val="auto"/>
        </w:rPr>
      </w:pPr>
      <w:r>
        <w:rPr>
          <w:rFonts w:ascii="Arial" w:cs="Arial" w:eastAsia="Arial" w:hAnsi="Arial"/>
          <w:sz w:val="16"/>
          <w:szCs w:val="16"/>
          <w:color w:val="auto"/>
        </w:rPr>
        <w:t>The Exelon Corporation Deferred Compensation Plan (DCP) is a non-qualified plan that permits ESP participants, including NEOs, who reach a statutory limit under the ESP during the year, to have payroll contributions and Company contributions credited to individual notional accounts in accordance with elections filed by the applicable deadline under Section 409A of the Internal Revenue Code. DCP participants may select from notional investment options consisting of investment fund benchmarks that are substantially the same as funds available through the ESP. Distributions from the DCP are generally payable upon termination of employment in connection with participants’ prior distribution elections. Deferred amounts represent unfunded, unsecured obligations of the Company.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20" w:type="dxa"/>
            <w:vAlign w:val="bottom"/>
          </w:tcPr>
          <w:p>
            <w:pPr>
              <w:spacing w:after="0"/>
              <w:rPr>
                <w:sz w:val="15"/>
                <w:szCs w:val="15"/>
                <w:color w:val="auto"/>
              </w:rPr>
            </w:pPr>
          </w:p>
        </w:tc>
        <w:tc>
          <w:tcPr>
            <w:tcW w:w="3060" w:type="dxa"/>
            <w:vAlign w:val="bottom"/>
          </w:tcPr>
          <w:p>
            <w:pPr>
              <w:jc w:val="right"/>
              <w:ind w:right="166"/>
              <w:spacing w:after="0"/>
              <w:rPr>
                <w:sz w:val="20"/>
                <w:szCs w:val="20"/>
                <w:color w:val="auto"/>
              </w:rPr>
            </w:pPr>
            <w:r>
              <w:rPr>
                <w:rFonts w:ascii="Arial" w:cs="Arial" w:eastAsia="Arial" w:hAnsi="Arial"/>
                <w:sz w:val="14"/>
                <w:szCs w:val="14"/>
                <w:b w:val="1"/>
                <w:bCs w:val="1"/>
                <w:color w:val="170D67"/>
              </w:rPr>
              <w:t>Executive</w:t>
            </w:r>
          </w:p>
        </w:tc>
        <w:tc>
          <w:tcPr>
            <w:tcW w:w="1580" w:type="dxa"/>
            <w:vAlign w:val="bottom"/>
          </w:tcPr>
          <w:p>
            <w:pPr>
              <w:jc w:val="right"/>
              <w:ind w:right="306"/>
              <w:spacing w:after="0"/>
              <w:rPr>
                <w:sz w:val="20"/>
                <w:szCs w:val="20"/>
                <w:color w:val="auto"/>
              </w:rPr>
            </w:pPr>
            <w:r>
              <w:rPr>
                <w:rFonts w:ascii="Arial" w:cs="Arial" w:eastAsia="Arial" w:hAnsi="Arial"/>
                <w:sz w:val="14"/>
                <w:szCs w:val="14"/>
                <w:b w:val="1"/>
                <w:bCs w:val="1"/>
                <w:color w:val="170D67"/>
              </w:rPr>
              <w:t>Registrant</w:t>
            </w:r>
          </w:p>
        </w:tc>
        <w:tc>
          <w:tcPr>
            <w:tcW w:w="1360" w:type="dxa"/>
            <w:vAlign w:val="bottom"/>
          </w:tcPr>
          <w:p>
            <w:pPr>
              <w:jc w:val="right"/>
              <w:ind w:right="206"/>
              <w:spacing w:after="0"/>
              <w:rPr>
                <w:sz w:val="20"/>
                <w:szCs w:val="20"/>
                <w:color w:val="auto"/>
              </w:rPr>
            </w:pPr>
            <w:r>
              <w:rPr>
                <w:rFonts w:ascii="Arial" w:cs="Arial" w:eastAsia="Arial" w:hAnsi="Arial"/>
                <w:sz w:val="14"/>
                <w:szCs w:val="14"/>
                <w:b w:val="1"/>
                <w:bCs w:val="1"/>
                <w:color w:val="170D67"/>
              </w:rPr>
              <w:t>Aggregate</w:t>
            </w:r>
          </w:p>
        </w:tc>
        <w:tc>
          <w:tcPr>
            <w:tcW w:w="15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170D67"/>
              </w:rPr>
              <w:t>Aggregate</w:t>
            </w:r>
          </w:p>
        </w:tc>
        <w:tc>
          <w:tcPr>
            <w:tcW w:w="0" w:type="dxa"/>
            <w:vAlign w:val="bottom"/>
          </w:tcPr>
          <w:p>
            <w:pPr>
              <w:spacing w:after="0"/>
              <w:rPr>
                <w:sz w:val="1"/>
                <w:szCs w:val="1"/>
                <w:color w:val="auto"/>
              </w:rPr>
            </w:pPr>
          </w:p>
        </w:tc>
      </w:tr>
      <w:tr>
        <w:trPr>
          <w:trHeight w:val="176"/>
        </w:trPr>
        <w:tc>
          <w:tcPr>
            <w:tcW w:w="2620" w:type="dxa"/>
            <w:vAlign w:val="bottom"/>
          </w:tcPr>
          <w:p>
            <w:pPr>
              <w:spacing w:after="0"/>
              <w:rPr>
                <w:sz w:val="15"/>
                <w:szCs w:val="15"/>
                <w:color w:val="auto"/>
              </w:rPr>
            </w:pPr>
          </w:p>
        </w:tc>
        <w:tc>
          <w:tcPr>
            <w:tcW w:w="3060" w:type="dxa"/>
            <w:vAlign w:val="bottom"/>
          </w:tcPr>
          <w:p>
            <w:pPr>
              <w:jc w:val="right"/>
              <w:ind w:right="166"/>
              <w:spacing w:after="0"/>
              <w:rPr>
                <w:sz w:val="20"/>
                <w:szCs w:val="20"/>
                <w:color w:val="auto"/>
              </w:rPr>
            </w:pPr>
            <w:r>
              <w:rPr>
                <w:rFonts w:ascii="Arial" w:cs="Arial" w:eastAsia="Arial" w:hAnsi="Arial"/>
                <w:sz w:val="14"/>
                <w:szCs w:val="14"/>
                <w:b w:val="1"/>
                <w:bCs w:val="1"/>
                <w:color w:val="170D67"/>
              </w:rPr>
              <w:t>Contributions</w:t>
            </w:r>
          </w:p>
        </w:tc>
        <w:tc>
          <w:tcPr>
            <w:tcW w:w="1580" w:type="dxa"/>
            <w:vAlign w:val="bottom"/>
          </w:tcPr>
          <w:p>
            <w:pPr>
              <w:jc w:val="right"/>
              <w:ind w:right="306"/>
              <w:spacing w:after="0"/>
              <w:rPr>
                <w:sz w:val="20"/>
                <w:szCs w:val="20"/>
                <w:color w:val="auto"/>
              </w:rPr>
            </w:pPr>
            <w:r>
              <w:rPr>
                <w:rFonts w:ascii="Arial" w:cs="Arial" w:eastAsia="Arial" w:hAnsi="Arial"/>
                <w:sz w:val="14"/>
                <w:szCs w:val="14"/>
                <w:b w:val="1"/>
                <w:bCs w:val="1"/>
                <w:color w:val="170D67"/>
              </w:rPr>
              <w:t>Contributions</w:t>
            </w:r>
          </w:p>
        </w:tc>
        <w:tc>
          <w:tcPr>
            <w:tcW w:w="1360" w:type="dxa"/>
            <w:vAlign w:val="bottom"/>
          </w:tcPr>
          <w:p>
            <w:pPr>
              <w:jc w:val="right"/>
              <w:ind w:right="206"/>
              <w:spacing w:after="0"/>
              <w:rPr>
                <w:sz w:val="20"/>
                <w:szCs w:val="20"/>
                <w:color w:val="auto"/>
              </w:rPr>
            </w:pPr>
            <w:r>
              <w:rPr>
                <w:rFonts w:ascii="Arial" w:cs="Arial" w:eastAsia="Arial" w:hAnsi="Arial"/>
                <w:sz w:val="14"/>
                <w:szCs w:val="14"/>
                <w:b w:val="1"/>
                <w:bCs w:val="1"/>
                <w:color w:val="170D67"/>
              </w:rPr>
              <w:t>Earnings</w:t>
            </w:r>
          </w:p>
        </w:tc>
        <w:tc>
          <w:tcPr>
            <w:tcW w:w="1500" w:type="dxa"/>
            <w:vAlign w:val="bottom"/>
          </w:tcPr>
          <w:p>
            <w:pPr>
              <w:jc w:val="right"/>
              <w:ind w:right="266"/>
              <w:spacing w:after="0"/>
              <w:rPr>
                <w:sz w:val="20"/>
                <w:szCs w:val="20"/>
                <w:color w:val="auto"/>
              </w:rPr>
            </w:pPr>
            <w:r>
              <w:rPr>
                <w:rFonts w:ascii="Arial" w:cs="Arial" w:eastAsia="Arial" w:hAnsi="Arial"/>
                <w:sz w:val="14"/>
                <w:szCs w:val="14"/>
                <w:b w:val="1"/>
                <w:bCs w:val="1"/>
                <w:color w:val="170D67"/>
              </w:rPr>
              <w:t>Aggregate</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170D67"/>
              </w:rPr>
              <w:t>Balance at</w:t>
            </w:r>
          </w:p>
        </w:tc>
        <w:tc>
          <w:tcPr>
            <w:tcW w:w="0" w:type="dxa"/>
            <w:vAlign w:val="bottom"/>
          </w:tcPr>
          <w:p>
            <w:pPr>
              <w:spacing w:after="0"/>
              <w:rPr>
                <w:sz w:val="1"/>
                <w:szCs w:val="1"/>
                <w:color w:val="auto"/>
              </w:rPr>
            </w:pPr>
          </w:p>
        </w:tc>
      </w:tr>
      <w:tr>
        <w:trPr>
          <w:trHeight w:val="175"/>
        </w:trPr>
        <w:tc>
          <w:tcPr>
            <w:tcW w:w="2620" w:type="dxa"/>
            <w:vAlign w:val="bottom"/>
          </w:tcPr>
          <w:p>
            <w:pPr>
              <w:spacing w:after="0"/>
              <w:rPr>
                <w:sz w:val="15"/>
                <w:szCs w:val="15"/>
                <w:color w:val="auto"/>
              </w:rPr>
            </w:pPr>
          </w:p>
        </w:tc>
        <w:tc>
          <w:tcPr>
            <w:tcW w:w="3060" w:type="dxa"/>
            <w:vAlign w:val="bottom"/>
          </w:tcPr>
          <w:p>
            <w:pPr>
              <w:jc w:val="right"/>
              <w:ind w:right="166"/>
              <w:spacing w:after="0"/>
              <w:rPr>
                <w:sz w:val="20"/>
                <w:szCs w:val="20"/>
                <w:color w:val="auto"/>
              </w:rPr>
            </w:pPr>
            <w:r>
              <w:rPr>
                <w:rFonts w:ascii="Arial" w:cs="Arial" w:eastAsia="Arial" w:hAnsi="Arial"/>
                <w:sz w:val="14"/>
                <w:szCs w:val="14"/>
                <w:b w:val="1"/>
                <w:bCs w:val="1"/>
                <w:color w:val="170D67"/>
              </w:rPr>
              <w:t>in last FY</w:t>
            </w:r>
          </w:p>
        </w:tc>
        <w:tc>
          <w:tcPr>
            <w:tcW w:w="1580" w:type="dxa"/>
            <w:vAlign w:val="bottom"/>
          </w:tcPr>
          <w:p>
            <w:pPr>
              <w:jc w:val="right"/>
              <w:ind w:right="306"/>
              <w:spacing w:after="0"/>
              <w:rPr>
                <w:sz w:val="20"/>
                <w:szCs w:val="20"/>
                <w:color w:val="auto"/>
              </w:rPr>
            </w:pPr>
            <w:r>
              <w:rPr>
                <w:rFonts w:ascii="Arial" w:cs="Arial" w:eastAsia="Arial" w:hAnsi="Arial"/>
                <w:sz w:val="14"/>
                <w:szCs w:val="14"/>
                <w:b w:val="1"/>
                <w:bCs w:val="1"/>
                <w:color w:val="170D67"/>
              </w:rPr>
              <w:t>in last FY</w:t>
            </w:r>
          </w:p>
        </w:tc>
        <w:tc>
          <w:tcPr>
            <w:tcW w:w="1360" w:type="dxa"/>
            <w:vAlign w:val="bottom"/>
          </w:tcPr>
          <w:p>
            <w:pPr>
              <w:jc w:val="right"/>
              <w:ind w:right="206"/>
              <w:spacing w:after="0"/>
              <w:rPr>
                <w:sz w:val="20"/>
                <w:szCs w:val="20"/>
                <w:color w:val="auto"/>
              </w:rPr>
            </w:pPr>
            <w:r>
              <w:rPr>
                <w:rFonts w:ascii="Arial" w:cs="Arial" w:eastAsia="Arial" w:hAnsi="Arial"/>
                <w:sz w:val="14"/>
                <w:szCs w:val="14"/>
                <w:b w:val="1"/>
                <w:bCs w:val="1"/>
                <w:color w:val="170D67"/>
              </w:rPr>
              <w:t>in last FY</w:t>
            </w:r>
          </w:p>
        </w:tc>
        <w:tc>
          <w:tcPr>
            <w:tcW w:w="1500" w:type="dxa"/>
            <w:vAlign w:val="bottom"/>
          </w:tcPr>
          <w:p>
            <w:pPr>
              <w:jc w:val="right"/>
              <w:ind w:right="266"/>
              <w:spacing w:after="0"/>
              <w:rPr>
                <w:sz w:val="20"/>
                <w:szCs w:val="20"/>
                <w:color w:val="auto"/>
              </w:rPr>
            </w:pPr>
            <w:r>
              <w:rPr>
                <w:rFonts w:ascii="Arial" w:cs="Arial" w:eastAsia="Arial" w:hAnsi="Arial"/>
                <w:sz w:val="14"/>
                <w:szCs w:val="14"/>
                <w:b w:val="1"/>
                <w:bCs w:val="1"/>
                <w:color w:val="170D67"/>
              </w:rPr>
              <w:t>Withdrawals/</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170D67"/>
              </w:rPr>
              <w:t>last FYE</w:t>
            </w:r>
          </w:p>
        </w:tc>
        <w:tc>
          <w:tcPr>
            <w:tcW w:w="0" w:type="dxa"/>
            <w:vAlign w:val="bottom"/>
          </w:tcPr>
          <w:p>
            <w:pPr>
              <w:spacing w:after="0"/>
              <w:rPr>
                <w:sz w:val="1"/>
                <w:szCs w:val="1"/>
                <w:color w:val="auto"/>
              </w:rPr>
            </w:pPr>
          </w:p>
        </w:tc>
      </w:tr>
      <w:tr>
        <w:trPr>
          <w:trHeight w:val="175"/>
        </w:trPr>
        <w:tc>
          <w:tcPr>
            <w:tcW w:w="2620" w:type="dxa"/>
            <w:vAlign w:val="bottom"/>
            <w:vMerge w:val="restart"/>
          </w:tcPr>
          <w:p>
            <w:pPr>
              <w:ind w:left="20"/>
              <w:spacing w:after="0"/>
              <w:rPr>
                <w:sz w:val="20"/>
                <w:szCs w:val="20"/>
                <w:color w:val="auto"/>
              </w:rPr>
            </w:pPr>
            <w:r>
              <w:rPr>
                <w:rFonts w:ascii="Arial" w:cs="Arial" w:eastAsia="Arial" w:hAnsi="Arial"/>
                <w:sz w:val="14"/>
                <w:szCs w:val="14"/>
                <w:b w:val="1"/>
                <w:bCs w:val="1"/>
                <w:color w:val="170D67"/>
              </w:rPr>
              <w:t>Name</w:t>
            </w:r>
          </w:p>
        </w:tc>
        <w:tc>
          <w:tcPr>
            <w:tcW w:w="3060" w:type="dxa"/>
            <w:vAlign w:val="bottom"/>
          </w:tcPr>
          <w:p>
            <w:pPr>
              <w:jc w:val="right"/>
              <w:ind w:right="166"/>
              <w:spacing w:after="0"/>
              <w:rPr>
                <w:sz w:val="20"/>
                <w:szCs w:val="20"/>
                <w:color w:val="auto"/>
              </w:rPr>
            </w:pPr>
            <w:r>
              <w:rPr>
                <w:rFonts w:ascii="Arial" w:cs="Arial" w:eastAsia="Arial" w:hAnsi="Arial"/>
                <w:sz w:val="14"/>
                <w:szCs w:val="14"/>
                <w:b w:val="1"/>
                <w:bCs w:val="1"/>
                <w:color w:val="170D67"/>
              </w:rPr>
              <w:t>($)</w:t>
            </w:r>
          </w:p>
        </w:tc>
        <w:tc>
          <w:tcPr>
            <w:tcW w:w="1580" w:type="dxa"/>
            <w:vAlign w:val="bottom"/>
          </w:tcPr>
          <w:p>
            <w:pPr>
              <w:jc w:val="right"/>
              <w:ind w:right="306"/>
              <w:spacing w:after="0"/>
              <w:rPr>
                <w:sz w:val="20"/>
                <w:szCs w:val="20"/>
                <w:color w:val="auto"/>
              </w:rPr>
            </w:pPr>
            <w:r>
              <w:rPr>
                <w:rFonts w:ascii="Arial" w:cs="Arial" w:eastAsia="Arial" w:hAnsi="Arial"/>
                <w:sz w:val="14"/>
                <w:szCs w:val="14"/>
                <w:b w:val="1"/>
                <w:bCs w:val="1"/>
                <w:color w:val="170D67"/>
              </w:rPr>
              <w:t>($)</w:t>
            </w:r>
          </w:p>
        </w:tc>
        <w:tc>
          <w:tcPr>
            <w:tcW w:w="1360" w:type="dxa"/>
            <w:vAlign w:val="bottom"/>
          </w:tcPr>
          <w:p>
            <w:pPr>
              <w:jc w:val="right"/>
              <w:ind w:right="206"/>
              <w:spacing w:after="0"/>
              <w:rPr>
                <w:sz w:val="20"/>
                <w:szCs w:val="20"/>
                <w:color w:val="auto"/>
              </w:rPr>
            </w:pPr>
            <w:r>
              <w:rPr>
                <w:rFonts w:ascii="Arial" w:cs="Arial" w:eastAsia="Arial" w:hAnsi="Arial"/>
                <w:sz w:val="14"/>
                <w:szCs w:val="14"/>
                <w:b w:val="1"/>
                <w:bCs w:val="1"/>
                <w:color w:val="170D67"/>
              </w:rPr>
              <w:t>($)</w:t>
            </w:r>
          </w:p>
        </w:tc>
        <w:tc>
          <w:tcPr>
            <w:tcW w:w="1500" w:type="dxa"/>
            <w:vAlign w:val="bottom"/>
          </w:tcPr>
          <w:p>
            <w:pPr>
              <w:jc w:val="right"/>
              <w:ind w:right="266"/>
              <w:spacing w:after="0"/>
              <w:rPr>
                <w:sz w:val="20"/>
                <w:szCs w:val="20"/>
                <w:color w:val="auto"/>
              </w:rPr>
            </w:pPr>
            <w:r>
              <w:rPr>
                <w:rFonts w:ascii="Arial" w:cs="Arial" w:eastAsia="Arial" w:hAnsi="Arial"/>
                <w:sz w:val="14"/>
                <w:szCs w:val="14"/>
                <w:b w:val="1"/>
                <w:bCs w:val="1"/>
                <w:color w:val="170D67"/>
              </w:rPr>
              <w:t>Distributions</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170D67"/>
              </w:rPr>
              <w:t>($)</w:t>
            </w:r>
          </w:p>
        </w:tc>
        <w:tc>
          <w:tcPr>
            <w:tcW w:w="0" w:type="dxa"/>
            <w:vAlign w:val="bottom"/>
          </w:tcPr>
          <w:p>
            <w:pPr>
              <w:spacing w:after="0"/>
              <w:rPr>
                <w:sz w:val="1"/>
                <w:szCs w:val="1"/>
                <w:color w:val="auto"/>
              </w:rPr>
            </w:pPr>
          </w:p>
        </w:tc>
      </w:tr>
      <w:tr>
        <w:trPr>
          <w:trHeight w:val="197"/>
        </w:trPr>
        <w:tc>
          <w:tcPr>
            <w:tcW w:w="2620" w:type="dxa"/>
            <w:vAlign w:val="bottom"/>
            <w:tcBorders>
              <w:bottom w:val="single" w:sz="8" w:color="170D67"/>
            </w:tcBorders>
            <w:vMerge w:val="continue"/>
          </w:tcPr>
          <w:p>
            <w:pPr>
              <w:spacing w:after="0"/>
              <w:rPr>
                <w:sz w:val="17"/>
                <w:szCs w:val="17"/>
                <w:color w:val="auto"/>
              </w:rPr>
            </w:pPr>
          </w:p>
        </w:tc>
        <w:tc>
          <w:tcPr>
            <w:tcW w:w="3060" w:type="dxa"/>
            <w:vAlign w:val="bottom"/>
            <w:tcBorders>
              <w:bottom w:val="single" w:sz="8" w:color="170D67"/>
            </w:tcBorders>
          </w:tcPr>
          <w:p>
            <w:pPr>
              <w:jc w:val="right"/>
              <w:ind w:right="166"/>
              <w:spacing w:after="0"/>
              <w:rPr>
                <w:sz w:val="20"/>
                <w:szCs w:val="20"/>
                <w:color w:val="auto"/>
              </w:rPr>
            </w:pPr>
            <w:r>
              <w:rPr>
                <w:rFonts w:ascii="Arial" w:cs="Arial" w:eastAsia="Arial" w:hAnsi="Arial"/>
                <w:sz w:val="14"/>
                <w:szCs w:val="14"/>
                <w:b w:val="1"/>
                <w:bCs w:val="1"/>
                <w:color w:val="170D67"/>
              </w:rPr>
              <w:t>(Note 1)</w:t>
            </w:r>
          </w:p>
        </w:tc>
        <w:tc>
          <w:tcPr>
            <w:tcW w:w="1580" w:type="dxa"/>
            <w:vAlign w:val="bottom"/>
            <w:tcBorders>
              <w:bottom w:val="single" w:sz="8" w:color="170D67"/>
            </w:tcBorders>
          </w:tcPr>
          <w:p>
            <w:pPr>
              <w:jc w:val="right"/>
              <w:ind w:right="306"/>
              <w:spacing w:after="0"/>
              <w:rPr>
                <w:sz w:val="20"/>
                <w:szCs w:val="20"/>
                <w:color w:val="auto"/>
              </w:rPr>
            </w:pPr>
            <w:r>
              <w:rPr>
                <w:rFonts w:ascii="Arial" w:cs="Arial" w:eastAsia="Arial" w:hAnsi="Arial"/>
                <w:sz w:val="14"/>
                <w:szCs w:val="14"/>
                <w:b w:val="1"/>
                <w:bCs w:val="1"/>
                <w:color w:val="170D67"/>
              </w:rPr>
              <w:t>(Note 2)</w:t>
            </w:r>
          </w:p>
        </w:tc>
        <w:tc>
          <w:tcPr>
            <w:tcW w:w="1360" w:type="dxa"/>
            <w:vAlign w:val="bottom"/>
            <w:tcBorders>
              <w:bottom w:val="single" w:sz="8" w:color="170D67"/>
            </w:tcBorders>
          </w:tcPr>
          <w:p>
            <w:pPr>
              <w:jc w:val="right"/>
              <w:ind w:right="206"/>
              <w:spacing w:after="0"/>
              <w:rPr>
                <w:sz w:val="20"/>
                <w:szCs w:val="20"/>
                <w:color w:val="auto"/>
              </w:rPr>
            </w:pPr>
            <w:r>
              <w:rPr>
                <w:rFonts w:ascii="Arial" w:cs="Arial" w:eastAsia="Arial" w:hAnsi="Arial"/>
                <w:sz w:val="14"/>
                <w:szCs w:val="14"/>
                <w:b w:val="1"/>
                <w:bCs w:val="1"/>
                <w:color w:val="170D67"/>
              </w:rPr>
              <w:t>(Note 3)</w:t>
            </w:r>
          </w:p>
        </w:tc>
        <w:tc>
          <w:tcPr>
            <w:tcW w:w="1500" w:type="dxa"/>
            <w:vAlign w:val="bottom"/>
            <w:tcBorders>
              <w:bottom w:val="single" w:sz="8" w:color="170D67"/>
            </w:tcBorders>
          </w:tcPr>
          <w:p>
            <w:pPr>
              <w:jc w:val="right"/>
              <w:ind w:right="266"/>
              <w:spacing w:after="0"/>
              <w:rPr>
                <w:sz w:val="20"/>
                <w:szCs w:val="20"/>
                <w:color w:val="auto"/>
              </w:rPr>
            </w:pPr>
            <w:r>
              <w:rPr>
                <w:rFonts w:ascii="Arial" w:cs="Arial" w:eastAsia="Arial" w:hAnsi="Arial"/>
                <w:sz w:val="14"/>
                <w:szCs w:val="14"/>
                <w:b w:val="1"/>
                <w:bCs w:val="1"/>
                <w:color w:val="170D67"/>
              </w:rPr>
              <w:t>($)</w:t>
            </w:r>
          </w:p>
        </w:tc>
        <w:tc>
          <w:tcPr>
            <w:tcW w:w="1100" w:type="dxa"/>
            <w:vAlign w:val="bottom"/>
            <w:tcBorders>
              <w:bottom w:val="single" w:sz="8" w:color="170D67"/>
            </w:tcBorders>
          </w:tcPr>
          <w:p>
            <w:pPr>
              <w:jc w:val="right"/>
              <w:spacing w:after="0"/>
              <w:rPr>
                <w:sz w:val="20"/>
                <w:szCs w:val="20"/>
                <w:color w:val="auto"/>
              </w:rPr>
            </w:pPr>
            <w:r>
              <w:rPr>
                <w:rFonts w:ascii="Arial" w:cs="Arial" w:eastAsia="Arial" w:hAnsi="Arial"/>
                <w:sz w:val="14"/>
                <w:szCs w:val="14"/>
                <w:b w:val="1"/>
                <w:bCs w:val="1"/>
                <w:color w:val="170D67"/>
              </w:rPr>
              <w:t>(Note 4)</w:t>
            </w:r>
          </w:p>
        </w:tc>
        <w:tc>
          <w:tcPr>
            <w:tcW w:w="0" w:type="dxa"/>
            <w:vAlign w:val="bottom"/>
          </w:tcPr>
          <w:p>
            <w:pPr>
              <w:spacing w:after="0"/>
              <w:rPr>
                <w:sz w:val="1"/>
                <w:szCs w:val="1"/>
                <w:color w:val="auto"/>
              </w:rPr>
            </w:pPr>
          </w:p>
        </w:tc>
      </w:tr>
      <w:tr>
        <w:trPr>
          <w:trHeight w:val="204"/>
        </w:trPr>
        <w:tc>
          <w:tcPr>
            <w:tcW w:w="2620" w:type="dxa"/>
            <w:vAlign w:val="bottom"/>
          </w:tcPr>
          <w:p>
            <w:pPr>
              <w:ind w:left="20"/>
              <w:spacing w:after="0"/>
              <w:rPr>
                <w:sz w:val="20"/>
                <w:szCs w:val="20"/>
                <w:color w:val="auto"/>
              </w:rPr>
            </w:pPr>
            <w:r>
              <w:rPr>
                <w:rFonts w:ascii="Arial" w:cs="Arial" w:eastAsia="Arial" w:hAnsi="Arial"/>
                <w:sz w:val="15"/>
                <w:szCs w:val="15"/>
                <w:color w:val="auto"/>
              </w:rPr>
              <w:t>Butler</w:t>
            </w:r>
          </w:p>
        </w:tc>
        <w:tc>
          <w:tcPr>
            <w:tcW w:w="3060" w:type="dxa"/>
            <w:vAlign w:val="bottom"/>
          </w:tcPr>
          <w:p>
            <w:pPr>
              <w:jc w:val="right"/>
              <w:ind w:right="206"/>
              <w:spacing w:after="0"/>
              <w:rPr>
                <w:sz w:val="20"/>
                <w:szCs w:val="20"/>
                <w:color w:val="auto"/>
              </w:rPr>
            </w:pPr>
            <w:r>
              <w:rPr>
                <w:rFonts w:ascii="Arial" w:cs="Arial" w:eastAsia="Arial" w:hAnsi="Arial"/>
                <w:sz w:val="15"/>
                <w:szCs w:val="15"/>
                <w:color w:val="auto"/>
              </w:rPr>
              <w:t>203,933</w:t>
            </w:r>
          </w:p>
        </w:tc>
        <w:tc>
          <w:tcPr>
            <w:tcW w:w="1580" w:type="dxa"/>
            <w:vAlign w:val="bottom"/>
          </w:tcPr>
          <w:p>
            <w:pPr>
              <w:jc w:val="right"/>
              <w:ind w:right="366"/>
              <w:spacing w:after="0"/>
              <w:rPr>
                <w:sz w:val="20"/>
                <w:szCs w:val="20"/>
                <w:color w:val="auto"/>
              </w:rPr>
            </w:pPr>
            <w:r>
              <w:rPr>
                <w:rFonts w:ascii="Arial" w:cs="Arial" w:eastAsia="Arial" w:hAnsi="Arial"/>
                <w:sz w:val="15"/>
                <w:szCs w:val="15"/>
                <w:color w:val="auto"/>
              </w:rPr>
              <w:t>37,299</w:t>
            </w:r>
          </w:p>
        </w:tc>
        <w:tc>
          <w:tcPr>
            <w:tcW w:w="1360" w:type="dxa"/>
            <w:vAlign w:val="bottom"/>
          </w:tcPr>
          <w:p>
            <w:pPr>
              <w:jc w:val="right"/>
              <w:ind w:right="246"/>
              <w:spacing w:after="0"/>
              <w:rPr>
                <w:sz w:val="20"/>
                <w:szCs w:val="20"/>
                <w:color w:val="auto"/>
              </w:rPr>
            </w:pPr>
            <w:r>
              <w:rPr>
                <w:rFonts w:ascii="Arial" w:cs="Arial" w:eastAsia="Arial" w:hAnsi="Arial"/>
                <w:sz w:val="15"/>
                <w:szCs w:val="15"/>
                <w:color w:val="auto"/>
              </w:rPr>
              <w:t>60,842</w:t>
            </w:r>
          </w:p>
        </w:tc>
        <w:tc>
          <w:tcPr>
            <w:tcW w:w="1500" w:type="dxa"/>
            <w:vAlign w:val="bottom"/>
          </w:tcPr>
          <w:p>
            <w:pPr>
              <w:ind w:left="96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973,727</w:t>
            </w:r>
          </w:p>
        </w:tc>
        <w:tc>
          <w:tcPr>
            <w:tcW w:w="0" w:type="dxa"/>
            <w:vAlign w:val="bottom"/>
          </w:tcPr>
          <w:p>
            <w:pPr>
              <w:spacing w:after="0"/>
              <w:rPr>
                <w:sz w:val="1"/>
                <w:szCs w:val="1"/>
                <w:color w:val="auto"/>
              </w:rPr>
            </w:pPr>
          </w:p>
        </w:tc>
      </w:tr>
      <w:tr>
        <w:trPr>
          <w:trHeight w:val="33"/>
        </w:trPr>
        <w:tc>
          <w:tcPr>
            <w:tcW w:w="2620" w:type="dxa"/>
            <w:vAlign w:val="bottom"/>
            <w:tcBorders>
              <w:bottom w:val="single" w:sz="8" w:color="808080"/>
            </w:tcBorders>
          </w:tcPr>
          <w:p>
            <w:pPr>
              <w:spacing w:after="0"/>
              <w:rPr>
                <w:sz w:val="2"/>
                <w:szCs w:val="2"/>
                <w:color w:val="auto"/>
              </w:rPr>
            </w:pPr>
          </w:p>
        </w:tc>
        <w:tc>
          <w:tcPr>
            <w:tcW w:w="3060" w:type="dxa"/>
            <w:vAlign w:val="bottom"/>
            <w:tcBorders>
              <w:bottom w:val="single" w:sz="8" w:color="808080"/>
            </w:tcBorders>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1360" w:type="dxa"/>
            <w:vAlign w:val="bottom"/>
            <w:tcBorders>
              <w:bottom w:val="single" w:sz="8" w:color="808080"/>
            </w:tcBorders>
          </w:tcPr>
          <w:p>
            <w:pPr>
              <w:spacing w:after="0"/>
              <w:rPr>
                <w:sz w:val="2"/>
                <w:szCs w:val="2"/>
                <w:color w:val="auto"/>
              </w:rPr>
            </w:pPr>
          </w:p>
        </w:tc>
        <w:tc>
          <w:tcPr>
            <w:tcW w:w="1500" w:type="dxa"/>
            <w:vAlign w:val="bottom"/>
            <w:tcBorders>
              <w:bottom w:val="single" w:sz="8" w:color="808080"/>
            </w:tcBorders>
          </w:tcPr>
          <w:p>
            <w:pPr>
              <w:spacing w:after="0"/>
              <w:rPr>
                <w:sz w:val="2"/>
                <w:szCs w:val="2"/>
                <w:color w:val="auto"/>
              </w:rPr>
            </w:pPr>
          </w:p>
        </w:tc>
        <w:tc>
          <w:tcPr>
            <w:tcW w:w="11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620" w:type="dxa"/>
            <w:vAlign w:val="bottom"/>
          </w:tcPr>
          <w:p>
            <w:pPr>
              <w:ind w:left="20"/>
              <w:spacing w:after="0"/>
              <w:rPr>
                <w:sz w:val="20"/>
                <w:szCs w:val="20"/>
                <w:color w:val="auto"/>
              </w:rPr>
            </w:pPr>
            <w:r>
              <w:rPr>
                <w:rFonts w:ascii="Arial" w:cs="Arial" w:eastAsia="Arial" w:hAnsi="Arial"/>
                <w:sz w:val="15"/>
                <w:szCs w:val="15"/>
                <w:color w:val="auto"/>
              </w:rPr>
              <w:t>Jones</w:t>
            </w:r>
          </w:p>
        </w:tc>
        <w:tc>
          <w:tcPr>
            <w:tcW w:w="306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366"/>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1500" w:type="dxa"/>
            <w:vAlign w:val="bottom"/>
          </w:tcPr>
          <w:p>
            <w:pPr>
              <w:ind w:left="96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3"/>
        </w:trPr>
        <w:tc>
          <w:tcPr>
            <w:tcW w:w="2620" w:type="dxa"/>
            <w:vAlign w:val="bottom"/>
            <w:tcBorders>
              <w:bottom w:val="single" w:sz="8" w:color="808080"/>
            </w:tcBorders>
          </w:tcPr>
          <w:p>
            <w:pPr>
              <w:spacing w:after="0"/>
              <w:rPr>
                <w:sz w:val="2"/>
                <w:szCs w:val="2"/>
                <w:color w:val="auto"/>
              </w:rPr>
            </w:pPr>
          </w:p>
        </w:tc>
        <w:tc>
          <w:tcPr>
            <w:tcW w:w="3060" w:type="dxa"/>
            <w:vAlign w:val="bottom"/>
            <w:tcBorders>
              <w:bottom w:val="single" w:sz="8" w:color="808080"/>
            </w:tcBorders>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1360" w:type="dxa"/>
            <w:vAlign w:val="bottom"/>
            <w:tcBorders>
              <w:bottom w:val="single" w:sz="8" w:color="808080"/>
            </w:tcBorders>
          </w:tcPr>
          <w:p>
            <w:pPr>
              <w:spacing w:after="0"/>
              <w:rPr>
                <w:sz w:val="2"/>
                <w:szCs w:val="2"/>
                <w:color w:val="auto"/>
              </w:rPr>
            </w:pPr>
          </w:p>
        </w:tc>
        <w:tc>
          <w:tcPr>
            <w:tcW w:w="1500" w:type="dxa"/>
            <w:vAlign w:val="bottom"/>
            <w:tcBorders>
              <w:bottom w:val="single" w:sz="8" w:color="808080"/>
            </w:tcBorders>
          </w:tcPr>
          <w:p>
            <w:pPr>
              <w:spacing w:after="0"/>
              <w:rPr>
                <w:sz w:val="2"/>
                <w:szCs w:val="2"/>
                <w:color w:val="auto"/>
              </w:rPr>
            </w:pPr>
          </w:p>
        </w:tc>
        <w:tc>
          <w:tcPr>
            <w:tcW w:w="11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20"/>
              <w:spacing w:after="0"/>
              <w:rPr>
                <w:sz w:val="20"/>
                <w:szCs w:val="20"/>
                <w:color w:val="auto"/>
              </w:rPr>
            </w:pPr>
            <w:r>
              <w:rPr>
                <w:rFonts w:ascii="Arial" w:cs="Arial" w:eastAsia="Arial" w:hAnsi="Arial"/>
                <w:sz w:val="15"/>
                <w:szCs w:val="15"/>
                <w:color w:val="auto"/>
              </w:rPr>
              <w:t>Littleton</w:t>
            </w:r>
          </w:p>
        </w:tc>
        <w:tc>
          <w:tcPr>
            <w:tcW w:w="3060" w:type="dxa"/>
            <w:vAlign w:val="bottom"/>
          </w:tcPr>
          <w:p>
            <w:pPr>
              <w:jc w:val="right"/>
              <w:ind w:right="206"/>
              <w:spacing w:after="0"/>
              <w:rPr>
                <w:sz w:val="20"/>
                <w:szCs w:val="20"/>
                <w:color w:val="auto"/>
              </w:rPr>
            </w:pPr>
            <w:r>
              <w:rPr>
                <w:rFonts w:ascii="Arial" w:cs="Arial" w:eastAsia="Arial" w:hAnsi="Arial"/>
                <w:sz w:val="15"/>
                <w:szCs w:val="15"/>
                <w:color w:val="auto"/>
              </w:rPr>
              <w:t>24,370</w:t>
            </w:r>
          </w:p>
        </w:tc>
        <w:tc>
          <w:tcPr>
            <w:tcW w:w="1580" w:type="dxa"/>
            <w:vAlign w:val="bottom"/>
          </w:tcPr>
          <w:p>
            <w:pPr>
              <w:jc w:val="right"/>
              <w:ind w:right="366"/>
              <w:spacing w:after="0"/>
              <w:rPr>
                <w:sz w:val="20"/>
                <w:szCs w:val="20"/>
                <w:color w:val="auto"/>
              </w:rPr>
            </w:pPr>
            <w:r>
              <w:rPr>
                <w:rFonts w:ascii="Arial" w:cs="Arial" w:eastAsia="Arial" w:hAnsi="Arial"/>
                <w:sz w:val="15"/>
                <w:szCs w:val="15"/>
                <w:color w:val="auto"/>
              </w:rPr>
              <w:t>59,174</w:t>
            </w:r>
          </w:p>
        </w:tc>
        <w:tc>
          <w:tcPr>
            <w:tcW w:w="1360" w:type="dxa"/>
            <w:vAlign w:val="bottom"/>
          </w:tcPr>
          <w:p>
            <w:pPr>
              <w:jc w:val="right"/>
              <w:ind w:right="246"/>
              <w:spacing w:after="0"/>
              <w:rPr>
                <w:sz w:val="20"/>
                <w:szCs w:val="20"/>
                <w:color w:val="auto"/>
              </w:rPr>
            </w:pPr>
            <w:r>
              <w:rPr>
                <w:rFonts w:ascii="Arial" w:cs="Arial" w:eastAsia="Arial" w:hAnsi="Arial"/>
                <w:sz w:val="15"/>
                <w:szCs w:val="15"/>
                <w:color w:val="auto"/>
              </w:rPr>
              <w:t>52,050</w:t>
            </w:r>
          </w:p>
        </w:tc>
        <w:tc>
          <w:tcPr>
            <w:tcW w:w="1500" w:type="dxa"/>
            <w:vAlign w:val="bottom"/>
          </w:tcPr>
          <w:p>
            <w:pPr>
              <w:ind w:left="96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331,405</w:t>
            </w:r>
          </w:p>
        </w:tc>
        <w:tc>
          <w:tcPr>
            <w:tcW w:w="0" w:type="dxa"/>
            <w:vAlign w:val="bottom"/>
          </w:tcPr>
          <w:p>
            <w:pPr>
              <w:spacing w:after="0"/>
              <w:rPr>
                <w:sz w:val="1"/>
                <w:szCs w:val="1"/>
                <w:color w:val="auto"/>
              </w:rPr>
            </w:pPr>
          </w:p>
        </w:tc>
      </w:tr>
      <w:tr>
        <w:trPr>
          <w:trHeight w:val="33"/>
        </w:trPr>
        <w:tc>
          <w:tcPr>
            <w:tcW w:w="2620" w:type="dxa"/>
            <w:vAlign w:val="bottom"/>
            <w:tcBorders>
              <w:bottom w:val="single" w:sz="8" w:color="808080"/>
            </w:tcBorders>
          </w:tcPr>
          <w:p>
            <w:pPr>
              <w:spacing w:after="0"/>
              <w:rPr>
                <w:sz w:val="2"/>
                <w:szCs w:val="2"/>
                <w:color w:val="auto"/>
              </w:rPr>
            </w:pPr>
          </w:p>
        </w:tc>
        <w:tc>
          <w:tcPr>
            <w:tcW w:w="3060" w:type="dxa"/>
            <w:vAlign w:val="bottom"/>
            <w:tcBorders>
              <w:bottom w:val="single" w:sz="8" w:color="808080"/>
            </w:tcBorders>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1360" w:type="dxa"/>
            <w:vAlign w:val="bottom"/>
            <w:tcBorders>
              <w:bottom w:val="single" w:sz="8" w:color="808080"/>
            </w:tcBorders>
          </w:tcPr>
          <w:p>
            <w:pPr>
              <w:spacing w:after="0"/>
              <w:rPr>
                <w:sz w:val="2"/>
                <w:szCs w:val="2"/>
                <w:color w:val="auto"/>
              </w:rPr>
            </w:pPr>
          </w:p>
        </w:tc>
        <w:tc>
          <w:tcPr>
            <w:tcW w:w="1500" w:type="dxa"/>
            <w:vAlign w:val="bottom"/>
            <w:tcBorders>
              <w:bottom w:val="single" w:sz="8" w:color="808080"/>
            </w:tcBorders>
          </w:tcPr>
          <w:p>
            <w:pPr>
              <w:spacing w:after="0"/>
              <w:rPr>
                <w:sz w:val="2"/>
                <w:szCs w:val="2"/>
                <w:color w:val="auto"/>
              </w:rPr>
            </w:pPr>
          </w:p>
        </w:tc>
        <w:tc>
          <w:tcPr>
            <w:tcW w:w="11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620" w:type="dxa"/>
            <w:vAlign w:val="bottom"/>
          </w:tcPr>
          <w:p>
            <w:pPr>
              <w:ind w:left="20"/>
              <w:spacing w:after="0"/>
              <w:rPr>
                <w:sz w:val="20"/>
                <w:szCs w:val="20"/>
                <w:color w:val="auto"/>
              </w:rPr>
            </w:pPr>
            <w:r>
              <w:rPr>
                <w:rFonts w:ascii="Arial" w:cs="Arial" w:eastAsia="Arial" w:hAnsi="Arial"/>
                <w:sz w:val="15"/>
                <w:szCs w:val="15"/>
                <w:color w:val="auto"/>
              </w:rPr>
              <w:t>Glockner</w:t>
            </w:r>
          </w:p>
        </w:tc>
        <w:tc>
          <w:tcPr>
            <w:tcW w:w="3060" w:type="dxa"/>
            <w:vAlign w:val="bottom"/>
          </w:tcPr>
          <w:p>
            <w:pPr>
              <w:jc w:val="right"/>
              <w:ind w:right="206"/>
              <w:spacing w:after="0"/>
              <w:rPr>
                <w:sz w:val="20"/>
                <w:szCs w:val="20"/>
                <w:color w:val="auto"/>
              </w:rPr>
            </w:pPr>
            <w:r>
              <w:rPr>
                <w:rFonts w:ascii="Arial" w:cs="Arial" w:eastAsia="Arial" w:hAnsi="Arial"/>
                <w:sz w:val="15"/>
                <w:szCs w:val="15"/>
                <w:color w:val="auto"/>
              </w:rPr>
              <w:t>33,269</w:t>
            </w:r>
          </w:p>
        </w:tc>
        <w:tc>
          <w:tcPr>
            <w:tcW w:w="1580" w:type="dxa"/>
            <w:vAlign w:val="bottom"/>
          </w:tcPr>
          <w:p>
            <w:pPr>
              <w:jc w:val="right"/>
              <w:ind w:right="366"/>
              <w:spacing w:after="0"/>
              <w:rPr>
                <w:sz w:val="20"/>
                <w:szCs w:val="20"/>
                <w:color w:val="auto"/>
              </w:rPr>
            </w:pPr>
            <w:r>
              <w:rPr>
                <w:rFonts w:ascii="Arial" w:cs="Arial" w:eastAsia="Arial" w:hAnsi="Arial"/>
                <w:sz w:val="15"/>
                <w:szCs w:val="15"/>
                <w:color w:val="auto"/>
              </w:rPr>
              <w:t>51,881</w:t>
            </w:r>
          </w:p>
        </w:tc>
        <w:tc>
          <w:tcPr>
            <w:tcW w:w="1360" w:type="dxa"/>
            <w:vAlign w:val="bottom"/>
          </w:tcPr>
          <w:p>
            <w:pPr>
              <w:jc w:val="right"/>
              <w:ind w:right="246"/>
              <w:spacing w:after="0"/>
              <w:rPr>
                <w:sz w:val="20"/>
                <w:szCs w:val="20"/>
                <w:color w:val="auto"/>
              </w:rPr>
            </w:pPr>
            <w:r>
              <w:rPr>
                <w:rFonts w:ascii="Arial" w:cs="Arial" w:eastAsia="Arial" w:hAnsi="Arial"/>
                <w:sz w:val="15"/>
                <w:szCs w:val="15"/>
                <w:color w:val="auto"/>
              </w:rPr>
              <w:t>14,296</w:t>
            </w:r>
          </w:p>
        </w:tc>
        <w:tc>
          <w:tcPr>
            <w:tcW w:w="1500" w:type="dxa"/>
            <w:vAlign w:val="bottom"/>
          </w:tcPr>
          <w:p>
            <w:pPr>
              <w:ind w:left="96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381,875</w:t>
            </w:r>
          </w:p>
        </w:tc>
        <w:tc>
          <w:tcPr>
            <w:tcW w:w="0" w:type="dxa"/>
            <w:vAlign w:val="bottom"/>
          </w:tcPr>
          <w:p>
            <w:pPr>
              <w:spacing w:after="0"/>
              <w:rPr>
                <w:sz w:val="1"/>
                <w:szCs w:val="1"/>
                <w:color w:val="auto"/>
              </w:rPr>
            </w:pPr>
          </w:p>
        </w:tc>
      </w:tr>
      <w:tr>
        <w:trPr>
          <w:trHeight w:val="33"/>
        </w:trPr>
        <w:tc>
          <w:tcPr>
            <w:tcW w:w="2620" w:type="dxa"/>
            <w:vAlign w:val="bottom"/>
            <w:tcBorders>
              <w:bottom w:val="single" w:sz="8" w:color="808080"/>
            </w:tcBorders>
          </w:tcPr>
          <w:p>
            <w:pPr>
              <w:spacing w:after="0"/>
              <w:rPr>
                <w:sz w:val="2"/>
                <w:szCs w:val="2"/>
                <w:color w:val="auto"/>
              </w:rPr>
            </w:pPr>
          </w:p>
        </w:tc>
        <w:tc>
          <w:tcPr>
            <w:tcW w:w="3060" w:type="dxa"/>
            <w:vAlign w:val="bottom"/>
            <w:tcBorders>
              <w:bottom w:val="single" w:sz="8" w:color="808080"/>
            </w:tcBorders>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1360" w:type="dxa"/>
            <w:vAlign w:val="bottom"/>
            <w:tcBorders>
              <w:bottom w:val="single" w:sz="8" w:color="808080"/>
            </w:tcBorders>
          </w:tcPr>
          <w:p>
            <w:pPr>
              <w:spacing w:after="0"/>
              <w:rPr>
                <w:sz w:val="2"/>
                <w:szCs w:val="2"/>
                <w:color w:val="auto"/>
              </w:rPr>
            </w:pPr>
          </w:p>
        </w:tc>
        <w:tc>
          <w:tcPr>
            <w:tcW w:w="1500" w:type="dxa"/>
            <w:vAlign w:val="bottom"/>
            <w:tcBorders>
              <w:bottom w:val="single" w:sz="8" w:color="808080"/>
            </w:tcBorders>
          </w:tcPr>
          <w:p>
            <w:pPr>
              <w:spacing w:after="0"/>
              <w:rPr>
                <w:sz w:val="2"/>
                <w:szCs w:val="2"/>
                <w:color w:val="auto"/>
              </w:rPr>
            </w:pPr>
          </w:p>
        </w:tc>
        <w:tc>
          <w:tcPr>
            <w:tcW w:w="11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20"/>
              <w:spacing w:after="0"/>
              <w:rPr>
                <w:sz w:val="20"/>
                <w:szCs w:val="20"/>
                <w:color w:val="auto"/>
              </w:rPr>
            </w:pPr>
            <w:r>
              <w:rPr>
                <w:rFonts w:ascii="Arial" w:cs="Arial" w:eastAsia="Arial" w:hAnsi="Arial"/>
                <w:sz w:val="15"/>
                <w:szCs w:val="15"/>
                <w:color w:val="auto"/>
              </w:rPr>
              <w:t>Innocenzo</w:t>
            </w:r>
          </w:p>
        </w:tc>
        <w:tc>
          <w:tcPr>
            <w:tcW w:w="3060" w:type="dxa"/>
            <w:vAlign w:val="bottom"/>
          </w:tcPr>
          <w:p>
            <w:pPr>
              <w:jc w:val="right"/>
              <w:ind w:right="206"/>
              <w:spacing w:after="0"/>
              <w:rPr>
                <w:sz w:val="20"/>
                <w:szCs w:val="20"/>
                <w:color w:val="auto"/>
              </w:rPr>
            </w:pPr>
            <w:r>
              <w:rPr>
                <w:rFonts w:ascii="Arial" w:cs="Arial" w:eastAsia="Arial" w:hAnsi="Arial"/>
                <w:sz w:val="15"/>
                <w:szCs w:val="15"/>
                <w:color w:val="auto"/>
              </w:rPr>
              <w:t>48,521</w:t>
            </w:r>
          </w:p>
        </w:tc>
        <w:tc>
          <w:tcPr>
            <w:tcW w:w="1580" w:type="dxa"/>
            <w:vAlign w:val="bottom"/>
          </w:tcPr>
          <w:p>
            <w:pPr>
              <w:jc w:val="right"/>
              <w:ind w:right="366"/>
              <w:spacing w:after="0"/>
              <w:rPr>
                <w:sz w:val="20"/>
                <w:szCs w:val="20"/>
                <w:color w:val="auto"/>
              </w:rPr>
            </w:pPr>
            <w:r>
              <w:rPr>
                <w:rFonts w:ascii="Arial" w:cs="Arial" w:eastAsia="Arial" w:hAnsi="Arial"/>
                <w:sz w:val="15"/>
                <w:szCs w:val="15"/>
                <w:color w:val="auto"/>
              </w:rPr>
              <w:t>14,382</w:t>
            </w:r>
          </w:p>
        </w:tc>
        <w:tc>
          <w:tcPr>
            <w:tcW w:w="1360" w:type="dxa"/>
            <w:vAlign w:val="bottom"/>
          </w:tcPr>
          <w:p>
            <w:pPr>
              <w:jc w:val="right"/>
              <w:ind w:right="246"/>
              <w:spacing w:after="0"/>
              <w:rPr>
                <w:sz w:val="20"/>
                <w:szCs w:val="20"/>
                <w:color w:val="auto"/>
              </w:rPr>
            </w:pPr>
            <w:r>
              <w:rPr>
                <w:rFonts w:ascii="Arial" w:cs="Arial" w:eastAsia="Arial" w:hAnsi="Arial"/>
                <w:sz w:val="15"/>
                <w:szCs w:val="15"/>
                <w:color w:val="auto"/>
              </w:rPr>
              <w:t>128,333</w:t>
            </w:r>
          </w:p>
        </w:tc>
        <w:tc>
          <w:tcPr>
            <w:tcW w:w="1500" w:type="dxa"/>
            <w:vAlign w:val="bottom"/>
          </w:tcPr>
          <w:p>
            <w:pPr>
              <w:ind w:left="96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1,756,358</w:t>
            </w:r>
          </w:p>
        </w:tc>
        <w:tc>
          <w:tcPr>
            <w:tcW w:w="0" w:type="dxa"/>
            <w:vAlign w:val="bottom"/>
          </w:tcPr>
          <w:p>
            <w:pPr>
              <w:spacing w:after="0"/>
              <w:rPr>
                <w:sz w:val="1"/>
                <w:szCs w:val="1"/>
                <w:color w:val="auto"/>
              </w:rPr>
            </w:pPr>
          </w:p>
        </w:tc>
      </w:tr>
      <w:tr>
        <w:trPr>
          <w:trHeight w:val="33"/>
        </w:trPr>
        <w:tc>
          <w:tcPr>
            <w:tcW w:w="2620" w:type="dxa"/>
            <w:vAlign w:val="bottom"/>
            <w:tcBorders>
              <w:bottom w:val="single" w:sz="8" w:color="808080"/>
            </w:tcBorders>
          </w:tcPr>
          <w:p>
            <w:pPr>
              <w:spacing w:after="0"/>
              <w:rPr>
                <w:sz w:val="2"/>
                <w:szCs w:val="2"/>
                <w:color w:val="auto"/>
              </w:rPr>
            </w:pPr>
          </w:p>
        </w:tc>
        <w:tc>
          <w:tcPr>
            <w:tcW w:w="3060" w:type="dxa"/>
            <w:vAlign w:val="bottom"/>
            <w:tcBorders>
              <w:bottom w:val="single" w:sz="8" w:color="808080"/>
            </w:tcBorders>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1360" w:type="dxa"/>
            <w:vAlign w:val="bottom"/>
            <w:tcBorders>
              <w:bottom w:val="single" w:sz="8" w:color="808080"/>
            </w:tcBorders>
          </w:tcPr>
          <w:p>
            <w:pPr>
              <w:spacing w:after="0"/>
              <w:rPr>
                <w:sz w:val="2"/>
                <w:szCs w:val="2"/>
                <w:color w:val="auto"/>
              </w:rPr>
            </w:pPr>
          </w:p>
        </w:tc>
        <w:tc>
          <w:tcPr>
            <w:tcW w:w="1500" w:type="dxa"/>
            <w:vAlign w:val="bottom"/>
            <w:tcBorders>
              <w:bottom w:val="single" w:sz="8" w:color="808080"/>
            </w:tcBorders>
          </w:tcPr>
          <w:p>
            <w:pPr>
              <w:spacing w:after="0"/>
              <w:rPr>
                <w:sz w:val="2"/>
                <w:szCs w:val="2"/>
                <w:color w:val="auto"/>
              </w:rPr>
            </w:pPr>
          </w:p>
        </w:tc>
        <w:tc>
          <w:tcPr>
            <w:tcW w:w="11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hanging="252"/>
        <w:spacing w:after="0"/>
        <w:tabs>
          <w:tab w:leader="none" w:pos="260" w:val="left"/>
        </w:tabs>
        <w:numPr>
          <w:ilvl w:val="0"/>
          <w:numId w:val="135"/>
        </w:numPr>
        <w:rPr>
          <w:rFonts w:ascii="Arial" w:cs="Arial" w:eastAsia="Arial" w:hAnsi="Arial"/>
          <w:sz w:val="8"/>
          <w:szCs w:val="8"/>
          <w:color w:val="auto"/>
        </w:rPr>
      </w:pPr>
      <w:r>
        <w:rPr>
          <w:rFonts w:ascii="Arial" w:cs="Arial" w:eastAsia="Arial" w:hAnsi="Arial"/>
          <w:sz w:val="14"/>
          <w:szCs w:val="14"/>
          <w:color w:val="auto"/>
        </w:rPr>
        <w:t>The amounts shown are included in the Salary column of the Summary Compensation Table.</w:t>
      </w:r>
    </w:p>
    <w:p>
      <w:pPr>
        <w:spacing w:after="0" w:line="95" w:lineRule="exact"/>
        <w:rPr>
          <w:rFonts w:ascii="Arial" w:cs="Arial" w:eastAsia="Arial" w:hAnsi="Arial"/>
          <w:sz w:val="8"/>
          <w:szCs w:val="8"/>
          <w:color w:val="auto"/>
        </w:rPr>
      </w:pPr>
    </w:p>
    <w:p>
      <w:pPr>
        <w:ind w:left="260" w:hanging="252"/>
        <w:spacing w:after="0"/>
        <w:tabs>
          <w:tab w:leader="none" w:pos="260" w:val="left"/>
        </w:tabs>
        <w:numPr>
          <w:ilvl w:val="0"/>
          <w:numId w:val="135"/>
        </w:numPr>
        <w:rPr>
          <w:rFonts w:ascii="Arial" w:cs="Arial" w:eastAsia="Arial" w:hAnsi="Arial"/>
          <w:sz w:val="8"/>
          <w:szCs w:val="8"/>
          <w:color w:val="auto"/>
        </w:rPr>
      </w:pPr>
      <w:r>
        <w:rPr>
          <w:rFonts w:ascii="Arial" w:cs="Arial" w:eastAsia="Arial" w:hAnsi="Arial"/>
          <w:sz w:val="14"/>
          <w:szCs w:val="14"/>
          <w:color w:val="auto"/>
        </w:rPr>
        <w:t>The amounts shown are included in the All Other Compensation column of the Summary Compensation Table.</w:t>
      </w:r>
    </w:p>
    <w:p>
      <w:pPr>
        <w:spacing w:after="0" w:line="95" w:lineRule="exact"/>
        <w:rPr>
          <w:rFonts w:ascii="Arial" w:cs="Arial" w:eastAsia="Arial" w:hAnsi="Arial"/>
          <w:sz w:val="8"/>
          <w:szCs w:val="8"/>
          <w:color w:val="auto"/>
        </w:rPr>
      </w:pPr>
    </w:p>
    <w:p>
      <w:pPr>
        <w:ind w:left="260" w:right="180" w:hanging="252"/>
        <w:spacing w:after="0" w:line="303" w:lineRule="auto"/>
        <w:tabs>
          <w:tab w:leader="none" w:pos="249" w:val="left"/>
        </w:tabs>
        <w:numPr>
          <w:ilvl w:val="0"/>
          <w:numId w:val="135"/>
        </w:numPr>
        <w:rPr>
          <w:rFonts w:ascii="Arial" w:cs="Arial" w:eastAsia="Arial" w:hAnsi="Arial"/>
          <w:sz w:val="8"/>
          <w:szCs w:val="8"/>
          <w:color w:val="auto"/>
        </w:rPr>
      </w:pPr>
      <w:r>
        <w:rPr>
          <w:rFonts w:ascii="Arial" w:cs="Arial" w:eastAsia="Arial" w:hAnsi="Arial"/>
          <w:sz w:val="14"/>
          <w:szCs w:val="14"/>
          <w:color w:val="auto"/>
        </w:rPr>
        <w:t>The amount shown under aggregate earnings reflects the NEO’s notional gain or loss based upon the individual allocation of his or her notional account balance to the basket of investment fund benchmarks. These gains or losses do not represent current income to the NEO and have not been included in any of the compensation tables shown above because the plan does not provide for above market earnings.</w:t>
      </w:r>
    </w:p>
    <w:p>
      <w:pPr>
        <w:spacing w:after="0" w:line="24" w:lineRule="exact"/>
        <w:rPr>
          <w:rFonts w:ascii="Arial" w:cs="Arial" w:eastAsia="Arial" w:hAnsi="Arial"/>
          <w:sz w:val="8"/>
          <w:szCs w:val="8"/>
          <w:color w:val="auto"/>
        </w:rPr>
      </w:pPr>
    </w:p>
    <w:p>
      <w:pPr>
        <w:ind w:left="260" w:right="280" w:hanging="252"/>
        <w:spacing w:after="0" w:line="325" w:lineRule="auto"/>
        <w:tabs>
          <w:tab w:leader="none" w:pos="249" w:val="left"/>
        </w:tabs>
        <w:numPr>
          <w:ilvl w:val="0"/>
          <w:numId w:val="135"/>
        </w:numPr>
        <w:rPr>
          <w:rFonts w:ascii="Arial" w:cs="Arial" w:eastAsia="Arial" w:hAnsi="Arial"/>
          <w:sz w:val="8"/>
          <w:szCs w:val="8"/>
          <w:color w:val="auto"/>
        </w:rPr>
      </w:pPr>
      <w:r>
        <w:rPr>
          <w:rFonts w:ascii="Arial" w:cs="Arial" w:eastAsia="Arial" w:hAnsi="Arial"/>
          <w:sz w:val="14"/>
          <w:szCs w:val="14"/>
          <w:color w:val="auto"/>
        </w:rPr>
        <w:t>The amounts shown include amounts deferred in prior years and reported as compensation in the Summary Compensation Table through 2024: $493,857 for Mr. Butler, $151,692 for Ms. Littleton, $159,920 for Mr. Glockner, and $62,903 for Mr. Innocenzo. Ms. Jones does not participate in the DCP.</w:t>
      </w:r>
    </w:p>
    <w:p>
      <w:pPr>
        <w:spacing w:after="0" w:line="200" w:lineRule="exact"/>
        <w:rPr>
          <w:sz w:val="20"/>
          <w:szCs w:val="20"/>
          <w:color w:val="auto"/>
        </w:rPr>
      </w:pPr>
    </w:p>
    <w:p>
      <w:pPr>
        <w:spacing w:after="0" w:line="336" w:lineRule="exact"/>
        <w:rPr>
          <w:sz w:val="20"/>
          <w:szCs w:val="20"/>
          <w:color w:val="auto"/>
        </w:rPr>
      </w:pPr>
    </w:p>
    <w:p>
      <w:pPr>
        <w:ind w:left="480" w:hanging="454"/>
        <w:spacing w:after="0"/>
        <w:tabs>
          <w:tab w:leader="none" w:pos="480" w:val="left"/>
        </w:tabs>
        <w:numPr>
          <w:ilvl w:val="0"/>
          <w:numId w:val="13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0" w:name="page71"/>
    <w:bookmarkEnd w:id="70"/>
    <w:p>
      <w:pPr>
        <w:jc w:val="right"/>
        <w:spacing w:after="0"/>
        <w:rPr>
          <w:sz w:val="20"/>
          <w:szCs w:val="20"/>
          <w:color w:val="auto"/>
        </w:rPr>
      </w:pPr>
      <w:r>
        <w:rPr>
          <w:rFonts w:ascii="Arial" w:cs="Arial" w:eastAsia="Arial" w:hAnsi="Arial"/>
          <w:sz w:val="13"/>
          <w:szCs w:val="13"/>
          <w:b w:val="1"/>
          <w:bCs w:val="1"/>
          <w:color w:val="auto"/>
        </w:rPr>
        <w:t>Compensation Discussion &amp; Analysis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Potential Payments upon Termination With or Without a Change in Control</w:t>
      </w:r>
    </w:p>
    <w:p>
      <w:pPr>
        <w:spacing w:after="0" w:line="112"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The following is a summary setting forth potential payments payable to our NEOs under Exelon’s compensation programs in the event of termination of employment or a change in control of Exelon - specifically upon voluntary termination, retirement, death, disability, involuntary termination (with or without cause), or a termination in connection with or upon a change in control of Exelon. All of Exelon’s NEOs are employed at will, and there are no “single trigger” payments that would available to the NEOs upon a change in control of Exelon.</w:t>
      </w:r>
    </w:p>
    <w:p>
      <w:pPr>
        <w:spacing w:after="0" w:line="69" w:lineRule="exact"/>
        <w:rPr>
          <w:sz w:val="20"/>
          <w:szCs w:val="20"/>
          <w:color w:val="auto"/>
        </w:rPr>
      </w:pPr>
    </w:p>
    <w:p>
      <w:pPr>
        <w:ind w:right="280"/>
        <w:spacing w:after="0" w:line="277" w:lineRule="auto"/>
        <w:rPr>
          <w:sz w:val="20"/>
          <w:szCs w:val="20"/>
          <w:color w:val="auto"/>
        </w:rPr>
      </w:pPr>
      <w:r>
        <w:rPr>
          <w:rFonts w:ascii="Arial" w:cs="Arial" w:eastAsia="Arial" w:hAnsi="Arial"/>
          <w:sz w:val="16"/>
          <w:szCs w:val="16"/>
          <w:color w:val="auto"/>
        </w:rPr>
        <w:t>The amounts shown in the below tables assume that such termination was effective as of December 31, 2024. Therefore, they include amounts earned through such time and are estimates of the amounts which would be paid out to the executives (or their beneficiaries) upon their termination. Due to the number of factors that may affect the nature and amount of any benefits provided upon the events discussed below (such as the timing during the year of any such event, the price of our common stock and the executive’s age), any actual amounts paid or distributed may be different.</w:t>
      </w:r>
    </w:p>
    <w:p>
      <w:pPr>
        <w:spacing w:after="0" w:line="69" w:lineRule="exact"/>
        <w:rPr>
          <w:sz w:val="20"/>
          <w:szCs w:val="20"/>
          <w:color w:val="auto"/>
        </w:rPr>
      </w:pPr>
    </w:p>
    <w:p>
      <w:pPr>
        <w:jc w:val="both"/>
        <w:ind w:right="400"/>
        <w:spacing w:after="0" w:line="284" w:lineRule="auto"/>
        <w:rPr>
          <w:sz w:val="20"/>
          <w:szCs w:val="20"/>
          <w:color w:val="auto"/>
        </w:rPr>
      </w:pPr>
      <w:r>
        <w:rPr>
          <w:rFonts w:ascii="Arial" w:cs="Arial" w:eastAsia="Arial" w:hAnsi="Arial"/>
          <w:sz w:val="16"/>
          <w:szCs w:val="16"/>
          <w:color w:val="auto"/>
        </w:rPr>
        <w:t>These payments and benefits are in addition to the present value of the accumulated benefits from the NEO’s qualified and non-qualified pension plans shown in the table within the Pension Benefit section and the aggregate balance due to each NEO shown in the table within the Non-Qualified Deferred Compensation section.</w:t>
      </w:r>
    </w:p>
    <w:p>
      <w:pPr>
        <w:spacing w:after="0" w:line="62" w:lineRule="exact"/>
        <w:rPr>
          <w:sz w:val="20"/>
          <w:szCs w:val="20"/>
          <w:color w:val="auto"/>
        </w:rPr>
      </w:pPr>
    </w:p>
    <w:p>
      <w:pPr>
        <w:ind w:right="500"/>
        <w:spacing w:after="0" w:line="321" w:lineRule="auto"/>
        <w:rPr>
          <w:sz w:val="20"/>
          <w:szCs w:val="20"/>
          <w:color w:val="auto"/>
        </w:rPr>
      </w:pPr>
      <w:r>
        <w:rPr>
          <w:rFonts w:ascii="Arial" w:cs="Arial" w:eastAsia="Arial" w:hAnsi="Arial"/>
          <w:sz w:val="16"/>
          <w:szCs w:val="16"/>
          <w:color w:val="auto"/>
        </w:rPr>
        <w:t xml:space="preserve">In each table, the amounts are rounded to the nearest thousands and the value of unvested equity awards is based on Exelon’s closing stock price on </w:t>
      </w:r>
      <w:r>
        <w:rPr>
          <w:rFonts w:ascii="Arial" w:cs="Arial" w:eastAsia="Arial" w:hAnsi="Arial"/>
          <w:sz w:val="15"/>
          <w:szCs w:val="15"/>
          <w:color w:val="auto"/>
        </w:rPr>
        <w:t>December 31, 2024 of $37.64</w:t>
      </w:r>
      <w:r>
        <w:rPr>
          <w:rFonts w:ascii="Arial" w:cs="Arial" w:eastAsia="Arial" w:hAnsi="Arial"/>
          <w:sz w:val="16"/>
          <w:szCs w:val="16"/>
          <w:color w:val="auto"/>
        </w:rPr>
        <w:t>.</w:t>
      </w:r>
    </w:p>
    <w:p>
      <w:pPr>
        <w:spacing w:after="0" w:line="34"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Ms. Littleton ceased serving as the Executive Vice President and Chief Legal Officer on January 1, 2025. Thus, as permitted by SEC rules, the only scenario that is presented for her is an involuntary termination without cause.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Payments Made Upon Any Termination</w:t>
      </w:r>
    </w:p>
    <w:p>
      <w:pPr>
        <w:spacing w:after="0" w:line="122" w:lineRule="exact"/>
        <w:rPr>
          <w:sz w:val="20"/>
          <w:szCs w:val="20"/>
          <w:color w:val="auto"/>
        </w:rPr>
      </w:pPr>
    </w:p>
    <w:p>
      <w:pPr>
        <w:ind w:right="720"/>
        <w:spacing w:after="0" w:line="304" w:lineRule="auto"/>
        <w:rPr>
          <w:sz w:val="20"/>
          <w:szCs w:val="20"/>
          <w:color w:val="auto"/>
        </w:rPr>
      </w:pPr>
      <w:r>
        <w:rPr>
          <w:rFonts w:ascii="Arial" w:cs="Arial" w:eastAsia="Arial" w:hAnsi="Arial"/>
          <w:sz w:val="16"/>
          <w:szCs w:val="16"/>
          <w:color w:val="auto"/>
        </w:rPr>
        <w:t>Regardless of the manner in which our NEO’s employment terminates, the executive is entitled to receive amounts earned during his or her term of employment. Such amounts include: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40" w:type="dxa"/>
            <w:vAlign w:val="bottom"/>
            <w:tcBorders>
              <w:top w:val="single" w:sz="8" w:color="170D67"/>
              <w:bottom w:val="single" w:sz="8" w:color="E8E7EA"/>
            </w:tcBorders>
            <w:shd w:val="clear" w:color="auto" w:fill="E8E7EA"/>
          </w:tcPr>
          <w:p>
            <w:pPr>
              <w:ind w:left="20"/>
              <w:spacing w:after="0"/>
              <w:rPr>
                <w:sz w:val="20"/>
                <w:szCs w:val="20"/>
                <w:color w:val="auto"/>
              </w:rPr>
            </w:pPr>
            <w:r>
              <w:rPr>
                <w:rFonts w:ascii="Arial" w:cs="Arial" w:eastAsia="Arial" w:hAnsi="Arial"/>
                <w:sz w:val="15"/>
                <w:szCs w:val="15"/>
                <w:b w:val="1"/>
                <w:bCs w:val="1"/>
                <w:color w:val="170D67"/>
              </w:rPr>
              <w:t>Base Salary</w:t>
            </w:r>
          </w:p>
        </w:tc>
        <w:tc>
          <w:tcPr>
            <w:tcW w:w="9480" w:type="dxa"/>
            <w:vAlign w:val="bottom"/>
            <w:tcBorders>
              <w:top w:val="single" w:sz="8" w:color="170D67"/>
            </w:tcBorders>
          </w:tcPr>
          <w:p>
            <w:pPr>
              <w:ind w:left="20"/>
              <w:spacing w:after="0"/>
              <w:rPr>
                <w:sz w:val="20"/>
                <w:szCs w:val="20"/>
                <w:color w:val="auto"/>
              </w:rPr>
            </w:pPr>
            <w:r>
              <w:rPr>
                <w:rFonts w:ascii="Arial" w:cs="Arial" w:eastAsia="Arial" w:hAnsi="Arial"/>
                <w:sz w:val="16"/>
                <w:szCs w:val="16"/>
                <w:color w:val="auto"/>
              </w:rPr>
              <w:t>Earned but unpaid salary through date of separation to be paid on the normal schedule.</w:t>
            </w:r>
          </w:p>
        </w:tc>
        <w:tc>
          <w:tcPr>
            <w:tcW w:w="0" w:type="dxa"/>
            <w:vAlign w:val="bottom"/>
          </w:tcPr>
          <w:p>
            <w:pPr>
              <w:spacing w:after="0"/>
              <w:rPr>
                <w:sz w:val="1"/>
                <w:szCs w:val="1"/>
                <w:color w:val="auto"/>
              </w:rPr>
            </w:pPr>
          </w:p>
        </w:tc>
      </w:tr>
      <w:tr>
        <w:trPr>
          <w:trHeight w:val="217"/>
        </w:trPr>
        <w:tc>
          <w:tcPr>
            <w:tcW w:w="1740" w:type="dxa"/>
            <w:vAlign w:val="bottom"/>
            <w:tcBorders>
              <w:top w:val="single" w:sz="8" w:color="170D67"/>
            </w:tcBorders>
            <w:shd w:val="clear" w:color="auto" w:fill="E8E7EA"/>
          </w:tcPr>
          <w:p>
            <w:pPr>
              <w:ind w:left="20"/>
              <w:spacing w:after="0"/>
              <w:rPr>
                <w:sz w:val="20"/>
                <w:szCs w:val="20"/>
                <w:color w:val="auto"/>
              </w:rPr>
            </w:pPr>
            <w:r>
              <w:rPr>
                <w:rFonts w:ascii="Arial" w:cs="Arial" w:eastAsia="Arial" w:hAnsi="Arial"/>
                <w:sz w:val="15"/>
                <w:szCs w:val="15"/>
                <w:b w:val="1"/>
                <w:bCs w:val="1"/>
                <w:color w:val="170D67"/>
              </w:rPr>
              <w:t>Deferred</w:t>
            </w:r>
          </w:p>
        </w:tc>
        <w:tc>
          <w:tcPr>
            <w:tcW w:w="9480" w:type="dxa"/>
            <w:vAlign w:val="bottom"/>
            <w:tcBorders>
              <w:top w:val="single" w:sz="8" w:color="170D67"/>
            </w:tcBorders>
            <w:vMerge w:val="restart"/>
          </w:tcPr>
          <w:p>
            <w:pPr>
              <w:ind w:left="20"/>
              <w:spacing w:after="0"/>
              <w:rPr>
                <w:sz w:val="20"/>
                <w:szCs w:val="20"/>
                <w:color w:val="auto"/>
              </w:rPr>
            </w:pPr>
            <w:r>
              <w:rPr>
                <w:rFonts w:ascii="Arial" w:cs="Arial" w:eastAsia="Arial" w:hAnsi="Arial"/>
                <w:sz w:val="16"/>
                <w:szCs w:val="16"/>
                <w:color w:val="auto"/>
              </w:rPr>
              <w:t>Amounts accrued and vested under the Company’s 401(k) and Non-Qualified Deferred Compensation Plans.</w:t>
            </w:r>
          </w:p>
        </w:tc>
        <w:tc>
          <w:tcPr>
            <w:tcW w:w="0" w:type="dxa"/>
            <w:vAlign w:val="bottom"/>
          </w:tcPr>
          <w:p>
            <w:pPr>
              <w:spacing w:after="0"/>
              <w:rPr>
                <w:sz w:val="1"/>
                <w:szCs w:val="1"/>
                <w:color w:val="auto"/>
              </w:rPr>
            </w:pPr>
          </w:p>
        </w:tc>
      </w:tr>
      <w:tr>
        <w:trPr>
          <w:trHeight w:val="85"/>
        </w:trPr>
        <w:tc>
          <w:tcPr>
            <w:tcW w:w="1740" w:type="dxa"/>
            <w:vAlign w:val="bottom"/>
            <w:vMerge w:val="restart"/>
            <w:shd w:val="clear" w:color="auto" w:fill="E8E7EA"/>
          </w:tcPr>
          <w:p>
            <w:pPr>
              <w:ind w:left="20"/>
              <w:spacing w:after="0"/>
              <w:rPr>
                <w:sz w:val="20"/>
                <w:szCs w:val="20"/>
                <w:color w:val="auto"/>
              </w:rPr>
            </w:pPr>
            <w:r>
              <w:rPr>
                <w:rFonts w:ascii="Arial" w:cs="Arial" w:eastAsia="Arial" w:hAnsi="Arial"/>
                <w:sz w:val="15"/>
                <w:szCs w:val="15"/>
                <w:b w:val="1"/>
                <w:bCs w:val="1"/>
                <w:color w:val="170D67"/>
              </w:rPr>
              <w:t>Compensation</w:t>
            </w:r>
          </w:p>
        </w:tc>
        <w:tc>
          <w:tcPr>
            <w:tcW w:w="9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740" w:type="dxa"/>
            <w:vAlign w:val="bottom"/>
            <w:tcBorders>
              <w:bottom w:val="single" w:sz="8" w:color="170D67"/>
            </w:tcBorders>
            <w:vMerge w:val="continue"/>
            <w:shd w:val="clear" w:color="auto" w:fill="E8E7EA"/>
          </w:tcPr>
          <w:p>
            <w:pPr>
              <w:spacing w:after="0"/>
              <w:rPr>
                <w:sz w:val="11"/>
                <w:szCs w:val="11"/>
                <w:color w:val="auto"/>
              </w:rPr>
            </w:pPr>
          </w:p>
        </w:tc>
        <w:tc>
          <w:tcPr>
            <w:tcW w:w="9480" w:type="dxa"/>
            <w:vAlign w:val="bottom"/>
            <w:tcBorders>
              <w:bottom w:val="single" w:sz="8" w:color="170D67"/>
            </w:tcBorders>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1740" w:type="dxa"/>
            <w:vAlign w:val="bottom"/>
            <w:vMerge w:val="restart"/>
            <w:shd w:val="clear" w:color="auto" w:fill="E8E7EA"/>
          </w:tcPr>
          <w:p>
            <w:pPr>
              <w:ind w:left="20"/>
              <w:spacing w:after="0"/>
              <w:rPr>
                <w:sz w:val="20"/>
                <w:szCs w:val="20"/>
                <w:color w:val="auto"/>
              </w:rPr>
            </w:pPr>
            <w:r>
              <w:rPr>
                <w:rFonts w:ascii="Arial" w:cs="Arial" w:eastAsia="Arial" w:hAnsi="Arial"/>
                <w:sz w:val="16"/>
                <w:szCs w:val="16"/>
                <w:b w:val="1"/>
                <w:bCs w:val="1"/>
                <w:color w:val="170D67"/>
              </w:rPr>
              <w:t>Retiree Health</w:t>
            </w:r>
          </w:p>
        </w:tc>
        <w:tc>
          <w:tcPr>
            <w:tcW w:w="9480" w:type="dxa"/>
            <w:vAlign w:val="bottom"/>
          </w:tcPr>
          <w:p>
            <w:pPr>
              <w:ind w:left="20"/>
              <w:spacing w:after="0"/>
              <w:rPr>
                <w:sz w:val="20"/>
                <w:szCs w:val="20"/>
                <w:color w:val="auto"/>
              </w:rPr>
            </w:pPr>
            <w:r>
              <w:rPr>
                <w:rFonts w:ascii="Arial" w:cs="Arial" w:eastAsia="Arial" w:hAnsi="Arial"/>
                <w:sz w:val="16"/>
                <w:szCs w:val="16"/>
                <w:color w:val="auto"/>
              </w:rPr>
              <w:t>Executives who were hired prior to January 1, 2018, and attained age 40 prior to January 1, 2021 are eligible for retiree health</w:t>
            </w:r>
          </w:p>
        </w:tc>
        <w:tc>
          <w:tcPr>
            <w:tcW w:w="0" w:type="dxa"/>
            <w:vAlign w:val="bottom"/>
          </w:tcPr>
          <w:p>
            <w:pPr>
              <w:spacing w:after="0"/>
              <w:rPr>
                <w:sz w:val="1"/>
                <w:szCs w:val="1"/>
                <w:color w:val="auto"/>
              </w:rPr>
            </w:pPr>
          </w:p>
        </w:tc>
      </w:tr>
      <w:tr>
        <w:trPr>
          <w:trHeight w:val="204"/>
        </w:trPr>
        <w:tc>
          <w:tcPr>
            <w:tcW w:w="1740" w:type="dxa"/>
            <w:vAlign w:val="bottom"/>
            <w:vMerge w:val="continue"/>
            <w:shd w:val="clear" w:color="auto" w:fill="E8E7EA"/>
          </w:tcPr>
          <w:p>
            <w:pPr>
              <w:spacing w:after="0"/>
              <w:rPr>
                <w:sz w:val="17"/>
                <w:szCs w:val="17"/>
                <w:color w:val="auto"/>
              </w:rPr>
            </w:pPr>
          </w:p>
        </w:tc>
        <w:tc>
          <w:tcPr>
            <w:tcW w:w="9480" w:type="dxa"/>
            <w:vAlign w:val="bottom"/>
          </w:tcPr>
          <w:p>
            <w:pPr>
              <w:ind w:left="20"/>
              <w:spacing w:after="0"/>
              <w:rPr>
                <w:sz w:val="20"/>
                <w:szCs w:val="20"/>
                <w:color w:val="auto"/>
              </w:rPr>
            </w:pPr>
            <w:r>
              <w:rPr>
                <w:rFonts w:ascii="Arial" w:cs="Arial" w:eastAsia="Arial" w:hAnsi="Arial"/>
                <w:sz w:val="16"/>
                <w:szCs w:val="16"/>
                <w:color w:val="auto"/>
              </w:rPr>
              <w:t>coverage if: (i) as of the date of separation, they are at least age 55 with 10 years of service; or (ii) they separate from service under</w:t>
            </w:r>
          </w:p>
        </w:tc>
        <w:tc>
          <w:tcPr>
            <w:tcW w:w="0" w:type="dxa"/>
            <w:vAlign w:val="bottom"/>
          </w:tcPr>
          <w:p>
            <w:pPr>
              <w:spacing w:after="0"/>
              <w:rPr>
                <w:sz w:val="1"/>
                <w:szCs w:val="1"/>
                <w:color w:val="auto"/>
              </w:rPr>
            </w:pPr>
          </w:p>
        </w:tc>
      </w:tr>
      <w:tr>
        <w:trPr>
          <w:trHeight w:val="215"/>
        </w:trPr>
        <w:tc>
          <w:tcPr>
            <w:tcW w:w="1740" w:type="dxa"/>
            <w:vAlign w:val="bottom"/>
            <w:shd w:val="clear" w:color="auto" w:fill="E8E7EA"/>
          </w:tcPr>
          <w:p>
            <w:pPr>
              <w:ind w:left="20"/>
              <w:spacing w:after="0"/>
              <w:rPr>
                <w:sz w:val="20"/>
                <w:szCs w:val="20"/>
                <w:color w:val="auto"/>
              </w:rPr>
            </w:pPr>
            <w:r>
              <w:rPr>
                <w:rFonts w:ascii="Arial" w:cs="Arial" w:eastAsia="Arial" w:hAnsi="Arial"/>
                <w:sz w:val="16"/>
                <w:szCs w:val="16"/>
                <w:i w:val="1"/>
                <w:iCs w:val="1"/>
                <w:color w:val="170D67"/>
              </w:rPr>
              <w:t>(if eligible)</w:t>
            </w:r>
          </w:p>
        </w:tc>
        <w:tc>
          <w:tcPr>
            <w:tcW w:w="9480" w:type="dxa"/>
            <w:vAlign w:val="bottom"/>
          </w:tcPr>
          <w:p>
            <w:pPr>
              <w:ind w:left="20"/>
              <w:spacing w:after="0"/>
              <w:rPr>
                <w:sz w:val="20"/>
                <w:szCs w:val="20"/>
                <w:color w:val="auto"/>
              </w:rPr>
            </w:pPr>
            <w:r>
              <w:rPr>
                <w:rFonts w:ascii="Arial" w:cs="Arial" w:eastAsia="Arial" w:hAnsi="Arial"/>
                <w:sz w:val="16"/>
                <w:szCs w:val="16"/>
                <w:color w:val="auto"/>
              </w:rPr>
              <w:t>the SMSP and, as of the last day of their severance period, they are at least age 50 with 10 years of service. Executives hired on or</w:t>
            </w:r>
          </w:p>
        </w:tc>
        <w:tc>
          <w:tcPr>
            <w:tcW w:w="0" w:type="dxa"/>
            <w:vAlign w:val="bottom"/>
          </w:tcPr>
          <w:p>
            <w:pPr>
              <w:spacing w:after="0"/>
              <w:rPr>
                <w:sz w:val="1"/>
                <w:szCs w:val="1"/>
                <w:color w:val="auto"/>
              </w:rPr>
            </w:pPr>
          </w:p>
        </w:tc>
      </w:tr>
      <w:tr>
        <w:trPr>
          <w:trHeight w:val="225"/>
        </w:trPr>
        <w:tc>
          <w:tcPr>
            <w:tcW w:w="1740" w:type="dxa"/>
            <w:vAlign w:val="bottom"/>
            <w:tcBorders>
              <w:bottom w:val="single" w:sz="8" w:color="E8E7EA"/>
            </w:tcBorders>
            <w:shd w:val="clear" w:color="auto" w:fill="E8E7EA"/>
          </w:tcPr>
          <w:p>
            <w:pPr>
              <w:spacing w:after="0"/>
              <w:rPr>
                <w:sz w:val="19"/>
                <w:szCs w:val="19"/>
                <w:color w:val="auto"/>
              </w:rPr>
            </w:pPr>
          </w:p>
        </w:tc>
        <w:tc>
          <w:tcPr>
            <w:tcW w:w="9480" w:type="dxa"/>
            <w:vAlign w:val="bottom"/>
          </w:tcPr>
          <w:p>
            <w:pPr>
              <w:ind w:left="20"/>
              <w:spacing w:after="0"/>
              <w:rPr>
                <w:sz w:val="20"/>
                <w:szCs w:val="20"/>
                <w:color w:val="auto"/>
              </w:rPr>
            </w:pPr>
            <w:r>
              <w:rPr>
                <w:rFonts w:ascii="Arial" w:cs="Arial" w:eastAsia="Arial" w:hAnsi="Arial"/>
                <w:sz w:val="16"/>
                <w:szCs w:val="16"/>
                <w:color w:val="auto"/>
              </w:rPr>
              <w:t>after January 1, 2018 are not eligible for retiree health coverage.</w:t>
            </w:r>
          </w:p>
        </w:tc>
        <w:tc>
          <w:tcPr>
            <w:tcW w:w="0" w:type="dxa"/>
            <w:vAlign w:val="bottom"/>
          </w:tcPr>
          <w:p>
            <w:pPr>
              <w:spacing w:after="0"/>
              <w:rPr>
                <w:sz w:val="1"/>
                <w:szCs w:val="1"/>
                <w:color w:val="auto"/>
              </w:rPr>
            </w:pPr>
          </w:p>
        </w:tc>
      </w:tr>
      <w:tr>
        <w:trPr>
          <w:trHeight w:val="20"/>
        </w:trPr>
        <w:tc>
          <w:tcPr>
            <w:tcW w:w="1740" w:type="dxa"/>
            <w:vAlign w:val="bottom"/>
            <w:shd w:val="clear" w:color="auto" w:fill="170D67"/>
          </w:tcPr>
          <w:p>
            <w:pPr>
              <w:spacing w:after="0" w:line="20" w:lineRule="exact"/>
              <w:rPr>
                <w:sz w:val="1"/>
                <w:szCs w:val="1"/>
                <w:color w:val="auto"/>
              </w:rPr>
            </w:pPr>
          </w:p>
        </w:tc>
        <w:tc>
          <w:tcPr>
            <w:tcW w:w="9480" w:type="dxa"/>
            <w:vAlign w:val="bottom"/>
            <w:shd w:val="clear" w:color="auto" w:fill="170D6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Voluntary Termination; Involuntary Termination with Cause</w:t>
      </w:r>
    </w:p>
    <w:p>
      <w:pPr>
        <w:spacing w:after="0" w:line="122"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In the event an NEO resigns (i.e., a voluntary termination before retirement eligibility) or is terminated for cause, his or her annual incentive award, unvested RSU, and performance share awards are forfeited. They remain eligible for the benefits noted above as available under any termination scenario but no additional benefits are provided.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Retirement</w:t>
      </w:r>
    </w:p>
    <w:p>
      <w:pPr>
        <w:spacing w:after="0" w:line="122"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The NEOs are entitled to receive benefits and equity award treatment in the event of their retirement as summarized in the table below. These benefits are in addition to those benefits noted above as available under any termination scenario.</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40" w:type="dxa"/>
            <w:vAlign w:val="bottom"/>
            <w:tcBorders>
              <w:top w:val="single" w:sz="8" w:color="170D67"/>
              <w:bottom w:val="single" w:sz="8" w:color="E8E7EA"/>
            </w:tcBorders>
            <w:shd w:val="clear" w:color="auto" w:fill="E8E7EA"/>
          </w:tcPr>
          <w:p>
            <w:pPr>
              <w:ind w:left="20"/>
              <w:spacing w:after="0"/>
              <w:rPr>
                <w:sz w:val="20"/>
                <w:szCs w:val="20"/>
                <w:color w:val="auto"/>
              </w:rPr>
            </w:pPr>
            <w:r>
              <w:rPr>
                <w:rFonts w:ascii="Arial" w:cs="Arial" w:eastAsia="Arial" w:hAnsi="Arial"/>
                <w:sz w:val="15"/>
                <w:szCs w:val="15"/>
                <w:b w:val="1"/>
                <w:bCs w:val="1"/>
                <w:color w:val="170D67"/>
              </w:rPr>
              <w:t>Annual Incentive</w:t>
            </w:r>
          </w:p>
        </w:tc>
        <w:tc>
          <w:tcPr>
            <w:tcW w:w="9480" w:type="dxa"/>
            <w:vAlign w:val="bottom"/>
            <w:tcBorders>
              <w:top w:val="single" w:sz="8" w:color="170D67"/>
            </w:tcBorders>
          </w:tcPr>
          <w:p>
            <w:pPr>
              <w:ind w:left="20"/>
              <w:spacing w:after="0"/>
              <w:rPr>
                <w:sz w:val="20"/>
                <w:szCs w:val="20"/>
                <w:color w:val="auto"/>
              </w:rPr>
            </w:pPr>
            <w:r>
              <w:rPr>
                <w:rFonts w:ascii="Arial" w:cs="Arial" w:eastAsia="Arial" w:hAnsi="Arial"/>
                <w:sz w:val="16"/>
                <w:szCs w:val="16"/>
                <w:color w:val="auto"/>
              </w:rPr>
              <w:t>Prorated for the portion of the year worked and paid on the normal schedule when paid to active executives.</w:t>
            </w:r>
          </w:p>
        </w:tc>
        <w:tc>
          <w:tcPr>
            <w:tcW w:w="0" w:type="dxa"/>
            <w:vAlign w:val="bottom"/>
          </w:tcPr>
          <w:p>
            <w:pPr>
              <w:spacing w:after="0"/>
              <w:rPr>
                <w:sz w:val="1"/>
                <w:szCs w:val="1"/>
                <w:color w:val="auto"/>
              </w:rPr>
            </w:pPr>
          </w:p>
        </w:tc>
      </w:tr>
      <w:tr>
        <w:trPr>
          <w:trHeight w:val="290"/>
        </w:trPr>
        <w:tc>
          <w:tcPr>
            <w:tcW w:w="1740" w:type="dxa"/>
            <w:vAlign w:val="bottom"/>
            <w:tcBorders>
              <w:top w:val="single" w:sz="8" w:color="170D67"/>
            </w:tcBorders>
            <w:shd w:val="clear" w:color="auto" w:fill="E8E7EA"/>
          </w:tcPr>
          <w:p>
            <w:pPr>
              <w:spacing w:after="0"/>
              <w:rPr>
                <w:sz w:val="24"/>
                <w:szCs w:val="24"/>
                <w:color w:val="auto"/>
              </w:rPr>
            </w:pPr>
          </w:p>
        </w:tc>
        <w:tc>
          <w:tcPr>
            <w:tcW w:w="9480" w:type="dxa"/>
            <w:vAlign w:val="bottom"/>
            <w:tcBorders>
              <w:top w:val="single" w:sz="8" w:color="170D67"/>
            </w:tcBorders>
          </w:tcPr>
          <w:p>
            <w:pPr>
              <w:ind w:left="20"/>
              <w:spacing w:after="0"/>
              <w:rPr>
                <w:sz w:val="20"/>
                <w:szCs w:val="20"/>
                <w:color w:val="auto"/>
              </w:rPr>
            </w:pPr>
            <w:r>
              <w:rPr>
                <w:rFonts w:ascii="Arial" w:cs="Arial" w:eastAsia="Arial" w:hAnsi="Arial"/>
                <w:sz w:val="16"/>
                <w:szCs w:val="16"/>
                <w:color w:val="auto"/>
              </w:rPr>
              <w:t>Unvested restricted stock unit (RSU) awards granted in prior years vest as of the date of separation. In the case of voluntary</w:t>
            </w:r>
          </w:p>
        </w:tc>
        <w:tc>
          <w:tcPr>
            <w:tcW w:w="0" w:type="dxa"/>
            <w:vAlign w:val="bottom"/>
          </w:tcPr>
          <w:p>
            <w:pPr>
              <w:spacing w:after="0"/>
              <w:rPr>
                <w:sz w:val="1"/>
                <w:szCs w:val="1"/>
                <w:color w:val="auto"/>
              </w:rPr>
            </w:pPr>
          </w:p>
        </w:tc>
      </w:tr>
      <w:tr>
        <w:trPr>
          <w:trHeight w:val="215"/>
        </w:trPr>
        <w:tc>
          <w:tcPr>
            <w:tcW w:w="1740" w:type="dxa"/>
            <w:vAlign w:val="bottom"/>
            <w:shd w:val="clear" w:color="auto" w:fill="E8E7EA"/>
          </w:tcPr>
          <w:p>
            <w:pPr>
              <w:spacing w:after="0"/>
              <w:rPr>
                <w:sz w:val="18"/>
                <w:szCs w:val="18"/>
                <w:color w:val="auto"/>
              </w:rPr>
            </w:pPr>
          </w:p>
        </w:tc>
        <w:tc>
          <w:tcPr>
            <w:tcW w:w="9480" w:type="dxa"/>
            <w:vAlign w:val="bottom"/>
          </w:tcPr>
          <w:p>
            <w:pPr>
              <w:ind w:left="20"/>
              <w:spacing w:after="0"/>
              <w:rPr>
                <w:sz w:val="20"/>
                <w:szCs w:val="20"/>
                <w:color w:val="auto"/>
              </w:rPr>
            </w:pPr>
            <w:r>
              <w:rPr>
                <w:rFonts w:ascii="Arial" w:cs="Arial" w:eastAsia="Arial" w:hAnsi="Arial"/>
                <w:sz w:val="16"/>
                <w:szCs w:val="16"/>
                <w:color w:val="auto"/>
              </w:rPr>
              <w:t>retirement, RSU awards granted in the current year vest as of the date of separation if such date is after June 30, otherwise the</w:t>
            </w:r>
          </w:p>
        </w:tc>
        <w:tc>
          <w:tcPr>
            <w:tcW w:w="0" w:type="dxa"/>
            <w:vAlign w:val="bottom"/>
          </w:tcPr>
          <w:p>
            <w:pPr>
              <w:spacing w:after="0"/>
              <w:rPr>
                <w:sz w:val="1"/>
                <w:szCs w:val="1"/>
                <w:color w:val="auto"/>
              </w:rPr>
            </w:pPr>
          </w:p>
        </w:tc>
      </w:tr>
      <w:tr>
        <w:trPr>
          <w:trHeight w:val="204"/>
        </w:trPr>
        <w:tc>
          <w:tcPr>
            <w:tcW w:w="1740" w:type="dxa"/>
            <w:vAlign w:val="bottom"/>
            <w:vMerge w:val="restart"/>
            <w:shd w:val="clear" w:color="auto" w:fill="E8E7EA"/>
          </w:tcPr>
          <w:p>
            <w:pPr>
              <w:ind w:left="20"/>
              <w:spacing w:after="0"/>
              <w:rPr>
                <w:sz w:val="20"/>
                <w:szCs w:val="20"/>
                <w:color w:val="auto"/>
              </w:rPr>
            </w:pPr>
            <w:r>
              <w:rPr>
                <w:rFonts w:ascii="Arial" w:cs="Arial" w:eastAsia="Arial" w:hAnsi="Arial"/>
                <w:sz w:val="15"/>
                <w:szCs w:val="15"/>
                <w:b w:val="1"/>
                <w:bCs w:val="1"/>
                <w:color w:val="170D67"/>
              </w:rPr>
              <w:t>Equity Awards</w:t>
            </w:r>
            <w:r>
              <w:rPr>
                <w:rFonts w:ascii="Arial" w:cs="Arial" w:eastAsia="Arial" w:hAnsi="Arial"/>
                <w:sz w:val="19"/>
                <w:szCs w:val="19"/>
                <w:b w:val="1"/>
                <w:bCs w:val="1"/>
                <w:color w:val="170D67"/>
                <w:vertAlign w:val="superscript"/>
              </w:rPr>
              <w:t>1</w:t>
            </w:r>
          </w:p>
        </w:tc>
        <w:tc>
          <w:tcPr>
            <w:tcW w:w="9480" w:type="dxa"/>
            <w:vAlign w:val="bottom"/>
          </w:tcPr>
          <w:p>
            <w:pPr>
              <w:ind w:left="20"/>
              <w:spacing w:after="0"/>
              <w:rPr>
                <w:sz w:val="20"/>
                <w:szCs w:val="20"/>
                <w:color w:val="auto"/>
              </w:rPr>
            </w:pPr>
            <w:r>
              <w:rPr>
                <w:rFonts w:ascii="Arial" w:cs="Arial" w:eastAsia="Arial" w:hAnsi="Arial"/>
                <w:sz w:val="16"/>
                <w:szCs w:val="16"/>
                <w:color w:val="auto"/>
              </w:rPr>
              <w:t>current year RSU award is forfeited. In the case of involuntary termination (other than for cause) for a retirement-eligible executive,</w:t>
            </w:r>
          </w:p>
        </w:tc>
        <w:tc>
          <w:tcPr>
            <w:tcW w:w="0" w:type="dxa"/>
            <w:vAlign w:val="bottom"/>
          </w:tcPr>
          <w:p>
            <w:pPr>
              <w:spacing w:after="0"/>
              <w:rPr>
                <w:sz w:val="1"/>
                <w:szCs w:val="1"/>
                <w:color w:val="auto"/>
              </w:rPr>
            </w:pPr>
          </w:p>
        </w:tc>
      </w:tr>
      <w:tr>
        <w:trPr>
          <w:trHeight w:val="163"/>
        </w:trPr>
        <w:tc>
          <w:tcPr>
            <w:tcW w:w="1740" w:type="dxa"/>
            <w:vAlign w:val="bottom"/>
            <w:vMerge w:val="continue"/>
            <w:shd w:val="clear" w:color="auto" w:fill="E8E7EA"/>
          </w:tcPr>
          <w:p>
            <w:pPr>
              <w:spacing w:after="0"/>
              <w:rPr>
                <w:sz w:val="14"/>
                <w:szCs w:val="14"/>
                <w:color w:val="auto"/>
              </w:rPr>
            </w:pPr>
          </w:p>
        </w:tc>
        <w:tc>
          <w:tcPr>
            <w:tcW w:w="9480" w:type="dxa"/>
            <w:vAlign w:val="bottom"/>
            <w:vMerge w:val="restart"/>
          </w:tcPr>
          <w:p>
            <w:pPr>
              <w:ind w:left="20"/>
              <w:spacing w:after="0"/>
              <w:rPr>
                <w:sz w:val="20"/>
                <w:szCs w:val="20"/>
                <w:color w:val="auto"/>
              </w:rPr>
            </w:pPr>
            <w:r>
              <w:rPr>
                <w:rFonts w:ascii="Arial" w:cs="Arial" w:eastAsia="Arial" w:hAnsi="Arial"/>
                <w:sz w:val="16"/>
                <w:szCs w:val="16"/>
                <w:color w:val="auto"/>
              </w:rPr>
              <w:t>RSU awards granted in the current year vest as of the date of separation.</w:t>
            </w:r>
          </w:p>
        </w:tc>
        <w:tc>
          <w:tcPr>
            <w:tcW w:w="0" w:type="dxa"/>
            <w:vAlign w:val="bottom"/>
          </w:tcPr>
          <w:p>
            <w:pPr>
              <w:spacing w:after="0"/>
              <w:rPr>
                <w:sz w:val="1"/>
                <w:szCs w:val="1"/>
                <w:color w:val="auto"/>
              </w:rPr>
            </w:pPr>
          </w:p>
        </w:tc>
      </w:tr>
      <w:tr>
        <w:trPr>
          <w:trHeight w:val="52"/>
        </w:trPr>
        <w:tc>
          <w:tcPr>
            <w:tcW w:w="1740" w:type="dxa"/>
            <w:vAlign w:val="bottom"/>
            <w:shd w:val="clear" w:color="auto" w:fill="E8E7EA"/>
          </w:tcPr>
          <w:p>
            <w:pPr>
              <w:spacing w:after="0"/>
              <w:rPr>
                <w:sz w:val="4"/>
                <w:szCs w:val="4"/>
                <w:color w:val="auto"/>
              </w:rPr>
            </w:pPr>
          </w:p>
        </w:tc>
        <w:tc>
          <w:tcPr>
            <w:tcW w:w="9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740" w:type="dxa"/>
            <w:vAlign w:val="bottom"/>
            <w:shd w:val="clear" w:color="auto" w:fill="E8E7EA"/>
          </w:tcPr>
          <w:p>
            <w:pPr>
              <w:spacing w:after="0"/>
              <w:rPr>
                <w:sz w:val="24"/>
                <w:szCs w:val="24"/>
                <w:color w:val="auto"/>
              </w:rPr>
            </w:pPr>
          </w:p>
        </w:tc>
        <w:tc>
          <w:tcPr>
            <w:tcW w:w="9480" w:type="dxa"/>
            <w:vAlign w:val="bottom"/>
          </w:tcPr>
          <w:p>
            <w:pPr>
              <w:ind w:left="20"/>
              <w:spacing w:after="0"/>
              <w:rPr>
                <w:sz w:val="20"/>
                <w:szCs w:val="20"/>
                <w:color w:val="auto"/>
              </w:rPr>
            </w:pPr>
            <w:r>
              <w:rPr>
                <w:rFonts w:ascii="Arial" w:cs="Arial" w:eastAsia="Arial" w:hAnsi="Arial"/>
                <w:sz w:val="16"/>
                <w:szCs w:val="16"/>
                <w:color w:val="auto"/>
              </w:rPr>
              <w:t>Prior year performance share awards vest and the current year award vests on prorated basis, each based on actual performance</w:t>
            </w:r>
          </w:p>
        </w:tc>
        <w:tc>
          <w:tcPr>
            <w:tcW w:w="0" w:type="dxa"/>
            <w:vAlign w:val="bottom"/>
          </w:tcPr>
          <w:p>
            <w:pPr>
              <w:spacing w:after="0"/>
              <w:rPr>
                <w:sz w:val="1"/>
                <w:szCs w:val="1"/>
                <w:color w:val="auto"/>
              </w:rPr>
            </w:pPr>
          </w:p>
        </w:tc>
      </w:tr>
      <w:tr>
        <w:trPr>
          <w:trHeight w:val="216"/>
        </w:trPr>
        <w:tc>
          <w:tcPr>
            <w:tcW w:w="1740" w:type="dxa"/>
            <w:vAlign w:val="bottom"/>
            <w:shd w:val="clear" w:color="auto" w:fill="E8E7EA"/>
          </w:tcPr>
          <w:p>
            <w:pPr>
              <w:spacing w:after="0"/>
              <w:rPr>
                <w:sz w:val="18"/>
                <w:szCs w:val="18"/>
                <w:color w:val="auto"/>
              </w:rPr>
            </w:pPr>
          </w:p>
        </w:tc>
        <w:tc>
          <w:tcPr>
            <w:tcW w:w="9480" w:type="dxa"/>
            <w:vAlign w:val="bottom"/>
          </w:tcPr>
          <w:p>
            <w:pPr>
              <w:ind w:left="20"/>
              <w:spacing w:after="0"/>
              <w:rPr>
                <w:sz w:val="20"/>
                <w:szCs w:val="20"/>
                <w:color w:val="auto"/>
              </w:rPr>
            </w:pPr>
            <w:r>
              <w:rPr>
                <w:rFonts w:ascii="Arial" w:cs="Arial" w:eastAsia="Arial" w:hAnsi="Arial"/>
                <w:sz w:val="16"/>
                <w:szCs w:val="16"/>
                <w:color w:val="auto"/>
              </w:rPr>
              <w:t>and payable when paid to active executives.</w:t>
            </w:r>
          </w:p>
        </w:tc>
        <w:tc>
          <w:tcPr>
            <w:tcW w:w="0" w:type="dxa"/>
            <w:vAlign w:val="bottom"/>
          </w:tcPr>
          <w:p>
            <w:pPr>
              <w:spacing w:after="0"/>
              <w:rPr>
                <w:sz w:val="1"/>
                <w:szCs w:val="1"/>
                <w:color w:val="auto"/>
              </w:rPr>
            </w:pPr>
          </w:p>
        </w:tc>
      </w:tr>
      <w:tr>
        <w:trPr>
          <w:trHeight w:val="110"/>
        </w:trPr>
        <w:tc>
          <w:tcPr>
            <w:tcW w:w="1740" w:type="dxa"/>
            <w:vAlign w:val="bottom"/>
            <w:tcBorders>
              <w:bottom w:val="single" w:sz="8" w:color="170D67"/>
            </w:tcBorders>
            <w:shd w:val="clear" w:color="auto" w:fill="E8E7EA"/>
          </w:tcPr>
          <w:p>
            <w:pPr>
              <w:spacing w:after="0"/>
              <w:rPr>
                <w:sz w:val="9"/>
                <w:szCs w:val="9"/>
                <w:color w:val="auto"/>
              </w:rPr>
            </w:pPr>
          </w:p>
        </w:tc>
        <w:tc>
          <w:tcPr>
            <w:tcW w:w="9480" w:type="dxa"/>
            <w:vAlign w:val="bottom"/>
            <w:tcBorders>
              <w:bottom w:val="single" w:sz="8" w:color="170D67"/>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740" w:type="dxa"/>
            <w:vAlign w:val="bottom"/>
            <w:tcBorders>
              <w:bottom w:val="single" w:sz="8" w:color="E8E7EA"/>
            </w:tcBorders>
            <w:shd w:val="clear" w:color="auto" w:fill="E8E7EA"/>
          </w:tcPr>
          <w:p>
            <w:pPr>
              <w:ind w:left="20"/>
              <w:spacing w:after="0"/>
              <w:rPr>
                <w:sz w:val="20"/>
                <w:szCs w:val="20"/>
                <w:color w:val="auto"/>
              </w:rPr>
            </w:pPr>
            <w:r>
              <w:rPr>
                <w:rFonts w:ascii="Arial" w:cs="Arial" w:eastAsia="Arial" w:hAnsi="Arial"/>
                <w:sz w:val="16"/>
                <w:szCs w:val="16"/>
                <w:b w:val="1"/>
                <w:bCs w:val="1"/>
                <w:color w:val="170D67"/>
              </w:rPr>
              <w:t>Financial Planning</w:t>
            </w:r>
          </w:p>
        </w:tc>
        <w:tc>
          <w:tcPr>
            <w:tcW w:w="9480" w:type="dxa"/>
            <w:vAlign w:val="bottom"/>
          </w:tcPr>
          <w:p>
            <w:pPr>
              <w:ind w:left="20"/>
              <w:spacing w:after="0"/>
              <w:rPr>
                <w:sz w:val="20"/>
                <w:szCs w:val="20"/>
                <w:color w:val="auto"/>
              </w:rPr>
            </w:pPr>
            <w:r>
              <w:rPr>
                <w:rFonts w:ascii="Arial" w:cs="Arial" w:eastAsia="Arial" w:hAnsi="Arial"/>
                <w:sz w:val="16"/>
                <w:szCs w:val="16"/>
                <w:color w:val="auto"/>
              </w:rPr>
              <w:t>Financial planning services for a period of 12 months.</w:t>
            </w:r>
          </w:p>
        </w:tc>
        <w:tc>
          <w:tcPr>
            <w:tcW w:w="0" w:type="dxa"/>
            <w:vAlign w:val="bottom"/>
          </w:tcPr>
          <w:p>
            <w:pPr>
              <w:spacing w:after="0"/>
              <w:rPr>
                <w:sz w:val="1"/>
                <w:szCs w:val="1"/>
                <w:color w:val="auto"/>
              </w:rPr>
            </w:pPr>
          </w:p>
        </w:tc>
      </w:tr>
      <w:tr>
        <w:trPr>
          <w:trHeight w:val="20"/>
        </w:trPr>
        <w:tc>
          <w:tcPr>
            <w:tcW w:w="1740" w:type="dxa"/>
            <w:vAlign w:val="bottom"/>
            <w:shd w:val="clear" w:color="auto" w:fill="170D67"/>
          </w:tcPr>
          <w:p>
            <w:pPr>
              <w:spacing w:after="0" w:line="20" w:lineRule="exact"/>
              <w:rPr>
                <w:sz w:val="1"/>
                <w:szCs w:val="1"/>
                <w:color w:val="auto"/>
              </w:rPr>
            </w:pPr>
          </w:p>
        </w:tc>
        <w:tc>
          <w:tcPr>
            <w:tcW w:w="9480" w:type="dxa"/>
            <w:vAlign w:val="bottom"/>
            <w:shd w:val="clear" w:color="auto" w:fill="170D6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260" w:right="40" w:hanging="252"/>
        <w:spacing w:after="0" w:line="325" w:lineRule="auto"/>
        <w:tabs>
          <w:tab w:leader="none" w:pos="263" w:val="left"/>
        </w:tabs>
        <w:numPr>
          <w:ilvl w:val="0"/>
          <w:numId w:val="137"/>
        </w:numPr>
        <w:rPr>
          <w:rFonts w:ascii="Arial" w:cs="Arial" w:eastAsia="Arial" w:hAnsi="Arial"/>
          <w:sz w:val="8"/>
          <w:szCs w:val="8"/>
          <w:color w:val="auto"/>
        </w:rPr>
      </w:pPr>
      <w:r>
        <w:rPr>
          <w:rFonts w:ascii="Arial" w:cs="Arial" w:eastAsia="Arial" w:hAnsi="Arial"/>
          <w:sz w:val="14"/>
          <w:szCs w:val="14"/>
          <w:color w:val="auto"/>
        </w:rPr>
        <w:t>For purposes of equity awards, “retirement” means a voluntary or involuntary (other than for cause) termination of employment after attaining age 55 and completing at least 10 years of service with the Company.</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8780"/>
        <w:spacing w:after="0"/>
        <w:tabs>
          <w:tab w:leader="none" w:pos="11040" w:val="left"/>
        </w:tabs>
        <w:rPr>
          <w:sz w:val="20"/>
          <w:szCs w:val="20"/>
          <w:color w:val="auto"/>
        </w:rPr>
      </w:pPr>
      <w:r>
        <w:rPr>
          <w:rFonts w:ascii="Arial" w:cs="Arial" w:eastAsia="Arial" w:hAnsi="Arial"/>
          <w:sz w:val="14"/>
          <w:szCs w:val="14"/>
          <w:color w:val="auto"/>
        </w:rPr>
        <w:t>2025 ׀ Exelon Proxy Statement</w:t>
      </w:r>
      <w:r>
        <w:rPr>
          <w:sz w:val="20"/>
          <w:szCs w:val="20"/>
          <w:color w:val="auto"/>
        </w:rPr>
        <w:tab/>
      </w:r>
      <w:r>
        <w:rPr>
          <w:rFonts w:ascii="Arial" w:cs="Arial" w:eastAsia="Arial" w:hAnsi="Arial"/>
          <w:sz w:val="14"/>
          <w:szCs w:val="14"/>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3"/>
          <w:szCs w:val="13"/>
          <w:b w:val="1"/>
          <w:bCs w:val="1"/>
          <w:color w:val="auto"/>
        </w:rPr>
        <w:t>Compensation Discussion &amp; Analysis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Estimated Value of Benefits to be Received Upon Retirement: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40" w:type="dxa"/>
            <w:vAlign w:val="bottom"/>
          </w:tcPr>
          <w:p>
            <w:pPr>
              <w:spacing w:after="0"/>
              <w:rPr>
                <w:sz w:val="15"/>
                <w:szCs w:val="15"/>
                <w:color w:val="auto"/>
              </w:rPr>
            </w:pPr>
          </w:p>
        </w:tc>
        <w:tc>
          <w:tcPr>
            <w:tcW w:w="3320" w:type="dxa"/>
            <w:vAlign w:val="bottom"/>
          </w:tcPr>
          <w:p>
            <w:pPr>
              <w:jc w:val="right"/>
              <w:ind w:right="226"/>
              <w:spacing w:after="0"/>
              <w:rPr>
                <w:sz w:val="20"/>
                <w:szCs w:val="20"/>
                <w:color w:val="auto"/>
              </w:rPr>
            </w:pPr>
            <w:r>
              <w:rPr>
                <w:rFonts w:ascii="Arial" w:cs="Arial" w:eastAsia="Arial" w:hAnsi="Arial"/>
                <w:sz w:val="14"/>
                <w:szCs w:val="14"/>
                <w:b w:val="1"/>
                <w:bCs w:val="1"/>
                <w:color w:val="170D67"/>
              </w:rPr>
              <w:t>Cash</w:t>
            </w:r>
          </w:p>
        </w:tc>
        <w:tc>
          <w:tcPr>
            <w:tcW w:w="1880" w:type="dxa"/>
            <w:vAlign w:val="bottom"/>
          </w:tcPr>
          <w:p>
            <w:pPr>
              <w:jc w:val="right"/>
              <w:ind w:right="286"/>
              <w:spacing w:after="0"/>
              <w:rPr>
                <w:sz w:val="20"/>
                <w:szCs w:val="20"/>
                <w:color w:val="auto"/>
              </w:rPr>
            </w:pPr>
            <w:r>
              <w:rPr>
                <w:rFonts w:ascii="Arial" w:cs="Arial" w:eastAsia="Arial" w:hAnsi="Arial"/>
                <w:sz w:val="14"/>
                <w:szCs w:val="14"/>
                <w:b w:val="1"/>
                <w:bCs w:val="1"/>
                <w:color w:val="170D67"/>
              </w:rPr>
              <w:t>Value of Unvested</w:t>
            </w:r>
          </w:p>
        </w:tc>
        <w:tc>
          <w:tcPr>
            <w:tcW w:w="1740" w:type="dxa"/>
            <w:vAlign w:val="bottom"/>
          </w:tcPr>
          <w:p>
            <w:pPr>
              <w:jc w:val="right"/>
              <w:ind w:right="226"/>
              <w:spacing w:after="0"/>
              <w:rPr>
                <w:sz w:val="20"/>
                <w:szCs w:val="20"/>
                <w:color w:val="auto"/>
              </w:rPr>
            </w:pPr>
            <w:r>
              <w:rPr>
                <w:rFonts w:ascii="Arial" w:cs="Arial" w:eastAsia="Arial" w:hAnsi="Arial"/>
                <w:sz w:val="14"/>
                <w:szCs w:val="14"/>
                <w:b w:val="1"/>
                <w:bCs w:val="1"/>
                <w:color w:val="170D67"/>
              </w:rPr>
              <w:t>Perquisites and</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170D67"/>
              </w:rPr>
              <w:t>Total Value of</w:t>
            </w: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3320" w:type="dxa"/>
            <w:vAlign w:val="bottom"/>
          </w:tcPr>
          <w:p>
            <w:pPr>
              <w:jc w:val="right"/>
              <w:ind w:right="226"/>
              <w:spacing w:after="0"/>
              <w:rPr>
                <w:sz w:val="20"/>
                <w:szCs w:val="20"/>
                <w:color w:val="auto"/>
              </w:rPr>
            </w:pPr>
            <w:r>
              <w:rPr>
                <w:rFonts w:ascii="Arial" w:cs="Arial" w:eastAsia="Arial" w:hAnsi="Arial"/>
                <w:sz w:val="14"/>
                <w:szCs w:val="14"/>
                <w:b w:val="1"/>
                <w:bCs w:val="1"/>
                <w:color w:val="170D67"/>
              </w:rPr>
              <w:t>Payment</w:t>
            </w:r>
          </w:p>
        </w:tc>
        <w:tc>
          <w:tcPr>
            <w:tcW w:w="1880" w:type="dxa"/>
            <w:vAlign w:val="bottom"/>
          </w:tcPr>
          <w:p>
            <w:pPr>
              <w:jc w:val="right"/>
              <w:ind w:right="286"/>
              <w:spacing w:after="0"/>
              <w:rPr>
                <w:sz w:val="20"/>
                <w:szCs w:val="20"/>
                <w:color w:val="auto"/>
              </w:rPr>
            </w:pPr>
            <w:r>
              <w:rPr>
                <w:rFonts w:ascii="Arial" w:cs="Arial" w:eastAsia="Arial" w:hAnsi="Arial"/>
                <w:sz w:val="14"/>
                <w:szCs w:val="14"/>
                <w:b w:val="1"/>
                <w:bCs w:val="1"/>
                <w:color w:val="170D67"/>
              </w:rPr>
              <w:t>Equity Awards</w:t>
            </w:r>
          </w:p>
        </w:tc>
        <w:tc>
          <w:tcPr>
            <w:tcW w:w="1740" w:type="dxa"/>
            <w:vAlign w:val="bottom"/>
          </w:tcPr>
          <w:p>
            <w:pPr>
              <w:jc w:val="right"/>
              <w:ind w:right="226"/>
              <w:spacing w:after="0"/>
              <w:rPr>
                <w:sz w:val="20"/>
                <w:szCs w:val="20"/>
                <w:color w:val="auto"/>
              </w:rPr>
            </w:pPr>
            <w:r>
              <w:rPr>
                <w:rFonts w:ascii="Arial" w:cs="Arial" w:eastAsia="Arial" w:hAnsi="Arial"/>
                <w:sz w:val="14"/>
                <w:szCs w:val="14"/>
                <w:b w:val="1"/>
                <w:bCs w:val="1"/>
                <w:color w:val="170D67"/>
              </w:rPr>
              <w:t>Other Benefits</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170D67"/>
              </w:rPr>
              <w:t>All Payments</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170D67"/>
              </w:rPr>
              <w:t>Name</w:t>
            </w:r>
          </w:p>
        </w:tc>
        <w:tc>
          <w:tcPr>
            <w:tcW w:w="3320" w:type="dxa"/>
            <w:vAlign w:val="bottom"/>
          </w:tcPr>
          <w:p>
            <w:pPr>
              <w:jc w:val="right"/>
              <w:ind w:right="226"/>
              <w:spacing w:after="0"/>
              <w:rPr>
                <w:sz w:val="20"/>
                <w:szCs w:val="20"/>
                <w:color w:val="auto"/>
              </w:rPr>
            </w:pPr>
            <w:r>
              <w:rPr>
                <w:rFonts w:ascii="Arial" w:cs="Arial" w:eastAsia="Arial" w:hAnsi="Arial"/>
                <w:sz w:val="14"/>
                <w:szCs w:val="14"/>
                <w:b w:val="1"/>
                <w:bCs w:val="1"/>
                <w:color w:val="170D67"/>
              </w:rPr>
              <w:t>($)</w:t>
            </w:r>
          </w:p>
        </w:tc>
        <w:tc>
          <w:tcPr>
            <w:tcW w:w="1880" w:type="dxa"/>
            <w:vAlign w:val="bottom"/>
          </w:tcPr>
          <w:p>
            <w:pPr>
              <w:jc w:val="right"/>
              <w:ind w:right="286"/>
              <w:spacing w:after="0"/>
              <w:rPr>
                <w:sz w:val="20"/>
                <w:szCs w:val="20"/>
                <w:color w:val="auto"/>
              </w:rPr>
            </w:pPr>
            <w:r>
              <w:rPr>
                <w:rFonts w:ascii="Arial" w:cs="Arial" w:eastAsia="Arial" w:hAnsi="Arial"/>
                <w:sz w:val="14"/>
                <w:szCs w:val="14"/>
                <w:b w:val="1"/>
                <w:bCs w:val="1"/>
                <w:color w:val="170D67"/>
              </w:rPr>
              <w:t>($)</w:t>
            </w:r>
          </w:p>
        </w:tc>
        <w:tc>
          <w:tcPr>
            <w:tcW w:w="1740" w:type="dxa"/>
            <w:vAlign w:val="bottom"/>
          </w:tcPr>
          <w:p>
            <w:pPr>
              <w:jc w:val="right"/>
              <w:ind w:right="226"/>
              <w:spacing w:after="0"/>
              <w:rPr>
                <w:sz w:val="20"/>
                <w:szCs w:val="20"/>
                <w:color w:val="auto"/>
              </w:rPr>
            </w:pPr>
            <w:r>
              <w:rPr>
                <w:rFonts w:ascii="Arial" w:cs="Arial" w:eastAsia="Arial" w:hAnsi="Arial"/>
                <w:sz w:val="14"/>
                <w:szCs w:val="14"/>
                <w:b w:val="1"/>
                <w:bCs w:val="1"/>
                <w:color w:val="170D67"/>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170D67"/>
              </w:rPr>
              <w:t>and Benefits</w:t>
            </w:r>
          </w:p>
        </w:tc>
        <w:tc>
          <w:tcPr>
            <w:tcW w:w="0" w:type="dxa"/>
            <w:vAlign w:val="bottom"/>
          </w:tcPr>
          <w:p>
            <w:pPr>
              <w:spacing w:after="0"/>
              <w:rPr>
                <w:sz w:val="1"/>
                <w:szCs w:val="1"/>
                <w:color w:val="auto"/>
              </w:rPr>
            </w:pPr>
          </w:p>
        </w:tc>
      </w:tr>
      <w:tr>
        <w:trPr>
          <w:trHeight w:val="197"/>
        </w:trPr>
        <w:tc>
          <w:tcPr>
            <w:tcW w:w="3040" w:type="dxa"/>
            <w:vAlign w:val="bottom"/>
            <w:tcBorders>
              <w:bottom w:val="single" w:sz="8" w:color="170D67"/>
            </w:tcBorders>
            <w:vMerge w:val="continue"/>
          </w:tcPr>
          <w:p>
            <w:pPr>
              <w:spacing w:after="0"/>
              <w:rPr>
                <w:sz w:val="17"/>
                <w:szCs w:val="17"/>
                <w:color w:val="auto"/>
              </w:rPr>
            </w:pPr>
          </w:p>
        </w:tc>
        <w:tc>
          <w:tcPr>
            <w:tcW w:w="3320" w:type="dxa"/>
            <w:vAlign w:val="bottom"/>
            <w:tcBorders>
              <w:bottom w:val="single" w:sz="8" w:color="170D67"/>
            </w:tcBorders>
          </w:tcPr>
          <w:p>
            <w:pPr>
              <w:jc w:val="right"/>
              <w:ind w:right="226"/>
              <w:spacing w:after="0"/>
              <w:rPr>
                <w:sz w:val="20"/>
                <w:szCs w:val="20"/>
                <w:color w:val="auto"/>
              </w:rPr>
            </w:pPr>
            <w:r>
              <w:rPr>
                <w:rFonts w:ascii="Arial" w:cs="Arial" w:eastAsia="Arial" w:hAnsi="Arial"/>
                <w:sz w:val="14"/>
                <w:szCs w:val="14"/>
                <w:b w:val="1"/>
                <w:bCs w:val="1"/>
                <w:color w:val="170D67"/>
              </w:rPr>
              <w:t>(Note 1)</w:t>
            </w:r>
          </w:p>
        </w:tc>
        <w:tc>
          <w:tcPr>
            <w:tcW w:w="1880" w:type="dxa"/>
            <w:vAlign w:val="bottom"/>
            <w:tcBorders>
              <w:bottom w:val="single" w:sz="8" w:color="170D67"/>
            </w:tcBorders>
          </w:tcPr>
          <w:p>
            <w:pPr>
              <w:jc w:val="right"/>
              <w:ind w:right="286"/>
              <w:spacing w:after="0"/>
              <w:rPr>
                <w:sz w:val="20"/>
                <w:szCs w:val="20"/>
                <w:color w:val="auto"/>
              </w:rPr>
            </w:pPr>
            <w:r>
              <w:rPr>
                <w:rFonts w:ascii="Arial" w:cs="Arial" w:eastAsia="Arial" w:hAnsi="Arial"/>
                <w:sz w:val="14"/>
                <w:szCs w:val="14"/>
                <w:b w:val="1"/>
                <w:bCs w:val="1"/>
                <w:color w:val="170D67"/>
              </w:rPr>
              <w:t>(Note 2)</w:t>
            </w:r>
          </w:p>
        </w:tc>
        <w:tc>
          <w:tcPr>
            <w:tcW w:w="1740" w:type="dxa"/>
            <w:vAlign w:val="bottom"/>
            <w:tcBorders>
              <w:bottom w:val="single" w:sz="8" w:color="170D67"/>
            </w:tcBorders>
          </w:tcPr>
          <w:p>
            <w:pPr>
              <w:jc w:val="right"/>
              <w:ind w:right="226"/>
              <w:spacing w:after="0"/>
              <w:rPr>
                <w:sz w:val="20"/>
                <w:szCs w:val="20"/>
                <w:color w:val="auto"/>
              </w:rPr>
            </w:pPr>
            <w:r>
              <w:rPr>
                <w:rFonts w:ascii="Arial" w:cs="Arial" w:eastAsia="Arial" w:hAnsi="Arial"/>
                <w:sz w:val="14"/>
                <w:szCs w:val="14"/>
                <w:b w:val="1"/>
                <w:bCs w:val="1"/>
                <w:color w:val="170D67"/>
              </w:rPr>
              <w:t>(Note 3)</w:t>
            </w:r>
          </w:p>
        </w:tc>
        <w:tc>
          <w:tcPr>
            <w:tcW w:w="1240" w:type="dxa"/>
            <w:vAlign w:val="bottom"/>
            <w:tcBorders>
              <w:bottom w:val="single" w:sz="8" w:color="170D67"/>
            </w:tcBorders>
          </w:tcPr>
          <w:p>
            <w:pPr>
              <w:jc w:val="right"/>
              <w:spacing w:after="0"/>
              <w:rPr>
                <w:sz w:val="20"/>
                <w:szCs w:val="20"/>
                <w:color w:val="auto"/>
              </w:rPr>
            </w:pPr>
            <w:r>
              <w:rPr>
                <w:rFonts w:ascii="Arial" w:cs="Arial" w:eastAsia="Arial" w:hAnsi="Arial"/>
                <w:sz w:val="14"/>
                <w:szCs w:val="14"/>
                <w:b w:val="1"/>
                <w:bCs w:val="1"/>
                <w:color w:val="170D67"/>
              </w:rPr>
              <w:t>($)</w:t>
            </w:r>
          </w:p>
        </w:tc>
        <w:tc>
          <w:tcPr>
            <w:tcW w:w="0" w:type="dxa"/>
            <w:vAlign w:val="bottom"/>
          </w:tcPr>
          <w:p>
            <w:pPr>
              <w:spacing w:after="0"/>
              <w:rPr>
                <w:sz w:val="1"/>
                <w:szCs w:val="1"/>
                <w:color w:val="auto"/>
              </w:rPr>
            </w:pPr>
          </w:p>
        </w:tc>
      </w:tr>
      <w:tr>
        <w:trPr>
          <w:trHeight w:val="205"/>
        </w:trPr>
        <w:tc>
          <w:tcPr>
            <w:tcW w:w="3040" w:type="dxa"/>
            <w:vAlign w:val="bottom"/>
          </w:tcPr>
          <w:p>
            <w:pPr>
              <w:ind w:left="20"/>
              <w:spacing w:after="0"/>
              <w:rPr>
                <w:sz w:val="20"/>
                <w:szCs w:val="20"/>
                <w:color w:val="auto"/>
              </w:rPr>
            </w:pPr>
            <w:r>
              <w:rPr>
                <w:rFonts w:ascii="Arial" w:cs="Arial" w:eastAsia="Arial" w:hAnsi="Arial"/>
                <w:sz w:val="15"/>
                <w:szCs w:val="15"/>
                <w:color w:val="auto"/>
              </w:rPr>
              <w:t>Butler</w:t>
            </w:r>
          </w:p>
        </w:tc>
        <w:tc>
          <w:tcPr>
            <w:tcW w:w="3320" w:type="dxa"/>
            <w:vAlign w:val="bottom"/>
          </w:tcPr>
          <w:p>
            <w:pPr>
              <w:jc w:val="right"/>
              <w:ind w:right="266"/>
              <w:spacing w:after="0"/>
              <w:rPr>
                <w:sz w:val="20"/>
                <w:szCs w:val="20"/>
                <w:color w:val="auto"/>
              </w:rPr>
            </w:pPr>
            <w:r>
              <w:rPr>
                <w:rFonts w:ascii="Arial" w:cs="Arial" w:eastAsia="Arial" w:hAnsi="Arial"/>
                <w:sz w:val="15"/>
                <w:szCs w:val="15"/>
                <w:color w:val="auto"/>
              </w:rPr>
              <w:t>2,639,885</w:t>
            </w:r>
          </w:p>
        </w:tc>
        <w:tc>
          <w:tcPr>
            <w:tcW w:w="1880" w:type="dxa"/>
            <w:vAlign w:val="bottom"/>
          </w:tcPr>
          <w:p>
            <w:pPr>
              <w:jc w:val="right"/>
              <w:ind w:right="346"/>
              <w:spacing w:after="0"/>
              <w:rPr>
                <w:sz w:val="20"/>
                <w:szCs w:val="20"/>
                <w:color w:val="auto"/>
              </w:rPr>
            </w:pPr>
            <w:r>
              <w:rPr>
                <w:rFonts w:ascii="Arial" w:cs="Arial" w:eastAsia="Arial" w:hAnsi="Arial"/>
                <w:sz w:val="15"/>
                <w:szCs w:val="15"/>
                <w:color w:val="auto"/>
              </w:rPr>
              <w:t>18,716,539</w:t>
            </w:r>
          </w:p>
        </w:tc>
        <w:tc>
          <w:tcPr>
            <w:tcW w:w="1740" w:type="dxa"/>
            <w:vAlign w:val="bottom"/>
          </w:tcPr>
          <w:p>
            <w:pPr>
              <w:jc w:val="right"/>
              <w:ind w:right="266"/>
              <w:spacing w:after="0"/>
              <w:rPr>
                <w:sz w:val="20"/>
                <w:szCs w:val="20"/>
                <w:color w:val="auto"/>
              </w:rPr>
            </w:pPr>
            <w:r>
              <w:rPr>
                <w:rFonts w:ascii="Arial" w:cs="Arial" w:eastAsia="Arial" w:hAnsi="Arial"/>
                <w:sz w:val="15"/>
                <w:szCs w:val="15"/>
                <w:color w:val="auto"/>
              </w:rPr>
              <w:t>16,900</w:t>
            </w:r>
          </w:p>
        </w:tc>
        <w:tc>
          <w:tcPr>
            <w:tcW w:w="1240" w:type="dxa"/>
            <w:vAlign w:val="bottom"/>
          </w:tcPr>
          <w:p>
            <w:pPr>
              <w:jc w:val="right"/>
              <w:spacing w:after="0"/>
              <w:rPr>
                <w:sz w:val="20"/>
                <w:szCs w:val="20"/>
                <w:color w:val="auto"/>
              </w:rPr>
            </w:pPr>
            <w:r>
              <w:rPr>
                <w:rFonts w:ascii="Arial" w:cs="Arial" w:eastAsia="Arial" w:hAnsi="Arial"/>
                <w:sz w:val="15"/>
                <w:szCs w:val="15"/>
                <w:color w:val="auto"/>
              </w:rPr>
              <w:t>21,373,324</w:t>
            </w:r>
          </w:p>
        </w:tc>
        <w:tc>
          <w:tcPr>
            <w:tcW w:w="0" w:type="dxa"/>
            <w:vAlign w:val="bottom"/>
          </w:tcPr>
          <w:p>
            <w:pPr>
              <w:spacing w:after="0"/>
              <w:rPr>
                <w:sz w:val="1"/>
                <w:szCs w:val="1"/>
                <w:color w:val="auto"/>
              </w:rPr>
            </w:pPr>
          </w:p>
        </w:tc>
      </w:tr>
      <w:tr>
        <w:trPr>
          <w:trHeight w:val="33"/>
        </w:trPr>
        <w:tc>
          <w:tcPr>
            <w:tcW w:w="3040" w:type="dxa"/>
            <w:vAlign w:val="bottom"/>
            <w:tcBorders>
              <w:bottom w:val="single" w:sz="8" w:color="808080"/>
            </w:tcBorders>
          </w:tcPr>
          <w:p>
            <w:pPr>
              <w:spacing w:after="0"/>
              <w:rPr>
                <w:sz w:val="2"/>
                <w:szCs w:val="2"/>
                <w:color w:val="auto"/>
              </w:rPr>
            </w:pPr>
          </w:p>
        </w:tc>
        <w:tc>
          <w:tcPr>
            <w:tcW w:w="3320" w:type="dxa"/>
            <w:vAlign w:val="bottom"/>
            <w:tcBorders>
              <w:bottom w:val="single" w:sz="8" w:color="808080"/>
            </w:tcBorders>
          </w:tcPr>
          <w:p>
            <w:pPr>
              <w:spacing w:after="0"/>
              <w:rPr>
                <w:sz w:val="2"/>
                <w:szCs w:val="2"/>
                <w:color w:val="auto"/>
              </w:rPr>
            </w:pPr>
          </w:p>
        </w:tc>
        <w:tc>
          <w:tcPr>
            <w:tcW w:w="1880" w:type="dxa"/>
            <w:vAlign w:val="bottom"/>
            <w:tcBorders>
              <w:bottom w:val="single" w:sz="8" w:color="808080"/>
            </w:tcBorders>
          </w:tcPr>
          <w:p>
            <w:pPr>
              <w:spacing w:after="0"/>
              <w:rPr>
                <w:sz w:val="2"/>
                <w:szCs w:val="2"/>
                <w:color w:val="auto"/>
              </w:rPr>
            </w:pPr>
          </w:p>
        </w:tc>
        <w:tc>
          <w:tcPr>
            <w:tcW w:w="1740" w:type="dxa"/>
            <w:vAlign w:val="bottom"/>
            <w:tcBorders>
              <w:bottom w:val="single" w:sz="8" w:color="808080"/>
            </w:tcBorders>
          </w:tcPr>
          <w:p>
            <w:pPr>
              <w:spacing w:after="0"/>
              <w:rPr>
                <w:sz w:val="2"/>
                <w:szCs w:val="2"/>
                <w:color w:val="auto"/>
              </w:rPr>
            </w:pPr>
          </w:p>
        </w:tc>
        <w:tc>
          <w:tcPr>
            <w:tcW w:w="12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040" w:type="dxa"/>
            <w:vAlign w:val="bottom"/>
          </w:tcPr>
          <w:p>
            <w:pPr>
              <w:ind w:left="20"/>
              <w:spacing w:after="0"/>
              <w:rPr>
                <w:sz w:val="20"/>
                <w:szCs w:val="20"/>
                <w:color w:val="auto"/>
              </w:rPr>
            </w:pPr>
            <w:r>
              <w:rPr>
                <w:rFonts w:ascii="Arial" w:cs="Arial" w:eastAsia="Arial" w:hAnsi="Arial"/>
                <w:sz w:val="15"/>
                <w:szCs w:val="15"/>
                <w:color w:val="auto"/>
              </w:rPr>
              <w:t>Jones</w:t>
            </w:r>
          </w:p>
        </w:tc>
        <w:tc>
          <w:tcPr>
            <w:tcW w:w="3320" w:type="dxa"/>
            <w:vAlign w:val="bottom"/>
          </w:tcPr>
          <w:p>
            <w:pPr>
              <w:jc w:val="right"/>
              <w:ind w:right="266"/>
              <w:spacing w:after="0"/>
              <w:rPr>
                <w:sz w:val="20"/>
                <w:szCs w:val="20"/>
                <w:color w:val="auto"/>
              </w:rPr>
            </w:pPr>
            <w:r>
              <w:rPr>
                <w:rFonts w:ascii="Arial" w:cs="Arial" w:eastAsia="Arial" w:hAnsi="Arial"/>
                <w:sz w:val="15"/>
                <w:szCs w:val="15"/>
                <w:color w:val="auto"/>
              </w:rPr>
              <w:t>889,510</w:t>
            </w:r>
          </w:p>
        </w:tc>
        <w:tc>
          <w:tcPr>
            <w:tcW w:w="1880" w:type="dxa"/>
            <w:vAlign w:val="bottom"/>
          </w:tcPr>
          <w:p>
            <w:pPr>
              <w:jc w:val="right"/>
              <w:ind w:right="346"/>
              <w:spacing w:after="0"/>
              <w:rPr>
                <w:sz w:val="20"/>
                <w:szCs w:val="20"/>
                <w:color w:val="auto"/>
              </w:rPr>
            </w:pPr>
            <w:r>
              <w:rPr>
                <w:rFonts w:ascii="Arial" w:cs="Arial" w:eastAsia="Arial" w:hAnsi="Arial"/>
                <w:sz w:val="15"/>
                <w:szCs w:val="15"/>
                <w:color w:val="auto"/>
              </w:rPr>
              <w:t>—</w:t>
            </w:r>
          </w:p>
        </w:tc>
        <w:tc>
          <w:tcPr>
            <w:tcW w:w="174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889,510</w:t>
            </w:r>
          </w:p>
        </w:tc>
        <w:tc>
          <w:tcPr>
            <w:tcW w:w="0" w:type="dxa"/>
            <w:vAlign w:val="bottom"/>
          </w:tcPr>
          <w:p>
            <w:pPr>
              <w:spacing w:after="0"/>
              <w:rPr>
                <w:sz w:val="1"/>
                <w:szCs w:val="1"/>
                <w:color w:val="auto"/>
              </w:rPr>
            </w:pPr>
          </w:p>
        </w:tc>
      </w:tr>
      <w:tr>
        <w:trPr>
          <w:trHeight w:val="33"/>
        </w:trPr>
        <w:tc>
          <w:tcPr>
            <w:tcW w:w="3040" w:type="dxa"/>
            <w:vAlign w:val="bottom"/>
            <w:tcBorders>
              <w:bottom w:val="single" w:sz="8" w:color="808080"/>
            </w:tcBorders>
          </w:tcPr>
          <w:p>
            <w:pPr>
              <w:spacing w:after="0"/>
              <w:rPr>
                <w:sz w:val="2"/>
                <w:szCs w:val="2"/>
                <w:color w:val="auto"/>
              </w:rPr>
            </w:pPr>
          </w:p>
        </w:tc>
        <w:tc>
          <w:tcPr>
            <w:tcW w:w="3320" w:type="dxa"/>
            <w:vAlign w:val="bottom"/>
            <w:tcBorders>
              <w:bottom w:val="single" w:sz="8" w:color="808080"/>
            </w:tcBorders>
          </w:tcPr>
          <w:p>
            <w:pPr>
              <w:spacing w:after="0"/>
              <w:rPr>
                <w:sz w:val="2"/>
                <w:szCs w:val="2"/>
                <w:color w:val="auto"/>
              </w:rPr>
            </w:pPr>
          </w:p>
        </w:tc>
        <w:tc>
          <w:tcPr>
            <w:tcW w:w="1880" w:type="dxa"/>
            <w:vAlign w:val="bottom"/>
            <w:tcBorders>
              <w:bottom w:val="single" w:sz="8" w:color="808080"/>
            </w:tcBorders>
          </w:tcPr>
          <w:p>
            <w:pPr>
              <w:spacing w:after="0"/>
              <w:rPr>
                <w:sz w:val="2"/>
                <w:szCs w:val="2"/>
                <w:color w:val="auto"/>
              </w:rPr>
            </w:pPr>
          </w:p>
        </w:tc>
        <w:tc>
          <w:tcPr>
            <w:tcW w:w="1740" w:type="dxa"/>
            <w:vAlign w:val="bottom"/>
            <w:tcBorders>
              <w:bottom w:val="single" w:sz="8" w:color="808080"/>
            </w:tcBorders>
          </w:tcPr>
          <w:p>
            <w:pPr>
              <w:spacing w:after="0"/>
              <w:rPr>
                <w:sz w:val="2"/>
                <w:szCs w:val="2"/>
                <w:color w:val="auto"/>
              </w:rPr>
            </w:pPr>
          </w:p>
        </w:tc>
        <w:tc>
          <w:tcPr>
            <w:tcW w:w="12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040" w:type="dxa"/>
            <w:vAlign w:val="bottom"/>
          </w:tcPr>
          <w:p>
            <w:pPr>
              <w:ind w:left="20"/>
              <w:spacing w:after="0"/>
              <w:rPr>
                <w:sz w:val="20"/>
                <w:szCs w:val="20"/>
                <w:color w:val="auto"/>
              </w:rPr>
            </w:pPr>
            <w:r>
              <w:rPr>
                <w:rFonts w:ascii="Arial" w:cs="Arial" w:eastAsia="Arial" w:hAnsi="Arial"/>
                <w:sz w:val="15"/>
                <w:szCs w:val="15"/>
                <w:color w:val="auto"/>
              </w:rPr>
              <w:t>Glockner</w:t>
            </w:r>
          </w:p>
        </w:tc>
        <w:tc>
          <w:tcPr>
            <w:tcW w:w="3320" w:type="dxa"/>
            <w:vAlign w:val="bottom"/>
          </w:tcPr>
          <w:p>
            <w:pPr>
              <w:jc w:val="right"/>
              <w:ind w:right="266"/>
              <w:spacing w:after="0"/>
              <w:rPr>
                <w:sz w:val="20"/>
                <w:szCs w:val="20"/>
                <w:color w:val="auto"/>
              </w:rPr>
            </w:pPr>
            <w:r>
              <w:rPr>
                <w:rFonts w:ascii="Arial" w:cs="Arial" w:eastAsia="Arial" w:hAnsi="Arial"/>
                <w:sz w:val="15"/>
                <w:szCs w:val="15"/>
                <w:color w:val="auto"/>
              </w:rPr>
              <w:t>727,336</w:t>
            </w:r>
          </w:p>
        </w:tc>
        <w:tc>
          <w:tcPr>
            <w:tcW w:w="1880" w:type="dxa"/>
            <w:vAlign w:val="bottom"/>
          </w:tcPr>
          <w:p>
            <w:pPr>
              <w:jc w:val="right"/>
              <w:ind w:right="346"/>
              <w:spacing w:after="0"/>
              <w:rPr>
                <w:sz w:val="20"/>
                <w:szCs w:val="20"/>
                <w:color w:val="auto"/>
              </w:rPr>
            </w:pPr>
            <w:r>
              <w:rPr>
                <w:rFonts w:ascii="Arial" w:cs="Arial" w:eastAsia="Arial" w:hAnsi="Arial"/>
                <w:sz w:val="15"/>
                <w:szCs w:val="15"/>
                <w:color w:val="auto"/>
              </w:rPr>
              <w:t>—</w:t>
            </w:r>
          </w:p>
        </w:tc>
        <w:tc>
          <w:tcPr>
            <w:tcW w:w="174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727,336</w:t>
            </w:r>
          </w:p>
        </w:tc>
        <w:tc>
          <w:tcPr>
            <w:tcW w:w="0" w:type="dxa"/>
            <w:vAlign w:val="bottom"/>
          </w:tcPr>
          <w:p>
            <w:pPr>
              <w:spacing w:after="0"/>
              <w:rPr>
                <w:sz w:val="1"/>
                <w:szCs w:val="1"/>
                <w:color w:val="auto"/>
              </w:rPr>
            </w:pPr>
          </w:p>
        </w:tc>
      </w:tr>
      <w:tr>
        <w:trPr>
          <w:trHeight w:val="33"/>
        </w:trPr>
        <w:tc>
          <w:tcPr>
            <w:tcW w:w="3040" w:type="dxa"/>
            <w:vAlign w:val="bottom"/>
            <w:tcBorders>
              <w:bottom w:val="single" w:sz="8" w:color="808080"/>
            </w:tcBorders>
          </w:tcPr>
          <w:p>
            <w:pPr>
              <w:spacing w:after="0"/>
              <w:rPr>
                <w:sz w:val="2"/>
                <w:szCs w:val="2"/>
                <w:color w:val="auto"/>
              </w:rPr>
            </w:pPr>
          </w:p>
        </w:tc>
        <w:tc>
          <w:tcPr>
            <w:tcW w:w="3320" w:type="dxa"/>
            <w:vAlign w:val="bottom"/>
            <w:tcBorders>
              <w:bottom w:val="single" w:sz="8" w:color="808080"/>
            </w:tcBorders>
          </w:tcPr>
          <w:p>
            <w:pPr>
              <w:spacing w:after="0"/>
              <w:rPr>
                <w:sz w:val="2"/>
                <w:szCs w:val="2"/>
                <w:color w:val="auto"/>
              </w:rPr>
            </w:pPr>
          </w:p>
        </w:tc>
        <w:tc>
          <w:tcPr>
            <w:tcW w:w="1880" w:type="dxa"/>
            <w:vAlign w:val="bottom"/>
            <w:tcBorders>
              <w:bottom w:val="single" w:sz="8" w:color="808080"/>
            </w:tcBorders>
          </w:tcPr>
          <w:p>
            <w:pPr>
              <w:spacing w:after="0"/>
              <w:rPr>
                <w:sz w:val="2"/>
                <w:szCs w:val="2"/>
                <w:color w:val="auto"/>
              </w:rPr>
            </w:pPr>
          </w:p>
        </w:tc>
        <w:tc>
          <w:tcPr>
            <w:tcW w:w="1740" w:type="dxa"/>
            <w:vAlign w:val="bottom"/>
            <w:tcBorders>
              <w:bottom w:val="single" w:sz="8" w:color="808080"/>
            </w:tcBorders>
          </w:tcPr>
          <w:p>
            <w:pPr>
              <w:spacing w:after="0"/>
              <w:rPr>
                <w:sz w:val="2"/>
                <w:szCs w:val="2"/>
                <w:color w:val="auto"/>
              </w:rPr>
            </w:pPr>
          </w:p>
        </w:tc>
        <w:tc>
          <w:tcPr>
            <w:tcW w:w="12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040" w:type="dxa"/>
            <w:vAlign w:val="bottom"/>
          </w:tcPr>
          <w:p>
            <w:pPr>
              <w:ind w:left="20"/>
              <w:spacing w:after="0"/>
              <w:rPr>
                <w:sz w:val="20"/>
                <w:szCs w:val="20"/>
                <w:color w:val="auto"/>
              </w:rPr>
            </w:pPr>
            <w:r>
              <w:rPr>
                <w:rFonts w:ascii="Arial" w:cs="Arial" w:eastAsia="Arial" w:hAnsi="Arial"/>
                <w:sz w:val="15"/>
                <w:szCs w:val="15"/>
                <w:color w:val="auto"/>
              </w:rPr>
              <w:t>Innocenzo</w:t>
            </w:r>
          </w:p>
        </w:tc>
        <w:tc>
          <w:tcPr>
            <w:tcW w:w="3320" w:type="dxa"/>
            <w:vAlign w:val="bottom"/>
          </w:tcPr>
          <w:p>
            <w:pPr>
              <w:jc w:val="right"/>
              <w:ind w:right="266"/>
              <w:spacing w:after="0"/>
              <w:rPr>
                <w:sz w:val="20"/>
                <w:szCs w:val="20"/>
                <w:color w:val="auto"/>
              </w:rPr>
            </w:pPr>
            <w:r>
              <w:rPr>
                <w:rFonts w:ascii="Arial" w:cs="Arial" w:eastAsia="Arial" w:hAnsi="Arial"/>
                <w:sz w:val="15"/>
                <w:szCs w:val="15"/>
                <w:color w:val="auto"/>
              </w:rPr>
              <w:t>756,130</w:t>
            </w:r>
          </w:p>
        </w:tc>
        <w:tc>
          <w:tcPr>
            <w:tcW w:w="1880" w:type="dxa"/>
            <w:vAlign w:val="bottom"/>
          </w:tcPr>
          <w:p>
            <w:pPr>
              <w:jc w:val="right"/>
              <w:ind w:right="346"/>
              <w:spacing w:after="0"/>
              <w:rPr>
                <w:sz w:val="20"/>
                <w:szCs w:val="20"/>
                <w:color w:val="auto"/>
              </w:rPr>
            </w:pPr>
            <w:r>
              <w:rPr>
                <w:rFonts w:ascii="Arial" w:cs="Arial" w:eastAsia="Arial" w:hAnsi="Arial"/>
                <w:sz w:val="15"/>
                <w:szCs w:val="15"/>
                <w:color w:val="auto"/>
              </w:rPr>
              <w:t>3,019,545</w:t>
            </w:r>
          </w:p>
        </w:tc>
        <w:tc>
          <w:tcPr>
            <w:tcW w:w="1740" w:type="dxa"/>
            <w:vAlign w:val="bottom"/>
          </w:tcPr>
          <w:p>
            <w:pPr>
              <w:jc w:val="right"/>
              <w:ind w:right="266"/>
              <w:spacing w:after="0"/>
              <w:rPr>
                <w:sz w:val="20"/>
                <w:szCs w:val="20"/>
                <w:color w:val="auto"/>
              </w:rPr>
            </w:pPr>
            <w:r>
              <w:rPr>
                <w:rFonts w:ascii="Arial" w:cs="Arial" w:eastAsia="Arial" w:hAnsi="Arial"/>
                <w:sz w:val="15"/>
                <w:szCs w:val="15"/>
                <w:color w:val="auto"/>
              </w:rPr>
              <w:t>16,900</w:t>
            </w:r>
          </w:p>
        </w:tc>
        <w:tc>
          <w:tcPr>
            <w:tcW w:w="1240" w:type="dxa"/>
            <w:vAlign w:val="bottom"/>
          </w:tcPr>
          <w:p>
            <w:pPr>
              <w:jc w:val="right"/>
              <w:spacing w:after="0"/>
              <w:rPr>
                <w:sz w:val="20"/>
                <w:szCs w:val="20"/>
                <w:color w:val="auto"/>
              </w:rPr>
            </w:pPr>
            <w:r>
              <w:rPr>
                <w:rFonts w:ascii="Arial" w:cs="Arial" w:eastAsia="Arial" w:hAnsi="Arial"/>
                <w:sz w:val="15"/>
                <w:szCs w:val="15"/>
                <w:color w:val="auto"/>
              </w:rPr>
              <w:t>3,792,575</w:t>
            </w:r>
          </w:p>
        </w:tc>
        <w:tc>
          <w:tcPr>
            <w:tcW w:w="0" w:type="dxa"/>
            <w:vAlign w:val="bottom"/>
          </w:tcPr>
          <w:p>
            <w:pPr>
              <w:spacing w:after="0"/>
              <w:rPr>
                <w:sz w:val="1"/>
                <w:szCs w:val="1"/>
                <w:color w:val="auto"/>
              </w:rPr>
            </w:pPr>
          </w:p>
        </w:tc>
      </w:tr>
      <w:tr>
        <w:trPr>
          <w:trHeight w:val="33"/>
        </w:trPr>
        <w:tc>
          <w:tcPr>
            <w:tcW w:w="3040" w:type="dxa"/>
            <w:vAlign w:val="bottom"/>
            <w:tcBorders>
              <w:bottom w:val="single" w:sz="8" w:color="808080"/>
            </w:tcBorders>
          </w:tcPr>
          <w:p>
            <w:pPr>
              <w:spacing w:after="0"/>
              <w:rPr>
                <w:sz w:val="2"/>
                <w:szCs w:val="2"/>
                <w:color w:val="auto"/>
              </w:rPr>
            </w:pPr>
          </w:p>
        </w:tc>
        <w:tc>
          <w:tcPr>
            <w:tcW w:w="3320" w:type="dxa"/>
            <w:vAlign w:val="bottom"/>
            <w:tcBorders>
              <w:bottom w:val="single" w:sz="8" w:color="808080"/>
            </w:tcBorders>
          </w:tcPr>
          <w:p>
            <w:pPr>
              <w:spacing w:after="0"/>
              <w:rPr>
                <w:sz w:val="2"/>
                <w:szCs w:val="2"/>
                <w:color w:val="auto"/>
              </w:rPr>
            </w:pPr>
          </w:p>
        </w:tc>
        <w:tc>
          <w:tcPr>
            <w:tcW w:w="1880" w:type="dxa"/>
            <w:vAlign w:val="bottom"/>
            <w:tcBorders>
              <w:bottom w:val="single" w:sz="8" w:color="808080"/>
            </w:tcBorders>
          </w:tcPr>
          <w:p>
            <w:pPr>
              <w:spacing w:after="0"/>
              <w:rPr>
                <w:sz w:val="2"/>
                <w:szCs w:val="2"/>
                <w:color w:val="auto"/>
              </w:rPr>
            </w:pPr>
          </w:p>
        </w:tc>
        <w:tc>
          <w:tcPr>
            <w:tcW w:w="1740" w:type="dxa"/>
            <w:vAlign w:val="bottom"/>
            <w:tcBorders>
              <w:bottom w:val="single" w:sz="8" w:color="808080"/>
            </w:tcBorders>
          </w:tcPr>
          <w:p>
            <w:pPr>
              <w:spacing w:after="0"/>
              <w:rPr>
                <w:sz w:val="2"/>
                <w:szCs w:val="2"/>
                <w:color w:val="auto"/>
              </w:rPr>
            </w:pPr>
          </w:p>
        </w:tc>
        <w:tc>
          <w:tcPr>
            <w:tcW w:w="12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380" w:hanging="252"/>
        <w:spacing w:after="0" w:line="285" w:lineRule="auto"/>
        <w:tabs>
          <w:tab w:leader="none" w:pos="263" w:val="left"/>
        </w:tabs>
        <w:numPr>
          <w:ilvl w:val="0"/>
          <w:numId w:val="138"/>
        </w:numPr>
        <w:rPr>
          <w:rFonts w:ascii="Arial" w:cs="Arial" w:eastAsia="Arial" w:hAnsi="Arial"/>
          <w:sz w:val="8"/>
          <w:szCs w:val="8"/>
          <w:color w:val="auto"/>
        </w:rPr>
      </w:pPr>
      <w:r>
        <w:rPr>
          <w:rFonts w:ascii="Arial" w:cs="Arial" w:eastAsia="Arial" w:hAnsi="Arial"/>
          <w:sz w:val="14"/>
          <w:szCs w:val="14"/>
          <w:color w:val="auto"/>
        </w:rPr>
        <w:t>Represents the portion of the executives’ AIP award (based on actual performance) that, per applicable award terms, the executive would be eligible to receive upon a qualifying termination of employment, including retirement.</w:t>
      </w:r>
    </w:p>
    <w:p>
      <w:pPr>
        <w:spacing w:after="0" w:line="22" w:lineRule="exact"/>
        <w:rPr>
          <w:rFonts w:ascii="Arial" w:cs="Arial" w:eastAsia="Arial" w:hAnsi="Arial"/>
          <w:sz w:val="8"/>
          <w:szCs w:val="8"/>
          <w:color w:val="auto"/>
        </w:rPr>
      </w:pPr>
    </w:p>
    <w:p>
      <w:pPr>
        <w:ind w:left="260" w:right="100" w:hanging="252"/>
        <w:spacing w:after="0" w:line="285" w:lineRule="auto"/>
        <w:tabs>
          <w:tab w:leader="none" w:pos="249" w:val="left"/>
        </w:tabs>
        <w:numPr>
          <w:ilvl w:val="0"/>
          <w:numId w:val="138"/>
        </w:numPr>
        <w:rPr>
          <w:rFonts w:ascii="Arial" w:cs="Arial" w:eastAsia="Arial" w:hAnsi="Arial"/>
          <w:sz w:val="8"/>
          <w:szCs w:val="8"/>
          <w:color w:val="auto"/>
        </w:rPr>
      </w:pPr>
      <w:r>
        <w:rPr>
          <w:rFonts w:ascii="Arial" w:cs="Arial" w:eastAsia="Arial" w:hAnsi="Arial"/>
          <w:sz w:val="14"/>
          <w:szCs w:val="14"/>
          <w:color w:val="auto"/>
        </w:rPr>
        <w:t>Represents the value of the executives’ unvested PSU awards granted in 2022 (based on actual performance), and 2023 and 2024 (assuming target performance) and the accelerated portion of the executives’ RSU awards that, per applicable awards terms, would vest upon retirement. Mr. Glockner and Ms. Jones are not retirement eligible.</w:t>
      </w:r>
    </w:p>
    <w:p>
      <w:pPr>
        <w:spacing w:after="0" w:line="22" w:lineRule="exact"/>
        <w:rPr>
          <w:rFonts w:ascii="Arial" w:cs="Arial" w:eastAsia="Arial" w:hAnsi="Arial"/>
          <w:sz w:val="8"/>
          <w:szCs w:val="8"/>
          <w:color w:val="auto"/>
        </w:rPr>
      </w:pPr>
    </w:p>
    <w:p>
      <w:pPr>
        <w:ind w:left="260" w:hanging="252"/>
        <w:spacing w:after="0"/>
        <w:tabs>
          <w:tab w:leader="none" w:pos="260" w:val="left"/>
        </w:tabs>
        <w:numPr>
          <w:ilvl w:val="0"/>
          <w:numId w:val="138"/>
        </w:numPr>
        <w:rPr>
          <w:rFonts w:ascii="Arial" w:cs="Arial" w:eastAsia="Arial" w:hAnsi="Arial"/>
          <w:sz w:val="16"/>
          <w:szCs w:val="16"/>
          <w:color w:val="auto"/>
          <w:vertAlign w:val="superscript"/>
        </w:rPr>
      </w:pPr>
      <w:r>
        <w:rPr>
          <w:rFonts w:ascii="Arial" w:cs="Arial" w:eastAsia="Arial" w:hAnsi="Arial"/>
          <w:sz w:val="14"/>
          <w:szCs w:val="14"/>
          <w:color w:val="auto"/>
        </w:rPr>
        <w:t>Represents estimated costs of financial planning service for 12 months provided to retirement eligible executives.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Disability</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NEOs are entitled to receive benefits and equity award treatment in the event of their disability, as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23430" cy="87439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23430" cy="874395"/>
                    </a:xfrm>
                    <a:prstGeom prst="rect">
                      <a:avLst/>
                    </a:prstGeom>
                    <a:noFill/>
                  </pic:spPr>
                </pic:pic>
              </a:graphicData>
            </a:graphic>
          </wp:anchor>
        </w:drawing>
      </w:r>
    </w:p>
    <w:p>
      <w:pPr>
        <w:spacing w:after="0" w:line="174" w:lineRule="exact"/>
        <w:rPr>
          <w:sz w:val="20"/>
          <w:szCs w:val="20"/>
          <w:color w:val="auto"/>
        </w:rPr>
      </w:pPr>
    </w:p>
    <w:p>
      <w:pPr>
        <w:ind w:left="20"/>
        <w:spacing w:after="0"/>
        <w:tabs>
          <w:tab w:leader="none" w:pos="1740" w:val="left"/>
        </w:tabs>
        <w:rPr>
          <w:sz w:val="20"/>
          <w:szCs w:val="20"/>
          <w:color w:val="auto"/>
        </w:rPr>
      </w:pPr>
      <w:r>
        <w:rPr>
          <w:rFonts w:ascii="Arial" w:cs="Arial" w:eastAsia="Arial" w:hAnsi="Arial"/>
          <w:sz w:val="15"/>
          <w:szCs w:val="15"/>
          <w:b w:val="1"/>
          <w:bCs w:val="1"/>
          <w:color w:val="170D67"/>
        </w:rPr>
        <w:t>Annual Incentive</w:t>
      </w:r>
      <w:r>
        <w:rPr>
          <w:sz w:val="20"/>
          <w:szCs w:val="20"/>
          <w:color w:val="auto"/>
        </w:rPr>
        <w:tab/>
      </w:r>
      <w:r>
        <w:rPr>
          <w:rFonts w:ascii="Arial" w:cs="Arial" w:eastAsia="Arial" w:hAnsi="Arial"/>
          <w:sz w:val="16"/>
          <w:szCs w:val="16"/>
          <w:color w:val="auto"/>
        </w:rPr>
        <w:t>Prorated for the portion of the year worked and paid on the normal schedule when paid to active executives.</w:t>
      </w:r>
    </w:p>
    <w:p>
      <w:pPr>
        <w:spacing w:after="0" w:line="140"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Unvested RSU awards granted in prior years and the current year vest as of the date of separation.</w:t>
      </w:r>
    </w:p>
    <w:p>
      <w:pPr>
        <w:spacing w:after="0" w:line="54" w:lineRule="exact"/>
        <w:rPr>
          <w:sz w:val="20"/>
          <w:szCs w:val="20"/>
          <w:color w:val="auto"/>
        </w:rPr>
      </w:pPr>
    </w:p>
    <w:p>
      <w:pPr>
        <w:ind w:left="1760" w:right="160" w:hanging="1727"/>
        <w:spacing w:after="0" w:line="268" w:lineRule="auto"/>
        <w:tabs>
          <w:tab w:leader="none" w:pos="1740" w:val="left"/>
        </w:tabs>
        <w:rPr>
          <w:sz w:val="20"/>
          <w:szCs w:val="20"/>
          <w:color w:val="auto"/>
        </w:rPr>
      </w:pPr>
      <w:r>
        <w:rPr>
          <w:rFonts w:ascii="Arial" w:cs="Arial" w:eastAsia="Arial" w:hAnsi="Arial"/>
          <w:sz w:val="30"/>
          <w:szCs w:val="30"/>
          <w:b w:val="1"/>
          <w:bCs w:val="1"/>
          <w:color w:val="170D67"/>
          <w:vertAlign w:val="superscript"/>
        </w:rPr>
        <w:t>Equity Awards</w:t>
      </w:r>
      <w:r>
        <w:rPr>
          <w:sz w:val="20"/>
          <w:szCs w:val="20"/>
          <w:color w:val="auto"/>
        </w:rPr>
        <w:tab/>
      </w:r>
      <w:r>
        <w:rPr>
          <w:rFonts w:ascii="Arial" w:cs="Arial" w:eastAsia="Arial" w:hAnsi="Arial"/>
          <w:sz w:val="16"/>
          <w:szCs w:val="16"/>
          <w:color w:val="auto"/>
        </w:rPr>
        <w:t>Prior year performance share awards vest and the current year award vests on prorated basis, each based on actual performance and payable when paid to active executives.</w:t>
      </w:r>
    </w:p>
    <w:p>
      <w:pPr>
        <w:spacing w:after="0" w:line="127" w:lineRule="exact"/>
        <w:rPr>
          <w:sz w:val="20"/>
          <w:szCs w:val="20"/>
          <w:color w:val="auto"/>
        </w:rPr>
      </w:pPr>
    </w:p>
    <w:p>
      <w:pPr>
        <w:ind w:left="20"/>
        <w:spacing w:after="0"/>
        <w:tabs>
          <w:tab w:leader="none" w:pos="1740" w:val="left"/>
        </w:tabs>
        <w:rPr>
          <w:sz w:val="20"/>
          <w:szCs w:val="20"/>
          <w:color w:val="auto"/>
        </w:rPr>
      </w:pPr>
      <w:r>
        <w:rPr>
          <w:rFonts w:ascii="Arial" w:cs="Arial" w:eastAsia="Arial" w:hAnsi="Arial"/>
          <w:sz w:val="15"/>
          <w:szCs w:val="15"/>
          <w:b w:val="1"/>
          <w:bCs w:val="1"/>
          <w:color w:val="170D67"/>
        </w:rPr>
        <w:t>Disability Benefit</w:t>
      </w:r>
      <w:r>
        <w:rPr>
          <w:sz w:val="20"/>
          <w:szCs w:val="20"/>
          <w:color w:val="auto"/>
        </w:rPr>
        <w:tab/>
      </w:r>
      <w:r>
        <w:rPr>
          <w:rFonts w:ascii="Arial" w:cs="Arial" w:eastAsia="Arial" w:hAnsi="Arial"/>
          <w:sz w:val="16"/>
          <w:szCs w:val="16"/>
          <w:color w:val="auto"/>
        </w:rPr>
        <w:t>Benefits under our disability plan would be paid by the third-party insurance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2343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Estimated Value of Benefits to be Received Upon Disability: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80" w:type="dxa"/>
            <w:vAlign w:val="bottom"/>
          </w:tcPr>
          <w:p>
            <w:pPr>
              <w:spacing w:after="0"/>
              <w:rPr>
                <w:sz w:val="15"/>
                <w:szCs w:val="15"/>
                <w:color w:val="auto"/>
              </w:rPr>
            </w:pPr>
          </w:p>
        </w:tc>
        <w:tc>
          <w:tcPr>
            <w:tcW w:w="3580" w:type="dxa"/>
            <w:vAlign w:val="bottom"/>
          </w:tcPr>
          <w:p>
            <w:pPr>
              <w:jc w:val="right"/>
              <w:ind w:right="326"/>
              <w:spacing w:after="0"/>
              <w:rPr>
                <w:sz w:val="20"/>
                <w:szCs w:val="20"/>
                <w:color w:val="auto"/>
              </w:rPr>
            </w:pPr>
            <w:r>
              <w:rPr>
                <w:rFonts w:ascii="Arial" w:cs="Arial" w:eastAsia="Arial" w:hAnsi="Arial"/>
                <w:sz w:val="14"/>
                <w:szCs w:val="14"/>
                <w:b w:val="1"/>
                <w:bCs w:val="1"/>
                <w:color w:val="170D67"/>
              </w:rPr>
              <w:t>Cash</w:t>
            </w:r>
          </w:p>
        </w:tc>
        <w:tc>
          <w:tcPr>
            <w:tcW w:w="1420" w:type="dxa"/>
            <w:vAlign w:val="bottom"/>
          </w:tcPr>
          <w:p>
            <w:pPr>
              <w:jc w:val="right"/>
              <w:ind w:right="206"/>
              <w:spacing w:after="0"/>
              <w:rPr>
                <w:sz w:val="20"/>
                <w:szCs w:val="20"/>
                <w:color w:val="auto"/>
              </w:rPr>
            </w:pPr>
            <w:r>
              <w:rPr>
                <w:rFonts w:ascii="Arial" w:cs="Arial" w:eastAsia="Arial" w:hAnsi="Arial"/>
                <w:sz w:val="14"/>
                <w:szCs w:val="14"/>
                <w:b w:val="1"/>
                <w:bCs w:val="1"/>
                <w:color w:val="170D67"/>
              </w:rPr>
              <w:t>Disability</w:t>
            </w:r>
          </w:p>
        </w:tc>
        <w:tc>
          <w:tcPr>
            <w:tcW w:w="1820" w:type="dxa"/>
            <w:vAlign w:val="bottom"/>
          </w:tcPr>
          <w:p>
            <w:pPr>
              <w:jc w:val="right"/>
              <w:ind w:right="206"/>
              <w:spacing w:after="0"/>
              <w:rPr>
                <w:sz w:val="20"/>
                <w:szCs w:val="20"/>
                <w:color w:val="auto"/>
              </w:rPr>
            </w:pPr>
            <w:r>
              <w:rPr>
                <w:rFonts w:ascii="Arial" w:cs="Arial" w:eastAsia="Arial" w:hAnsi="Arial"/>
                <w:sz w:val="14"/>
                <w:szCs w:val="14"/>
                <w:b w:val="1"/>
                <w:bCs w:val="1"/>
                <w:color w:val="170D67"/>
              </w:rPr>
              <w:t>Value of Unvested</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170D67"/>
              </w:rPr>
              <w:t>Total Value of</w:t>
            </w:r>
          </w:p>
        </w:tc>
      </w:tr>
      <w:tr>
        <w:trPr>
          <w:trHeight w:val="175"/>
        </w:trPr>
        <w:tc>
          <w:tcPr>
            <w:tcW w:w="3180" w:type="dxa"/>
            <w:vAlign w:val="bottom"/>
          </w:tcPr>
          <w:p>
            <w:pPr>
              <w:spacing w:after="0"/>
              <w:rPr>
                <w:sz w:val="15"/>
                <w:szCs w:val="15"/>
                <w:color w:val="auto"/>
              </w:rPr>
            </w:pPr>
          </w:p>
        </w:tc>
        <w:tc>
          <w:tcPr>
            <w:tcW w:w="3580" w:type="dxa"/>
            <w:vAlign w:val="bottom"/>
          </w:tcPr>
          <w:p>
            <w:pPr>
              <w:jc w:val="right"/>
              <w:ind w:right="326"/>
              <w:spacing w:after="0"/>
              <w:rPr>
                <w:sz w:val="20"/>
                <w:szCs w:val="20"/>
                <w:color w:val="auto"/>
              </w:rPr>
            </w:pPr>
            <w:r>
              <w:rPr>
                <w:rFonts w:ascii="Arial" w:cs="Arial" w:eastAsia="Arial" w:hAnsi="Arial"/>
                <w:sz w:val="14"/>
                <w:szCs w:val="14"/>
                <w:b w:val="1"/>
                <w:bCs w:val="1"/>
                <w:color w:val="170D67"/>
              </w:rPr>
              <w:t>Payment</w:t>
            </w:r>
          </w:p>
        </w:tc>
        <w:tc>
          <w:tcPr>
            <w:tcW w:w="1420" w:type="dxa"/>
            <w:vAlign w:val="bottom"/>
          </w:tcPr>
          <w:p>
            <w:pPr>
              <w:jc w:val="right"/>
              <w:ind w:right="206"/>
              <w:spacing w:after="0"/>
              <w:rPr>
                <w:sz w:val="20"/>
                <w:szCs w:val="20"/>
                <w:color w:val="auto"/>
              </w:rPr>
            </w:pPr>
            <w:r>
              <w:rPr>
                <w:rFonts w:ascii="Arial" w:cs="Arial" w:eastAsia="Arial" w:hAnsi="Arial"/>
                <w:sz w:val="14"/>
                <w:szCs w:val="14"/>
                <w:b w:val="1"/>
                <w:bCs w:val="1"/>
                <w:color w:val="170D67"/>
              </w:rPr>
              <w:t>Payment</w:t>
            </w:r>
          </w:p>
        </w:tc>
        <w:tc>
          <w:tcPr>
            <w:tcW w:w="1820" w:type="dxa"/>
            <w:vAlign w:val="bottom"/>
          </w:tcPr>
          <w:p>
            <w:pPr>
              <w:jc w:val="right"/>
              <w:ind w:right="206"/>
              <w:spacing w:after="0"/>
              <w:rPr>
                <w:sz w:val="20"/>
                <w:szCs w:val="20"/>
                <w:color w:val="auto"/>
              </w:rPr>
            </w:pPr>
            <w:r>
              <w:rPr>
                <w:rFonts w:ascii="Arial" w:cs="Arial" w:eastAsia="Arial" w:hAnsi="Arial"/>
                <w:sz w:val="14"/>
                <w:szCs w:val="14"/>
                <w:b w:val="1"/>
                <w:bCs w:val="1"/>
                <w:color w:val="170D67"/>
              </w:rPr>
              <w:t>Equity Awards</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170D67"/>
              </w:rPr>
              <w:t>All Payments</w:t>
            </w:r>
          </w:p>
        </w:tc>
      </w:tr>
      <w:tr>
        <w:trPr>
          <w:trHeight w:val="162"/>
        </w:trPr>
        <w:tc>
          <w:tcPr>
            <w:tcW w:w="3180" w:type="dxa"/>
            <w:vAlign w:val="bottom"/>
          </w:tcPr>
          <w:p>
            <w:pPr>
              <w:spacing w:after="0"/>
              <w:rPr>
                <w:sz w:val="14"/>
                <w:szCs w:val="14"/>
                <w:color w:val="auto"/>
              </w:rPr>
            </w:pPr>
          </w:p>
        </w:tc>
        <w:tc>
          <w:tcPr>
            <w:tcW w:w="3580" w:type="dxa"/>
            <w:vAlign w:val="bottom"/>
          </w:tcPr>
          <w:p>
            <w:pPr>
              <w:jc w:val="right"/>
              <w:ind w:right="326"/>
              <w:spacing w:after="0"/>
              <w:rPr>
                <w:sz w:val="20"/>
                <w:szCs w:val="20"/>
                <w:color w:val="auto"/>
              </w:rPr>
            </w:pPr>
            <w:r>
              <w:rPr>
                <w:rFonts w:ascii="Arial" w:cs="Arial" w:eastAsia="Arial" w:hAnsi="Arial"/>
                <w:sz w:val="14"/>
                <w:szCs w:val="14"/>
                <w:b w:val="1"/>
                <w:bCs w:val="1"/>
                <w:color w:val="170D67"/>
              </w:rPr>
              <w:t>($)</w:t>
            </w:r>
          </w:p>
        </w:tc>
        <w:tc>
          <w:tcPr>
            <w:tcW w:w="1420" w:type="dxa"/>
            <w:vAlign w:val="bottom"/>
          </w:tcPr>
          <w:p>
            <w:pPr>
              <w:jc w:val="right"/>
              <w:ind w:right="206"/>
              <w:spacing w:after="0"/>
              <w:rPr>
                <w:sz w:val="20"/>
                <w:szCs w:val="20"/>
                <w:color w:val="auto"/>
              </w:rPr>
            </w:pPr>
            <w:r>
              <w:rPr>
                <w:rFonts w:ascii="Arial" w:cs="Arial" w:eastAsia="Arial" w:hAnsi="Arial"/>
                <w:sz w:val="14"/>
                <w:szCs w:val="14"/>
                <w:b w:val="1"/>
                <w:bCs w:val="1"/>
                <w:color w:val="170D67"/>
              </w:rPr>
              <w:t>($)</w:t>
            </w:r>
          </w:p>
        </w:tc>
        <w:tc>
          <w:tcPr>
            <w:tcW w:w="1820" w:type="dxa"/>
            <w:vAlign w:val="bottom"/>
          </w:tcPr>
          <w:p>
            <w:pPr>
              <w:jc w:val="right"/>
              <w:ind w:right="206"/>
              <w:spacing w:after="0"/>
              <w:rPr>
                <w:sz w:val="20"/>
                <w:szCs w:val="20"/>
                <w:color w:val="auto"/>
              </w:rPr>
            </w:pPr>
            <w:r>
              <w:rPr>
                <w:rFonts w:ascii="Arial" w:cs="Arial" w:eastAsia="Arial" w:hAnsi="Arial"/>
                <w:sz w:val="14"/>
                <w:szCs w:val="14"/>
                <w:b w:val="1"/>
                <w:bCs w:val="1"/>
                <w:color w:val="170D67"/>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170D67"/>
              </w:rPr>
              <w:t>and Benefits</w:t>
            </w:r>
          </w:p>
        </w:tc>
      </w:tr>
      <w:tr>
        <w:trPr>
          <w:trHeight w:val="205"/>
        </w:trPr>
        <w:tc>
          <w:tcPr>
            <w:tcW w:w="3180" w:type="dxa"/>
            <w:vAlign w:val="bottom"/>
            <w:tcBorders>
              <w:bottom w:val="single" w:sz="8" w:color="170D67"/>
            </w:tcBorders>
          </w:tcPr>
          <w:p>
            <w:pPr>
              <w:ind w:left="20"/>
              <w:spacing w:after="0"/>
              <w:rPr>
                <w:sz w:val="20"/>
                <w:szCs w:val="20"/>
                <w:color w:val="auto"/>
              </w:rPr>
            </w:pPr>
            <w:r>
              <w:rPr>
                <w:rFonts w:ascii="Arial" w:cs="Arial" w:eastAsia="Arial" w:hAnsi="Arial"/>
                <w:sz w:val="14"/>
                <w:szCs w:val="14"/>
                <w:b w:val="1"/>
                <w:bCs w:val="1"/>
                <w:color w:val="170D67"/>
              </w:rPr>
              <w:t>Name</w:t>
            </w:r>
          </w:p>
        </w:tc>
        <w:tc>
          <w:tcPr>
            <w:tcW w:w="3580" w:type="dxa"/>
            <w:vAlign w:val="bottom"/>
            <w:tcBorders>
              <w:bottom w:val="single" w:sz="8" w:color="170D67"/>
            </w:tcBorders>
          </w:tcPr>
          <w:p>
            <w:pPr>
              <w:jc w:val="right"/>
              <w:ind w:right="326"/>
              <w:spacing w:after="0"/>
              <w:rPr>
                <w:sz w:val="20"/>
                <w:szCs w:val="20"/>
                <w:color w:val="auto"/>
              </w:rPr>
            </w:pPr>
            <w:r>
              <w:rPr>
                <w:rFonts w:ascii="Arial" w:cs="Arial" w:eastAsia="Arial" w:hAnsi="Arial"/>
                <w:sz w:val="14"/>
                <w:szCs w:val="14"/>
                <w:b w:val="1"/>
                <w:bCs w:val="1"/>
                <w:color w:val="170D67"/>
              </w:rPr>
              <w:t>(Note 1)</w:t>
            </w:r>
          </w:p>
        </w:tc>
        <w:tc>
          <w:tcPr>
            <w:tcW w:w="1420" w:type="dxa"/>
            <w:vAlign w:val="bottom"/>
            <w:tcBorders>
              <w:bottom w:val="single" w:sz="8" w:color="170D67"/>
            </w:tcBorders>
          </w:tcPr>
          <w:p>
            <w:pPr>
              <w:jc w:val="right"/>
              <w:ind w:right="206"/>
              <w:spacing w:after="0"/>
              <w:rPr>
                <w:sz w:val="20"/>
                <w:szCs w:val="20"/>
                <w:color w:val="auto"/>
              </w:rPr>
            </w:pPr>
            <w:r>
              <w:rPr>
                <w:rFonts w:ascii="Arial" w:cs="Arial" w:eastAsia="Arial" w:hAnsi="Arial"/>
                <w:sz w:val="14"/>
                <w:szCs w:val="14"/>
                <w:b w:val="1"/>
                <w:bCs w:val="1"/>
                <w:color w:val="170D67"/>
              </w:rPr>
              <w:t>(Note 2)</w:t>
            </w:r>
          </w:p>
        </w:tc>
        <w:tc>
          <w:tcPr>
            <w:tcW w:w="1820" w:type="dxa"/>
            <w:vAlign w:val="bottom"/>
            <w:tcBorders>
              <w:bottom w:val="single" w:sz="8" w:color="170D67"/>
            </w:tcBorders>
          </w:tcPr>
          <w:p>
            <w:pPr>
              <w:jc w:val="right"/>
              <w:ind w:right="206"/>
              <w:spacing w:after="0"/>
              <w:rPr>
                <w:sz w:val="20"/>
                <w:szCs w:val="20"/>
                <w:color w:val="auto"/>
              </w:rPr>
            </w:pPr>
            <w:r>
              <w:rPr>
                <w:rFonts w:ascii="Arial" w:cs="Arial" w:eastAsia="Arial" w:hAnsi="Arial"/>
                <w:sz w:val="14"/>
                <w:szCs w:val="14"/>
                <w:b w:val="1"/>
                <w:bCs w:val="1"/>
                <w:color w:val="170D67"/>
              </w:rPr>
              <w:t>(Note 3)</w:t>
            </w:r>
          </w:p>
        </w:tc>
        <w:tc>
          <w:tcPr>
            <w:tcW w:w="1220" w:type="dxa"/>
            <w:vAlign w:val="bottom"/>
            <w:tcBorders>
              <w:bottom w:val="single" w:sz="8" w:color="170D67"/>
            </w:tcBorders>
          </w:tcPr>
          <w:p>
            <w:pPr>
              <w:jc w:val="right"/>
              <w:spacing w:after="0"/>
              <w:rPr>
                <w:sz w:val="20"/>
                <w:szCs w:val="20"/>
                <w:color w:val="auto"/>
              </w:rPr>
            </w:pPr>
            <w:r>
              <w:rPr>
                <w:rFonts w:ascii="Arial" w:cs="Arial" w:eastAsia="Arial" w:hAnsi="Arial"/>
                <w:sz w:val="14"/>
                <w:szCs w:val="14"/>
                <w:b w:val="1"/>
                <w:bCs w:val="1"/>
                <w:color w:val="170D67"/>
              </w:rPr>
              <w:t>($)</w:t>
            </w:r>
          </w:p>
        </w:tc>
      </w:tr>
      <w:tr>
        <w:trPr>
          <w:trHeight w:val="210"/>
        </w:trPr>
        <w:tc>
          <w:tcPr>
            <w:tcW w:w="3180" w:type="dxa"/>
            <w:vAlign w:val="bottom"/>
          </w:tcPr>
          <w:p>
            <w:pPr>
              <w:ind w:left="20"/>
              <w:spacing w:after="0"/>
              <w:rPr>
                <w:sz w:val="20"/>
                <w:szCs w:val="20"/>
                <w:color w:val="auto"/>
              </w:rPr>
            </w:pPr>
            <w:r>
              <w:rPr>
                <w:rFonts w:ascii="Arial" w:cs="Arial" w:eastAsia="Arial" w:hAnsi="Arial"/>
                <w:sz w:val="15"/>
                <w:szCs w:val="15"/>
                <w:color w:val="auto"/>
              </w:rPr>
              <w:t>Butler</w:t>
            </w:r>
          </w:p>
        </w:tc>
        <w:tc>
          <w:tcPr>
            <w:tcW w:w="3580" w:type="dxa"/>
            <w:vAlign w:val="bottom"/>
          </w:tcPr>
          <w:p>
            <w:pPr>
              <w:jc w:val="right"/>
              <w:ind w:right="366"/>
              <w:spacing w:after="0"/>
              <w:rPr>
                <w:sz w:val="20"/>
                <w:szCs w:val="20"/>
                <w:color w:val="auto"/>
              </w:rPr>
            </w:pPr>
            <w:r>
              <w:rPr>
                <w:rFonts w:ascii="Arial" w:cs="Arial" w:eastAsia="Arial" w:hAnsi="Arial"/>
                <w:sz w:val="15"/>
                <w:szCs w:val="15"/>
                <w:color w:val="auto"/>
              </w:rPr>
              <w:t>2,639,885</w:t>
            </w:r>
          </w:p>
        </w:tc>
        <w:tc>
          <w:tcPr>
            <w:tcW w:w="1420" w:type="dxa"/>
            <w:vAlign w:val="bottom"/>
          </w:tcPr>
          <w:p>
            <w:pPr>
              <w:jc w:val="right"/>
              <w:ind w:right="266"/>
              <w:spacing w:after="0"/>
              <w:rPr>
                <w:sz w:val="20"/>
                <w:szCs w:val="20"/>
                <w:color w:val="auto"/>
              </w:rPr>
            </w:pPr>
            <w:r>
              <w:rPr>
                <w:rFonts w:ascii="Arial" w:cs="Arial" w:eastAsia="Arial" w:hAnsi="Arial"/>
                <w:sz w:val="15"/>
                <w:szCs w:val="15"/>
                <w:color w:val="auto"/>
              </w:rPr>
              <w:t>2,283,845</w:t>
            </w:r>
          </w:p>
        </w:tc>
        <w:tc>
          <w:tcPr>
            <w:tcW w:w="1820" w:type="dxa"/>
            <w:vAlign w:val="bottom"/>
          </w:tcPr>
          <w:p>
            <w:pPr>
              <w:jc w:val="right"/>
              <w:ind w:right="266"/>
              <w:spacing w:after="0"/>
              <w:rPr>
                <w:sz w:val="20"/>
                <w:szCs w:val="20"/>
                <w:color w:val="auto"/>
              </w:rPr>
            </w:pPr>
            <w:r>
              <w:rPr>
                <w:rFonts w:ascii="Arial" w:cs="Arial" w:eastAsia="Arial" w:hAnsi="Arial"/>
                <w:sz w:val="15"/>
                <w:szCs w:val="15"/>
                <w:color w:val="auto"/>
              </w:rPr>
              <w:t>18,716,539</w:t>
            </w:r>
          </w:p>
        </w:tc>
        <w:tc>
          <w:tcPr>
            <w:tcW w:w="1220" w:type="dxa"/>
            <w:vAlign w:val="bottom"/>
          </w:tcPr>
          <w:p>
            <w:pPr>
              <w:jc w:val="right"/>
              <w:spacing w:after="0"/>
              <w:rPr>
                <w:sz w:val="20"/>
                <w:szCs w:val="20"/>
                <w:color w:val="auto"/>
              </w:rPr>
            </w:pPr>
            <w:r>
              <w:rPr>
                <w:rFonts w:ascii="Arial" w:cs="Arial" w:eastAsia="Arial" w:hAnsi="Arial"/>
                <w:sz w:val="15"/>
                <w:szCs w:val="15"/>
                <w:color w:val="auto"/>
              </w:rPr>
              <w:t>23,640,269</w:t>
            </w:r>
          </w:p>
        </w:tc>
      </w:tr>
      <w:tr>
        <w:trPr>
          <w:trHeight w:val="33"/>
        </w:trPr>
        <w:tc>
          <w:tcPr>
            <w:tcW w:w="3180" w:type="dxa"/>
            <w:vAlign w:val="bottom"/>
            <w:tcBorders>
              <w:bottom w:val="single" w:sz="8" w:color="808080"/>
            </w:tcBorders>
          </w:tcPr>
          <w:p>
            <w:pPr>
              <w:spacing w:after="0"/>
              <w:rPr>
                <w:sz w:val="2"/>
                <w:szCs w:val="2"/>
                <w:color w:val="auto"/>
              </w:rPr>
            </w:pPr>
          </w:p>
        </w:tc>
        <w:tc>
          <w:tcPr>
            <w:tcW w:w="3580" w:type="dxa"/>
            <w:vAlign w:val="bottom"/>
            <w:tcBorders>
              <w:bottom w:val="single" w:sz="8" w:color="808080"/>
            </w:tcBorders>
          </w:tcPr>
          <w:p>
            <w:pPr>
              <w:spacing w:after="0"/>
              <w:rPr>
                <w:sz w:val="2"/>
                <w:szCs w:val="2"/>
                <w:color w:val="auto"/>
              </w:rPr>
            </w:pPr>
          </w:p>
        </w:tc>
        <w:tc>
          <w:tcPr>
            <w:tcW w:w="1420" w:type="dxa"/>
            <w:vAlign w:val="bottom"/>
            <w:tcBorders>
              <w:bottom w:val="single" w:sz="8" w:color="808080"/>
            </w:tcBorders>
          </w:tcPr>
          <w:p>
            <w:pPr>
              <w:spacing w:after="0"/>
              <w:rPr>
                <w:sz w:val="2"/>
                <w:szCs w:val="2"/>
                <w:color w:val="auto"/>
              </w:rPr>
            </w:pPr>
          </w:p>
        </w:tc>
        <w:tc>
          <w:tcPr>
            <w:tcW w:w="1820" w:type="dxa"/>
            <w:vAlign w:val="bottom"/>
            <w:tcBorders>
              <w:bottom w:val="single" w:sz="8" w:color="808080"/>
            </w:tcBorders>
          </w:tcPr>
          <w:p>
            <w:pPr>
              <w:spacing w:after="0"/>
              <w:rPr>
                <w:sz w:val="2"/>
                <w:szCs w:val="2"/>
                <w:color w:val="auto"/>
              </w:rPr>
            </w:pPr>
          </w:p>
        </w:tc>
        <w:tc>
          <w:tcPr>
            <w:tcW w:w="1220" w:type="dxa"/>
            <w:vAlign w:val="bottom"/>
            <w:tcBorders>
              <w:bottom w:val="single" w:sz="8" w:color="808080"/>
            </w:tcBorders>
          </w:tcPr>
          <w:p>
            <w:pPr>
              <w:spacing w:after="0"/>
              <w:rPr>
                <w:sz w:val="2"/>
                <w:szCs w:val="2"/>
                <w:color w:val="auto"/>
              </w:rPr>
            </w:pPr>
          </w:p>
        </w:tc>
      </w:tr>
      <w:tr>
        <w:trPr>
          <w:trHeight w:val="204"/>
        </w:trPr>
        <w:tc>
          <w:tcPr>
            <w:tcW w:w="3180" w:type="dxa"/>
            <w:vAlign w:val="bottom"/>
          </w:tcPr>
          <w:p>
            <w:pPr>
              <w:ind w:left="20"/>
              <w:spacing w:after="0"/>
              <w:rPr>
                <w:sz w:val="20"/>
                <w:szCs w:val="20"/>
                <w:color w:val="auto"/>
              </w:rPr>
            </w:pPr>
            <w:r>
              <w:rPr>
                <w:rFonts w:ascii="Arial" w:cs="Arial" w:eastAsia="Arial" w:hAnsi="Arial"/>
                <w:sz w:val="15"/>
                <w:szCs w:val="15"/>
                <w:color w:val="auto"/>
              </w:rPr>
              <w:t>Jones</w:t>
            </w:r>
          </w:p>
        </w:tc>
        <w:tc>
          <w:tcPr>
            <w:tcW w:w="3580" w:type="dxa"/>
            <w:vAlign w:val="bottom"/>
          </w:tcPr>
          <w:p>
            <w:pPr>
              <w:jc w:val="right"/>
              <w:ind w:right="366"/>
              <w:spacing w:after="0"/>
              <w:rPr>
                <w:sz w:val="20"/>
                <w:szCs w:val="20"/>
                <w:color w:val="auto"/>
              </w:rPr>
            </w:pPr>
            <w:r>
              <w:rPr>
                <w:rFonts w:ascii="Arial" w:cs="Arial" w:eastAsia="Arial" w:hAnsi="Arial"/>
                <w:sz w:val="15"/>
                <w:szCs w:val="15"/>
                <w:color w:val="auto"/>
              </w:rPr>
              <w:t>889,510</w:t>
            </w:r>
          </w:p>
        </w:tc>
        <w:tc>
          <w:tcPr>
            <w:tcW w:w="1420" w:type="dxa"/>
            <w:vAlign w:val="bottom"/>
          </w:tcPr>
          <w:p>
            <w:pPr>
              <w:jc w:val="right"/>
              <w:ind w:right="266"/>
              <w:spacing w:after="0"/>
              <w:rPr>
                <w:sz w:val="20"/>
                <w:szCs w:val="20"/>
                <w:color w:val="auto"/>
              </w:rPr>
            </w:pPr>
            <w:r>
              <w:rPr>
                <w:rFonts w:ascii="Arial" w:cs="Arial" w:eastAsia="Arial" w:hAnsi="Arial"/>
                <w:sz w:val="15"/>
                <w:szCs w:val="15"/>
                <w:color w:val="auto"/>
              </w:rPr>
              <w:t>3,962,137</w:t>
            </w:r>
          </w:p>
        </w:tc>
        <w:tc>
          <w:tcPr>
            <w:tcW w:w="1820" w:type="dxa"/>
            <w:vAlign w:val="bottom"/>
          </w:tcPr>
          <w:p>
            <w:pPr>
              <w:jc w:val="right"/>
              <w:ind w:right="266"/>
              <w:spacing w:after="0"/>
              <w:rPr>
                <w:sz w:val="20"/>
                <w:szCs w:val="20"/>
                <w:color w:val="auto"/>
              </w:rPr>
            </w:pPr>
            <w:r>
              <w:rPr>
                <w:rFonts w:ascii="Arial" w:cs="Arial" w:eastAsia="Arial" w:hAnsi="Arial"/>
                <w:sz w:val="15"/>
                <w:szCs w:val="15"/>
                <w:color w:val="auto"/>
              </w:rPr>
              <w:t>3,822,657</w:t>
            </w:r>
          </w:p>
        </w:tc>
        <w:tc>
          <w:tcPr>
            <w:tcW w:w="1220" w:type="dxa"/>
            <w:vAlign w:val="bottom"/>
          </w:tcPr>
          <w:p>
            <w:pPr>
              <w:jc w:val="right"/>
              <w:spacing w:after="0"/>
              <w:rPr>
                <w:sz w:val="20"/>
                <w:szCs w:val="20"/>
                <w:color w:val="auto"/>
              </w:rPr>
            </w:pPr>
            <w:r>
              <w:rPr>
                <w:rFonts w:ascii="Arial" w:cs="Arial" w:eastAsia="Arial" w:hAnsi="Arial"/>
                <w:sz w:val="15"/>
                <w:szCs w:val="15"/>
                <w:color w:val="auto"/>
              </w:rPr>
              <w:t>8,674,304</w:t>
            </w:r>
          </w:p>
        </w:tc>
      </w:tr>
      <w:tr>
        <w:trPr>
          <w:trHeight w:val="33"/>
        </w:trPr>
        <w:tc>
          <w:tcPr>
            <w:tcW w:w="3180" w:type="dxa"/>
            <w:vAlign w:val="bottom"/>
            <w:tcBorders>
              <w:bottom w:val="single" w:sz="8" w:color="808080"/>
            </w:tcBorders>
          </w:tcPr>
          <w:p>
            <w:pPr>
              <w:spacing w:after="0"/>
              <w:rPr>
                <w:sz w:val="2"/>
                <w:szCs w:val="2"/>
                <w:color w:val="auto"/>
              </w:rPr>
            </w:pPr>
          </w:p>
        </w:tc>
        <w:tc>
          <w:tcPr>
            <w:tcW w:w="3580" w:type="dxa"/>
            <w:vAlign w:val="bottom"/>
            <w:tcBorders>
              <w:bottom w:val="single" w:sz="8" w:color="808080"/>
            </w:tcBorders>
          </w:tcPr>
          <w:p>
            <w:pPr>
              <w:spacing w:after="0"/>
              <w:rPr>
                <w:sz w:val="2"/>
                <w:szCs w:val="2"/>
                <w:color w:val="auto"/>
              </w:rPr>
            </w:pPr>
          </w:p>
        </w:tc>
        <w:tc>
          <w:tcPr>
            <w:tcW w:w="1420" w:type="dxa"/>
            <w:vAlign w:val="bottom"/>
            <w:tcBorders>
              <w:bottom w:val="single" w:sz="8" w:color="808080"/>
            </w:tcBorders>
          </w:tcPr>
          <w:p>
            <w:pPr>
              <w:spacing w:after="0"/>
              <w:rPr>
                <w:sz w:val="2"/>
                <w:szCs w:val="2"/>
                <w:color w:val="auto"/>
              </w:rPr>
            </w:pPr>
          </w:p>
        </w:tc>
        <w:tc>
          <w:tcPr>
            <w:tcW w:w="1820" w:type="dxa"/>
            <w:vAlign w:val="bottom"/>
            <w:tcBorders>
              <w:bottom w:val="single" w:sz="8" w:color="808080"/>
            </w:tcBorders>
          </w:tcPr>
          <w:p>
            <w:pPr>
              <w:spacing w:after="0"/>
              <w:rPr>
                <w:sz w:val="2"/>
                <w:szCs w:val="2"/>
                <w:color w:val="auto"/>
              </w:rPr>
            </w:pPr>
          </w:p>
        </w:tc>
        <w:tc>
          <w:tcPr>
            <w:tcW w:w="1220" w:type="dxa"/>
            <w:vAlign w:val="bottom"/>
            <w:tcBorders>
              <w:bottom w:val="single" w:sz="8" w:color="808080"/>
            </w:tcBorders>
          </w:tcPr>
          <w:p>
            <w:pPr>
              <w:spacing w:after="0"/>
              <w:rPr>
                <w:sz w:val="2"/>
                <w:szCs w:val="2"/>
                <w:color w:val="auto"/>
              </w:rPr>
            </w:pPr>
          </w:p>
        </w:tc>
      </w:tr>
      <w:tr>
        <w:trPr>
          <w:trHeight w:val="203"/>
        </w:trPr>
        <w:tc>
          <w:tcPr>
            <w:tcW w:w="3180" w:type="dxa"/>
            <w:vAlign w:val="bottom"/>
          </w:tcPr>
          <w:p>
            <w:pPr>
              <w:ind w:left="20"/>
              <w:spacing w:after="0"/>
              <w:rPr>
                <w:sz w:val="20"/>
                <w:szCs w:val="20"/>
                <w:color w:val="auto"/>
              </w:rPr>
            </w:pPr>
            <w:r>
              <w:rPr>
                <w:rFonts w:ascii="Arial" w:cs="Arial" w:eastAsia="Arial" w:hAnsi="Arial"/>
                <w:sz w:val="15"/>
                <w:szCs w:val="15"/>
                <w:color w:val="auto"/>
              </w:rPr>
              <w:t>Glockner</w:t>
            </w:r>
          </w:p>
        </w:tc>
        <w:tc>
          <w:tcPr>
            <w:tcW w:w="3580" w:type="dxa"/>
            <w:vAlign w:val="bottom"/>
          </w:tcPr>
          <w:p>
            <w:pPr>
              <w:jc w:val="right"/>
              <w:ind w:right="366"/>
              <w:spacing w:after="0"/>
              <w:rPr>
                <w:sz w:val="20"/>
                <w:szCs w:val="20"/>
                <w:color w:val="auto"/>
              </w:rPr>
            </w:pPr>
            <w:r>
              <w:rPr>
                <w:rFonts w:ascii="Arial" w:cs="Arial" w:eastAsia="Arial" w:hAnsi="Arial"/>
                <w:sz w:val="15"/>
                <w:szCs w:val="15"/>
                <w:color w:val="auto"/>
              </w:rPr>
              <w:t>727,336</w:t>
            </w:r>
          </w:p>
        </w:tc>
        <w:tc>
          <w:tcPr>
            <w:tcW w:w="1420" w:type="dxa"/>
            <w:vAlign w:val="bottom"/>
          </w:tcPr>
          <w:p>
            <w:pPr>
              <w:jc w:val="right"/>
              <w:ind w:right="266"/>
              <w:spacing w:after="0"/>
              <w:rPr>
                <w:sz w:val="20"/>
                <w:szCs w:val="20"/>
                <w:color w:val="auto"/>
              </w:rPr>
            </w:pPr>
            <w:r>
              <w:rPr>
                <w:rFonts w:ascii="Arial" w:cs="Arial" w:eastAsia="Arial" w:hAnsi="Arial"/>
                <w:sz w:val="15"/>
                <w:szCs w:val="15"/>
                <w:color w:val="auto"/>
              </w:rPr>
              <w:t>786,498</w:t>
            </w:r>
          </w:p>
        </w:tc>
        <w:tc>
          <w:tcPr>
            <w:tcW w:w="1820" w:type="dxa"/>
            <w:vAlign w:val="bottom"/>
          </w:tcPr>
          <w:p>
            <w:pPr>
              <w:jc w:val="right"/>
              <w:ind w:right="266"/>
              <w:spacing w:after="0"/>
              <w:rPr>
                <w:sz w:val="20"/>
                <w:szCs w:val="20"/>
                <w:color w:val="auto"/>
              </w:rPr>
            </w:pPr>
            <w:r>
              <w:rPr>
                <w:rFonts w:ascii="Arial" w:cs="Arial" w:eastAsia="Arial" w:hAnsi="Arial"/>
                <w:sz w:val="15"/>
                <w:szCs w:val="15"/>
                <w:color w:val="auto"/>
              </w:rPr>
              <w:t>3,543,126</w:t>
            </w:r>
          </w:p>
        </w:tc>
        <w:tc>
          <w:tcPr>
            <w:tcW w:w="1220" w:type="dxa"/>
            <w:vAlign w:val="bottom"/>
          </w:tcPr>
          <w:p>
            <w:pPr>
              <w:jc w:val="right"/>
              <w:spacing w:after="0"/>
              <w:rPr>
                <w:sz w:val="20"/>
                <w:szCs w:val="20"/>
                <w:color w:val="auto"/>
              </w:rPr>
            </w:pPr>
            <w:r>
              <w:rPr>
                <w:rFonts w:ascii="Arial" w:cs="Arial" w:eastAsia="Arial" w:hAnsi="Arial"/>
                <w:sz w:val="15"/>
                <w:szCs w:val="15"/>
                <w:color w:val="auto"/>
              </w:rPr>
              <w:t>5,056,960</w:t>
            </w:r>
          </w:p>
        </w:tc>
      </w:tr>
      <w:tr>
        <w:trPr>
          <w:trHeight w:val="33"/>
        </w:trPr>
        <w:tc>
          <w:tcPr>
            <w:tcW w:w="3180" w:type="dxa"/>
            <w:vAlign w:val="bottom"/>
            <w:tcBorders>
              <w:bottom w:val="single" w:sz="8" w:color="808080"/>
            </w:tcBorders>
          </w:tcPr>
          <w:p>
            <w:pPr>
              <w:spacing w:after="0"/>
              <w:rPr>
                <w:sz w:val="2"/>
                <w:szCs w:val="2"/>
                <w:color w:val="auto"/>
              </w:rPr>
            </w:pPr>
          </w:p>
        </w:tc>
        <w:tc>
          <w:tcPr>
            <w:tcW w:w="3580" w:type="dxa"/>
            <w:vAlign w:val="bottom"/>
            <w:tcBorders>
              <w:bottom w:val="single" w:sz="8" w:color="808080"/>
            </w:tcBorders>
          </w:tcPr>
          <w:p>
            <w:pPr>
              <w:spacing w:after="0"/>
              <w:rPr>
                <w:sz w:val="2"/>
                <w:szCs w:val="2"/>
                <w:color w:val="auto"/>
              </w:rPr>
            </w:pPr>
          </w:p>
        </w:tc>
        <w:tc>
          <w:tcPr>
            <w:tcW w:w="1420" w:type="dxa"/>
            <w:vAlign w:val="bottom"/>
            <w:tcBorders>
              <w:bottom w:val="single" w:sz="8" w:color="808080"/>
            </w:tcBorders>
          </w:tcPr>
          <w:p>
            <w:pPr>
              <w:spacing w:after="0"/>
              <w:rPr>
                <w:sz w:val="2"/>
                <w:szCs w:val="2"/>
                <w:color w:val="auto"/>
              </w:rPr>
            </w:pPr>
          </w:p>
        </w:tc>
        <w:tc>
          <w:tcPr>
            <w:tcW w:w="1820" w:type="dxa"/>
            <w:vAlign w:val="bottom"/>
            <w:tcBorders>
              <w:bottom w:val="single" w:sz="8" w:color="808080"/>
            </w:tcBorders>
          </w:tcPr>
          <w:p>
            <w:pPr>
              <w:spacing w:after="0"/>
              <w:rPr>
                <w:sz w:val="2"/>
                <w:szCs w:val="2"/>
                <w:color w:val="auto"/>
              </w:rPr>
            </w:pPr>
          </w:p>
        </w:tc>
        <w:tc>
          <w:tcPr>
            <w:tcW w:w="1220" w:type="dxa"/>
            <w:vAlign w:val="bottom"/>
            <w:tcBorders>
              <w:bottom w:val="single" w:sz="8" w:color="808080"/>
            </w:tcBorders>
          </w:tcPr>
          <w:p>
            <w:pPr>
              <w:spacing w:after="0"/>
              <w:rPr>
                <w:sz w:val="2"/>
                <w:szCs w:val="2"/>
                <w:color w:val="auto"/>
              </w:rPr>
            </w:pPr>
          </w:p>
        </w:tc>
      </w:tr>
      <w:tr>
        <w:trPr>
          <w:trHeight w:val="204"/>
        </w:trPr>
        <w:tc>
          <w:tcPr>
            <w:tcW w:w="3180" w:type="dxa"/>
            <w:vAlign w:val="bottom"/>
          </w:tcPr>
          <w:p>
            <w:pPr>
              <w:ind w:left="20"/>
              <w:spacing w:after="0"/>
              <w:rPr>
                <w:sz w:val="20"/>
                <w:szCs w:val="20"/>
                <w:color w:val="auto"/>
              </w:rPr>
            </w:pPr>
            <w:r>
              <w:rPr>
                <w:rFonts w:ascii="Arial" w:cs="Arial" w:eastAsia="Arial" w:hAnsi="Arial"/>
                <w:sz w:val="15"/>
                <w:szCs w:val="15"/>
                <w:color w:val="auto"/>
              </w:rPr>
              <w:t>Innocenzo</w:t>
            </w:r>
          </w:p>
        </w:tc>
        <w:tc>
          <w:tcPr>
            <w:tcW w:w="3580" w:type="dxa"/>
            <w:vAlign w:val="bottom"/>
          </w:tcPr>
          <w:p>
            <w:pPr>
              <w:jc w:val="right"/>
              <w:ind w:right="366"/>
              <w:spacing w:after="0"/>
              <w:rPr>
                <w:sz w:val="20"/>
                <w:szCs w:val="20"/>
                <w:color w:val="auto"/>
              </w:rPr>
            </w:pPr>
            <w:r>
              <w:rPr>
                <w:rFonts w:ascii="Arial" w:cs="Arial" w:eastAsia="Arial" w:hAnsi="Arial"/>
                <w:sz w:val="15"/>
                <w:szCs w:val="15"/>
                <w:color w:val="auto"/>
              </w:rPr>
              <w:t>756,130</w:t>
            </w:r>
          </w:p>
        </w:tc>
        <w:tc>
          <w:tcPr>
            <w:tcW w:w="1420" w:type="dxa"/>
            <w:vAlign w:val="bottom"/>
          </w:tcPr>
          <w:p>
            <w:pPr>
              <w:jc w:val="right"/>
              <w:ind w:right="266"/>
              <w:spacing w:after="0"/>
              <w:rPr>
                <w:sz w:val="20"/>
                <w:szCs w:val="20"/>
                <w:color w:val="auto"/>
              </w:rPr>
            </w:pPr>
            <w:r>
              <w:rPr>
                <w:rFonts w:ascii="Arial" w:cs="Arial" w:eastAsia="Arial" w:hAnsi="Arial"/>
                <w:sz w:val="15"/>
                <w:szCs w:val="15"/>
                <w:color w:val="auto"/>
              </w:rPr>
              <w:t>1,579,852</w:t>
            </w:r>
          </w:p>
        </w:tc>
        <w:tc>
          <w:tcPr>
            <w:tcW w:w="1820" w:type="dxa"/>
            <w:vAlign w:val="bottom"/>
          </w:tcPr>
          <w:p>
            <w:pPr>
              <w:jc w:val="right"/>
              <w:ind w:right="266"/>
              <w:spacing w:after="0"/>
              <w:rPr>
                <w:sz w:val="20"/>
                <w:szCs w:val="20"/>
                <w:color w:val="auto"/>
              </w:rPr>
            </w:pPr>
            <w:r>
              <w:rPr>
                <w:rFonts w:ascii="Arial" w:cs="Arial" w:eastAsia="Arial" w:hAnsi="Arial"/>
                <w:sz w:val="15"/>
                <w:szCs w:val="15"/>
                <w:color w:val="auto"/>
              </w:rPr>
              <w:t>3,019,545</w:t>
            </w:r>
          </w:p>
        </w:tc>
        <w:tc>
          <w:tcPr>
            <w:tcW w:w="1220" w:type="dxa"/>
            <w:vAlign w:val="bottom"/>
          </w:tcPr>
          <w:p>
            <w:pPr>
              <w:jc w:val="right"/>
              <w:spacing w:after="0"/>
              <w:rPr>
                <w:sz w:val="20"/>
                <w:szCs w:val="20"/>
                <w:color w:val="auto"/>
              </w:rPr>
            </w:pPr>
            <w:r>
              <w:rPr>
                <w:rFonts w:ascii="Arial" w:cs="Arial" w:eastAsia="Arial" w:hAnsi="Arial"/>
                <w:sz w:val="15"/>
                <w:szCs w:val="15"/>
                <w:color w:val="auto"/>
              </w:rPr>
              <w:t>5,355,527</w:t>
            </w:r>
          </w:p>
        </w:tc>
      </w:tr>
      <w:tr>
        <w:trPr>
          <w:trHeight w:val="33"/>
        </w:trPr>
        <w:tc>
          <w:tcPr>
            <w:tcW w:w="3180" w:type="dxa"/>
            <w:vAlign w:val="bottom"/>
            <w:tcBorders>
              <w:bottom w:val="single" w:sz="8" w:color="808080"/>
            </w:tcBorders>
          </w:tcPr>
          <w:p>
            <w:pPr>
              <w:spacing w:after="0"/>
              <w:rPr>
                <w:sz w:val="2"/>
                <w:szCs w:val="2"/>
                <w:color w:val="auto"/>
              </w:rPr>
            </w:pPr>
          </w:p>
        </w:tc>
        <w:tc>
          <w:tcPr>
            <w:tcW w:w="3580" w:type="dxa"/>
            <w:vAlign w:val="bottom"/>
            <w:tcBorders>
              <w:bottom w:val="single" w:sz="8" w:color="808080"/>
            </w:tcBorders>
          </w:tcPr>
          <w:p>
            <w:pPr>
              <w:spacing w:after="0"/>
              <w:rPr>
                <w:sz w:val="2"/>
                <w:szCs w:val="2"/>
                <w:color w:val="auto"/>
              </w:rPr>
            </w:pPr>
          </w:p>
        </w:tc>
        <w:tc>
          <w:tcPr>
            <w:tcW w:w="1420" w:type="dxa"/>
            <w:vAlign w:val="bottom"/>
            <w:tcBorders>
              <w:bottom w:val="single" w:sz="8" w:color="808080"/>
            </w:tcBorders>
          </w:tcPr>
          <w:p>
            <w:pPr>
              <w:spacing w:after="0"/>
              <w:rPr>
                <w:sz w:val="2"/>
                <w:szCs w:val="2"/>
                <w:color w:val="auto"/>
              </w:rPr>
            </w:pPr>
          </w:p>
        </w:tc>
        <w:tc>
          <w:tcPr>
            <w:tcW w:w="1820" w:type="dxa"/>
            <w:vAlign w:val="bottom"/>
            <w:tcBorders>
              <w:bottom w:val="single" w:sz="8" w:color="808080"/>
            </w:tcBorders>
          </w:tcPr>
          <w:p>
            <w:pPr>
              <w:spacing w:after="0"/>
              <w:rPr>
                <w:sz w:val="2"/>
                <w:szCs w:val="2"/>
                <w:color w:val="auto"/>
              </w:rPr>
            </w:pPr>
          </w:p>
        </w:tc>
        <w:tc>
          <w:tcPr>
            <w:tcW w:w="1220" w:type="dxa"/>
            <w:vAlign w:val="bottom"/>
            <w:tcBorders>
              <w:bottom w:val="single" w:sz="8" w:color="808080"/>
            </w:tcBorders>
          </w:tcPr>
          <w:p>
            <w:pPr>
              <w:spacing w:after="0"/>
              <w:rPr>
                <w:sz w:val="2"/>
                <w:szCs w:val="2"/>
                <w:color w:val="auto"/>
              </w:rPr>
            </w:pPr>
          </w:p>
        </w:tc>
      </w:tr>
    </w:tbl>
    <w:p>
      <w:pPr>
        <w:spacing w:after="0" w:line="193" w:lineRule="exact"/>
        <w:rPr>
          <w:sz w:val="20"/>
          <w:szCs w:val="20"/>
          <w:color w:val="auto"/>
        </w:rPr>
      </w:pPr>
    </w:p>
    <w:p>
      <w:pPr>
        <w:ind w:left="260" w:hanging="252"/>
        <w:spacing w:after="0"/>
        <w:tabs>
          <w:tab w:leader="none" w:pos="260" w:val="left"/>
        </w:tabs>
        <w:numPr>
          <w:ilvl w:val="0"/>
          <w:numId w:val="139"/>
        </w:numPr>
        <w:rPr>
          <w:rFonts w:ascii="Arial" w:cs="Arial" w:eastAsia="Arial" w:hAnsi="Arial"/>
          <w:sz w:val="16"/>
          <w:szCs w:val="16"/>
          <w:color w:val="auto"/>
          <w:vertAlign w:val="superscript"/>
        </w:rPr>
      </w:pPr>
      <w:r>
        <w:rPr>
          <w:rFonts w:ascii="Arial" w:cs="Arial" w:eastAsia="Arial" w:hAnsi="Arial"/>
          <w:sz w:val="14"/>
          <w:szCs w:val="14"/>
          <w:color w:val="auto"/>
        </w:rPr>
        <w:t>Represents the portion of the executives’ AIP award (based on actual performance) that, per applicable award terms, would be payable upon disability.</w:t>
      </w:r>
    </w:p>
    <w:p>
      <w:pPr>
        <w:spacing w:after="0" w:line="45" w:lineRule="exact"/>
        <w:rPr>
          <w:rFonts w:ascii="Arial" w:cs="Arial" w:eastAsia="Arial" w:hAnsi="Arial"/>
          <w:sz w:val="16"/>
          <w:szCs w:val="16"/>
          <w:color w:val="auto"/>
          <w:vertAlign w:val="superscript"/>
        </w:rPr>
      </w:pPr>
    </w:p>
    <w:p>
      <w:pPr>
        <w:ind w:left="260" w:right="20" w:hanging="252"/>
        <w:spacing w:after="0" w:line="258" w:lineRule="auto"/>
        <w:tabs>
          <w:tab w:leader="none" w:pos="249" w:val="left"/>
        </w:tabs>
        <w:numPr>
          <w:ilvl w:val="0"/>
          <w:numId w:val="139"/>
        </w:numPr>
        <w:rPr>
          <w:rFonts w:ascii="Arial" w:cs="Arial" w:eastAsia="Arial" w:hAnsi="Arial"/>
          <w:sz w:val="8"/>
          <w:szCs w:val="8"/>
          <w:color w:val="auto"/>
        </w:rPr>
      </w:pPr>
      <w:r>
        <w:rPr>
          <w:rFonts w:ascii="Arial" w:cs="Arial" w:eastAsia="Arial" w:hAnsi="Arial"/>
          <w:sz w:val="14"/>
          <w:szCs w:val="14"/>
          <w:color w:val="auto"/>
        </w:rPr>
        <w:t>In connection with the Company’s disability benefits programs, each executive may become entitled to a monthly long-term disability benefit under the Company’s disability plan applicable to all management employees, as well as supplemental benefits under an executive-only long-term disability plan. The amounts represent the present value of the disability benefits applying the following assumptions: (i) the executive incurred a qualifying disability on December 31, 2024, and the executive remains eligible to receive disability benefits for the maximum period provided under the plans; (ii) the disability benefits are not reduced by certain offsets provided for under the plans (e.g., Social Security disability or pension benefits if the employee elects to commence a pension); (iii) the present value is paid as a lump sum at the executive’s current age; and (iv) using assumptions based on the December 31, 2024 ASC 712-10 valuation report.</w:t>
      </w:r>
    </w:p>
    <w:p>
      <w:pPr>
        <w:spacing w:after="0" w:line="28" w:lineRule="exact"/>
        <w:rPr>
          <w:rFonts w:ascii="Arial" w:cs="Arial" w:eastAsia="Arial" w:hAnsi="Arial"/>
          <w:sz w:val="8"/>
          <w:szCs w:val="8"/>
          <w:color w:val="auto"/>
        </w:rPr>
      </w:pPr>
    </w:p>
    <w:p>
      <w:pPr>
        <w:ind w:left="260" w:right="100" w:hanging="252"/>
        <w:spacing w:after="0" w:line="305" w:lineRule="auto"/>
        <w:tabs>
          <w:tab w:leader="none" w:pos="249" w:val="left"/>
        </w:tabs>
        <w:numPr>
          <w:ilvl w:val="0"/>
          <w:numId w:val="139"/>
        </w:numPr>
        <w:rPr>
          <w:rFonts w:ascii="Arial" w:cs="Arial" w:eastAsia="Arial" w:hAnsi="Arial"/>
          <w:sz w:val="8"/>
          <w:szCs w:val="8"/>
          <w:color w:val="auto"/>
        </w:rPr>
      </w:pPr>
      <w:r>
        <w:rPr>
          <w:rFonts w:ascii="Arial" w:cs="Arial" w:eastAsia="Arial" w:hAnsi="Arial"/>
          <w:sz w:val="14"/>
          <w:szCs w:val="14"/>
          <w:color w:val="auto"/>
        </w:rPr>
        <w:t>Represents the value of the executives’ unvested PSU awards granted in 2022 (based on actual performance), and 2023 and 2024 (assuming target performance) and the accelerated portion of the executives’ RSU awards that, per applicable award terms, would vest upon disability.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Death</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NEOs are entitled to receive benefits and equity award treatment in the event of their death, as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23430" cy="7029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23430" cy="702945"/>
                    </a:xfrm>
                    <a:prstGeom prst="rect">
                      <a:avLst/>
                    </a:prstGeom>
                    <a:noFill/>
                  </pic:spPr>
                </pic:pic>
              </a:graphicData>
            </a:graphic>
          </wp:anchor>
        </w:drawing>
      </w:r>
    </w:p>
    <w:p>
      <w:pPr>
        <w:spacing w:after="0" w:line="161" w:lineRule="exact"/>
        <w:rPr>
          <w:sz w:val="20"/>
          <w:szCs w:val="20"/>
          <w:color w:val="auto"/>
        </w:rPr>
      </w:pPr>
    </w:p>
    <w:p>
      <w:pPr>
        <w:ind w:left="20"/>
        <w:spacing w:after="0"/>
        <w:tabs>
          <w:tab w:leader="none" w:pos="1740" w:val="left"/>
        </w:tabs>
        <w:rPr>
          <w:sz w:val="20"/>
          <w:szCs w:val="20"/>
          <w:color w:val="auto"/>
        </w:rPr>
      </w:pPr>
      <w:r>
        <w:rPr>
          <w:rFonts w:ascii="Arial" w:cs="Arial" w:eastAsia="Arial" w:hAnsi="Arial"/>
          <w:sz w:val="15"/>
          <w:szCs w:val="15"/>
          <w:b w:val="1"/>
          <w:bCs w:val="1"/>
          <w:color w:val="170D67"/>
        </w:rPr>
        <w:t>Annual Incentive</w:t>
      </w:r>
      <w:r>
        <w:rPr>
          <w:sz w:val="20"/>
          <w:szCs w:val="20"/>
          <w:color w:val="auto"/>
        </w:rPr>
        <w:tab/>
      </w:r>
      <w:r>
        <w:rPr>
          <w:rFonts w:ascii="Arial" w:cs="Arial" w:eastAsia="Arial" w:hAnsi="Arial"/>
          <w:sz w:val="16"/>
          <w:szCs w:val="16"/>
          <w:color w:val="auto"/>
        </w:rPr>
        <w:t>Prorated for the portion of the year worked and paid on the normal schedule when paid to active executives.</w:t>
      </w:r>
    </w:p>
    <w:p>
      <w:pPr>
        <w:spacing w:after="0" w:line="154"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Unvested RSU awards granted in prior years and the current year vest as of the date of separation.</w:t>
      </w:r>
    </w:p>
    <w:p>
      <w:pPr>
        <w:spacing w:after="0" w:line="54" w:lineRule="exact"/>
        <w:rPr>
          <w:sz w:val="20"/>
          <w:szCs w:val="20"/>
          <w:color w:val="auto"/>
        </w:rPr>
      </w:pPr>
    </w:p>
    <w:p>
      <w:pPr>
        <w:ind w:left="1760" w:right="160" w:hanging="1727"/>
        <w:spacing w:after="0" w:line="286" w:lineRule="auto"/>
        <w:tabs>
          <w:tab w:leader="none" w:pos="1740" w:val="left"/>
        </w:tabs>
        <w:rPr>
          <w:sz w:val="20"/>
          <w:szCs w:val="20"/>
          <w:color w:val="auto"/>
        </w:rPr>
      </w:pPr>
      <w:r>
        <w:rPr>
          <w:rFonts w:ascii="Arial" w:cs="Arial" w:eastAsia="Arial" w:hAnsi="Arial"/>
          <w:sz w:val="15"/>
          <w:szCs w:val="15"/>
          <w:b w:val="1"/>
          <w:bCs w:val="1"/>
          <w:color w:val="170D67"/>
        </w:rPr>
        <w:t>Equity Awards</w:t>
      </w:r>
      <w:r>
        <w:rPr>
          <w:sz w:val="20"/>
          <w:szCs w:val="20"/>
          <w:color w:val="auto"/>
        </w:rPr>
        <w:tab/>
      </w:r>
      <w:r>
        <w:rPr>
          <w:rFonts w:ascii="Arial" w:cs="Arial" w:eastAsia="Arial" w:hAnsi="Arial"/>
          <w:sz w:val="16"/>
          <w:szCs w:val="16"/>
          <w:color w:val="auto"/>
        </w:rPr>
        <w:t>Prior year performance share awards vest and the current year award vests on prorated basis, each based on actual performance and payable when paid to active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2343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80" w:hanging="454"/>
        <w:spacing w:after="0"/>
        <w:tabs>
          <w:tab w:leader="none" w:pos="480" w:val="left"/>
        </w:tabs>
        <w:numPr>
          <w:ilvl w:val="0"/>
          <w:numId w:val="14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72" w:name="page73"/>
    <w:bookmarkEnd w:id="72"/>
    <w:p>
      <w:pPr>
        <w:jc w:val="right"/>
        <w:spacing w:after="0"/>
        <w:rPr>
          <w:sz w:val="20"/>
          <w:szCs w:val="20"/>
          <w:color w:val="auto"/>
        </w:rPr>
      </w:pPr>
      <w:r>
        <w:rPr>
          <w:rFonts w:ascii="Arial" w:cs="Arial" w:eastAsia="Arial" w:hAnsi="Arial"/>
          <w:sz w:val="13"/>
          <w:szCs w:val="13"/>
          <w:b w:val="1"/>
          <w:bCs w:val="1"/>
          <w:color w:val="auto"/>
        </w:rPr>
        <w:t>Compensation Discussion &amp; Analysis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Estimated Value of Benefits to be Received Upon Death:</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60" w:type="dxa"/>
            <w:vAlign w:val="bottom"/>
          </w:tcPr>
          <w:p>
            <w:pPr>
              <w:spacing w:after="0"/>
              <w:rPr>
                <w:sz w:val="15"/>
                <w:szCs w:val="15"/>
                <w:color w:val="auto"/>
              </w:rPr>
            </w:pPr>
          </w:p>
        </w:tc>
        <w:tc>
          <w:tcPr>
            <w:tcW w:w="4220" w:type="dxa"/>
            <w:vAlign w:val="bottom"/>
          </w:tcPr>
          <w:p>
            <w:pPr>
              <w:jc w:val="right"/>
              <w:ind w:right="206"/>
              <w:spacing w:after="0"/>
              <w:rPr>
                <w:sz w:val="20"/>
                <w:szCs w:val="20"/>
                <w:color w:val="auto"/>
              </w:rPr>
            </w:pPr>
            <w:r>
              <w:rPr>
                <w:rFonts w:ascii="Arial" w:cs="Arial" w:eastAsia="Arial" w:hAnsi="Arial"/>
                <w:sz w:val="14"/>
                <w:szCs w:val="14"/>
                <w:b w:val="1"/>
                <w:bCs w:val="1"/>
                <w:color w:val="170D67"/>
              </w:rPr>
              <w:t>Cash</w:t>
            </w:r>
          </w:p>
        </w:tc>
        <w:tc>
          <w:tcPr>
            <w:tcW w:w="1820" w:type="dxa"/>
            <w:vAlign w:val="bottom"/>
          </w:tcPr>
          <w:p>
            <w:pPr>
              <w:jc w:val="right"/>
              <w:ind w:right="206"/>
              <w:spacing w:after="0"/>
              <w:rPr>
                <w:sz w:val="20"/>
                <w:szCs w:val="20"/>
                <w:color w:val="auto"/>
              </w:rPr>
            </w:pPr>
            <w:r>
              <w:rPr>
                <w:rFonts w:ascii="Arial" w:cs="Arial" w:eastAsia="Arial" w:hAnsi="Arial"/>
                <w:sz w:val="14"/>
                <w:szCs w:val="14"/>
                <w:b w:val="1"/>
                <w:bCs w:val="1"/>
                <w:color w:val="170D67"/>
              </w:rPr>
              <w:t>Value of Unvested</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170D67"/>
              </w:rPr>
              <w:t>Total Value of</w:t>
            </w:r>
          </w:p>
        </w:tc>
        <w:tc>
          <w:tcPr>
            <w:tcW w:w="0" w:type="dxa"/>
            <w:vAlign w:val="bottom"/>
          </w:tcPr>
          <w:p>
            <w:pPr>
              <w:spacing w:after="0"/>
              <w:rPr>
                <w:sz w:val="1"/>
                <w:szCs w:val="1"/>
                <w:color w:val="auto"/>
              </w:rPr>
            </w:pPr>
          </w:p>
        </w:tc>
      </w:tr>
      <w:tr>
        <w:trPr>
          <w:trHeight w:val="175"/>
        </w:trPr>
        <w:tc>
          <w:tcPr>
            <w:tcW w:w="3960" w:type="dxa"/>
            <w:vAlign w:val="bottom"/>
          </w:tcPr>
          <w:p>
            <w:pPr>
              <w:spacing w:after="0"/>
              <w:rPr>
                <w:sz w:val="15"/>
                <w:szCs w:val="15"/>
                <w:color w:val="auto"/>
              </w:rPr>
            </w:pPr>
          </w:p>
        </w:tc>
        <w:tc>
          <w:tcPr>
            <w:tcW w:w="4220" w:type="dxa"/>
            <w:vAlign w:val="bottom"/>
          </w:tcPr>
          <w:p>
            <w:pPr>
              <w:jc w:val="right"/>
              <w:ind w:right="206"/>
              <w:spacing w:after="0"/>
              <w:rPr>
                <w:sz w:val="20"/>
                <w:szCs w:val="20"/>
                <w:color w:val="auto"/>
              </w:rPr>
            </w:pPr>
            <w:r>
              <w:rPr>
                <w:rFonts w:ascii="Arial" w:cs="Arial" w:eastAsia="Arial" w:hAnsi="Arial"/>
                <w:sz w:val="14"/>
                <w:szCs w:val="14"/>
                <w:b w:val="1"/>
                <w:bCs w:val="1"/>
                <w:color w:val="170D67"/>
              </w:rPr>
              <w:t>Payment</w:t>
            </w:r>
          </w:p>
        </w:tc>
        <w:tc>
          <w:tcPr>
            <w:tcW w:w="1820" w:type="dxa"/>
            <w:vAlign w:val="bottom"/>
          </w:tcPr>
          <w:p>
            <w:pPr>
              <w:jc w:val="right"/>
              <w:ind w:right="206"/>
              <w:spacing w:after="0"/>
              <w:rPr>
                <w:sz w:val="20"/>
                <w:szCs w:val="20"/>
                <w:color w:val="auto"/>
              </w:rPr>
            </w:pPr>
            <w:r>
              <w:rPr>
                <w:rFonts w:ascii="Arial" w:cs="Arial" w:eastAsia="Arial" w:hAnsi="Arial"/>
                <w:sz w:val="14"/>
                <w:szCs w:val="14"/>
                <w:b w:val="1"/>
                <w:bCs w:val="1"/>
                <w:color w:val="170D67"/>
              </w:rPr>
              <w:t>Equity Awards</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170D67"/>
              </w:rPr>
              <w:t>All Payments</w:t>
            </w:r>
          </w:p>
        </w:tc>
        <w:tc>
          <w:tcPr>
            <w:tcW w:w="0" w:type="dxa"/>
            <w:vAlign w:val="bottom"/>
          </w:tcPr>
          <w:p>
            <w:pPr>
              <w:spacing w:after="0"/>
              <w:rPr>
                <w:sz w:val="1"/>
                <w:szCs w:val="1"/>
                <w:color w:val="auto"/>
              </w:rPr>
            </w:pPr>
          </w:p>
        </w:tc>
      </w:tr>
      <w:tr>
        <w:trPr>
          <w:trHeight w:val="176"/>
        </w:trPr>
        <w:tc>
          <w:tcPr>
            <w:tcW w:w="3960" w:type="dxa"/>
            <w:vAlign w:val="bottom"/>
            <w:vMerge w:val="restart"/>
          </w:tcPr>
          <w:p>
            <w:pPr>
              <w:ind w:left="20"/>
              <w:spacing w:after="0"/>
              <w:rPr>
                <w:sz w:val="20"/>
                <w:szCs w:val="20"/>
                <w:color w:val="auto"/>
              </w:rPr>
            </w:pPr>
            <w:r>
              <w:rPr>
                <w:rFonts w:ascii="Arial" w:cs="Arial" w:eastAsia="Arial" w:hAnsi="Arial"/>
                <w:sz w:val="14"/>
                <w:szCs w:val="14"/>
                <w:b w:val="1"/>
                <w:bCs w:val="1"/>
                <w:color w:val="170D67"/>
              </w:rPr>
              <w:t>Name</w:t>
            </w:r>
          </w:p>
        </w:tc>
        <w:tc>
          <w:tcPr>
            <w:tcW w:w="4220" w:type="dxa"/>
            <w:vAlign w:val="bottom"/>
          </w:tcPr>
          <w:p>
            <w:pPr>
              <w:jc w:val="right"/>
              <w:ind w:right="206"/>
              <w:spacing w:after="0"/>
              <w:rPr>
                <w:sz w:val="20"/>
                <w:szCs w:val="20"/>
                <w:color w:val="auto"/>
              </w:rPr>
            </w:pPr>
            <w:r>
              <w:rPr>
                <w:rFonts w:ascii="Arial" w:cs="Arial" w:eastAsia="Arial" w:hAnsi="Arial"/>
                <w:sz w:val="14"/>
                <w:szCs w:val="14"/>
                <w:b w:val="1"/>
                <w:bCs w:val="1"/>
                <w:color w:val="170D67"/>
              </w:rPr>
              <w:t>($)</w:t>
            </w:r>
          </w:p>
        </w:tc>
        <w:tc>
          <w:tcPr>
            <w:tcW w:w="1820" w:type="dxa"/>
            <w:vAlign w:val="bottom"/>
          </w:tcPr>
          <w:p>
            <w:pPr>
              <w:jc w:val="right"/>
              <w:ind w:right="206"/>
              <w:spacing w:after="0"/>
              <w:rPr>
                <w:sz w:val="20"/>
                <w:szCs w:val="20"/>
                <w:color w:val="auto"/>
              </w:rPr>
            </w:pPr>
            <w:r>
              <w:rPr>
                <w:rFonts w:ascii="Arial" w:cs="Arial" w:eastAsia="Arial" w:hAnsi="Arial"/>
                <w:sz w:val="14"/>
                <w:szCs w:val="14"/>
                <w:b w:val="1"/>
                <w:bCs w:val="1"/>
                <w:color w:val="170D67"/>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170D67"/>
              </w:rPr>
              <w:t>and Benefits</w:t>
            </w:r>
          </w:p>
        </w:tc>
        <w:tc>
          <w:tcPr>
            <w:tcW w:w="0" w:type="dxa"/>
            <w:vAlign w:val="bottom"/>
          </w:tcPr>
          <w:p>
            <w:pPr>
              <w:spacing w:after="0"/>
              <w:rPr>
                <w:sz w:val="1"/>
                <w:szCs w:val="1"/>
                <w:color w:val="auto"/>
              </w:rPr>
            </w:pPr>
          </w:p>
        </w:tc>
      </w:tr>
      <w:tr>
        <w:trPr>
          <w:trHeight w:val="197"/>
        </w:trPr>
        <w:tc>
          <w:tcPr>
            <w:tcW w:w="3960" w:type="dxa"/>
            <w:vAlign w:val="bottom"/>
            <w:tcBorders>
              <w:bottom w:val="single" w:sz="8" w:color="170D67"/>
            </w:tcBorders>
            <w:vMerge w:val="continue"/>
          </w:tcPr>
          <w:p>
            <w:pPr>
              <w:spacing w:after="0"/>
              <w:rPr>
                <w:sz w:val="17"/>
                <w:szCs w:val="17"/>
                <w:color w:val="auto"/>
              </w:rPr>
            </w:pPr>
          </w:p>
        </w:tc>
        <w:tc>
          <w:tcPr>
            <w:tcW w:w="4220" w:type="dxa"/>
            <w:vAlign w:val="bottom"/>
            <w:tcBorders>
              <w:bottom w:val="single" w:sz="8" w:color="170D67"/>
            </w:tcBorders>
          </w:tcPr>
          <w:p>
            <w:pPr>
              <w:jc w:val="right"/>
              <w:ind w:right="206"/>
              <w:spacing w:after="0"/>
              <w:rPr>
                <w:sz w:val="20"/>
                <w:szCs w:val="20"/>
                <w:color w:val="auto"/>
              </w:rPr>
            </w:pPr>
            <w:r>
              <w:rPr>
                <w:rFonts w:ascii="Arial" w:cs="Arial" w:eastAsia="Arial" w:hAnsi="Arial"/>
                <w:sz w:val="14"/>
                <w:szCs w:val="14"/>
                <w:b w:val="1"/>
                <w:bCs w:val="1"/>
                <w:color w:val="170D67"/>
              </w:rPr>
              <w:t>(Note 1)</w:t>
            </w:r>
          </w:p>
        </w:tc>
        <w:tc>
          <w:tcPr>
            <w:tcW w:w="1820" w:type="dxa"/>
            <w:vAlign w:val="bottom"/>
            <w:tcBorders>
              <w:bottom w:val="single" w:sz="8" w:color="170D67"/>
            </w:tcBorders>
          </w:tcPr>
          <w:p>
            <w:pPr>
              <w:jc w:val="right"/>
              <w:ind w:right="206"/>
              <w:spacing w:after="0"/>
              <w:rPr>
                <w:sz w:val="20"/>
                <w:szCs w:val="20"/>
                <w:color w:val="auto"/>
              </w:rPr>
            </w:pPr>
            <w:r>
              <w:rPr>
                <w:rFonts w:ascii="Arial" w:cs="Arial" w:eastAsia="Arial" w:hAnsi="Arial"/>
                <w:sz w:val="14"/>
                <w:szCs w:val="14"/>
                <w:b w:val="1"/>
                <w:bCs w:val="1"/>
                <w:color w:val="170D67"/>
              </w:rPr>
              <w:t>(Note 2)</w:t>
            </w:r>
          </w:p>
        </w:tc>
        <w:tc>
          <w:tcPr>
            <w:tcW w:w="1220" w:type="dxa"/>
            <w:vAlign w:val="bottom"/>
            <w:tcBorders>
              <w:bottom w:val="single" w:sz="8" w:color="170D67"/>
            </w:tcBorders>
          </w:tcPr>
          <w:p>
            <w:pPr>
              <w:jc w:val="right"/>
              <w:spacing w:after="0"/>
              <w:rPr>
                <w:sz w:val="20"/>
                <w:szCs w:val="20"/>
                <w:color w:val="auto"/>
              </w:rPr>
            </w:pPr>
            <w:r>
              <w:rPr>
                <w:rFonts w:ascii="Arial" w:cs="Arial" w:eastAsia="Arial" w:hAnsi="Arial"/>
                <w:sz w:val="14"/>
                <w:szCs w:val="14"/>
                <w:b w:val="1"/>
                <w:bCs w:val="1"/>
                <w:color w:val="170D67"/>
              </w:rPr>
              <w:t>($)</w:t>
            </w:r>
          </w:p>
        </w:tc>
        <w:tc>
          <w:tcPr>
            <w:tcW w:w="0" w:type="dxa"/>
            <w:vAlign w:val="bottom"/>
          </w:tcPr>
          <w:p>
            <w:pPr>
              <w:spacing w:after="0"/>
              <w:rPr>
                <w:sz w:val="1"/>
                <w:szCs w:val="1"/>
                <w:color w:val="auto"/>
              </w:rPr>
            </w:pPr>
          </w:p>
        </w:tc>
      </w:tr>
      <w:tr>
        <w:trPr>
          <w:trHeight w:val="205"/>
        </w:trPr>
        <w:tc>
          <w:tcPr>
            <w:tcW w:w="3960" w:type="dxa"/>
            <w:vAlign w:val="bottom"/>
          </w:tcPr>
          <w:p>
            <w:pPr>
              <w:ind w:left="20"/>
              <w:spacing w:after="0"/>
              <w:rPr>
                <w:sz w:val="20"/>
                <w:szCs w:val="20"/>
                <w:color w:val="auto"/>
              </w:rPr>
            </w:pPr>
            <w:r>
              <w:rPr>
                <w:rFonts w:ascii="Arial" w:cs="Arial" w:eastAsia="Arial" w:hAnsi="Arial"/>
                <w:sz w:val="15"/>
                <w:szCs w:val="15"/>
                <w:color w:val="auto"/>
              </w:rPr>
              <w:t>Butler</w:t>
            </w:r>
          </w:p>
        </w:tc>
        <w:tc>
          <w:tcPr>
            <w:tcW w:w="4220" w:type="dxa"/>
            <w:vAlign w:val="bottom"/>
          </w:tcPr>
          <w:p>
            <w:pPr>
              <w:jc w:val="right"/>
              <w:ind w:right="266"/>
              <w:spacing w:after="0"/>
              <w:rPr>
                <w:sz w:val="20"/>
                <w:szCs w:val="20"/>
                <w:color w:val="auto"/>
              </w:rPr>
            </w:pPr>
            <w:r>
              <w:rPr>
                <w:rFonts w:ascii="Arial" w:cs="Arial" w:eastAsia="Arial" w:hAnsi="Arial"/>
                <w:sz w:val="15"/>
                <w:szCs w:val="15"/>
                <w:color w:val="auto"/>
              </w:rPr>
              <w:t>2,639,885</w:t>
            </w:r>
          </w:p>
        </w:tc>
        <w:tc>
          <w:tcPr>
            <w:tcW w:w="1820" w:type="dxa"/>
            <w:vAlign w:val="bottom"/>
          </w:tcPr>
          <w:p>
            <w:pPr>
              <w:jc w:val="right"/>
              <w:ind w:right="266"/>
              <w:spacing w:after="0"/>
              <w:rPr>
                <w:sz w:val="20"/>
                <w:szCs w:val="20"/>
                <w:color w:val="auto"/>
              </w:rPr>
            </w:pPr>
            <w:r>
              <w:rPr>
                <w:rFonts w:ascii="Arial" w:cs="Arial" w:eastAsia="Arial" w:hAnsi="Arial"/>
                <w:sz w:val="15"/>
                <w:szCs w:val="15"/>
                <w:color w:val="auto"/>
              </w:rPr>
              <w:t>18,716,539</w:t>
            </w:r>
          </w:p>
        </w:tc>
        <w:tc>
          <w:tcPr>
            <w:tcW w:w="1220" w:type="dxa"/>
            <w:vAlign w:val="bottom"/>
          </w:tcPr>
          <w:p>
            <w:pPr>
              <w:jc w:val="right"/>
              <w:spacing w:after="0"/>
              <w:rPr>
                <w:sz w:val="20"/>
                <w:szCs w:val="20"/>
                <w:color w:val="auto"/>
              </w:rPr>
            </w:pPr>
            <w:r>
              <w:rPr>
                <w:rFonts w:ascii="Arial" w:cs="Arial" w:eastAsia="Arial" w:hAnsi="Arial"/>
                <w:sz w:val="15"/>
                <w:szCs w:val="15"/>
                <w:color w:val="auto"/>
              </w:rPr>
              <w:t>21,356,424</w:t>
            </w:r>
          </w:p>
        </w:tc>
        <w:tc>
          <w:tcPr>
            <w:tcW w:w="0" w:type="dxa"/>
            <w:vAlign w:val="bottom"/>
          </w:tcPr>
          <w:p>
            <w:pPr>
              <w:spacing w:after="0"/>
              <w:rPr>
                <w:sz w:val="1"/>
                <w:szCs w:val="1"/>
                <w:color w:val="auto"/>
              </w:rPr>
            </w:pPr>
          </w:p>
        </w:tc>
      </w:tr>
      <w:tr>
        <w:trPr>
          <w:trHeight w:val="33"/>
        </w:trPr>
        <w:tc>
          <w:tcPr>
            <w:tcW w:w="3960" w:type="dxa"/>
            <w:vAlign w:val="bottom"/>
            <w:tcBorders>
              <w:bottom w:val="single" w:sz="8" w:color="808080"/>
            </w:tcBorders>
          </w:tcPr>
          <w:p>
            <w:pPr>
              <w:spacing w:after="0"/>
              <w:rPr>
                <w:sz w:val="2"/>
                <w:szCs w:val="2"/>
                <w:color w:val="auto"/>
              </w:rPr>
            </w:pPr>
          </w:p>
        </w:tc>
        <w:tc>
          <w:tcPr>
            <w:tcW w:w="4220" w:type="dxa"/>
            <w:vAlign w:val="bottom"/>
            <w:tcBorders>
              <w:bottom w:val="single" w:sz="8" w:color="808080"/>
            </w:tcBorders>
          </w:tcPr>
          <w:p>
            <w:pPr>
              <w:spacing w:after="0"/>
              <w:rPr>
                <w:sz w:val="2"/>
                <w:szCs w:val="2"/>
                <w:color w:val="auto"/>
              </w:rPr>
            </w:pPr>
          </w:p>
        </w:tc>
        <w:tc>
          <w:tcPr>
            <w:tcW w:w="1820" w:type="dxa"/>
            <w:vAlign w:val="bottom"/>
            <w:tcBorders>
              <w:bottom w:val="single" w:sz="8" w:color="808080"/>
            </w:tcBorders>
          </w:tcPr>
          <w:p>
            <w:pPr>
              <w:spacing w:after="0"/>
              <w:rPr>
                <w:sz w:val="2"/>
                <w:szCs w:val="2"/>
                <w:color w:val="auto"/>
              </w:rPr>
            </w:pPr>
          </w:p>
        </w:tc>
        <w:tc>
          <w:tcPr>
            <w:tcW w:w="12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960" w:type="dxa"/>
            <w:vAlign w:val="bottom"/>
          </w:tcPr>
          <w:p>
            <w:pPr>
              <w:ind w:left="20"/>
              <w:spacing w:after="0"/>
              <w:rPr>
                <w:sz w:val="20"/>
                <w:szCs w:val="20"/>
                <w:color w:val="auto"/>
              </w:rPr>
            </w:pPr>
            <w:r>
              <w:rPr>
                <w:rFonts w:ascii="Arial" w:cs="Arial" w:eastAsia="Arial" w:hAnsi="Arial"/>
                <w:sz w:val="15"/>
                <w:szCs w:val="15"/>
                <w:color w:val="auto"/>
              </w:rPr>
              <w:t>Jones</w:t>
            </w:r>
          </w:p>
        </w:tc>
        <w:tc>
          <w:tcPr>
            <w:tcW w:w="4220" w:type="dxa"/>
            <w:vAlign w:val="bottom"/>
          </w:tcPr>
          <w:p>
            <w:pPr>
              <w:jc w:val="right"/>
              <w:ind w:right="266"/>
              <w:spacing w:after="0"/>
              <w:rPr>
                <w:sz w:val="20"/>
                <w:szCs w:val="20"/>
                <w:color w:val="auto"/>
              </w:rPr>
            </w:pPr>
            <w:r>
              <w:rPr>
                <w:rFonts w:ascii="Arial" w:cs="Arial" w:eastAsia="Arial" w:hAnsi="Arial"/>
                <w:sz w:val="15"/>
                <w:szCs w:val="15"/>
                <w:color w:val="auto"/>
              </w:rPr>
              <w:t>889,510</w:t>
            </w:r>
          </w:p>
        </w:tc>
        <w:tc>
          <w:tcPr>
            <w:tcW w:w="1820" w:type="dxa"/>
            <w:vAlign w:val="bottom"/>
          </w:tcPr>
          <w:p>
            <w:pPr>
              <w:jc w:val="right"/>
              <w:ind w:right="266"/>
              <w:spacing w:after="0"/>
              <w:rPr>
                <w:sz w:val="20"/>
                <w:szCs w:val="20"/>
                <w:color w:val="auto"/>
              </w:rPr>
            </w:pPr>
            <w:r>
              <w:rPr>
                <w:rFonts w:ascii="Arial" w:cs="Arial" w:eastAsia="Arial" w:hAnsi="Arial"/>
                <w:sz w:val="15"/>
                <w:szCs w:val="15"/>
                <w:color w:val="auto"/>
              </w:rPr>
              <w:t>3,822,657</w:t>
            </w:r>
          </w:p>
        </w:tc>
        <w:tc>
          <w:tcPr>
            <w:tcW w:w="1220" w:type="dxa"/>
            <w:vAlign w:val="bottom"/>
          </w:tcPr>
          <w:p>
            <w:pPr>
              <w:jc w:val="right"/>
              <w:spacing w:after="0"/>
              <w:rPr>
                <w:sz w:val="20"/>
                <w:szCs w:val="20"/>
                <w:color w:val="auto"/>
              </w:rPr>
            </w:pPr>
            <w:r>
              <w:rPr>
                <w:rFonts w:ascii="Arial" w:cs="Arial" w:eastAsia="Arial" w:hAnsi="Arial"/>
                <w:sz w:val="15"/>
                <w:szCs w:val="15"/>
                <w:color w:val="auto"/>
              </w:rPr>
              <w:t>4,712,167</w:t>
            </w:r>
          </w:p>
        </w:tc>
        <w:tc>
          <w:tcPr>
            <w:tcW w:w="0" w:type="dxa"/>
            <w:vAlign w:val="bottom"/>
          </w:tcPr>
          <w:p>
            <w:pPr>
              <w:spacing w:after="0"/>
              <w:rPr>
                <w:sz w:val="1"/>
                <w:szCs w:val="1"/>
                <w:color w:val="auto"/>
              </w:rPr>
            </w:pPr>
          </w:p>
        </w:tc>
      </w:tr>
      <w:tr>
        <w:trPr>
          <w:trHeight w:val="33"/>
        </w:trPr>
        <w:tc>
          <w:tcPr>
            <w:tcW w:w="3960" w:type="dxa"/>
            <w:vAlign w:val="bottom"/>
            <w:tcBorders>
              <w:bottom w:val="single" w:sz="8" w:color="808080"/>
            </w:tcBorders>
          </w:tcPr>
          <w:p>
            <w:pPr>
              <w:spacing w:after="0"/>
              <w:rPr>
                <w:sz w:val="2"/>
                <w:szCs w:val="2"/>
                <w:color w:val="auto"/>
              </w:rPr>
            </w:pPr>
          </w:p>
        </w:tc>
        <w:tc>
          <w:tcPr>
            <w:tcW w:w="4220" w:type="dxa"/>
            <w:vAlign w:val="bottom"/>
            <w:tcBorders>
              <w:bottom w:val="single" w:sz="8" w:color="808080"/>
            </w:tcBorders>
          </w:tcPr>
          <w:p>
            <w:pPr>
              <w:spacing w:after="0"/>
              <w:rPr>
                <w:sz w:val="2"/>
                <w:szCs w:val="2"/>
                <w:color w:val="auto"/>
              </w:rPr>
            </w:pPr>
          </w:p>
        </w:tc>
        <w:tc>
          <w:tcPr>
            <w:tcW w:w="1820" w:type="dxa"/>
            <w:vAlign w:val="bottom"/>
            <w:tcBorders>
              <w:bottom w:val="single" w:sz="8" w:color="808080"/>
            </w:tcBorders>
          </w:tcPr>
          <w:p>
            <w:pPr>
              <w:spacing w:after="0"/>
              <w:rPr>
                <w:sz w:val="2"/>
                <w:szCs w:val="2"/>
                <w:color w:val="auto"/>
              </w:rPr>
            </w:pPr>
          </w:p>
        </w:tc>
        <w:tc>
          <w:tcPr>
            <w:tcW w:w="12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20"/>
              <w:spacing w:after="0"/>
              <w:rPr>
                <w:sz w:val="20"/>
                <w:szCs w:val="20"/>
                <w:color w:val="auto"/>
              </w:rPr>
            </w:pPr>
            <w:r>
              <w:rPr>
                <w:rFonts w:ascii="Arial" w:cs="Arial" w:eastAsia="Arial" w:hAnsi="Arial"/>
                <w:sz w:val="15"/>
                <w:szCs w:val="15"/>
                <w:color w:val="auto"/>
              </w:rPr>
              <w:t>Glockner</w:t>
            </w:r>
          </w:p>
        </w:tc>
        <w:tc>
          <w:tcPr>
            <w:tcW w:w="4220" w:type="dxa"/>
            <w:vAlign w:val="bottom"/>
          </w:tcPr>
          <w:p>
            <w:pPr>
              <w:jc w:val="right"/>
              <w:ind w:right="266"/>
              <w:spacing w:after="0"/>
              <w:rPr>
                <w:sz w:val="20"/>
                <w:szCs w:val="20"/>
                <w:color w:val="auto"/>
              </w:rPr>
            </w:pPr>
            <w:r>
              <w:rPr>
                <w:rFonts w:ascii="Arial" w:cs="Arial" w:eastAsia="Arial" w:hAnsi="Arial"/>
                <w:sz w:val="15"/>
                <w:szCs w:val="15"/>
                <w:color w:val="auto"/>
              </w:rPr>
              <w:t>727,336</w:t>
            </w:r>
          </w:p>
        </w:tc>
        <w:tc>
          <w:tcPr>
            <w:tcW w:w="1820" w:type="dxa"/>
            <w:vAlign w:val="bottom"/>
          </w:tcPr>
          <w:p>
            <w:pPr>
              <w:jc w:val="right"/>
              <w:ind w:right="266"/>
              <w:spacing w:after="0"/>
              <w:rPr>
                <w:sz w:val="20"/>
                <w:szCs w:val="20"/>
                <w:color w:val="auto"/>
              </w:rPr>
            </w:pPr>
            <w:r>
              <w:rPr>
                <w:rFonts w:ascii="Arial" w:cs="Arial" w:eastAsia="Arial" w:hAnsi="Arial"/>
                <w:sz w:val="15"/>
                <w:szCs w:val="15"/>
                <w:color w:val="auto"/>
              </w:rPr>
              <w:t>3,543,126</w:t>
            </w:r>
          </w:p>
        </w:tc>
        <w:tc>
          <w:tcPr>
            <w:tcW w:w="1220" w:type="dxa"/>
            <w:vAlign w:val="bottom"/>
          </w:tcPr>
          <w:p>
            <w:pPr>
              <w:jc w:val="right"/>
              <w:spacing w:after="0"/>
              <w:rPr>
                <w:sz w:val="20"/>
                <w:szCs w:val="20"/>
                <w:color w:val="auto"/>
              </w:rPr>
            </w:pPr>
            <w:r>
              <w:rPr>
                <w:rFonts w:ascii="Arial" w:cs="Arial" w:eastAsia="Arial" w:hAnsi="Arial"/>
                <w:sz w:val="15"/>
                <w:szCs w:val="15"/>
                <w:color w:val="auto"/>
              </w:rPr>
              <w:t>4,270,462</w:t>
            </w:r>
          </w:p>
        </w:tc>
        <w:tc>
          <w:tcPr>
            <w:tcW w:w="0" w:type="dxa"/>
            <w:vAlign w:val="bottom"/>
          </w:tcPr>
          <w:p>
            <w:pPr>
              <w:spacing w:after="0"/>
              <w:rPr>
                <w:sz w:val="1"/>
                <w:szCs w:val="1"/>
                <w:color w:val="auto"/>
              </w:rPr>
            </w:pPr>
          </w:p>
        </w:tc>
      </w:tr>
      <w:tr>
        <w:trPr>
          <w:trHeight w:val="33"/>
        </w:trPr>
        <w:tc>
          <w:tcPr>
            <w:tcW w:w="3960" w:type="dxa"/>
            <w:vAlign w:val="bottom"/>
            <w:tcBorders>
              <w:bottom w:val="single" w:sz="8" w:color="808080"/>
            </w:tcBorders>
          </w:tcPr>
          <w:p>
            <w:pPr>
              <w:spacing w:after="0"/>
              <w:rPr>
                <w:sz w:val="2"/>
                <w:szCs w:val="2"/>
                <w:color w:val="auto"/>
              </w:rPr>
            </w:pPr>
          </w:p>
        </w:tc>
        <w:tc>
          <w:tcPr>
            <w:tcW w:w="4220" w:type="dxa"/>
            <w:vAlign w:val="bottom"/>
            <w:tcBorders>
              <w:bottom w:val="single" w:sz="8" w:color="808080"/>
            </w:tcBorders>
          </w:tcPr>
          <w:p>
            <w:pPr>
              <w:spacing w:after="0"/>
              <w:rPr>
                <w:sz w:val="2"/>
                <w:szCs w:val="2"/>
                <w:color w:val="auto"/>
              </w:rPr>
            </w:pPr>
          </w:p>
        </w:tc>
        <w:tc>
          <w:tcPr>
            <w:tcW w:w="1820" w:type="dxa"/>
            <w:vAlign w:val="bottom"/>
            <w:tcBorders>
              <w:bottom w:val="single" w:sz="8" w:color="808080"/>
            </w:tcBorders>
          </w:tcPr>
          <w:p>
            <w:pPr>
              <w:spacing w:after="0"/>
              <w:rPr>
                <w:sz w:val="2"/>
                <w:szCs w:val="2"/>
                <w:color w:val="auto"/>
              </w:rPr>
            </w:pPr>
          </w:p>
        </w:tc>
        <w:tc>
          <w:tcPr>
            <w:tcW w:w="12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20"/>
              <w:spacing w:after="0"/>
              <w:rPr>
                <w:sz w:val="20"/>
                <w:szCs w:val="20"/>
                <w:color w:val="auto"/>
              </w:rPr>
            </w:pPr>
            <w:r>
              <w:rPr>
                <w:rFonts w:ascii="Arial" w:cs="Arial" w:eastAsia="Arial" w:hAnsi="Arial"/>
                <w:sz w:val="15"/>
                <w:szCs w:val="15"/>
                <w:color w:val="auto"/>
              </w:rPr>
              <w:t>Innocenzo</w:t>
            </w:r>
          </w:p>
        </w:tc>
        <w:tc>
          <w:tcPr>
            <w:tcW w:w="4220" w:type="dxa"/>
            <w:vAlign w:val="bottom"/>
          </w:tcPr>
          <w:p>
            <w:pPr>
              <w:jc w:val="right"/>
              <w:ind w:right="266"/>
              <w:spacing w:after="0"/>
              <w:rPr>
                <w:sz w:val="20"/>
                <w:szCs w:val="20"/>
                <w:color w:val="auto"/>
              </w:rPr>
            </w:pPr>
            <w:r>
              <w:rPr>
                <w:rFonts w:ascii="Arial" w:cs="Arial" w:eastAsia="Arial" w:hAnsi="Arial"/>
                <w:sz w:val="15"/>
                <w:szCs w:val="15"/>
                <w:color w:val="auto"/>
              </w:rPr>
              <w:t>756,130</w:t>
            </w:r>
          </w:p>
        </w:tc>
        <w:tc>
          <w:tcPr>
            <w:tcW w:w="1820" w:type="dxa"/>
            <w:vAlign w:val="bottom"/>
          </w:tcPr>
          <w:p>
            <w:pPr>
              <w:jc w:val="right"/>
              <w:ind w:right="266"/>
              <w:spacing w:after="0"/>
              <w:rPr>
                <w:sz w:val="20"/>
                <w:szCs w:val="20"/>
                <w:color w:val="auto"/>
              </w:rPr>
            </w:pPr>
            <w:r>
              <w:rPr>
                <w:rFonts w:ascii="Arial" w:cs="Arial" w:eastAsia="Arial" w:hAnsi="Arial"/>
                <w:sz w:val="15"/>
                <w:szCs w:val="15"/>
                <w:color w:val="auto"/>
              </w:rPr>
              <w:t>3,019,545</w:t>
            </w:r>
          </w:p>
        </w:tc>
        <w:tc>
          <w:tcPr>
            <w:tcW w:w="1220" w:type="dxa"/>
            <w:vAlign w:val="bottom"/>
          </w:tcPr>
          <w:p>
            <w:pPr>
              <w:jc w:val="right"/>
              <w:spacing w:after="0"/>
              <w:rPr>
                <w:sz w:val="20"/>
                <w:szCs w:val="20"/>
                <w:color w:val="auto"/>
              </w:rPr>
            </w:pPr>
            <w:r>
              <w:rPr>
                <w:rFonts w:ascii="Arial" w:cs="Arial" w:eastAsia="Arial" w:hAnsi="Arial"/>
                <w:sz w:val="15"/>
                <w:szCs w:val="15"/>
                <w:color w:val="auto"/>
              </w:rPr>
              <w:t>3,775,675</w:t>
            </w:r>
          </w:p>
        </w:tc>
        <w:tc>
          <w:tcPr>
            <w:tcW w:w="0" w:type="dxa"/>
            <w:vAlign w:val="bottom"/>
          </w:tcPr>
          <w:p>
            <w:pPr>
              <w:spacing w:after="0"/>
              <w:rPr>
                <w:sz w:val="1"/>
                <w:szCs w:val="1"/>
                <w:color w:val="auto"/>
              </w:rPr>
            </w:pPr>
          </w:p>
        </w:tc>
      </w:tr>
      <w:tr>
        <w:trPr>
          <w:trHeight w:val="33"/>
        </w:trPr>
        <w:tc>
          <w:tcPr>
            <w:tcW w:w="3960" w:type="dxa"/>
            <w:vAlign w:val="bottom"/>
            <w:tcBorders>
              <w:bottom w:val="single" w:sz="8" w:color="808080"/>
            </w:tcBorders>
          </w:tcPr>
          <w:p>
            <w:pPr>
              <w:spacing w:after="0"/>
              <w:rPr>
                <w:sz w:val="2"/>
                <w:szCs w:val="2"/>
                <w:color w:val="auto"/>
              </w:rPr>
            </w:pPr>
          </w:p>
        </w:tc>
        <w:tc>
          <w:tcPr>
            <w:tcW w:w="4220" w:type="dxa"/>
            <w:vAlign w:val="bottom"/>
            <w:tcBorders>
              <w:bottom w:val="single" w:sz="8" w:color="808080"/>
            </w:tcBorders>
          </w:tcPr>
          <w:p>
            <w:pPr>
              <w:spacing w:after="0"/>
              <w:rPr>
                <w:sz w:val="2"/>
                <w:szCs w:val="2"/>
                <w:color w:val="auto"/>
              </w:rPr>
            </w:pPr>
          </w:p>
        </w:tc>
        <w:tc>
          <w:tcPr>
            <w:tcW w:w="1820" w:type="dxa"/>
            <w:vAlign w:val="bottom"/>
            <w:tcBorders>
              <w:bottom w:val="single" w:sz="8" w:color="808080"/>
            </w:tcBorders>
          </w:tcPr>
          <w:p>
            <w:pPr>
              <w:spacing w:after="0"/>
              <w:rPr>
                <w:sz w:val="2"/>
                <w:szCs w:val="2"/>
                <w:color w:val="auto"/>
              </w:rPr>
            </w:pPr>
          </w:p>
        </w:tc>
        <w:tc>
          <w:tcPr>
            <w:tcW w:w="12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hanging="252"/>
        <w:spacing w:after="0"/>
        <w:tabs>
          <w:tab w:leader="none" w:pos="260" w:val="left"/>
        </w:tabs>
        <w:numPr>
          <w:ilvl w:val="0"/>
          <w:numId w:val="141"/>
        </w:numPr>
        <w:rPr>
          <w:rFonts w:ascii="Arial" w:cs="Arial" w:eastAsia="Arial" w:hAnsi="Arial"/>
          <w:sz w:val="8"/>
          <w:szCs w:val="8"/>
          <w:color w:val="auto"/>
        </w:rPr>
      </w:pPr>
      <w:r>
        <w:rPr>
          <w:rFonts w:ascii="Arial" w:cs="Arial" w:eastAsia="Arial" w:hAnsi="Arial"/>
          <w:sz w:val="14"/>
          <w:szCs w:val="14"/>
          <w:color w:val="auto"/>
        </w:rPr>
        <w:t>Represents the portion of the executives’ AIP award (based on actual performance) that, per applicable award terms, would be payable upon death.</w:t>
      </w:r>
    </w:p>
    <w:p>
      <w:pPr>
        <w:spacing w:after="0" w:line="95" w:lineRule="exact"/>
        <w:rPr>
          <w:rFonts w:ascii="Arial" w:cs="Arial" w:eastAsia="Arial" w:hAnsi="Arial"/>
          <w:sz w:val="8"/>
          <w:szCs w:val="8"/>
          <w:color w:val="auto"/>
        </w:rPr>
      </w:pPr>
    </w:p>
    <w:p>
      <w:pPr>
        <w:ind w:left="260" w:right="120" w:hanging="252"/>
        <w:spacing w:after="0" w:line="325" w:lineRule="auto"/>
        <w:tabs>
          <w:tab w:leader="none" w:pos="249" w:val="left"/>
        </w:tabs>
        <w:numPr>
          <w:ilvl w:val="0"/>
          <w:numId w:val="141"/>
        </w:numPr>
        <w:rPr>
          <w:rFonts w:ascii="Arial" w:cs="Arial" w:eastAsia="Arial" w:hAnsi="Arial"/>
          <w:sz w:val="8"/>
          <w:szCs w:val="8"/>
          <w:color w:val="auto"/>
        </w:rPr>
      </w:pPr>
      <w:r>
        <w:rPr>
          <w:rFonts w:ascii="Arial" w:cs="Arial" w:eastAsia="Arial" w:hAnsi="Arial"/>
          <w:sz w:val="14"/>
          <w:szCs w:val="14"/>
          <w:color w:val="auto"/>
        </w:rPr>
        <w:t>Represents the value of the executives’ unvested PSU awards granted in 2022 (based on actual performance), and 2023 and 2024 (assuming target performance) and the accelerated portion of the executives’ RSU awards that, per applicable award terms, would vest upon death.</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Involuntary Termination Without Cause; Resignation for Good Reason</w:t>
      </w:r>
    </w:p>
    <w:p>
      <w:pPr>
        <w:spacing w:after="0" w:line="122" w:lineRule="exact"/>
        <w:rPr>
          <w:sz w:val="20"/>
          <w:szCs w:val="20"/>
          <w:color w:val="auto"/>
        </w:rPr>
      </w:pPr>
    </w:p>
    <w:p>
      <w:pPr>
        <w:jc w:val="both"/>
        <w:ind w:right="40"/>
        <w:spacing w:after="0" w:line="289" w:lineRule="auto"/>
        <w:rPr>
          <w:sz w:val="20"/>
          <w:szCs w:val="20"/>
          <w:color w:val="auto"/>
        </w:rPr>
      </w:pPr>
      <w:r>
        <w:rPr>
          <w:rFonts w:ascii="Arial" w:cs="Arial" w:eastAsia="Arial" w:hAnsi="Arial"/>
          <w:sz w:val="16"/>
          <w:szCs w:val="16"/>
          <w:color w:val="auto"/>
        </w:rPr>
        <w:t>NEOs are entitled to certain payments and benefits in connection with the Company’s termination of their employment (other than for cause or disability) or in connection with the NEO’s resignation for good reason, as provided for in the SMSP. Payments under the SMSP are subject to reduction by Exelon to the extent necessary to avoid imposition of excise taxes imposed by Section 4999 of the Internal Revenue Code on excess parachute payments or under similar state or local law, but only if doing so results in the executive receiving a lesser reduction in after-tax payments.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40" w:type="dxa"/>
            <w:vAlign w:val="bottom"/>
            <w:tcBorders>
              <w:top w:val="single" w:sz="8" w:color="170D67"/>
            </w:tcBorders>
            <w:vMerge w:val="restart"/>
            <w:shd w:val="clear" w:color="auto" w:fill="E8E7EA"/>
          </w:tcPr>
          <w:p>
            <w:pPr>
              <w:ind w:left="20"/>
              <w:spacing w:after="0"/>
              <w:rPr>
                <w:sz w:val="20"/>
                <w:szCs w:val="20"/>
                <w:color w:val="auto"/>
              </w:rPr>
            </w:pPr>
            <w:r>
              <w:rPr>
                <w:rFonts w:ascii="Arial" w:cs="Arial" w:eastAsia="Arial" w:hAnsi="Arial"/>
                <w:sz w:val="15"/>
                <w:szCs w:val="15"/>
                <w:b w:val="1"/>
                <w:bCs w:val="1"/>
                <w:color w:val="170D67"/>
              </w:rPr>
              <w:t>Severance Pay</w:t>
            </w:r>
          </w:p>
        </w:tc>
        <w:tc>
          <w:tcPr>
            <w:tcW w:w="9480" w:type="dxa"/>
            <w:vAlign w:val="bottom"/>
            <w:tcBorders>
              <w:top w:val="single" w:sz="8" w:color="170D67"/>
            </w:tcBorders>
          </w:tcPr>
          <w:p>
            <w:pPr>
              <w:ind w:left="20"/>
              <w:spacing w:after="0"/>
              <w:rPr>
                <w:sz w:val="20"/>
                <w:szCs w:val="20"/>
                <w:color w:val="auto"/>
              </w:rPr>
            </w:pPr>
            <w:r>
              <w:rPr>
                <w:rFonts w:ascii="Arial" w:cs="Arial" w:eastAsia="Arial" w:hAnsi="Arial"/>
                <w:sz w:val="16"/>
                <w:szCs w:val="16"/>
                <w:color w:val="auto"/>
              </w:rPr>
              <w:t>Continued payment of base salary and target annual incentive for 24 months after termination of employment paid in regular payroll</w:t>
            </w:r>
          </w:p>
        </w:tc>
        <w:tc>
          <w:tcPr>
            <w:tcW w:w="0" w:type="dxa"/>
            <w:vAlign w:val="bottom"/>
          </w:tcPr>
          <w:p>
            <w:pPr>
              <w:spacing w:after="0"/>
              <w:rPr>
                <w:sz w:val="1"/>
                <w:szCs w:val="1"/>
                <w:color w:val="auto"/>
              </w:rPr>
            </w:pPr>
          </w:p>
        </w:tc>
      </w:tr>
      <w:tr>
        <w:trPr>
          <w:trHeight w:val="124"/>
        </w:trPr>
        <w:tc>
          <w:tcPr>
            <w:tcW w:w="1740" w:type="dxa"/>
            <w:vAlign w:val="bottom"/>
            <w:vMerge w:val="continue"/>
            <w:shd w:val="clear" w:color="auto" w:fill="E8E7EA"/>
          </w:tcPr>
          <w:p>
            <w:pPr>
              <w:spacing w:after="0"/>
              <w:rPr>
                <w:sz w:val="10"/>
                <w:szCs w:val="10"/>
                <w:color w:val="auto"/>
              </w:rPr>
            </w:pPr>
          </w:p>
        </w:tc>
        <w:tc>
          <w:tcPr>
            <w:tcW w:w="9480" w:type="dxa"/>
            <w:vAlign w:val="bottom"/>
            <w:vMerge w:val="restart"/>
          </w:tcPr>
          <w:p>
            <w:pPr>
              <w:ind w:left="20"/>
              <w:spacing w:after="0"/>
              <w:rPr>
                <w:sz w:val="20"/>
                <w:szCs w:val="20"/>
                <w:color w:val="auto"/>
              </w:rPr>
            </w:pPr>
            <w:r>
              <w:rPr>
                <w:rFonts w:ascii="Arial" w:cs="Arial" w:eastAsia="Arial" w:hAnsi="Arial"/>
                <w:sz w:val="16"/>
                <w:szCs w:val="16"/>
                <w:color w:val="auto"/>
              </w:rPr>
              <w:t>installments.</w:t>
            </w:r>
          </w:p>
        </w:tc>
        <w:tc>
          <w:tcPr>
            <w:tcW w:w="0" w:type="dxa"/>
            <w:vAlign w:val="bottom"/>
          </w:tcPr>
          <w:p>
            <w:pPr>
              <w:spacing w:after="0"/>
              <w:rPr>
                <w:sz w:val="1"/>
                <w:szCs w:val="1"/>
                <w:color w:val="auto"/>
              </w:rPr>
            </w:pPr>
          </w:p>
        </w:tc>
      </w:tr>
      <w:tr>
        <w:trPr>
          <w:trHeight w:val="133"/>
        </w:trPr>
        <w:tc>
          <w:tcPr>
            <w:tcW w:w="1740" w:type="dxa"/>
            <w:vAlign w:val="bottom"/>
            <w:tcBorders>
              <w:bottom w:val="single" w:sz="8" w:color="E8E7EA"/>
            </w:tcBorders>
            <w:shd w:val="clear" w:color="auto" w:fill="E8E7EA"/>
          </w:tcPr>
          <w:p>
            <w:pPr>
              <w:spacing w:after="0"/>
              <w:rPr>
                <w:sz w:val="11"/>
                <w:szCs w:val="11"/>
                <w:color w:val="auto"/>
              </w:rPr>
            </w:pPr>
          </w:p>
        </w:tc>
        <w:tc>
          <w:tcPr>
            <w:tcW w:w="9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1740" w:type="dxa"/>
            <w:vAlign w:val="bottom"/>
            <w:tcBorders>
              <w:top w:val="single" w:sz="8" w:color="170D67"/>
              <w:bottom w:val="single" w:sz="8" w:color="E8E7EA"/>
            </w:tcBorders>
            <w:shd w:val="clear" w:color="auto" w:fill="E8E7EA"/>
          </w:tcPr>
          <w:p>
            <w:pPr>
              <w:ind w:left="20"/>
              <w:spacing w:after="0"/>
              <w:rPr>
                <w:sz w:val="20"/>
                <w:szCs w:val="20"/>
                <w:color w:val="auto"/>
              </w:rPr>
            </w:pPr>
            <w:r>
              <w:rPr>
                <w:rFonts w:ascii="Arial" w:cs="Arial" w:eastAsia="Arial" w:hAnsi="Arial"/>
                <w:sz w:val="15"/>
                <w:szCs w:val="15"/>
                <w:b w:val="1"/>
                <w:bCs w:val="1"/>
                <w:color w:val="170D67"/>
              </w:rPr>
              <w:t>Annual Incentive</w:t>
            </w:r>
          </w:p>
        </w:tc>
        <w:tc>
          <w:tcPr>
            <w:tcW w:w="9480" w:type="dxa"/>
            <w:vAlign w:val="bottom"/>
            <w:tcBorders>
              <w:top w:val="single" w:sz="8" w:color="170D67"/>
            </w:tcBorders>
          </w:tcPr>
          <w:p>
            <w:pPr>
              <w:ind w:left="20"/>
              <w:spacing w:after="0"/>
              <w:rPr>
                <w:sz w:val="20"/>
                <w:szCs w:val="20"/>
                <w:color w:val="auto"/>
              </w:rPr>
            </w:pPr>
            <w:r>
              <w:rPr>
                <w:rFonts w:ascii="Arial" w:cs="Arial" w:eastAsia="Arial" w:hAnsi="Arial"/>
                <w:sz w:val="16"/>
                <w:szCs w:val="16"/>
                <w:color w:val="auto"/>
              </w:rPr>
              <w:t>A pro-rated award for the year in which termination of employment occurs. Awards are payable when paid to active executives.</w:t>
            </w:r>
          </w:p>
        </w:tc>
        <w:tc>
          <w:tcPr>
            <w:tcW w:w="0" w:type="dxa"/>
            <w:vAlign w:val="bottom"/>
          </w:tcPr>
          <w:p>
            <w:pPr>
              <w:spacing w:after="0"/>
              <w:rPr>
                <w:sz w:val="1"/>
                <w:szCs w:val="1"/>
                <w:color w:val="auto"/>
              </w:rPr>
            </w:pPr>
          </w:p>
        </w:tc>
      </w:tr>
      <w:tr>
        <w:trPr>
          <w:trHeight w:val="209"/>
        </w:trPr>
        <w:tc>
          <w:tcPr>
            <w:tcW w:w="1740" w:type="dxa"/>
            <w:vAlign w:val="bottom"/>
            <w:tcBorders>
              <w:top w:val="single" w:sz="8" w:color="170D67"/>
            </w:tcBorders>
            <w:vMerge w:val="restart"/>
            <w:shd w:val="clear" w:color="auto" w:fill="E8E7EA"/>
          </w:tcPr>
          <w:p>
            <w:pPr>
              <w:ind w:left="20"/>
              <w:spacing w:after="0"/>
              <w:rPr>
                <w:sz w:val="20"/>
                <w:szCs w:val="20"/>
                <w:color w:val="auto"/>
              </w:rPr>
            </w:pPr>
            <w:r>
              <w:rPr>
                <w:rFonts w:ascii="Arial" w:cs="Arial" w:eastAsia="Arial" w:hAnsi="Arial"/>
                <w:sz w:val="15"/>
                <w:szCs w:val="15"/>
                <w:b w:val="1"/>
                <w:bCs w:val="1"/>
                <w:color w:val="170D67"/>
              </w:rPr>
              <w:t>SMRP Benefits</w:t>
            </w:r>
          </w:p>
        </w:tc>
        <w:tc>
          <w:tcPr>
            <w:tcW w:w="9480" w:type="dxa"/>
            <w:vAlign w:val="bottom"/>
            <w:tcBorders>
              <w:top w:val="single" w:sz="8" w:color="170D67"/>
            </w:tcBorders>
          </w:tcPr>
          <w:p>
            <w:pPr>
              <w:ind w:left="20"/>
              <w:spacing w:after="0"/>
              <w:rPr>
                <w:sz w:val="20"/>
                <w:szCs w:val="20"/>
                <w:color w:val="auto"/>
              </w:rPr>
            </w:pPr>
            <w:r>
              <w:rPr>
                <w:rFonts w:ascii="Arial" w:cs="Arial" w:eastAsia="Arial" w:hAnsi="Arial"/>
                <w:sz w:val="16"/>
                <w:szCs w:val="16"/>
                <w:color w:val="auto"/>
              </w:rPr>
              <w:t>For purposes of determining the final SMRP benefit, if eligible, the severance period (not to exceed 24 months) constitutes service</w:t>
            </w:r>
          </w:p>
        </w:tc>
        <w:tc>
          <w:tcPr>
            <w:tcW w:w="0" w:type="dxa"/>
            <w:vAlign w:val="bottom"/>
          </w:tcPr>
          <w:p>
            <w:pPr>
              <w:spacing w:after="0"/>
              <w:rPr>
                <w:sz w:val="1"/>
                <w:szCs w:val="1"/>
                <w:color w:val="auto"/>
              </w:rPr>
            </w:pPr>
          </w:p>
        </w:tc>
      </w:tr>
      <w:tr>
        <w:trPr>
          <w:trHeight w:val="124"/>
        </w:trPr>
        <w:tc>
          <w:tcPr>
            <w:tcW w:w="1740" w:type="dxa"/>
            <w:vAlign w:val="bottom"/>
            <w:vMerge w:val="continue"/>
            <w:shd w:val="clear" w:color="auto" w:fill="E8E7EA"/>
          </w:tcPr>
          <w:p>
            <w:pPr>
              <w:spacing w:after="0"/>
              <w:rPr>
                <w:sz w:val="10"/>
                <w:szCs w:val="10"/>
                <w:color w:val="auto"/>
              </w:rPr>
            </w:pPr>
          </w:p>
        </w:tc>
        <w:tc>
          <w:tcPr>
            <w:tcW w:w="9480" w:type="dxa"/>
            <w:vAlign w:val="bottom"/>
            <w:vMerge w:val="restart"/>
          </w:tcPr>
          <w:p>
            <w:pPr>
              <w:ind w:left="20"/>
              <w:spacing w:after="0"/>
              <w:rPr>
                <w:sz w:val="20"/>
                <w:szCs w:val="20"/>
                <w:color w:val="auto"/>
              </w:rPr>
            </w:pPr>
            <w:r>
              <w:rPr>
                <w:rFonts w:ascii="Arial" w:cs="Arial" w:eastAsia="Arial" w:hAnsi="Arial"/>
                <w:sz w:val="16"/>
                <w:szCs w:val="16"/>
                <w:color w:val="auto"/>
              </w:rPr>
              <w:t>and the severance pay is included as pensionable pay for determining benefit credits.</w:t>
            </w:r>
          </w:p>
        </w:tc>
        <w:tc>
          <w:tcPr>
            <w:tcW w:w="0" w:type="dxa"/>
            <w:vAlign w:val="bottom"/>
          </w:tcPr>
          <w:p>
            <w:pPr>
              <w:spacing w:after="0"/>
              <w:rPr>
                <w:sz w:val="1"/>
                <w:szCs w:val="1"/>
                <w:color w:val="auto"/>
              </w:rPr>
            </w:pPr>
          </w:p>
        </w:tc>
      </w:tr>
      <w:tr>
        <w:trPr>
          <w:trHeight w:val="133"/>
        </w:trPr>
        <w:tc>
          <w:tcPr>
            <w:tcW w:w="1740" w:type="dxa"/>
            <w:vAlign w:val="bottom"/>
            <w:tcBorders>
              <w:bottom w:val="single" w:sz="8" w:color="E8E7EA"/>
            </w:tcBorders>
            <w:shd w:val="clear" w:color="auto" w:fill="E8E7EA"/>
          </w:tcPr>
          <w:p>
            <w:pPr>
              <w:spacing w:after="0"/>
              <w:rPr>
                <w:sz w:val="11"/>
                <w:szCs w:val="11"/>
                <w:color w:val="auto"/>
              </w:rPr>
            </w:pPr>
          </w:p>
        </w:tc>
        <w:tc>
          <w:tcPr>
            <w:tcW w:w="9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9"/>
        </w:trPr>
        <w:tc>
          <w:tcPr>
            <w:tcW w:w="1740" w:type="dxa"/>
            <w:vAlign w:val="bottom"/>
            <w:tcBorders>
              <w:top w:val="single" w:sz="8" w:color="170D67"/>
            </w:tcBorders>
            <w:vMerge w:val="restart"/>
            <w:shd w:val="clear" w:color="auto" w:fill="E8E7EA"/>
          </w:tcPr>
          <w:p>
            <w:pPr>
              <w:ind w:left="20"/>
              <w:spacing w:after="0"/>
              <w:rPr>
                <w:sz w:val="20"/>
                <w:szCs w:val="20"/>
                <w:color w:val="auto"/>
              </w:rPr>
            </w:pPr>
            <w:r>
              <w:rPr>
                <w:rFonts w:ascii="Arial" w:cs="Arial" w:eastAsia="Arial" w:hAnsi="Arial"/>
                <w:sz w:val="15"/>
                <w:szCs w:val="15"/>
                <w:b w:val="1"/>
                <w:bCs w:val="1"/>
                <w:color w:val="170D67"/>
              </w:rPr>
              <w:t>Insurance, Health, and</w:t>
            </w:r>
          </w:p>
        </w:tc>
        <w:tc>
          <w:tcPr>
            <w:tcW w:w="9480" w:type="dxa"/>
            <w:vAlign w:val="bottom"/>
            <w:tcBorders>
              <w:top w:val="single" w:sz="8" w:color="170D67"/>
            </w:tcBorders>
          </w:tcPr>
          <w:p>
            <w:pPr>
              <w:ind w:left="20"/>
              <w:spacing w:after="0"/>
              <w:rPr>
                <w:sz w:val="20"/>
                <w:szCs w:val="20"/>
                <w:color w:val="auto"/>
              </w:rPr>
            </w:pPr>
            <w:r>
              <w:rPr>
                <w:rFonts w:ascii="Arial" w:cs="Arial" w:eastAsia="Arial" w:hAnsi="Arial"/>
                <w:sz w:val="16"/>
                <w:szCs w:val="16"/>
                <w:color w:val="auto"/>
              </w:rPr>
              <w:t>Life, health, and other welfare benefit coverage continues during the severance pay period on the same terms and conditions</w:t>
            </w:r>
          </w:p>
        </w:tc>
        <w:tc>
          <w:tcPr>
            <w:tcW w:w="0" w:type="dxa"/>
            <w:vAlign w:val="bottom"/>
          </w:tcPr>
          <w:p>
            <w:pPr>
              <w:spacing w:after="0"/>
              <w:rPr>
                <w:sz w:val="1"/>
                <w:szCs w:val="1"/>
                <w:color w:val="auto"/>
              </w:rPr>
            </w:pPr>
          </w:p>
        </w:tc>
      </w:tr>
      <w:tr>
        <w:trPr>
          <w:trHeight w:val="164"/>
        </w:trPr>
        <w:tc>
          <w:tcPr>
            <w:tcW w:w="1740" w:type="dxa"/>
            <w:vAlign w:val="bottom"/>
            <w:vMerge w:val="continue"/>
            <w:shd w:val="clear" w:color="auto" w:fill="E8E7EA"/>
          </w:tcPr>
          <w:p>
            <w:pPr>
              <w:spacing w:after="0"/>
              <w:rPr>
                <w:sz w:val="14"/>
                <w:szCs w:val="14"/>
                <w:color w:val="auto"/>
              </w:rPr>
            </w:pPr>
          </w:p>
        </w:tc>
        <w:tc>
          <w:tcPr>
            <w:tcW w:w="9480" w:type="dxa"/>
            <w:vAlign w:val="bottom"/>
          </w:tcPr>
          <w:p>
            <w:pPr>
              <w:ind w:left="20"/>
              <w:spacing w:after="0" w:line="164" w:lineRule="exact"/>
              <w:rPr>
                <w:sz w:val="20"/>
                <w:szCs w:val="20"/>
                <w:color w:val="auto"/>
              </w:rPr>
            </w:pPr>
            <w:r>
              <w:rPr>
                <w:rFonts w:ascii="Arial" w:cs="Arial" w:eastAsia="Arial" w:hAnsi="Arial"/>
                <w:sz w:val="16"/>
                <w:szCs w:val="16"/>
                <w:color w:val="auto"/>
              </w:rPr>
              <w:t>applicable to active employees. For executives, the Company subsidizes dental and pays for continued executive long-term</w:t>
            </w:r>
          </w:p>
        </w:tc>
        <w:tc>
          <w:tcPr>
            <w:tcW w:w="0" w:type="dxa"/>
            <w:vAlign w:val="bottom"/>
          </w:tcPr>
          <w:p>
            <w:pPr>
              <w:spacing w:after="0"/>
              <w:rPr>
                <w:sz w:val="1"/>
                <w:szCs w:val="1"/>
                <w:color w:val="auto"/>
              </w:rPr>
            </w:pPr>
          </w:p>
        </w:tc>
      </w:tr>
      <w:tr>
        <w:trPr>
          <w:trHeight w:val="203"/>
        </w:trPr>
        <w:tc>
          <w:tcPr>
            <w:tcW w:w="1740" w:type="dxa"/>
            <w:vAlign w:val="bottom"/>
            <w:shd w:val="clear" w:color="auto" w:fill="E8E7EA"/>
          </w:tcPr>
          <w:p>
            <w:pPr>
              <w:ind w:left="20"/>
              <w:spacing w:after="0"/>
              <w:rPr>
                <w:sz w:val="20"/>
                <w:szCs w:val="20"/>
                <w:color w:val="auto"/>
              </w:rPr>
            </w:pPr>
            <w:r>
              <w:rPr>
                <w:rFonts w:ascii="Arial" w:cs="Arial" w:eastAsia="Arial" w:hAnsi="Arial"/>
                <w:sz w:val="15"/>
                <w:szCs w:val="15"/>
                <w:b w:val="1"/>
                <w:bCs w:val="1"/>
                <w:color w:val="170D67"/>
              </w:rPr>
              <w:t>Welfare Benefits</w:t>
            </w:r>
          </w:p>
        </w:tc>
        <w:tc>
          <w:tcPr>
            <w:tcW w:w="9480" w:type="dxa"/>
            <w:vAlign w:val="bottom"/>
            <w:vMerge w:val="restart"/>
          </w:tcPr>
          <w:p>
            <w:pPr>
              <w:ind w:left="20"/>
              <w:spacing w:after="0"/>
              <w:rPr>
                <w:sz w:val="20"/>
                <w:szCs w:val="20"/>
                <w:color w:val="auto"/>
              </w:rPr>
            </w:pPr>
            <w:r>
              <w:rPr>
                <w:rFonts w:ascii="Arial" w:cs="Arial" w:eastAsia="Arial" w:hAnsi="Arial"/>
                <w:sz w:val="16"/>
                <w:szCs w:val="16"/>
                <w:color w:val="auto"/>
              </w:rPr>
              <w:t>disability coverage for the severance period.</w:t>
            </w:r>
          </w:p>
        </w:tc>
        <w:tc>
          <w:tcPr>
            <w:tcW w:w="0" w:type="dxa"/>
            <w:vAlign w:val="bottom"/>
          </w:tcPr>
          <w:p>
            <w:pPr>
              <w:spacing w:after="0"/>
              <w:rPr>
                <w:sz w:val="1"/>
                <w:szCs w:val="1"/>
                <w:color w:val="auto"/>
              </w:rPr>
            </w:pPr>
          </w:p>
        </w:tc>
      </w:tr>
      <w:tr>
        <w:trPr>
          <w:trHeight w:val="52"/>
        </w:trPr>
        <w:tc>
          <w:tcPr>
            <w:tcW w:w="1740" w:type="dxa"/>
            <w:vAlign w:val="bottom"/>
            <w:shd w:val="clear" w:color="auto" w:fill="E8E7EA"/>
          </w:tcPr>
          <w:p>
            <w:pPr>
              <w:spacing w:after="0"/>
              <w:rPr>
                <w:sz w:val="4"/>
                <w:szCs w:val="4"/>
                <w:color w:val="auto"/>
              </w:rPr>
            </w:pPr>
          </w:p>
        </w:tc>
        <w:tc>
          <w:tcPr>
            <w:tcW w:w="9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1740" w:type="dxa"/>
            <w:vAlign w:val="bottom"/>
            <w:tcBorders>
              <w:bottom w:val="single" w:sz="8" w:color="170D67"/>
            </w:tcBorders>
            <w:shd w:val="clear" w:color="auto" w:fill="E8E7EA"/>
          </w:tcPr>
          <w:p>
            <w:pPr>
              <w:spacing w:after="0"/>
              <w:rPr>
                <w:sz w:val="13"/>
                <w:szCs w:val="13"/>
                <w:color w:val="auto"/>
              </w:rPr>
            </w:pPr>
          </w:p>
        </w:tc>
        <w:tc>
          <w:tcPr>
            <w:tcW w:w="9480" w:type="dxa"/>
            <w:vAlign w:val="bottom"/>
            <w:tcBorders>
              <w:bottom w:val="single" w:sz="8" w:color="170D67"/>
            </w:tcBorders>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1740" w:type="dxa"/>
            <w:vAlign w:val="bottom"/>
            <w:shd w:val="clear" w:color="auto" w:fill="E8E7EA"/>
          </w:tcPr>
          <w:p>
            <w:pPr>
              <w:spacing w:after="0"/>
              <w:rPr>
                <w:sz w:val="24"/>
                <w:szCs w:val="24"/>
                <w:color w:val="auto"/>
              </w:rPr>
            </w:pPr>
          </w:p>
        </w:tc>
        <w:tc>
          <w:tcPr>
            <w:tcW w:w="9480" w:type="dxa"/>
            <w:vAlign w:val="bottom"/>
          </w:tcPr>
          <w:p>
            <w:pPr>
              <w:ind w:left="20"/>
              <w:spacing w:after="0"/>
              <w:rPr>
                <w:sz w:val="20"/>
                <w:szCs w:val="20"/>
                <w:color w:val="auto"/>
              </w:rPr>
            </w:pPr>
            <w:r>
              <w:rPr>
                <w:rFonts w:ascii="Arial" w:cs="Arial" w:eastAsia="Arial" w:hAnsi="Arial"/>
                <w:sz w:val="16"/>
                <w:szCs w:val="16"/>
                <w:color w:val="auto"/>
              </w:rPr>
              <w:t>Unvested RSU awards vest on a pro-rated basis. Prior and current year performance share awards vest on a prorated basis, each</w:t>
            </w:r>
          </w:p>
        </w:tc>
        <w:tc>
          <w:tcPr>
            <w:tcW w:w="0" w:type="dxa"/>
            <w:vAlign w:val="bottom"/>
          </w:tcPr>
          <w:p>
            <w:pPr>
              <w:spacing w:after="0"/>
              <w:rPr>
                <w:sz w:val="1"/>
                <w:szCs w:val="1"/>
                <w:color w:val="auto"/>
              </w:rPr>
            </w:pPr>
          </w:p>
        </w:tc>
      </w:tr>
      <w:tr>
        <w:trPr>
          <w:trHeight w:val="204"/>
        </w:trPr>
        <w:tc>
          <w:tcPr>
            <w:tcW w:w="1740" w:type="dxa"/>
            <w:vAlign w:val="bottom"/>
            <w:shd w:val="clear" w:color="auto" w:fill="E8E7EA"/>
          </w:tcPr>
          <w:p>
            <w:pPr>
              <w:ind w:left="20"/>
              <w:spacing w:after="0"/>
              <w:rPr>
                <w:sz w:val="20"/>
                <w:szCs w:val="20"/>
                <w:color w:val="auto"/>
              </w:rPr>
            </w:pPr>
            <w:r>
              <w:rPr>
                <w:rFonts w:ascii="Arial" w:cs="Arial" w:eastAsia="Arial" w:hAnsi="Arial"/>
                <w:sz w:val="15"/>
                <w:szCs w:val="15"/>
                <w:b w:val="1"/>
                <w:bCs w:val="1"/>
                <w:color w:val="170D67"/>
              </w:rPr>
              <w:t>Equity Awards</w:t>
            </w:r>
          </w:p>
        </w:tc>
        <w:tc>
          <w:tcPr>
            <w:tcW w:w="9480" w:type="dxa"/>
            <w:vAlign w:val="bottom"/>
          </w:tcPr>
          <w:p>
            <w:pPr>
              <w:ind w:left="20"/>
              <w:spacing w:after="0"/>
              <w:rPr>
                <w:sz w:val="20"/>
                <w:szCs w:val="20"/>
                <w:color w:val="auto"/>
              </w:rPr>
            </w:pPr>
            <w:r>
              <w:rPr>
                <w:rFonts w:ascii="Arial" w:cs="Arial" w:eastAsia="Arial" w:hAnsi="Arial"/>
                <w:sz w:val="16"/>
                <w:szCs w:val="16"/>
                <w:color w:val="auto"/>
              </w:rPr>
              <w:t>based on actual performance and payable when paid to active executives and subject to the executive’s execution of a waiver and</w:t>
            </w:r>
          </w:p>
        </w:tc>
        <w:tc>
          <w:tcPr>
            <w:tcW w:w="0" w:type="dxa"/>
            <w:vAlign w:val="bottom"/>
          </w:tcPr>
          <w:p>
            <w:pPr>
              <w:spacing w:after="0"/>
              <w:rPr>
                <w:sz w:val="1"/>
                <w:szCs w:val="1"/>
                <w:color w:val="auto"/>
              </w:rPr>
            </w:pPr>
          </w:p>
        </w:tc>
      </w:tr>
      <w:tr>
        <w:trPr>
          <w:trHeight w:val="215"/>
        </w:trPr>
        <w:tc>
          <w:tcPr>
            <w:tcW w:w="1740" w:type="dxa"/>
            <w:vAlign w:val="bottom"/>
            <w:shd w:val="clear" w:color="auto" w:fill="E8E7EA"/>
          </w:tcPr>
          <w:p>
            <w:pPr>
              <w:spacing w:after="0"/>
              <w:rPr>
                <w:sz w:val="18"/>
                <w:szCs w:val="18"/>
                <w:color w:val="auto"/>
              </w:rPr>
            </w:pPr>
          </w:p>
        </w:tc>
        <w:tc>
          <w:tcPr>
            <w:tcW w:w="9480" w:type="dxa"/>
            <w:vAlign w:val="bottom"/>
          </w:tcPr>
          <w:p>
            <w:pPr>
              <w:ind w:left="20"/>
              <w:spacing w:after="0"/>
              <w:rPr>
                <w:sz w:val="20"/>
                <w:szCs w:val="20"/>
                <w:color w:val="auto"/>
              </w:rPr>
            </w:pPr>
            <w:r>
              <w:rPr>
                <w:rFonts w:ascii="Arial" w:cs="Arial" w:eastAsia="Arial" w:hAnsi="Arial"/>
                <w:sz w:val="16"/>
                <w:szCs w:val="16"/>
                <w:color w:val="auto"/>
              </w:rPr>
              <w:t>release of claims.</w:t>
            </w:r>
          </w:p>
        </w:tc>
        <w:tc>
          <w:tcPr>
            <w:tcW w:w="0" w:type="dxa"/>
            <w:vAlign w:val="bottom"/>
          </w:tcPr>
          <w:p>
            <w:pPr>
              <w:spacing w:after="0"/>
              <w:rPr>
                <w:sz w:val="1"/>
                <w:szCs w:val="1"/>
                <w:color w:val="auto"/>
              </w:rPr>
            </w:pPr>
          </w:p>
        </w:tc>
      </w:tr>
      <w:tr>
        <w:trPr>
          <w:trHeight w:val="110"/>
        </w:trPr>
        <w:tc>
          <w:tcPr>
            <w:tcW w:w="1740" w:type="dxa"/>
            <w:vAlign w:val="bottom"/>
            <w:tcBorders>
              <w:bottom w:val="single" w:sz="8" w:color="170D67"/>
            </w:tcBorders>
            <w:shd w:val="clear" w:color="auto" w:fill="E8E7EA"/>
          </w:tcPr>
          <w:p>
            <w:pPr>
              <w:spacing w:after="0"/>
              <w:rPr>
                <w:sz w:val="9"/>
                <w:szCs w:val="9"/>
                <w:color w:val="auto"/>
              </w:rPr>
            </w:pPr>
          </w:p>
        </w:tc>
        <w:tc>
          <w:tcPr>
            <w:tcW w:w="9480" w:type="dxa"/>
            <w:vAlign w:val="bottom"/>
            <w:tcBorders>
              <w:bottom w:val="single" w:sz="8" w:color="170D67"/>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740" w:type="dxa"/>
            <w:vAlign w:val="bottom"/>
            <w:shd w:val="clear" w:color="auto" w:fill="E8E7EA"/>
          </w:tcPr>
          <w:p>
            <w:pPr>
              <w:ind w:left="20"/>
              <w:spacing w:after="0"/>
              <w:rPr>
                <w:sz w:val="20"/>
                <w:szCs w:val="20"/>
                <w:color w:val="auto"/>
              </w:rPr>
            </w:pPr>
            <w:r>
              <w:rPr>
                <w:rFonts w:ascii="Arial" w:cs="Arial" w:eastAsia="Arial" w:hAnsi="Arial"/>
                <w:sz w:val="16"/>
                <w:szCs w:val="16"/>
                <w:b w:val="1"/>
                <w:bCs w:val="1"/>
                <w:color w:val="170D67"/>
              </w:rPr>
              <w:t>Outplacement and</w:t>
            </w:r>
          </w:p>
        </w:tc>
        <w:tc>
          <w:tcPr>
            <w:tcW w:w="9480" w:type="dxa"/>
            <w:vAlign w:val="bottom"/>
            <w:vMerge w:val="restart"/>
          </w:tcPr>
          <w:p>
            <w:pPr>
              <w:ind w:left="20"/>
              <w:spacing w:after="0"/>
              <w:rPr>
                <w:sz w:val="20"/>
                <w:szCs w:val="20"/>
                <w:color w:val="auto"/>
              </w:rPr>
            </w:pPr>
            <w:r>
              <w:rPr>
                <w:rFonts w:ascii="Arial" w:cs="Arial" w:eastAsia="Arial" w:hAnsi="Arial"/>
                <w:sz w:val="16"/>
                <w:szCs w:val="16"/>
                <w:color w:val="auto"/>
              </w:rPr>
              <w:t>Outplacement and financial planning services for a period of 12 months.</w:t>
            </w:r>
          </w:p>
        </w:tc>
        <w:tc>
          <w:tcPr>
            <w:tcW w:w="0" w:type="dxa"/>
            <w:vAlign w:val="bottom"/>
          </w:tcPr>
          <w:p>
            <w:pPr>
              <w:spacing w:after="0"/>
              <w:rPr>
                <w:sz w:val="1"/>
                <w:szCs w:val="1"/>
                <w:color w:val="auto"/>
              </w:rPr>
            </w:pPr>
          </w:p>
        </w:tc>
      </w:tr>
      <w:tr>
        <w:trPr>
          <w:trHeight w:val="107"/>
        </w:trPr>
        <w:tc>
          <w:tcPr>
            <w:tcW w:w="1740" w:type="dxa"/>
            <w:vAlign w:val="bottom"/>
            <w:vMerge w:val="restart"/>
            <w:shd w:val="clear" w:color="auto" w:fill="E8E7EA"/>
          </w:tcPr>
          <w:p>
            <w:pPr>
              <w:ind w:left="20"/>
              <w:spacing w:after="0"/>
              <w:rPr>
                <w:sz w:val="20"/>
                <w:szCs w:val="20"/>
                <w:color w:val="auto"/>
              </w:rPr>
            </w:pPr>
            <w:r>
              <w:rPr>
                <w:rFonts w:ascii="Arial" w:cs="Arial" w:eastAsia="Arial" w:hAnsi="Arial"/>
                <w:sz w:val="16"/>
                <w:szCs w:val="16"/>
                <w:b w:val="1"/>
                <w:bCs w:val="1"/>
                <w:color w:val="170D67"/>
              </w:rPr>
              <w:t>Financial Planning</w:t>
            </w:r>
          </w:p>
        </w:tc>
        <w:tc>
          <w:tcPr>
            <w:tcW w:w="9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40" w:type="dxa"/>
            <w:vAlign w:val="bottom"/>
            <w:tcBorders>
              <w:bottom w:val="single" w:sz="8" w:color="E8E7EA"/>
            </w:tcBorders>
            <w:vMerge w:val="continue"/>
            <w:shd w:val="clear" w:color="auto" w:fill="E8E7EA"/>
          </w:tcPr>
          <w:p>
            <w:pPr>
              <w:spacing w:after="0"/>
              <w:rPr>
                <w:sz w:val="11"/>
                <w:szCs w:val="11"/>
                <w:color w:val="auto"/>
              </w:rPr>
            </w:pPr>
          </w:p>
        </w:tc>
        <w:tc>
          <w:tcPr>
            <w:tcW w:w="9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170D67"/>
          </w:tcPr>
          <w:p>
            <w:pPr>
              <w:spacing w:after="0" w:line="20" w:lineRule="exact"/>
              <w:rPr>
                <w:sz w:val="1"/>
                <w:szCs w:val="1"/>
                <w:color w:val="auto"/>
              </w:rPr>
            </w:pPr>
          </w:p>
        </w:tc>
        <w:tc>
          <w:tcPr>
            <w:tcW w:w="9480" w:type="dxa"/>
            <w:vAlign w:val="bottom"/>
            <w:shd w:val="clear" w:color="auto" w:fill="170D6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Estimated Value of Benefits to be Received Upon Involuntary Separation Not Related to a Change in Control</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80" w:type="dxa"/>
            <w:vAlign w:val="bottom"/>
          </w:tcPr>
          <w:p>
            <w:pPr>
              <w:jc w:val="right"/>
              <w:ind w:right="206"/>
              <w:spacing w:after="0"/>
              <w:rPr>
                <w:sz w:val="20"/>
                <w:szCs w:val="20"/>
                <w:color w:val="auto"/>
              </w:rPr>
            </w:pPr>
            <w:r>
              <w:rPr>
                <w:rFonts w:ascii="Arial" w:cs="Arial" w:eastAsia="Arial" w:hAnsi="Arial"/>
                <w:sz w:val="14"/>
                <w:szCs w:val="14"/>
                <w:b w:val="1"/>
                <w:bCs w:val="1"/>
                <w:color w:val="170D67"/>
              </w:rPr>
              <w:t>Retirement</w:t>
            </w:r>
          </w:p>
        </w:tc>
        <w:tc>
          <w:tcPr>
            <w:tcW w:w="1560" w:type="dxa"/>
            <w:vAlign w:val="bottom"/>
          </w:tcPr>
          <w:p>
            <w:pPr>
              <w:jc w:val="right"/>
              <w:ind w:right="226"/>
              <w:spacing w:after="0"/>
              <w:rPr>
                <w:sz w:val="20"/>
                <w:szCs w:val="20"/>
                <w:color w:val="auto"/>
              </w:rPr>
            </w:pPr>
            <w:r>
              <w:rPr>
                <w:rFonts w:ascii="Arial" w:cs="Arial" w:eastAsia="Arial" w:hAnsi="Arial"/>
                <w:sz w:val="14"/>
                <w:szCs w:val="14"/>
                <w:b w:val="1"/>
                <w:bCs w:val="1"/>
                <w:color w:val="170D67"/>
              </w:rPr>
              <w:t>Value of</w:t>
            </w:r>
          </w:p>
        </w:tc>
        <w:tc>
          <w:tcPr>
            <w:tcW w:w="1580" w:type="dxa"/>
            <w:vAlign w:val="bottom"/>
          </w:tcPr>
          <w:p>
            <w:pPr>
              <w:jc w:val="right"/>
              <w:ind w:right="166"/>
              <w:spacing w:after="0"/>
              <w:rPr>
                <w:sz w:val="20"/>
                <w:szCs w:val="20"/>
                <w:color w:val="auto"/>
              </w:rPr>
            </w:pPr>
            <w:r>
              <w:rPr>
                <w:rFonts w:ascii="Arial" w:cs="Arial" w:eastAsia="Arial" w:hAnsi="Arial"/>
                <w:sz w:val="14"/>
                <w:szCs w:val="14"/>
                <w:b w:val="1"/>
                <w:bCs w:val="1"/>
                <w:color w:val="170D67"/>
              </w:rPr>
              <w:t>Health and</w:t>
            </w:r>
          </w:p>
        </w:tc>
        <w:tc>
          <w:tcPr>
            <w:tcW w:w="1300" w:type="dxa"/>
            <w:vAlign w:val="bottom"/>
          </w:tcPr>
          <w:p>
            <w:pPr>
              <w:jc w:val="right"/>
              <w:ind w:right="206"/>
              <w:spacing w:after="0"/>
              <w:rPr>
                <w:sz w:val="20"/>
                <w:szCs w:val="20"/>
                <w:color w:val="auto"/>
              </w:rPr>
            </w:pPr>
            <w:r>
              <w:rPr>
                <w:rFonts w:ascii="Arial" w:cs="Arial" w:eastAsia="Arial" w:hAnsi="Arial"/>
                <w:sz w:val="14"/>
                <w:szCs w:val="14"/>
                <w:b w:val="1"/>
                <w:bCs w:val="1"/>
                <w:color w:val="170D67"/>
              </w:rPr>
              <w:t>Perquisites</w:t>
            </w:r>
          </w:p>
        </w:tc>
        <w:tc>
          <w:tcPr>
            <w:tcW w:w="1200" w:type="dxa"/>
            <w:vAlign w:val="bottom"/>
          </w:tcPr>
          <w:p>
            <w:pPr>
              <w:spacing w:after="0"/>
              <w:rPr>
                <w:sz w:val="14"/>
                <w:szCs w:val="14"/>
                <w:color w:val="auto"/>
              </w:rPr>
            </w:pPr>
          </w:p>
        </w:tc>
      </w:tr>
      <w:tr>
        <w:trPr>
          <w:trHeight w:val="175"/>
        </w:trPr>
        <w:tc>
          <w:tcPr>
            <w:tcW w:w="1920" w:type="dxa"/>
            <w:vAlign w:val="bottom"/>
          </w:tcPr>
          <w:p>
            <w:pPr>
              <w:spacing w:after="0"/>
              <w:rPr>
                <w:sz w:val="15"/>
                <w:szCs w:val="15"/>
                <w:color w:val="auto"/>
              </w:rPr>
            </w:pPr>
          </w:p>
        </w:tc>
        <w:tc>
          <w:tcPr>
            <w:tcW w:w="2180" w:type="dxa"/>
            <w:vAlign w:val="bottom"/>
          </w:tcPr>
          <w:p>
            <w:pPr>
              <w:jc w:val="right"/>
              <w:ind w:right="166"/>
              <w:spacing w:after="0"/>
              <w:rPr>
                <w:sz w:val="20"/>
                <w:szCs w:val="20"/>
                <w:color w:val="auto"/>
              </w:rPr>
            </w:pPr>
            <w:r>
              <w:rPr>
                <w:rFonts w:ascii="Arial" w:cs="Arial" w:eastAsia="Arial" w:hAnsi="Arial"/>
                <w:sz w:val="14"/>
                <w:szCs w:val="14"/>
                <w:b w:val="1"/>
                <w:bCs w:val="1"/>
                <w:color w:val="170D67"/>
              </w:rPr>
              <w:t>Cash</w:t>
            </w:r>
          </w:p>
        </w:tc>
        <w:tc>
          <w:tcPr>
            <w:tcW w:w="1480" w:type="dxa"/>
            <w:vAlign w:val="bottom"/>
          </w:tcPr>
          <w:p>
            <w:pPr>
              <w:jc w:val="right"/>
              <w:ind w:right="206"/>
              <w:spacing w:after="0"/>
              <w:rPr>
                <w:sz w:val="20"/>
                <w:szCs w:val="20"/>
                <w:color w:val="auto"/>
              </w:rPr>
            </w:pPr>
            <w:r>
              <w:rPr>
                <w:rFonts w:ascii="Arial" w:cs="Arial" w:eastAsia="Arial" w:hAnsi="Arial"/>
                <w:sz w:val="14"/>
                <w:szCs w:val="14"/>
                <w:b w:val="1"/>
                <w:bCs w:val="1"/>
                <w:color w:val="170D67"/>
              </w:rPr>
              <w:t>Benefit</w:t>
            </w:r>
          </w:p>
        </w:tc>
        <w:tc>
          <w:tcPr>
            <w:tcW w:w="1560" w:type="dxa"/>
            <w:vAlign w:val="bottom"/>
          </w:tcPr>
          <w:p>
            <w:pPr>
              <w:jc w:val="right"/>
              <w:ind w:right="226"/>
              <w:spacing w:after="0"/>
              <w:rPr>
                <w:sz w:val="20"/>
                <w:szCs w:val="20"/>
                <w:color w:val="auto"/>
              </w:rPr>
            </w:pPr>
            <w:r>
              <w:rPr>
                <w:rFonts w:ascii="Arial" w:cs="Arial" w:eastAsia="Arial" w:hAnsi="Arial"/>
                <w:sz w:val="14"/>
                <w:szCs w:val="14"/>
                <w:b w:val="1"/>
                <w:bCs w:val="1"/>
                <w:color w:val="170D67"/>
              </w:rPr>
              <w:t>Unvested</w:t>
            </w:r>
          </w:p>
        </w:tc>
        <w:tc>
          <w:tcPr>
            <w:tcW w:w="1580" w:type="dxa"/>
            <w:vAlign w:val="bottom"/>
          </w:tcPr>
          <w:p>
            <w:pPr>
              <w:jc w:val="right"/>
              <w:ind w:right="166"/>
              <w:spacing w:after="0"/>
              <w:rPr>
                <w:sz w:val="20"/>
                <w:szCs w:val="20"/>
                <w:color w:val="auto"/>
              </w:rPr>
            </w:pPr>
            <w:r>
              <w:rPr>
                <w:rFonts w:ascii="Arial" w:cs="Arial" w:eastAsia="Arial" w:hAnsi="Arial"/>
                <w:sz w:val="14"/>
                <w:szCs w:val="14"/>
                <w:b w:val="1"/>
                <w:bCs w:val="1"/>
                <w:color w:val="170D67"/>
              </w:rPr>
              <w:t>Welfare Benefit</w:t>
            </w:r>
          </w:p>
        </w:tc>
        <w:tc>
          <w:tcPr>
            <w:tcW w:w="1300" w:type="dxa"/>
            <w:vAlign w:val="bottom"/>
          </w:tcPr>
          <w:p>
            <w:pPr>
              <w:jc w:val="right"/>
              <w:ind w:right="206"/>
              <w:spacing w:after="0"/>
              <w:rPr>
                <w:sz w:val="20"/>
                <w:szCs w:val="20"/>
                <w:color w:val="auto"/>
              </w:rPr>
            </w:pPr>
            <w:r>
              <w:rPr>
                <w:rFonts w:ascii="Arial" w:cs="Arial" w:eastAsia="Arial" w:hAnsi="Arial"/>
                <w:sz w:val="14"/>
                <w:szCs w:val="14"/>
                <w:b w:val="1"/>
                <w:bCs w:val="1"/>
                <w:color w:val="170D67"/>
              </w:rPr>
              <w:t>And Other</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170D67"/>
              </w:rPr>
              <w:t>Total Value of</w:t>
            </w:r>
          </w:p>
        </w:tc>
      </w:tr>
      <w:tr>
        <w:trPr>
          <w:trHeight w:val="175"/>
        </w:trPr>
        <w:tc>
          <w:tcPr>
            <w:tcW w:w="1920" w:type="dxa"/>
            <w:vAlign w:val="bottom"/>
          </w:tcPr>
          <w:p>
            <w:pPr>
              <w:spacing w:after="0"/>
              <w:rPr>
                <w:sz w:val="15"/>
                <w:szCs w:val="15"/>
                <w:color w:val="auto"/>
              </w:rPr>
            </w:pPr>
          </w:p>
        </w:tc>
        <w:tc>
          <w:tcPr>
            <w:tcW w:w="2180" w:type="dxa"/>
            <w:vAlign w:val="bottom"/>
          </w:tcPr>
          <w:p>
            <w:pPr>
              <w:jc w:val="right"/>
              <w:ind w:right="166"/>
              <w:spacing w:after="0"/>
              <w:rPr>
                <w:sz w:val="20"/>
                <w:szCs w:val="20"/>
                <w:color w:val="auto"/>
              </w:rPr>
            </w:pPr>
            <w:r>
              <w:rPr>
                <w:rFonts w:ascii="Arial" w:cs="Arial" w:eastAsia="Arial" w:hAnsi="Arial"/>
                <w:sz w:val="14"/>
                <w:szCs w:val="14"/>
                <w:b w:val="1"/>
                <w:bCs w:val="1"/>
                <w:color w:val="170D67"/>
              </w:rPr>
              <w:t>Payment</w:t>
            </w:r>
          </w:p>
        </w:tc>
        <w:tc>
          <w:tcPr>
            <w:tcW w:w="1480" w:type="dxa"/>
            <w:vAlign w:val="bottom"/>
          </w:tcPr>
          <w:p>
            <w:pPr>
              <w:jc w:val="right"/>
              <w:ind w:right="206"/>
              <w:spacing w:after="0"/>
              <w:rPr>
                <w:sz w:val="20"/>
                <w:szCs w:val="20"/>
                <w:color w:val="auto"/>
              </w:rPr>
            </w:pPr>
            <w:r>
              <w:rPr>
                <w:rFonts w:ascii="Arial" w:cs="Arial" w:eastAsia="Arial" w:hAnsi="Arial"/>
                <w:sz w:val="14"/>
                <w:szCs w:val="14"/>
                <w:b w:val="1"/>
                <w:bCs w:val="1"/>
                <w:color w:val="170D67"/>
              </w:rPr>
              <w:t>Enhancement</w:t>
            </w:r>
          </w:p>
        </w:tc>
        <w:tc>
          <w:tcPr>
            <w:tcW w:w="1560" w:type="dxa"/>
            <w:vAlign w:val="bottom"/>
          </w:tcPr>
          <w:p>
            <w:pPr>
              <w:jc w:val="right"/>
              <w:ind w:right="226"/>
              <w:spacing w:after="0"/>
              <w:rPr>
                <w:sz w:val="20"/>
                <w:szCs w:val="20"/>
                <w:color w:val="auto"/>
              </w:rPr>
            </w:pPr>
            <w:r>
              <w:rPr>
                <w:rFonts w:ascii="Arial" w:cs="Arial" w:eastAsia="Arial" w:hAnsi="Arial"/>
                <w:sz w:val="14"/>
                <w:szCs w:val="14"/>
                <w:b w:val="1"/>
                <w:bCs w:val="1"/>
                <w:color w:val="170D67"/>
              </w:rPr>
              <w:t>Equity Awards</w:t>
            </w:r>
          </w:p>
        </w:tc>
        <w:tc>
          <w:tcPr>
            <w:tcW w:w="1580" w:type="dxa"/>
            <w:vAlign w:val="bottom"/>
          </w:tcPr>
          <w:p>
            <w:pPr>
              <w:jc w:val="right"/>
              <w:ind w:right="166"/>
              <w:spacing w:after="0"/>
              <w:rPr>
                <w:sz w:val="20"/>
                <w:szCs w:val="20"/>
                <w:color w:val="auto"/>
              </w:rPr>
            </w:pPr>
            <w:r>
              <w:rPr>
                <w:rFonts w:ascii="Arial" w:cs="Arial" w:eastAsia="Arial" w:hAnsi="Arial"/>
                <w:sz w:val="14"/>
                <w:szCs w:val="14"/>
                <w:b w:val="1"/>
                <w:bCs w:val="1"/>
                <w:color w:val="170D67"/>
              </w:rPr>
              <w:t>Continuation</w:t>
            </w:r>
          </w:p>
        </w:tc>
        <w:tc>
          <w:tcPr>
            <w:tcW w:w="1300" w:type="dxa"/>
            <w:vAlign w:val="bottom"/>
          </w:tcPr>
          <w:p>
            <w:pPr>
              <w:jc w:val="center"/>
              <w:ind w:left="86"/>
              <w:spacing w:after="0"/>
              <w:rPr>
                <w:sz w:val="20"/>
                <w:szCs w:val="20"/>
                <w:color w:val="auto"/>
              </w:rPr>
            </w:pPr>
            <w:r>
              <w:rPr>
                <w:rFonts w:ascii="Arial" w:cs="Arial" w:eastAsia="Arial" w:hAnsi="Arial"/>
                <w:sz w:val="14"/>
                <w:szCs w:val="14"/>
                <w:b w:val="1"/>
                <w:bCs w:val="1"/>
                <w:color w:val="170D67"/>
              </w:rPr>
              <w:t>Benefits</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170D67"/>
              </w:rPr>
              <w:t>All Payments</w:t>
            </w:r>
          </w:p>
        </w:tc>
      </w:tr>
      <w:tr>
        <w:trPr>
          <w:trHeight w:val="175"/>
        </w:trPr>
        <w:tc>
          <w:tcPr>
            <w:tcW w:w="1920" w:type="dxa"/>
            <w:vAlign w:val="bottom"/>
          </w:tcPr>
          <w:p>
            <w:pPr>
              <w:spacing w:after="0"/>
              <w:rPr>
                <w:sz w:val="15"/>
                <w:szCs w:val="15"/>
                <w:color w:val="auto"/>
              </w:rPr>
            </w:pPr>
          </w:p>
        </w:tc>
        <w:tc>
          <w:tcPr>
            <w:tcW w:w="2180" w:type="dxa"/>
            <w:vAlign w:val="bottom"/>
          </w:tcPr>
          <w:p>
            <w:pPr>
              <w:jc w:val="right"/>
              <w:ind w:right="166"/>
              <w:spacing w:after="0"/>
              <w:rPr>
                <w:sz w:val="20"/>
                <w:szCs w:val="20"/>
                <w:color w:val="auto"/>
              </w:rPr>
            </w:pPr>
            <w:r>
              <w:rPr>
                <w:rFonts w:ascii="Arial" w:cs="Arial" w:eastAsia="Arial" w:hAnsi="Arial"/>
                <w:sz w:val="14"/>
                <w:szCs w:val="14"/>
                <w:b w:val="1"/>
                <w:bCs w:val="1"/>
                <w:color w:val="170D67"/>
              </w:rPr>
              <w:t>($)</w:t>
            </w:r>
          </w:p>
        </w:tc>
        <w:tc>
          <w:tcPr>
            <w:tcW w:w="1480" w:type="dxa"/>
            <w:vAlign w:val="bottom"/>
          </w:tcPr>
          <w:p>
            <w:pPr>
              <w:jc w:val="right"/>
              <w:ind w:right="206"/>
              <w:spacing w:after="0"/>
              <w:rPr>
                <w:sz w:val="20"/>
                <w:szCs w:val="20"/>
                <w:color w:val="auto"/>
              </w:rPr>
            </w:pPr>
            <w:r>
              <w:rPr>
                <w:rFonts w:ascii="Arial" w:cs="Arial" w:eastAsia="Arial" w:hAnsi="Arial"/>
                <w:sz w:val="14"/>
                <w:szCs w:val="14"/>
                <w:b w:val="1"/>
                <w:bCs w:val="1"/>
                <w:color w:val="170D67"/>
              </w:rPr>
              <w:t>($)</w:t>
            </w:r>
          </w:p>
        </w:tc>
        <w:tc>
          <w:tcPr>
            <w:tcW w:w="1560" w:type="dxa"/>
            <w:vAlign w:val="bottom"/>
          </w:tcPr>
          <w:p>
            <w:pPr>
              <w:jc w:val="right"/>
              <w:ind w:right="226"/>
              <w:spacing w:after="0"/>
              <w:rPr>
                <w:sz w:val="20"/>
                <w:szCs w:val="20"/>
                <w:color w:val="auto"/>
              </w:rPr>
            </w:pPr>
            <w:r>
              <w:rPr>
                <w:rFonts w:ascii="Arial" w:cs="Arial" w:eastAsia="Arial" w:hAnsi="Arial"/>
                <w:sz w:val="14"/>
                <w:szCs w:val="14"/>
                <w:b w:val="1"/>
                <w:bCs w:val="1"/>
                <w:color w:val="170D67"/>
              </w:rPr>
              <w:t>($)</w:t>
            </w:r>
          </w:p>
        </w:tc>
        <w:tc>
          <w:tcPr>
            <w:tcW w:w="1580" w:type="dxa"/>
            <w:vAlign w:val="bottom"/>
          </w:tcPr>
          <w:p>
            <w:pPr>
              <w:jc w:val="right"/>
              <w:ind w:right="166"/>
              <w:spacing w:after="0"/>
              <w:rPr>
                <w:sz w:val="20"/>
                <w:szCs w:val="20"/>
                <w:color w:val="auto"/>
              </w:rPr>
            </w:pPr>
            <w:r>
              <w:rPr>
                <w:rFonts w:ascii="Arial" w:cs="Arial" w:eastAsia="Arial" w:hAnsi="Arial"/>
                <w:sz w:val="14"/>
                <w:szCs w:val="14"/>
                <w:b w:val="1"/>
                <w:bCs w:val="1"/>
                <w:color w:val="170D67"/>
              </w:rPr>
              <w:t>($)</w:t>
            </w:r>
          </w:p>
        </w:tc>
        <w:tc>
          <w:tcPr>
            <w:tcW w:w="1300" w:type="dxa"/>
            <w:vAlign w:val="bottom"/>
          </w:tcPr>
          <w:p>
            <w:pPr>
              <w:jc w:val="right"/>
              <w:ind w:right="206"/>
              <w:spacing w:after="0"/>
              <w:rPr>
                <w:sz w:val="20"/>
                <w:szCs w:val="20"/>
                <w:color w:val="auto"/>
              </w:rPr>
            </w:pPr>
            <w:r>
              <w:rPr>
                <w:rFonts w:ascii="Arial" w:cs="Arial" w:eastAsia="Arial" w:hAnsi="Arial"/>
                <w:sz w:val="14"/>
                <w:szCs w:val="14"/>
                <w:b w:val="1"/>
                <w:bCs w:val="1"/>
                <w:color w:val="170D67"/>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170D67"/>
              </w:rPr>
              <w:t>and Benefits</w:t>
            </w:r>
          </w:p>
        </w:tc>
      </w:tr>
      <w:tr>
        <w:trPr>
          <w:trHeight w:val="205"/>
        </w:trPr>
        <w:tc>
          <w:tcPr>
            <w:tcW w:w="1920" w:type="dxa"/>
            <w:vAlign w:val="bottom"/>
            <w:tcBorders>
              <w:bottom w:val="single" w:sz="8" w:color="170D67"/>
            </w:tcBorders>
          </w:tcPr>
          <w:p>
            <w:pPr>
              <w:ind w:left="20"/>
              <w:spacing w:after="0"/>
              <w:rPr>
                <w:sz w:val="20"/>
                <w:szCs w:val="20"/>
                <w:color w:val="auto"/>
              </w:rPr>
            </w:pPr>
            <w:r>
              <w:rPr>
                <w:rFonts w:ascii="Arial" w:cs="Arial" w:eastAsia="Arial" w:hAnsi="Arial"/>
                <w:sz w:val="14"/>
                <w:szCs w:val="14"/>
                <w:b w:val="1"/>
                <w:bCs w:val="1"/>
                <w:color w:val="170D67"/>
              </w:rPr>
              <w:t>Name</w:t>
            </w:r>
          </w:p>
        </w:tc>
        <w:tc>
          <w:tcPr>
            <w:tcW w:w="2180" w:type="dxa"/>
            <w:vAlign w:val="bottom"/>
            <w:tcBorders>
              <w:bottom w:val="single" w:sz="8" w:color="170D67"/>
            </w:tcBorders>
          </w:tcPr>
          <w:p>
            <w:pPr>
              <w:jc w:val="right"/>
              <w:ind w:right="166"/>
              <w:spacing w:after="0"/>
              <w:rPr>
                <w:sz w:val="20"/>
                <w:szCs w:val="20"/>
                <w:color w:val="auto"/>
              </w:rPr>
            </w:pPr>
            <w:r>
              <w:rPr>
                <w:rFonts w:ascii="Arial" w:cs="Arial" w:eastAsia="Arial" w:hAnsi="Arial"/>
                <w:sz w:val="14"/>
                <w:szCs w:val="14"/>
                <w:b w:val="1"/>
                <w:bCs w:val="1"/>
                <w:color w:val="170D67"/>
              </w:rPr>
              <w:t>(Note 1)</w:t>
            </w:r>
          </w:p>
        </w:tc>
        <w:tc>
          <w:tcPr>
            <w:tcW w:w="1480" w:type="dxa"/>
            <w:vAlign w:val="bottom"/>
            <w:tcBorders>
              <w:bottom w:val="single" w:sz="8" w:color="170D67"/>
            </w:tcBorders>
          </w:tcPr>
          <w:p>
            <w:pPr>
              <w:jc w:val="right"/>
              <w:ind w:right="206"/>
              <w:spacing w:after="0"/>
              <w:rPr>
                <w:sz w:val="20"/>
                <w:szCs w:val="20"/>
                <w:color w:val="auto"/>
              </w:rPr>
            </w:pPr>
            <w:r>
              <w:rPr>
                <w:rFonts w:ascii="Arial" w:cs="Arial" w:eastAsia="Arial" w:hAnsi="Arial"/>
                <w:sz w:val="14"/>
                <w:szCs w:val="14"/>
                <w:b w:val="1"/>
                <w:bCs w:val="1"/>
                <w:color w:val="170D67"/>
              </w:rPr>
              <w:t>(Note 2)</w:t>
            </w:r>
          </w:p>
        </w:tc>
        <w:tc>
          <w:tcPr>
            <w:tcW w:w="1560" w:type="dxa"/>
            <w:vAlign w:val="bottom"/>
            <w:tcBorders>
              <w:bottom w:val="single" w:sz="8" w:color="170D67"/>
            </w:tcBorders>
          </w:tcPr>
          <w:p>
            <w:pPr>
              <w:jc w:val="right"/>
              <w:ind w:right="226"/>
              <w:spacing w:after="0"/>
              <w:rPr>
                <w:sz w:val="20"/>
                <w:szCs w:val="20"/>
                <w:color w:val="auto"/>
              </w:rPr>
            </w:pPr>
            <w:r>
              <w:rPr>
                <w:rFonts w:ascii="Arial" w:cs="Arial" w:eastAsia="Arial" w:hAnsi="Arial"/>
                <w:sz w:val="14"/>
                <w:szCs w:val="14"/>
                <w:b w:val="1"/>
                <w:bCs w:val="1"/>
                <w:color w:val="170D67"/>
              </w:rPr>
              <w:t>(Note 3)</w:t>
            </w:r>
          </w:p>
        </w:tc>
        <w:tc>
          <w:tcPr>
            <w:tcW w:w="1580" w:type="dxa"/>
            <w:vAlign w:val="bottom"/>
            <w:tcBorders>
              <w:bottom w:val="single" w:sz="8" w:color="170D67"/>
            </w:tcBorders>
          </w:tcPr>
          <w:p>
            <w:pPr>
              <w:jc w:val="right"/>
              <w:ind w:right="166"/>
              <w:spacing w:after="0"/>
              <w:rPr>
                <w:sz w:val="20"/>
                <w:szCs w:val="20"/>
                <w:color w:val="auto"/>
              </w:rPr>
            </w:pPr>
            <w:r>
              <w:rPr>
                <w:rFonts w:ascii="Arial" w:cs="Arial" w:eastAsia="Arial" w:hAnsi="Arial"/>
                <w:sz w:val="14"/>
                <w:szCs w:val="14"/>
                <w:b w:val="1"/>
                <w:bCs w:val="1"/>
                <w:color w:val="170D67"/>
              </w:rPr>
              <w:t>(Note 4)</w:t>
            </w:r>
          </w:p>
        </w:tc>
        <w:tc>
          <w:tcPr>
            <w:tcW w:w="1300" w:type="dxa"/>
            <w:vAlign w:val="bottom"/>
            <w:tcBorders>
              <w:bottom w:val="single" w:sz="8" w:color="170D67"/>
            </w:tcBorders>
          </w:tcPr>
          <w:p>
            <w:pPr>
              <w:jc w:val="center"/>
              <w:ind w:left="126"/>
              <w:spacing w:after="0"/>
              <w:rPr>
                <w:sz w:val="20"/>
                <w:szCs w:val="20"/>
                <w:color w:val="auto"/>
              </w:rPr>
            </w:pPr>
            <w:r>
              <w:rPr>
                <w:rFonts w:ascii="Arial" w:cs="Arial" w:eastAsia="Arial" w:hAnsi="Arial"/>
                <w:sz w:val="14"/>
                <w:szCs w:val="14"/>
                <w:b w:val="1"/>
                <w:bCs w:val="1"/>
                <w:color w:val="170D67"/>
              </w:rPr>
              <w:t>(Note 5)</w:t>
            </w:r>
          </w:p>
        </w:tc>
        <w:tc>
          <w:tcPr>
            <w:tcW w:w="1200" w:type="dxa"/>
            <w:vAlign w:val="bottom"/>
            <w:tcBorders>
              <w:bottom w:val="single" w:sz="8" w:color="170D67"/>
            </w:tcBorders>
          </w:tcPr>
          <w:p>
            <w:pPr>
              <w:jc w:val="right"/>
              <w:spacing w:after="0"/>
              <w:rPr>
                <w:sz w:val="20"/>
                <w:szCs w:val="20"/>
                <w:color w:val="auto"/>
              </w:rPr>
            </w:pPr>
            <w:r>
              <w:rPr>
                <w:rFonts w:ascii="Arial" w:cs="Arial" w:eastAsia="Arial" w:hAnsi="Arial"/>
                <w:sz w:val="14"/>
                <w:szCs w:val="14"/>
                <w:b w:val="1"/>
                <w:bCs w:val="1"/>
                <w:color w:val="170D67"/>
              </w:rPr>
              <w:t>($)</w:t>
            </w:r>
          </w:p>
        </w:tc>
      </w:tr>
      <w:tr>
        <w:trPr>
          <w:trHeight w:val="210"/>
        </w:trPr>
        <w:tc>
          <w:tcPr>
            <w:tcW w:w="1920" w:type="dxa"/>
            <w:vAlign w:val="bottom"/>
          </w:tcPr>
          <w:p>
            <w:pPr>
              <w:ind w:left="20"/>
              <w:spacing w:after="0"/>
              <w:rPr>
                <w:sz w:val="20"/>
                <w:szCs w:val="20"/>
                <w:color w:val="auto"/>
              </w:rPr>
            </w:pPr>
            <w:r>
              <w:rPr>
                <w:rFonts w:ascii="Arial" w:cs="Arial" w:eastAsia="Arial" w:hAnsi="Arial"/>
                <w:sz w:val="15"/>
                <w:szCs w:val="15"/>
                <w:color w:val="170D67"/>
              </w:rPr>
              <w:t>Butler</w:t>
            </w:r>
          </w:p>
        </w:tc>
        <w:tc>
          <w:tcPr>
            <w:tcW w:w="2180" w:type="dxa"/>
            <w:vAlign w:val="bottom"/>
          </w:tcPr>
          <w:p>
            <w:pPr>
              <w:jc w:val="right"/>
              <w:ind w:right="226"/>
              <w:spacing w:after="0"/>
              <w:rPr>
                <w:sz w:val="20"/>
                <w:szCs w:val="20"/>
                <w:color w:val="auto"/>
              </w:rPr>
            </w:pPr>
            <w:r>
              <w:rPr>
                <w:rFonts w:ascii="Arial" w:cs="Arial" w:eastAsia="Arial" w:hAnsi="Arial"/>
                <w:sz w:val="15"/>
                <w:szCs w:val="15"/>
                <w:color w:val="auto"/>
              </w:rPr>
              <w:t>9,079,885</w:t>
            </w:r>
          </w:p>
        </w:tc>
        <w:tc>
          <w:tcPr>
            <w:tcW w:w="1480" w:type="dxa"/>
            <w:vAlign w:val="bottom"/>
          </w:tcPr>
          <w:p>
            <w:pPr>
              <w:jc w:val="right"/>
              <w:ind w:right="246"/>
              <w:spacing w:after="0"/>
              <w:rPr>
                <w:sz w:val="20"/>
                <w:szCs w:val="20"/>
                <w:color w:val="auto"/>
              </w:rPr>
            </w:pPr>
            <w:r>
              <w:rPr>
                <w:rFonts w:ascii="Arial" w:cs="Arial" w:eastAsia="Arial" w:hAnsi="Arial"/>
                <w:sz w:val="15"/>
                <w:szCs w:val="15"/>
                <w:color w:val="auto"/>
              </w:rPr>
              <w:t>450,800</w:t>
            </w:r>
          </w:p>
        </w:tc>
        <w:tc>
          <w:tcPr>
            <w:tcW w:w="1560" w:type="dxa"/>
            <w:vAlign w:val="bottom"/>
          </w:tcPr>
          <w:p>
            <w:pPr>
              <w:jc w:val="right"/>
              <w:ind w:right="286"/>
              <w:spacing w:after="0"/>
              <w:rPr>
                <w:sz w:val="20"/>
                <w:szCs w:val="20"/>
                <w:color w:val="auto"/>
              </w:rPr>
            </w:pPr>
            <w:r>
              <w:rPr>
                <w:rFonts w:ascii="Arial" w:cs="Arial" w:eastAsia="Arial" w:hAnsi="Arial"/>
                <w:sz w:val="15"/>
                <w:szCs w:val="15"/>
                <w:color w:val="auto"/>
              </w:rPr>
              <w:t>18,716,539</w:t>
            </w:r>
          </w:p>
        </w:tc>
        <w:tc>
          <w:tcPr>
            <w:tcW w:w="1580" w:type="dxa"/>
            <w:vAlign w:val="bottom"/>
          </w:tcPr>
          <w:p>
            <w:pPr>
              <w:jc w:val="right"/>
              <w:ind w:right="206"/>
              <w:spacing w:after="0"/>
              <w:rPr>
                <w:sz w:val="20"/>
                <w:szCs w:val="20"/>
                <w:color w:val="auto"/>
              </w:rPr>
            </w:pPr>
            <w:r>
              <w:rPr>
                <w:rFonts w:ascii="Arial" w:cs="Arial" w:eastAsia="Arial" w:hAnsi="Arial"/>
                <w:sz w:val="15"/>
                <w:szCs w:val="15"/>
                <w:color w:val="auto"/>
              </w:rPr>
              <w:t>9,200</w:t>
            </w:r>
          </w:p>
        </w:tc>
        <w:tc>
          <w:tcPr>
            <w:tcW w:w="1300" w:type="dxa"/>
            <w:vAlign w:val="bottom"/>
          </w:tcPr>
          <w:p>
            <w:pPr>
              <w:jc w:val="center"/>
              <w:ind w:left="86"/>
              <w:spacing w:after="0"/>
              <w:rPr>
                <w:sz w:val="20"/>
                <w:szCs w:val="20"/>
                <w:color w:val="auto"/>
              </w:rPr>
            </w:pPr>
            <w:r>
              <w:rPr>
                <w:rFonts w:ascii="Arial" w:cs="Arial" w:eastAsia="Arial" w:hAnsi="Arial"/>
                <w:sz w:val="15"/>
                <w:szCs w:val="15"/>
                <w:color w:val="auto"/>
              </w:rPr>
              <w:t>23,150</w:t>
            </w:r>
          </w:p>
        </w:tc>
        <w:tc>
          <w:tcPr>
            <w:tcW w:w="1200" w:type="dxa"/>
            <w:vAlign w:val="bottom"/>
          </w:tcPr>
          <w:p>
            <w:pPr>
              <w:jc w:val="right"/>
              <w:spacing w:after="0"/>
              <w:rPr>
                <w:sz w:val="20"/>
                <w:szCs w:val="20"/>
                <w:color w:val="auto"/>
              </w:rPr>
            </w:pPr>
            <w:r>
              <w:rPr>
                <w:rFonts w:ascii="Arial" w:cs="Arial" w:eastAsia="Arial" w:hAnsi="Arial"/>
                <w:sz w:val="15"/>
                <w:szCs w:val="15"/>
                <w:color w:val="auto"/>
              </w:rPr>
              <w:t>28,279,574</w:t>
            </w:r>
          </w:p>
        </w:tc>
      </w:tr>
      <w:tr>
        <w:trPr>
          <w:trHeight w:val="33"/>
        </w:trPr>
        <w:tc>
          <w:tcPr>
            <w:tcW w:w="1920" w:type="dxa"/>
            <w:vAlign w:val="bottom"/>
            <w:tcBorders>
              <w:bottom w:val="single" w:sz="8" w:color="808080"/>
            </w:tcBorders>
          </w:tcPr>
          <w:p>
            <w:pPr>
              <w:spacing w:after="0"/>
              <w:rPr>
                <w:sz w:val="2"/>
                <w:szCs w:val="2"/>
                <w:color w:val="auto"/>
              </w:rPr>
            </w:pPr>
          </w:p>
        </w:tc>
        <w:tc>
          <w:tcPr>
            <w:tcW w:w="2180" w:type="dxa"/>
            <w:vAlign w:val="bottom"/>
            <w:tcBorders>
              <w:bottom w:val="single" w:sz="8" w:color="808080"/>
            </w:tcBorders>
          </w:tcPr>
          <w:p>
            <w:pPr>
              <w:spacing w:after="0"/>
              <w:rPr>
                <w:sz w:val="2"/>
                <w:szCs w:val="2"/>
                <w:color w:val="auto"/>
              </w:rPr>
            </w:pPr>
          </w:p>
        </w:tc>
        <w:tc>
          <w:tcPr>
            <w:tcW w:w="1480" w:type="dxa"/>
            <w:vAlign w:val="bottom"/>
            <w:tcBorders>
              <w:bottom w:val="single" w:sz="8" w:color="808080"/>
            </w:tcBorders>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1300" w:type="dxa"/>
            <w:vAlign w:val="bottom"/>
            <w:tcBorders>
              <w:bottom w:val="single" w:sz="8" w:color="808080"/>
            </w:tcBorders>
          </w:tcPr>
          <w:p>
            <w:pPr>
              <w:spacing w:after="0"/>
              <w:rPr>
                <w:sz w:val="2"/>
                <w:szCs w:val="2"/>
                <w:color w:val="auto"/>
              </w:rPr>
            </w:pPr>
          </w:p>
        </w:tc>
        <w:tc>
          <w:tcPr>
            <w:tcW w:w="1200" w:type="dxa"/>
            <w:vAlign w:val="bottom"/>
            <w:tcBorders>
              <w:bottom w:val="single" w:sz="8" w:color="808080"/>
            </w:tcBorders>
          </w:tcPr>
          <w:p>
            <w:pPr>
              <w:spacing w:after="0"/>
              <w:rPr>
                <w:sz w:val="2"/>
                <w:szCs w:val="2"/>
                <w:color w:val="auto"/>
              </w:rPr>
            </w:pPr>
          </w:p>
        </w:tc>
      </w:tr>
      <w:tr>
        <w:trPr>
          <w:trHeight w:val="203"/>
        </w:trPr>
        <w:tc>
          <w:tcPr>
            <w:tcW w:w="1920" w:type="dxa"/>
            <w:vAlign w:val="bottom"/>
          </w:tcPr>
          <w:p>
            <w:pPr>
              <w:ind w:left="20"/>
              <w:spacing w:after="0"/>
              <w:rPr>
                <w:sz w:val="20"/>
                <w:szCs w:val="20"/>
                <w:color w:val="auto"/>
              </w:rPr>
            </w:pPr>
            <w:r>
              <w:rPr>
                <w:rFonts w:ascii="Arial" w:cs="Arial" w:eastAsia="Arial" w:hAnsi="Arial"/>
                <w:sz w:val="15"/>
                <w:szCs w:val="15"/>
                <w:color w:val="170D67"/>
              </w:rPr>
              <w:t>Jones</w:t>
            </w:r>
          </w:p>
        </w:tc>
        <w:tc>
          <w:tcPr>
            <w:tcW w:w="2180" w:type="dxa"/>
            <w:vAlign w:val="bottom"/>
          </w:tcPr>
          <w:p>
            <w:pPr>
              <w:jc w:val="right"/>
              <w:ind w:right="226"/>
              <w:spacing w:after="0"/>
              <w:rPr>
                <w:sz w:val="20"/>
                <w:szCs w:val="20"/>
                <w:color w:val="auto"/>
              </w:rPr>
            </w:pPr>
            <w:r>
              <w:rPr>
                <w:rFonts w:ascii="Arial" w:cs="Arial" w:eastAsia="Arial" w:hAnsi="Arial"/>
                <w:sz w:val="15"/>
                <w:szCs w:val="15"/>
                <w:color w:val="auto"/>
              </w:rPr>
              <w:t>3,638,126</w:t>
            </w:r>
          </w:p>
        </w:tc>
        <w:tc>
          <w:tcPr>
            <w:tcW w:w="1480" w:type="dxa"/>
            <w:vAlign w:val="bottom"/>
          </w:tcPr>
          <w:p>
            <w:pPr>
              <w:jc w:val="right"/>
              <w:ind w:right="246"/>
              <w:spacing w:after="0"/>
              <w:rPr>
                <w:sz w:val="20"/>
                <w:szCs w:val="20"/>
                <w:color w:val="auto"/>
              </w:rPr>
            </w:pPr>
            <w:r>
              <w:rPr>
                <w:rFonts w:ascii="Arial" w:cs="Arial" w:eastAsia="Arial" w:hAnsi="Arial"/>
                <w:sz w:val="15"/>
                <w:szCs w:val="15"/>
                <w:color w:val="auto"/>
              </w:rPr>
              <w:t>206,146</w:t>
            </w:r>
          </w:p>
        </w:tc>
        <w:tc>
          <w:tcPr>
            <w:tcW w:w="1560" w:type="dxa"/>
            <w:vAlign w:val="bottom"/>
          </w:tcPr>
          <w:p>
            <w:pPr>
              <w:jc w:val="right"/>
              <w:ind w:right="286"/>
              <w:spacing w:after="0"/>
              <w:rPr>
                <w:sz w:val="20"/>
                <w:szCs w:val="20"/>
                <w:color w:val="auto"/>
              </w:rPr>
            </w:pPr>
            <w:r>
              <w:rPr>
                <w:rFonts w:ascii="Arial" w:cs="Arial" w:eastAsia="Arial" w:hAnsi="Arial"/>
                <w:sz w:val="15"/>
                <w:szCs w:val="15"/>
                <w:color w:val="auto"/>
              </w:rPr>
              <w:t>1,895,192</w:t>
            </w:r>
          </w:p>
        </w:tc>
        <w:tc>
          <w:tcPr>
            <w:tcW w:w="1580" w:type="dxa"/>
            <w:vAlign w:val="bottom"/>
          </w:tcPr>
          <w:p>
            <w:pPr>
              <w:jc w:val="right"/>
              <w:ind w:right="206"/>
              <w:spacing w:after="0"/>
              <w:rPr>
                <w:sz w:val="20"/>
                <w:szCs w:val="20"/>
                <w:color w:val="auto"/>
              </w:rPr>
            </w:pPr>
            <w:r>
              <w:rPr>
                <w:rFonts w:ascii="Arial" w:cs="Arial" w:eastAsia="Arial" w:hAnsi="Arial"/>
                <w:sz w:val="15"/>
                <w:szCs w:val="15"/>
                <w:color w:val="auto"/>
              </w:rPr>
              <w:t>8,800</w:t>
            </w:r>
          </w:p>
        </w:tc>
        <w:tc>
          <w:tcPr>
            <w:tcW w:w="1300" w:type="dxa"/>
            <w:vAlign w:val="bottom"/>
          </w:tcPr>
          <w:p>
            <w:pPr>
              <w:jc w:val="center"/>
              <w:ind w:left="86"/>
              <w:spacing w:after="0"/>
              <w:rPr>
                <w:sz w:val="20"/>
                <w:szCs w:val="20"/>
                <w:color w:val="auto"/>
              </w:rPr>
            </w:pPr>
            <w:r>
              <w:rPr>
                <w:rFonts w:ascii="Arial" w:cs="Arial" w:eastAsia="Arial" w:hAnsi="Arial"/>
                <w:sz w:val="15"/>
                <w:szCs w:val="15"/>
                <w:color w:val="auto"/>
              </w:rPr>
              <w:t>23,150</w:t>
            </w:r>
          </w:p>
        </w:tc>
        <w:tc>
          <w:tcPr>
            <w:tcW w:w="1200" w:type="dxa"/>
            <w:vAlign w:val="bottom"/>
          </w:tcPr>
          <w:p>
            <w:pPr>
              <w:jc w:val="right"/>
              <w:spacing w:after="0"/>
              <w:rPr>
                <w:sz w:val="20"/>
                <w:szCs w:val="20"/>
                <w:color w:val="auto"/>
              </w:rPr>
            </w:pPr>
            <w:r>
              <w:rPr>
                <w:rFonts w:ascii="Arial" w:cs="Arial" w:eastAsia="Arial" w:hAnsi="Arial"/>
                <w:sz w:val="15"/>
                <w:szCs w:val="15"/>
                <w:color w:val="auto"/>
              </w:rPr>
              <w:t>5,771,414</w:t>
            </w:r>
          </w:p>
        </w:tc>
      </w:tr>
      <w:tr>
        <w:trPr>
          <w:trHeight w:val="33"/>
        </w:trPr>
        <w:tc>
          <w:tcPr>
            <w:tcW w:w="1920" w:type="dxa"/>
            <w:vAlign w:val="bottom"/>
            <w:tcBorders>
              <w:bottom w:val="single" w:sz="8" w:color="808080"/>
            </w:tcBorders>
          </w:tcPr>
          <w:p>
            <w:pPr>
              <w:spacing w:after="0"/>
              <w:rPr>
                <w:sz w:val="2"/>
                <w:szCs w:val="2"/>
                <w:color w:val="auto"/>
              </w:rPr>
            </w:pPr>
          </w:p>
        </w:tc>
        <w:tc>
          <w:tcPr>
            <w:tcW w:w="2180" w:type="dxa"/>
            <w:vAlign w:val="bottom"/>
            <w:tcBorders>
              <w:bottom w:val="single" w:sz="8" w:color="808080"/>
            </w:tcBorders>
          </w:tcPr>
          <w:p>
            <w:pPr>
              <w:spacing w:after="0"/>
              <w:rPr>
                <w:sz w:val="2"/>
                <w:szCs w:val="2"/>
                <w:color w:val="auto"/>
              </w:rPr>
            </w:pPr>
          </w:p>
        </w:tc>
        <w:tc>
          <w:tcPr>
            <w:tcW w:w="1480" w:type="dxa"/>
            <w:vAlign w:val="bottom"/>
            <w:tcBorders>
              <w:bottom w:val="single" w:sz="8" w:color="808080"/>
            </w:tcBorders>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1300" w:type="dxa"/>
            <w:vAlign w:val="bottom"/>
            <w:tcBorders>
              <w:bottom w:val="single" w:sz="8" w:color="808080"/>
            </w:tcBorders>
          </w:tcPr>
          <w:p>
            <w:pPr>
              <w:spacing w:after="0"/>
              <w:rPr>
                <w:sz w:val="2"/>
                <w:szCs w:val="2"/>
                <w:color w:val="auto"/>
              </w:rPr>
            </w:pPr>
          </w:p>
        </w:tc>
        <w:tc>
          <w:tcPr>
            <w:tcW w:w="1200" w:type="dxa"/>
            <w:vAlign w:val="bottom"/>
            <w:tcBorders>
              <w:bottom w:val="single" w:sz="8" w:color="808080"/>
            </w:tcBorders>
          </w:tcPr>
          <w:p>
            <w:pPr>
              <w:spacing w:after="0"/>
              <w:rPr>
                <w:sz w:val="2"/>
                <w:szCs w:val="2"/>
                <w:color w:val="auto"/>
              </w:rPr>
            </w:pPr>
          </w:p>
        </w:tc>
      </w:tr>
      <w:tr>
        <w:trPr>
          <w:trHeight w:val="203"/>
        </w:trPr>
        <w:tc>
          <w:tcPr>
            <w:tcW w:w="1920" w:type="dxa"/>
            <w:vAlign w:val="bottom"/>
          </w:tcPr>
          <w:p>
            <w:pPr>
              <w:ind w:left="20"/>
              <w:spacing w:after="0"/>
              <w:rPr>
                <w:sz w:val="20"/>
                <w:szCs w:val="20"/>
                <w:color w:val="auto"/>
              </w:rPr>
            </w:pPr>
            <w:r>
              <w:rPr>
                <w:rFonts w:ascii="Arial" w:cs="Arial" w:eastAsia="Arial" w:hAnsi="Arial"/>
                <w:sz w:val="15"/>
                <w:szCs w:val="15"/>
                <w:color w:val="170D67"/>
              </w:rPr>
              <w:t>Littleton</w:t>
            </w:r>
          </w:p>
        </w:tc>
        <w:tc>
          <w:tcPr>
            <w:tcW w:w="2180" w:type="dxa"/>
            <w:vAlign w:val="bottom"/>
          </w:tcPr>
          <w:p>
            <w:pPr>
              <w:jc w:val="right"/>
              <w:ind w:right="226"/>
              <w:spacing w:after="0"/>
              <w:rPr>
                <w:sz w:val="20"/>
                <w:szCs w:val="20"/>
                <w:color w:val="auto"/>
              </w:rPr>
            </w:pPr>
            <w:r>
              <w:rPr>
                <w:rFonts w:ascii="Arial" w:cs="Arial" w:eastAsia="Arial" w:hAnsi="Arial"/>
                <w:sz w:val="15"/>
                <w:szCs w:val="15"/>
                <w:color w:val="auto"/>
              </w:rPr>
              <w:t>3,502,121</w:t>
            </w:r>
          </w:p>
        </w:tc>
        <w:tc>
          <w:tcPr>
            <w:tcW w:w="148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286"/>
              <w:spacing w:after="0"/>
              <w:rPr>
                <w:sz w:val="20"/>
                <w:szCs w:val="20"/>
                <w:color w:val="auto"/>
              </w:rPr>
            </w:pPr>
            <w:r>
              <w:rPr>
                <w:rFonts w:ascii="Arial" w:cs="Arial" w:eastAsia="Arial" w:hAnsi="Arial"/>
                <w:sz w:val="15"/>
                <w:szCs w:val="15"/>
                <w:color w:val="auto"/>
              </w:rPr>
              <w:t>2,344,625</w:t>
            </w:r>
          </w:p>
        </w:tc>
        <w:tc>
          <w:tcPr>
            <w:tcW w:w="1580" w:type="dxa"/>
            <w:vAlign w:val="bottom"/>
          </w:tcPr>
          <w:p>
            <w:pPr>
              <w:jc w:val="right"/>
              <w:ind w:right="206"/>
              <w:spacing w:after="0"/>
              <w:rPr>
                <w:sz w:val="20"/>
                <w:szCs w:val="20"/>
                <w:color w:val="auto"/>
              </w:rPr>
            </w:pPr>
            <w:r>
              <w:rPr>
                <w:rFonts w:ascii="Arial" w:cs="Arial" w:eastAsia="Arial" w:hAnsi="Arial"/>
                <w:sz w:val="15"/>
                <w:szCs w:val="15"/>
                <w:color w:val="auto"/>
              </w:rPr>
              <w:t>11,400</w:t>
            </w:r>
          </w:p>
        </w:tc>
        <w:tc>
          <w:tcPr>
            <w:tcW w:w="1300" w:type="dxa"/>
            <w:vAlign w:val="bottom"/>
          </w:tcPr>
          <w:p>
            <w:pPr>
              <w:jc w:val="center"/>
              <w:ind w:left="86"/>
              <w:spacing w:after="0"/>
              <w:rPr>
                <w:sz w:val="20"/>
                <w:szCs w:val="20"/>
                <w:color w:val="auto"/>
              </w:rPr>
            </w:pPr>
            <w:r>
              <w:rPr>
                <w:rFonts w:ascii="Arial" w:cs="Arial" w:eastAsia="Arial" w:hAnsi="Arial"/>
                <w:sz w:val="15"/>
                <w:szCs w:val="15"/>
                <w:color w:val="auto"/>
              </w:rPr>
              <w:t>23,150</w:t>
            </w:r>
          </w:p>
        </w:tc>
        <w:tc>
          <w:tcPr>
            <w:tcW w:w="1200" w:type="dxa"/>
            <w:vAlign w:val="bottom"/>
          </w:tcPr>
          <w:p>
            <w:pPr>
              <w:jc w:val="right"/>
              <w:spacing w:after="0"/>
              <w:rPr>
                <w:sz w:val="20"/>
                <w:szCs w:val="20"/>
                <w:color w:val="auto"/>
              </w:rPr>
            </w:pPr>
            <w:r>
              <w:rPr>
                <w:rFonts w:ascii="Arial" w:cs="Arial" w:eastAsia="Arial" w:hAnsi="Arial"/>
                <w:sz w:val="15"/>
                <w:szCs w:val="15"/>
                <w:color w:val="auto"/>
              </w:rPr>
              <w:t>5,881,296</w:t>
            </w:r>
          </w:p>
        </w:tc>
      </w:tr>
      <w:tr>
        <w:trPr>
          <w:trHeight w:val="33"/>
        </w:trPr>
        <w:tc>
          <w:tcPr>
            <w:tcW w:w="1920" w:type="dxa"/>
            <w:vAlign w:val="bottom"/>
            <w:tcBorders>
              <w:bottom w:val="single" w:sz="8" w:color="808080"/>
            </w:tcBorders>
          </w:tcPr>
          <w:p>
            <w:pPr>
              <w:spacing w:after="0"/>
              <w:rPr>
                <w:sz w:val="2"/>
                <w:szCs w:val="2"/>
                <w:color w:val="auto"/>
              </w:rPr>
            </w:pPr>
          </w:p>
        </w:tc>
        <w:tc>
          <w:tcPr>
            <w:tcW w:w="2180" w:type="dxa"/>
            <w:vAlign w:val="bottom"/>
            <w:tcBorders>
              <w:bottom w:val="single" w:sz="8" w:color="808080"/>
            </w:tcBorders>
          </w:tcPr>
          <w:p>
            <w:pPr>
              <w:spacing w:after="0"/>
              <w:rPr>
                <w:sz w:val="2"/>
                <w:szCs w:val="2"/>
                <w:color w:val="auto"/>
              </w:rPr>
            </w:pPr>
          </w:p>
        </w:tc>
        <w:tc>
          <w:tcPr>
            <w:tcW w:w="1480" w:type="dxa"/>
            <w:vAlign w:val="bottom"/>
            <w:tcBorders>
              <w:bottom w:val="single" w:sz="8" w:color="808080"/>
            </w:tcBorders>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1300" w:type="dxa"/>
            <w:vAlign w:val="bottom"/>
            <w:tcBorders>
              <w:bottom w:val="single" w:sz="8" w:color="808080"/>
            </w:tcBorders>
          </w:tcPr>
          <w:p>
            <w:pPr>
              <w:spacing w:after="0"/>
              <w:rPr>
                <w:sz w:val="2"/>
                <w:szCs w:val="2"/>
                <w:color w:val="auto"/>
              </w:rPr>
            </w:pPr>
          </w:p>
        </w:tc>
        <w:tc>
          <w:tcPr>
            <w:tcW w:w="1200" w:type="dxa"/>
            <w:vAlign w:val="bottom"/>
            <w:tcBorders>
              <w:bottom w:val="single" w:sz="8" w:color="808080"/>
            </w:tcBorders>
          </w:tcPr>
          <w:p>
            <w:pPr>
              <w:spacing w:after="0"/>
              <w:rPr>
                <w:sz w:val="2"/>
                <w:szCs w:val="2"/>
                <w:color w:val="auto"/>
              </w:rPr>
            </w:pPr>
          </w:p>
        </w:tc>
      </w:tr>
      <w:tr>
        <w:trPr>
          <w:trHeight w:val="203"/>
        </w:trPr>
        <w:tc>
          <w:tcPr>
            <w:tcW w:w="1920" w:type="dxa"/>
            <w:vAlign w:val="bottom"/>
          </w:tcPr>
          <w:p>
            <w:pPr>
              <w:ind w:left="20"/>
              <w:spacing w:after="0"/>
              <w:rPr>
                <w:sz w:val="20"/>
                <w:szCs w:val="20"/>
                <w:color w:val="auto"/>
              </w:rPr>
            </w:pPr>
            <w:r>
              <w:rPr>
                <w:rFonts w:ascii="Arial" w:cs="Arial" w:eastAsia="Arial" w:hAnsi="Arial"/>
                <w:sz w:val="15"/>
                <w:szCs w:val="15"/>
                <w:color w:val="170D67"/>
              </w:rPr>
              <w:t>Glockner</w:t>
            </w:r>
          </w:p>
        </w:tc>
        <w:tc>
          <w:tcPr>
            <w:tcW w:w="2180" w:type="dxa"/>
            <w:vAlign w:val="bottom"/>
          </w:tcPr>
          <w:p>
            <w:pPr>
              <w:jc w:val="right"/>
              <w:ind w:right="226"/>
              <w:spacing w:after="0"/>
              <w:rPr>
                <w:sz w:val="20"/>
                <w:szCs w:val="20"/>
                <w:color w:val="auto"/>
              </w:rPr>
            </w:pPr>
            <w:r>
              <w:rPr>
                <w:rFonts w:ascii="Arial" w:cs="Arial" w:eastAsia="Arial" w:hAnsi="Arial"/>
                <w:sz w:val="15"/>
                <w:szCs w:val="15"/>
                <w:color w:val="auto"/>
              </w:rPr>
              <w:t>3,122,690</w:t>
            </w:r>
          </w:p>
        </w:tc>
        <w:tc>
          <w:tcPr>
            <w:tcW w:w="148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286"/>
              <w:spacing w:after="0"/>
              <w:rPr>
                <w:sz w:val="20"/>
                <w:szCs w:val="20"/>
                <w:color w:val="auto"/>
              </w:rPr>
            </w:pPr>
            <w:r>
              <w:rPr>
                <w:rFonts w:ascii="Arial" w:cs="Arial" w:eastAsia="Arial" w:hAnsi="Arial"/>
                <w:sz w:val="15"/>
                <w:szCs w:val="15"/>
                <w:color w:val="auto"/>
              </w:rPr>
              <w:t>2,085,707</w:t>
            </w:r>
          </w:p>
        </w:tc>
        <w:tc>
          <w:tcPr>
            <w:tcW w:w="1580" w:type="dxa"/>
            <w:vAlign w:val="bottom"/>
          </w:tcPr>
          <w:p>
            <w:pPr>
              <w:jc w:val="right"/>
              <w:ind w:right="206"/>
              <w:spacing w:after="0"/>
              <w:rPr>
                <w:sz w:val="20"/>
                <w:szCs w:val="20"/>
                <w:color w:val="auto"/>
              </w:rPr>
            </w:pPr>
            <w:r>
              <w:rPr>
                <w:rFonts w:ascii="Arial" w:cs="Arial" w:eastAsia="Arial" w:hAnsi="Arial"/>
                <w:sz w:val="15"/>
                <w:szCs w:val="15"/>
                <w:color w:val="auto"/>
              </w:rPr>
              <w:t>15,000</w:t>
            </w:r>
          </w:p>
        </w:tc>
        <w:tc>
          <w:tcPr>
            <w:tcW w:w="1300" w:type="dxa"/>
            <w:vAlign w:val="bottom"/>
          </w:tcPr>
          <w:p>
            <w:pPr>
              <w:jc w:val="center"/>
              <w:ind w:left="86"/>
              <w:spacing w:after="0"/>
              <w:rPr>
                <w:sz w:val="20"/>
                <w:szCs w:val="20"/>
                <w:color w:val="auto"/>
              </w:rPr>
            </w:pPr>
            <w:r>
              <w:rPr>
                <w:rFonts w:ascii="Arial" w:cs="Arial" w:eastAsia="Arial" w:hAnsi="Arial"/>
                <w:sz w:val="15"/>
                <w:szCs w:val="15"/>
                <w:color w:val="auto"/>
              </w:rPr>
              <w:t>23,150</w:t>
            </w:r>
          </w:p>
        </w:tc>
        <w:tc>
          <w:tcPr>
            <w:tcW w:w="1200" w:type="dxa"/>
            <w:vAlign w:val="bottom"/>
          </w:tcPr>
          <w:p>
            <w:pPr>
              <w:jc w:val="right"/>
              <w:spacing w:after="0"/>
              <w:rPr>
                <w:sz w:val="20"/>
                <w:szCs w:val="20"/>
                <w:color w:val="auto"/>
              </w:rPr>
            </w:pPr>
            <w:r>
              <w:rPr>
                <w:rFonts w:ascii="Arial" w:cs="Arial" w:eastAsia="Arial" w:hAnsi="Arial"/>
                <w:sz w:val="15"/>
                <w:szCs w:val="15"/>
                <w:color w:val="auto"/>
              </w:rPr>
              <w:t>5,246,547</w:t>
            </w:r>
          </w:p>
        </w:tc>
      </w:tr>
      <w:tr>
        <w:trPr>
          <w:trHeight w:val="33"/>
        </w:trPr>
        <w:tc>
          <w:tcPr>
            <w:tcW w:w="1920" w:type="dxa"/>
            <w:vAlign w:val="bottom"/>
            <w:tcBorders>
              <w:bottom w:val="single" w:sz="8" w:color="808080"/>
            </w:tcBorders>
          </w:tcPr>
          <w:p>
            <w:pPr>
              <w:spacing w:after="0"/>
              <w:rPr>
                <w:sz w:val="2"/>
                <w:szCs w:val="2"/>
                <w:color w:val="auto"/>
              </w:rPr>
            </w:pPr>
          </w:p>
        </w:tc>
        <w:tc>
          <w:tcPr>
            <w:tcW w:w="2180" w:type="dxa"/>
            <w:vAlign w:val="bottom"/>
            <w:tcBorders>
              <w:bottom w:val="single" w:sz="8" w:color="808080"/>
            </w:tcBorders>
          </w:tcPr>
          <w:p>
            <w:pPr>
              <w:spacing w:after="0"/>
              <w:rPr>
                <w:sz w:val="2"/>
                <w:szCs w:val="2"/>
                <w:color w:val="auto"/>
              </w:rPr>
            </w:pPr>
          </w:p>
        </w:tc>
        <w:tc>
          <w:tcPr>
            <w:tcW w:w="1480" w:type="dxa"/>
            <w:vAlign w:val="bottom"/>
            <w:tcBorders>
              <w:bottom w:val="single" w:sz="8" w:color="808080"/>
            </w:tcBorders>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1300" w:type="dxa"/>
            <w:vAlign w:val="bottom"/>
            <w:tcBorders>
              <w:bottom w:val="single" w:sz="8" w:color="808080"/>
            </w:tcBorders>
          </w:tcPr>
          <w:p>
            <w:pPr>
              <w:spacing w:after="0"/>
              <w:rPr>
                <w:sz w:val="2"/>
                <w:szCs w:val="2"/>
                <w:color w:val="auto"/>
              </w:rPr>
            </w:pPr>
          </w:p>
        </w:tc>
        <w:tc>
          <w:tcPr>
            <w:tcW w:w="1200" w:type="dxa"/>
            <w:vAlign w:val="bottom"/>
            <w:tcBorders>
              <w:bottom w:val="single" w:sz="8" w:color="808080"/>
            </w:tcBorders>
          </w:tcPr>
          <w:p>
            <w:pPr>
              <w:spacing w:after="0"/>
              <w:rPr>
                <w:sz w:val="2"/>
                <w:szCs w:val="2"/>
                <w:color w:val="auto"/>
              </w:rPr>
            </w:pPr>
          </w:p>
        </w:tc>
      </w:tr>
      <w:tr>
        <w:trPr>
          <w:trHeight w:val="204"/>
        </w:trPr>
        <w:tc>
          <w:tcPr>
            <w:tcW w:w="1920" w:type="dxa"/>
            <w:vAlign w:val="bottom"/>
          </w:tcPr>
          <w:p>
            <w:pPr>
              <w:ind w:left="20"/>
              <w:spacing w:after="0"/>
              <w:rPr>
                <w:sz w:val="20"/>
                <w:szCs w:val="20"/>
                <w:color w:val="auto"/>
              </w:rPr>
            </w:pPr>
            <w:r>
              <w:rPr>
                <w:rFonts w:ascii="Arial" w:cs="Arial" w:eastAsia="Arial" w:hAnsi="Arial"/>
                <w:sz w:val="15"/>
                <w:szCs w:val="15"/>
                <w:color w:val="170D67"/>
              </w:rPr>
              <w:t>Innocenzo</w:t>
            </w:r>
          </w:p>
        </w:tc>
        <w:tc>
          <w:tcPr>
            <w:tcW w:w="2180" w:type="dxa"/>
            <w:vAlign w:val="bottom"/>
          </w:tcPr>
          <w:p>
            <w:pPr>
              <w:jc w:val="right"/>
              <w:ind w:right="226"/>
              <w:spacing w:after="0"/>
              <w:rPr>
                <w:sz w:val="20"/>
                <w:szCs w:val="20"/>
                <w:color w:val="auto"/>
              </w:rPr>
            </w:pPr>
            <w:r>
              <w:rPr>
                <w:rFonts w:ascii="Arial" w:cs="Arial" w:eastAsia="Arial" w:hAnsi="Arial"/>
                <w:sz w:val="15"/>
                <w:szCs w:val="15"/>
                <w:color w:val="auto"/>
              </w:rPr>
              <w:t>3,359,130</w:t>
            </w:r>
          </w:p>
        </w:tc>
        <w:tc>
          <w:tcPr>
            <w:tcW w:w="1480" w:type="dxa"/>
            <w:vAlign w:val="bottom"/>
          </w:tcPr>
          <w:p>
            <w:pPr>
              <w:jc w:val="right"/>
              <w:ind w:right="246"/>
              <w:spacing w:after="0"/>
              <w:rPr>
                <w:sz w:val="20"/>
                <w:szCs w:val="20"/>
                <w:color w:val="auto"/>
              </w:rPr>
            </w:pPr>
            <w:r>
              <w:rPr>
                <w:rFonts w:ascii="Arial" w:cs="Arial" w:eastAsia="Arial" w:hAnsi="Arial"/>
                <w:sz w:val="15"/>
                <w:szCs w:val="15"/>
                <w:color w:val="auto"/>
              </w:rPr>
              <w:t>234,270</w:t>
            </w:r>
          </w:p>
        </w:tc>
        <w:tc>
          <w:tcPr>
            <w:tcW w:w="1560" w:type="dxa"/>
            <w:vAlign w:val="bottom"/>
          </w:tcPr>
          <w:p>
            <w:pPr>
              <w:jc w:val="right"/>
              <w:ind w:right="286"/>
              <w:spacing w:after="0"/>
              <w:rPr>
                <w:sz w:val="20"/>
                <w:szCs w:val="20"/>
                <w:color w:val="auto"/>
              </w:rPr>
            </w:pPr>
            <w:r>
              <w:rPr>
                <w:rFonts w:ascii="Arial" w:cs="Arial" w:eastAsia="Arial" w:hAnsi="Arial"/>
                <w:sz w:val="15"/>
                <w:szCs w:val="15"/>
                <w:color w:val="auto"/>
              </w:rPr>
              <w:t>3,019,545</w:t>
            </w:r>
          </w:p>
        </w:tc>
        <w:tc>
          <w:tcPr>
            <w:tcW w:w="1580" w:type="dxa"/>
            <w:vAlign w:val="bottom"/>
          </w:tcPr>
          <w:p>
            <w:pPr>
              <w:jc w:val="right"/>
              <w:ind w:right="206"/>
              <w:spacing w:after="0"/>
              <w:rPr>
                <w:sz w:val="20"/>
                <w:szCs w:val="20"/>
                <w:color w:val="auto"/>
              </w:rPr>
            </w:pPr>
            <w:r>
              <w:rPr>
                <w:rFonts w:ascii="Arial" w:cs="Arial" w:eastAsia="Arial" w:hAnsi="Arial"/>
                <w:sz w:val="15"/>
                <w:szCs w:val="15"/>
                <w:color w:val="auto"/>
              </w:rPr>
              <w:t>11,200</w:t>
            </w:r>
          </w:p>
        </w:tc>
        <w:tc>
          <w:tcPr>
            <w:tcW w:w="1300" w:type="dxa"/>
            <w:vAlign w:val="bottom"/>
          </w:tcPr>
          <w:p>
            <w:pPr>
              <w:jc w:val="center"/>
              <w:ind w:left="86"/>
              <w:spacing w:after="0"/>
              <w:rPr>
                <w:sz w:val="20"/>
                <w:szCs w:val="20"/>
                <w:color w:val="auto"/>
              </w:rPr>
            </w:pPr>
            <w:r>
              <w:rPr>
                <w:rFonts w:ascii="Arial" w:cs="Arial" w:eastAsia="Arial" w:hAnsi="Arial"/>
                <w:sz w:val="15"/>
                <w:szCs w:val="15"/>
                <w:color w:val="auto"/>
              </w:rPr>
              <w:t>23,150</w:t>
            </w:r>
          </w:p>
        </w:tc>
        <w:tc>
          <w:tcPr>
            <w:tcW w:w="1200" w:type="dxa"/>
            <w:vAlign w:val="bottom"/>
          </w:tcPr>
          <w:p>
            <w:pPr>
              <w:jc w:val="right"/>
              <w:spacing w:after="0"/>
              <w:rPr>
                <w:sz w:val="20"/>
                <w:szCs w:val="20"/>
                <w:color w:val="auto"/>
              </w:rPr>
            </w:pPr>
            <w:r>
              <w:rPr>
                <w:rFonts w:ascii="Arial" w:cs="Arial" w:eastAsia="Arial" w:hAnsi="Arial"/>
                <w:sz w:val="15"/>
                <w:szCs w:val="15"/>
                <w:color w:val="auto"/>
              </w:rPr>
              <w:t>6,647,295</w:t>
            </w:r>
          </w:p>
        </w:tc>
      </w:tr>
      <w:tr>
        <w:trPr>
          <w:trHeight w:val="33"/>
        </w:trPr>
        <w:tc>
          <w:tcPr>
            <w:tcW w:w="1920" w:type="dxa"/>
            <w:vAlign w:val="bottom"/>
            <w:tcBorders>
              <w:bottom w:val="single" w:sz="8" w:color="808080"/>
            </w:tcBorders>
          </w:tcPr>
          <w:p>
            <w:pPr>
              <w:spacing w:after="0"/>
              <w:rPr>
                <w:sz w:val="2"/>
                <w:szCs w:val="2"/>
                <w:color w:val="auto"/>
              </w:rPr>
            </w:pPr>
          </w:p>
        </w:tc>
        <w:tc>
          <w:tcPr>
            <w:tcW w:w="2180" w:type="dxa"/>
            <w:vAlign w:val="bottom"/>
            <w:tcBorders>
              <w:bottom w:val="single" w:sz="8" w:color="808080"/>
            </w:tcBorders>
          </w:tcPr>
          <w:p>
            <w:pPr>
              <w:spacing w:after="0"/>
              <w:rPr>
                <w:sz w:val="2"/>
                <w:szCs w:val="2"/>
                <w:color w:val="auto"/>
              </w:rPr>
            </w:pPr>
          </w:p>
        </w:tc>
        <w:tc>
          <w:tcPr>
            <w:tcW w:w="1480" w:type="dxa"/>
            <w:vAlign w:val="bottom"/>
            <w:tcBorders>
              <w:bottom w:val="single" w:sz="8" w:color="808080"/>
            </w:tcBorders>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1300" w:type="dxa"/>
            <w:vAlign w:val="bottom"/>
            <w:tcBorders>
              <w:bottom w:val="single" w:sz="8" w:color="808080"/>
            </w:tcBorders>
          </w:tcPr>
          <w:p>
            <w:pPr>
              <w:spacing w:after="0"/>
              <w:rPr>
                <w:sz w:val="2"/>
                <w:szCs w:val="2"/>
                <w:color w:val="auto"/>
              </w:rPr>
            </w:pPr>
          </w:p>
        </w:tc>
        <w:tc>
          <w:tcPr>
            <w:tcW w:w="1200" w:type="dxa"/>
            <w:vAlign w:val="bottom"/>
            <w:tcBorders>
              <w:bottom w:val="single" w:sz="8" w:color="808080"/>
            </w:tcBorders>
          </w:tcPr>
          <w:p>
            <w:pPr>
              <w:spacing w:after="0"/>
              <w:rPr>
                <w:sz w:val="2"/>
                <w:szCs w:val="2"/>
                <w:color w:val="auto"/>
              </w:rPr>
            </w:pPr>
          </w:p>
        </w:tc>
      </w:tr>
    </w:tbl>
    <w:p>
      <w:pPr>
        <w:spacing w:after="0" w:line="180" w:lineRule="exact"/>
        <w:rPr>
          <w:sz w:val="20"/>
          <w:szCs w:val="20"/>
          <w:color w:val="auto"/>
        </w:rPr>
      </w:pPr>
    </w:p>
    <w:p>
      <w:pPr>
        <w:ind w:left="260" w:right="80" w:hanging="252"/>
        <w:spacing w:after="0" w:line="305" w:lineRule="auto"/>
        <w:tabs>
          <w:tab w:leader="none" w:pos="263" w:val="left"/>
        </w:tabs>
        <w:numPr>
          <w:ilvl w:val="0"/>
          <w:numId w:val="142"/>
        </w:numPr>
        <w:rPr>
          <w:rFonts w:ascii="Arial" w:cs="Arial" w:eastAsia="Arial" w:hAnsi="Arial"/>
          <w:sz w:val="8"/>
          <w:szCs w:val="8"/>
          <w:color w:val="auto"/>
        </w:rPr>
      </w:pPr>
      <w:r>
        <w:rPr>
          <w:rFonts w:ascii="Arial" w:cs="Arial" w:eastAsia="Arial" w:hAnsi="Arial"/>
          <w:sz w:val="14"/>
          <w:szCs w:val="14"/>
          <w:color w:val="auto"/>
        </w:rPr>
        <w:t>Represents the estimated cash severance benefit plus the portion of the executives’ AIP award (based on actual performance) that, in each case, would be payable upon a separation not related to a change in control (described above).</w:t>
      </w:r>
    </w:p>
    <w:p>
      <w:pPr>
        <w:spacing w:after="0" w:line="9" w:lineRule="exact"/>
        <w:rPr>
          <w:rFonts w:ascii="Arial" w:cs="Arial" w:eastAsia="Arial" w:hAnsi="Arial"/>
          <w:sz w:val="8"/>
          <w:szCs w:val="8"/>
          <w:color w:val="auto"/>
        </w:rPr>
      </w:pPr>
    </w:p>
    <w:p>
      <w:pPr>
        <w:ind w:left="260" w:right="20" w:hanging="252"/>
        <w:spacing w:after="0" w:line="283" w:lineRule="auto"/>
        <w:tabs>
          <w:tab w:leader="none" w:pos="249" w:val="left"/>
        </w:tabs>
        <w:numPr>
          <w:ilvl w:val="0"/>
          <w:numId w:val="142"/>
        </w:numPr>
        <w:rPr>
          <w:rFonts w:ascii="Arial" w:cs="Arial" w:eastAsia="Arial" w:hAnsi="Arial"/>
          <w:sz w:val="8"/>
          <w:szCs w:val="8"/>
          <w:color w:val="auto"/>
        </w:rPr>
      </w:pPr>
      <w:r>
        <w:rPr>
          <w:rFonts w:ascii="Arial" w:cs="Arial" w:eastAsia="Arial" w:hAnsi="Arial"/>
          <w:sz w:val="14"/>
          <w:szCs w:val="14"/>
          <w:color w:val="auto"/>
        </w:rPr>
        <w:t>Represents the estimated retirement benefit enhancement that consists of a one-time lump sum payment based on the actuarial present value of a benefit under the non-qualified pension plan assuming that the severance pay period was taken into account for purposes of vesting, and the severance pay constituted covered compensation for purposes of the non-qualified pension plan.</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8780"/>
        <w:spacing w:after="0"/>
        <w:tabs>
          <w:tab w:leader="none" w:pos="11040" w:val="left"/>
        </w:tabs>
        <w:rPr>
          <w:sz w:val="20"/>
          <w:szCs w:val="20"/>
          <w:color w:val="auto"/>
        </w:rPr>
      </w:pPr>
      <w:r>
        <w:rPr>
          <w:rFonts w:ascii="Arial" w:cs="Arial" w:eastAsia="Arial" w:hAnsi="Arial"/>
          <w:sz w:val="14"/>
          <w:szCs w:val="14"/>
          <w:color w:val="auto"/>
        </w:rPr>
        <w:t>2025 ׀ Exelon Proxy Statement</w:t>
      </w:r>
      <w:r>
        <w:rPr>
          <w:sz w:val="20"/>
          <w:szCs w:val="20"/>
          <w:color w:val="auto"/>
        </w:rPr>
        <w:tab/>
      </w:r>
      <w:r>
        <w:rPr>
          <w:rFonts w:ascii="Arial" w:cs="Arial" w:eastAsia="Arial" w:hAnsi="Arial"/>
          <w:sz w:val="14"/>
          <w:szCs w:val="14"/>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3"/>
          <w:szCs w:val="13"/>
          <w:b w:val="1"/>
          <w:bCs w:val="1"/>
          <w:color w:val="auto"/>
        </w:rPr>
        <w:t>Compensation Discussion &amp; Analysis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60" w:right="100" w:hanging="252"/>
        <w:spacing w:after="0" w:line="305" w:lineRule="auto"/>
        <w:tabs>
          <w:tab w:leader="none" w:pos="249" w:val="left"/>
        </w:tabs>
        <w:numPr>
          <w:ilvl w:val="0"/>
          <w:numId w:val="143"/>
        </w:numPr>
        <w:rPr>
          <w:rFonts w:ascii="Arial" w:cs="Arial" w:eastAsia="Arial" w:hAnsi="Arial"/>
          <w:sz w:val="8"/>
          <w:szCs w:val="8"/>
          <w:color w:val="auto"/>
        </w:rPr>
      </w:pPr>
      <w:r>
        <w:rPr>
          <w:rFonts w:ascii="Arial" w:cs="Arial" w:eastAsia="Arial" w:hAnsi="Arial"/>
          <w:sz w:val="14"/>
          <w:szCs w:val="14"/>
          <w:color w:val="auto"/>
        </w:rPr>
        <w:t>Represents the value of the executives’ unvested PSU awards granted in 2022 (based on actual performance), and 2023 and 2024 (assuming target performance) and the unvested portion of the executives’ RSU awards that, per applicable award terms, would vest upon an involuntary separation not related to a change of control.</w:t>
      </w:r>
    </w:p>
    <w:p>
      <w:pPr>
        <w:spacing w:after="0" w:line="9" w:lineRule="exact"/>
        <w:rPr>
          <w:rFonts w:ascii="Arial" w:cs="Arial" w:eastAsia="Arial" w:hAnsi="Arial"/>
          <w:sz w:val="8"/>
          <w:szCs w:val="8"/>
          <w:color w:val="auto"/>
        </w:rPr>
      </w:pPr>
    </w:p>
    <w:p>
      <w:pPr>
        <w:ind w:left="260" w:hanging="252"/>
        <w:spacing w:after="0"/>
        <w:tabs>
          <w:tab w:leader="none" w:pos="260" w:val="left"/>
        </w:tabs>
        <w:numPr>
          <w:ilvl w:val="0"/>
          <w:numId w:val="143"/>
        </w:numPr>
        <w:rPr>
          <w:rFonts w:ascii="Arial" w:cs="Arial" w:eastAsia="Arial" w:hAnsi="Arial"/>
          <w:sz w:val="8"/>
          <w:szCs w:val="8"/>
          <w:color w:val="auto"/>
        </w:rPr>
      </w:pPr>
      <w:r>
        <w:rPr>
          <w:rFonts w:ascii="Arial" w:cs="Arial" w:eastAsia="Arial" w:hAnsi="Arial"/>
          <w:sz w:val="14"/>
          <w:szCs w:val="14"/>
          <w:color w:val="auto"/>
        </w:rPr>
        <w:t>Represents estimated costs of dental insurance and long-term disability coverage which continue during the severance period.</w:t>
      </w:r>
    </w:p>
    <w:p>
      <w:pPr>
        <w:spacing w:after="0" w:line="82" w:lineRule="exact"/>
        <w:rPr>
          <w:rFonts w:ascii="Arial" w:cs="Arial" w:eastAsia="Arial" w:hAnsi="Arial"/>
          <w:sz w:val="8"/>
          <w:szCs w:val="8"/>
          <w:color w:val="auto"/>
        </w:rPr>
      </w:pPr>
    </w:p>
    <w:p>
      <w:pPr>
        <w:ind w:left="260" w:hanging="252"/>
        <w:spacing w:after="0"/>
        <w:tabs>
          <w:tab w:leader="none" w:pos="260" w:val="left"/>
        </w:tabs>
        <w:numPr>
          <w:ilvl w:val="0"/>
          <w:numId w:val="143"/>
        </w:numPr>
        <w:rPr>
          <w:rFonts w:ascii="Arial" w:cs="Arial" w:eastAsia="Arial" w:hAnsi="Arial"/>
          <w:sz w:val="8"/>
          <w:szCs w:val="8"/>
          <w:color w:val="auto"/>
        </w:rPr>
      </w:pPr>
      <w:r>
        <w:rPr>
          <w:rFonts w:ascii="Arial" w:cs="Arial" w:eastAsia="Arial" w:hAnsi="Arial"/>
          <w:sz w:val="14"/>
          <w:szCs w:val="14"/>
          <w:color w:val="auto"/>
        </w:rPr>
        <w:t>Represents estimated costs of outplacement and financial planning services for 12 months.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Involuntary Termination Without Cause or Resignation for Good Reason in Connection With a Change in Control</w:t>
      </w:r>
    </w:p>
    <w:p>
      <w:pPr>
        <w:spacing w:after="0" w:line="122"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Pursuant to the SMSP, NEOs are eligible for certain benefits upon certain involuntary terminations by the Company or a resignation for “good reason” in connection with a change in control of Exelon. If an executive resigns for good reason or his or her employment is terminated by Exelon other than for cause or disability, during the period commencing 90 days before a change of control or during the 24-month period following a change in control, the executive is entitled to the benefits outlined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349"/>
        </w:trPr>
        <w:tc>
          <w:tcPr>
            <w:tcW w:w="1740" w:type="dxa"/>
            <w:vAlign w:val="bottom"/>
            <w:tcBorders>
              <w:top w:val="single" w:sz="8" w:color="170D67"/>
            </w:tcBorders>
            <w:vMerge w:val="restart"/>
            <w:shd w:val="clear" w:color="auto" w:fill="E8E7EA"/>
          </w:tcPr>
          <w:p>
            <w:pPr>
              <w:ind w:left="20"/>
              <w:spacing w:after="0"/>
              <w:rPr>
                <w:sz w:val="20"/>
                <w:szCs w:val="20"/>
                <w:color w:val="auto"/>
              </w:rPr>
            </w:pPr>
            <w:r>
              <w:rPr>
                <w:rFonts w:ascii="Arial" w:cs="Arial" w:eastAsia="Arial" w:hAnsi="Arial"/>
                <w:sz w:val="15"/>
                <w:szCs w:val="15"/>
                <w:b w:val="1"/>
                <w:bCs w:val="1"/>
                <w:color w:val="170D67"/>
              </w:rPr>
              <w:t>Severance Pay</w:t>
            </w:r>
          </w:p>
        </w:tc>
        <w:tc>
          <w:tcPr>
            <w:tcW w:w="9480" w:type="dxa"/>
            <w:vAlign w:val="bottom"/>
            <w:tcBorders>
              <w:top w:val="single" w:sz="8" w:color="170D67"/>
            </w:tcBorders>
          </w:tcPr>
          <w:p>
            <w:pPr>
              <w:ind w:left="20"/>
              <w:spacing w:after="0"/>
              <w:rPr>
                <w:sz w:val="20"/>
                <w:szCs w:val="20"/>
                <w:color w:val="auto"/>
              </w:rPr>
            </w:pPr>
            <w:r>
              <w:rPr>
                <w:rFonts w:ascii="Arial" w:cs="Arial" w:eastAsia="Arial" w:hAnsi="Arial"/>
                <w:sz w:val="16"/>
                <w:szCs w:val="16"/>
                <w:color w:val="auto"/>
              </w:rPr>
              <w:t>Continued payment of base salary and target annual incentive for 2.99 years after termination of employment paid in regular payroll</w:t>
            </w:r>
          </w:p>
        </w:tc>
        <w:tc>
          <w:tcPr>
            <w:tcW w:w="0" w:type="dxa"/>
            <w:vAlign w:val="bottom"/>
          </w:tcPr>
          <w:p>
            <w:pPr>
              <w:spacing w:after="0"/>
              <w:rPr>
                <w:sz w:val="1"/>
                <w:szCs w:val="1"/>
                <w:color w:val="auto"/>
              </w:rPr>
            </w:pPr>
          </w:p>
        </w:tc>
      </w:tr>
      <w:tr>
        <w:trPr>
          <w:trHeight w:val="112"/>
        </w:trPr>
        <w:tc>
          <w:tcPr>
            <w:tcW w:w="1740" w:type="dxa"/>
            <w:vAlign w:val="bottom"/>
            <w:vMerge w:val="continue"/>
            <w:shd w:val="clear" w:color="auto" w:fill="E8E7EA"/>
          </w:tcPr>
          <w:p>
            <w:pPr>
              <w:spacing w:after="0"/>
              <w:rPr>
                <w:sz w:val="9"/>
                <w:szCs w:val="9"/>
                <w:color w:val="auto"/>
              </w:rPr>
            </w:pPr>
          </w:p>
        </w:tc>
        <w:tc>
          <w:tcPr>
            <w:tcW w:w="9480" w:type="dxa"/>
            <w:vAlign w:val="bottom"/>
            <w:vMerge w:val="restart"/>
          </w:tcPr>
          <w:p>
            <w:pPr>
              <w:ind w:left="20"/>
              <w:spacing w:after="0"/>
              <w:rPr>
                <w:sz w:val="20"/>
                <w:szCs w:val="20"/>
                <w:color w:val="auto"/>
              </w:rPr>
            </w:pPr>
            <w:r>
              <w:rPr>
                <w:rFonts w:ascii="Arial" w:cs="Arial" w:eastAsia="Arial" w:hAnsi="Arial"/>
                <w:sz w:val="16"/>
                <w:szCs w:val="16"/>
                <w:color w:val="auto"/>
              </w:rPr>
              <w:t>installments</w:t>
            </w:r>
          </w:p>
        </w:tc>
        <w:tc>
          <w:tcPr>
            <w:tcW w:w="0" w:type="dxa"/>
            <w:vAlign w:val="bottom"/>
          </w:tcPr>
          <w:p>
            <w:pPr>
              <w:spacing w:after="0"/>
              <w:rPr>
                <w:sz w:val="1"/>
                <w:szCs w:val="1"/>
                <w:color w:val="auto"/>
              </w:rPr>
            </w:pPr>
          </w:p>
        </w:tc>
      </w:tr>
      <w:tr>
        <w:trPr>
          <w:trHeight w:val="104"/>
        </w:trPr>
        <w:tc>
          <w:tcPr>
            <w:tcW w:w="1740" w:type="dxa"/>
            <w:vAlign w:val="bottom"/>
            <w:shd w:val="clear" w:color="auto" w:fill="E8E7EA"/>
          </w:tcPr>
          <w:p>
            <w:pPr>
              <w:spacing w:after="0"/>
              <w:rPr>
                <w:sz w:val="9"/>
                <w:szCs w:val="9"/>
                <w:color w:val="auto"/>
              </w:rPr>
            </w:pPr>
          </w:p>
        </w:tc>
        <w:tc>
          <w:tcPr>
            <w:tcW w:w="9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740" w:type="dxa"/>
            <w:vAlign w:val="bottom"/>
            <w:tcBorders>
              <w:bottom w:val="single" w:sz="8" w:color="170D67"/>
            </w:tcBorders>
            <w:shd w:val="clear" w:color="auto" w:fill="E8E7EA"/>
          </w:tcPr>
          <w:p>
            <w:pPr>
              <w:spacing w:after="0"/>
              <w:rPr>
                <w:sz w:val="11"/>
                <w:szCs w:val="11"/>
                <w:color w:val="auto"/>
              </w:rPr>
            </w:pPr>
          </w:p>
        </w:tc>
        <w:tc>
          <w:tcPr>
            <w:tcW w:w="9480" w:type="dxa"/>
            <w:vAlign w:val="bottom"/>
            <w:tcBorders>
              <w:bottom w:val="single" w:sz="8" w:color="170D67"/>
            </w:tcBorders>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1740" w:type="dxa"/>
            <w:vAlign w:val="bottom"/>
            <w:tcBorders>
              <w:bottom w:val="single" w:sz="8" w:color="E8E7EA"/>
            </w:tcBorders>
            <w:shd w:val="clear" w:color="auto" w:fill="E8E7EA"/>
          </w:tcPr>
          <w:p>
            <w:pPr>
              <w:ind w:left="20"/>
              <w:spacing w:after="0"/>
              <w:rPr>
                <w:sz w:val="20"/>
                <w:szCs w:val="20"/>
                <w:color w:val="auto"/>
              </w:rPr>
            </w:pPr>
            <w:r>
              <w:rPr>
                <w:rFonts w:ascii="Arial" w:cs="Arial" w:eastAsia="Arial" w:hAnsi="Arial"/>
                <w:sz w:val="15"/>
                <w:szCs w:val="15"/>
                <w:b w:val="1"/>
                <w:bCs w:val="1"/>
                <w:color w:val="170D67"/>
              </w:rPr>
              <w:t>Annual Incentive</w:t>
            </w:r>
          </w:p>
        </w:tc>
        <w:tc>
          <w:tcPr>
            <w:tcW w:w="9480" w:type="dxa"/>
            <w:vAlign w:val="bottom"/>
          </w:tcPr>
          <w:p>
            <w:pPr>
              <w:ind w:left="20"/>
              <w:spacing w:after="0"/>
              <w:rPr>
                <w:sz w:val="20"/>
                <w:szCs w:val="20"/>
                <w:color w:val="auto"/>
              </w:rPr>
            </w:pPr>
            <w:r>
              <w:rPr>
                <w:rFonts w:ascii="Arial" w:cs="Arial" w:eastAsia="Arial" w:hAnsi="Arial"/>
                <w:sz w:val="16"/>
                <w:szCs w:val="16"/>
                <w:color w:val="auto"/>
              </w:rPr>
              <w:t>A pro-rated award for the year in which termination of employment occurs. Awards are payable when paid to active executives.</w:t>
            </w:r>
          </w:p>
        </w:tc>
        <w:tc>
          <w:tcPr>
            <w:tcW w:w="0" w:type="dxa"/>
            <w:vAlign w:val="bottom"/>
          </w:tcPr>
          <w:p>
            <w:pPr>
              <w:spacing w:after="0"/>
              <w:rPr>
                <w:sz w:val="1"/>
                <w:szCs w:val="1"/>
                <w:color w:val="auto"/>
              </w:rPr>
            </w:pPr>
          </w:p>
        </w:tc>
      </w:tr>
      <w:tr>
        <w:trPr>
          <w:trHeight w:val="221"/>
        </w:trPr>
        <w:tc>
          <w:tcPr>
            <w:tcW w:w="1740" w:type="dxa"/>
            <w:vAlign w:val="bottom"/>
            <w:tcBorders>
              <w:top w:val="single" w:sz="8" w:color="170D67"/>
            </w:tcBorders>
            <w:vMerge w:val="restart"/>
            <w:shd w:val="clear" w:color="auto" w:fill="E8E7EA"/>
          </w:tcPr>
          <w:p>
            <w:pPr>
              <w:ind w:left="20"/>
              <w:spacing w:after="0"/>
              <w:rPr>
                <w:sz w:val="20"/>
                <w:szCs w:val="20"/>
                <w:color w:val="auto"/>
              </w:rPr>
            </w:pPr>
            <w:r>
              <w:rPr>
                <w:rFonts w:ascii="Arial" w:cs="Arial" w:eastAsia="Arial" w:hAnsi="Arial"/>
                <w:sz w:val="15"/>
                <w:szCs w:val="15"/>
                <w:b w:val="1"/>
                <w:bCs w:val="1"/>
                <w:color w:val="170D67"/>
              </w:rPr>
              <w:t>SMRP Benefits</w:t>
            </w:r>
          </w:p>
        </w:tc>
        <w:tc>
          <w:tcPr>
            <w:tcW w:w="9480" w:type="dxa"/>
            <w:vAlign w:val="bottom"/>
            <w:tcBorders>
              <w:top w:val="single" w:sz="8" w:color="170D67"/>
            </w:tcBorders>
          </w:tcPr>
          <w:p>
            <w:pPr>
              <w:ind w:left="20"/>
              <w:spacing w:after="0"/>
              <w:rPr>
                <w:sz w:val="20"/>
                <w:szCs w:val="20"/>
                <w:color w:val="auto"/>
              </w:rPr>
            </w:pPr>
            <w:r>
              <w:rPr>
                <w:rFonts w:ascii="Arial" w:cs="Arial" w:eastAsia="Arial" w:hAnsi="Arial"/>
                <w:sz w:val="16"/>
                <w:szCs w:val="16"/>
                <w:color w:val="auto"/>
              </w:rPr>
              <w:t>If eligible for the SMRP benefit, service and vesting credit under the SMRP is determined as if the severance period (not to exceed</w:t>
            </w:r>
          </w:p>
        </w:tc>
        <w:tc>
          <w:tcPr>
            <w:tcW w:w="0" w:type="dxa"/>
            <w:vAlign w:val="bottom"/>
          </w:tcPr>
          <w:p>
            <w:pPr>
              <w:spacing w:after="0"/>
              <w:rPr>
                <w:sz w:val="1"/>
                <w:szCs w:val="1"/>
                <w:color w:val="auto"/>
              </w:rPr>
            </w:pPr>
          </w:p>
        </w:tc>
      </w:tr>
      <w:tr>
        <w:trPr>
          <w:trHeight w:val="112"/>
        </w:trPr>
        <w:tc>
          <w:tcPr>
            <w:tcW w:w="1740" w:type="dxa"/>
            <w:vAlign w:val="bottom"/>
            <w:vMerge w:val="continue"/>
            <w:shd w:val="clear" w:color="auto" w:fill="E8E7EA"/>
          </w:tcPr>
          <w:p>
            <w:pPr>
              <w:spacing w:after="0"/>
              <w:rPr>
                <w:sz w:val="9"/>
                <w:szCs w:val="9"/>
                <w:color w:val="auto"/>
              </w:rPr>
            </w:pPr>
          </w:p>
        </w:tc>
        <w:tc>
          <w:tcPr>
            <w:tcW w:w="9480" w:type="dxa"/>
            <w:vAlign w:val="bottom"/>
            <w:vMerge w:val="restart"/>
          </w:tcPr>
          <w:p>
            <w:pPr>
              <w:ind w:left="20"/>
              <w:spacing w:after="0"/>
              <w:rPr>
                <w:sz w:val="20"/>
                <w:szCs w:val="20"/>
                <w:color w:val="auto"/>
              </w:rPr>
            </w:pPr>
            <w:r>
              <w:rPr>
                <w:rFonts w:ascii="Arial" w:cs="Arial" w:eastAsia="Arial" w:hAnsi="Arial"/>
                <w:sz w:val="16"/>
                <w:szCs w:val="16"/>
                <w:color w:val="auto"/>
              </w:rPr>
              <w:t>24 months) constituted service and inclusion of the severance pay as covered compensation.</w:t>
            </w:r>
          </w:p>
        </w:tc>
        <w:tc>
          <w:tcPr>
            <w:tcW w:w="0" w:type="dxa"/>
            <w:vAlign w:val="bottom"/>
          </w:tcPr>
          <w:p>
            <w:pPr>
              <w:spacing w:after="0"/>
              <w:rPr>
                <w:sz w:val="1"/>
                <w:szCs w:val="1"/>
                <w:color w:val="auto"/>
              </w:rPr>
            </w:pPr>
          </w:p>
        </w:tc>
      </w:tr>
      <w:tr>
        <w:trPr>
          <w:trHeight w:val="133"/>
        </w:trPr>
        <w:tc>
          <w:tcPr>
            <w:tcW w:w="1740" w:type="dxa"/>
            <w:vAlign w:val="bottom"/>
            <w:tcBorders>
              <w:bottom w:val="single" w:sz="8" w:color="E8E7EA"/>
            </w:tcBorders>
            <w:shd w:val="clear" w:color="auto" w:fill="E8E7EA"/>
          </w:tcPr>
          <w:p>
            <w:pPr>
              <w:spacing w:after="0"/>
              <w:rPr>
                <w:sz w:val="11"/>
                <w:szCs w:val="11"/>
                <w:color w:val="auto"/>
              </w:rPr>
            </w:pPr>
          </w:p>
        </w:tc>
        <w:tc>
          <w:tcPr>
            <w:tcW w:w="9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1740" w:type="dxa"/>
            <w:vAlign w:val="bottom"/>
            <w:tcBorders>
              <w:top w:val="single" w:sz="8" w:color="170D67"/>
            </w:tcBorders>
            <w:vMerge w:val="restart"/>
            <w:shd w:val="clear" w:color="auto" w:fill="E8E7EA"/>
          </w:tcPr>
          <w:p>
            <w:pPr>
              <w:ind w:left="20"/>
              <w:spacing w:after="0"/>
              <w:rPr>
                <w:sz w:val="20"/>
                <w:szCs w:val="20"/>
                <w:color w:val="auto"/>
              </w:rPr>
            </w:pPr>
            <w:r>
              <w:rPr>
                <w:rFonts w:ascii="Arial" w:cs="Arial" w:eastAsia="Arial" w:hAnsi="Arial"/>
                <w:sz w:val="15"/>
                <w:szCs w:val="15"/>
                <w:b w:val="1"/>
                <w:bCs w:val="1"/>
                <w:color w:val="170D67"/>
              </w:rPr>
              <w:t>Insurance, Health, and</w:t>
            </w:r>
          </w:p>
        </w:tc>
        <w:tc>
          <w:tcPr>
            <w:tcW w:w="9480" w:type="dxa"/>
            <w:vAlign w:val="bottom"/>
            <w:tcBorders>
              <w:top w:val="single" w:sz="8" w:color="170D67"/>
            </w:tcBorders>
          </w:tcPr>
          <w:p>
            <w:pPr>
              <w:ind w:left="20"/>
              <w:spacing w:after="0"/>
              <w:rPr>
                <w:sz w:val="20"/>
                <w:szCs w:val="20"/>
                <w:color w:val="auto"/>
              </w:rPr>
            </w:pPr>
            <w:r>
              <w:rPr>
                <w:rFonts w:ascii="Arial" w:cs="Arial" w:eastAsia="Arial" w:hAnsi="Arial"/>
                <w:sz w:val="16"/>
                <w:szCs w:val="16"/>
                <w:color w:val="auto"/>
              </w:rPr>
              <w:t>Health and other welfare benefit coverage continues during the severance pay period on the same terms and conditions applicable</w:t>
            </w:r>
          </w:p>
        </w:tc>
        <w:tc>
          <w:tcPr>
            <w:tcW w:w="0" w:type="dxa"/>
            <w:vAlign w:val="bottom"/>
          </w:tcPr>
          <w:p>
            <w:pPr>
              <w:spacing w:after="0"/>
              <w:rPr>
                <w:sz w:val="1"/>
                <w:szCs w:val="1"/>
                <w:color w:val="auto"/>
              </w:rPr>
            </w:pPr>
          </w:p>
        </w:tc>
      </w:tr>
      <w:tr>
        <w:trPr>
          <w:trHeight w:val="163"/>
        </w:trPr>
        <w:tc>
          <w:tcPr>
            <w:tcW w:w="1740" w:type="dxa"/>
            <w:vAlign w:val="bottom"/>
            <w:vMerge w:val="continue"/>
            <w:shd w:val="clear" w:color="auto" w:fill="E8E7EA"/>
          </w:tcPr>
          <w:p>
            <w:pPr>
              <w:spacing w:after="0"/>
              <w:rPr>
                <w:sz w:val="14"/>
                <w:szCs w:val="14"/>
                <w:color w:val="auto"/>
              </w:rPr>
            </w:pPr>
          </w:p>
        </w:tc>
        <w:tc>
          <w:tcPr>
            <w:tcW w:w="9480" w:type="dxa"/>
            <w:vAlign w:val="bottom"/>
          </w:tcPr>
          <w:p>
            <w:pPr>
              <w:ind w:left="20"/>
              <w:spacing w:after="0" w:line="163" w:lineRule="exact"/>
              <w:rPr>
                <w:sz w:val="20"/>
                <w:szCs w:val="20"/>
                <w:color w:val="auto"/>
              </w:rPr>
            </w:pPr>
            <w:r>
              <w:rPr>
                <w:rFonts w:ascii="Arial" w:cs="Arial" w:eastAsia="Arial" w:hAnsi="Arial"/>
                <w:sz w:val="16"/>
                <w:szCs w:val="16"/>
                <w:color w:val="auto"/>
              </w:rPr>
              <w:t>to active employees. For executives, the Company subsidizes medical and dental coverage and pays for life and long-term disability</w:t>
            </w:r>
          </w:p>
        </w:tc>
        <w:tc>
          <w:tcPr>
            <w:tcW w:w="0" w:type="dxa"/>
            <w:vAlign w:val="bottom"/>
          </w:tcPr>
          <w:p>
            <w:pPr>
              <w:spacing w:after="0"/>
              <w:rPr>
                <w:sz w:val="1"/>
                <w:szCs w:val="1"/>
                <w:color w:val="auto"/>
              </w:rPr>
            </w:pPr>
          </w:p>
        </w:tc>
      </w:tr>
      <w:tr>
        <w:trPr>
          <w:trHeight w:val="210"/>
        </w:trPr>
        <w:tc>
          <w:tcPr>
            <w:tcW w:w="1740" w:type="dxa"/>
            <w:vAlign w:val="bottom"/>
            <w:shd w:val="clear" w:color="auto" w:fill="E8E7EA"/>
          </w:tcPr>
          <w:p>
            <w:pPr>
              <w:ind w:left="20"/>
              <w:spacing w:after="0"/>
              <w:rPr>
                <w:sz w:val="20"/>
                <w:szCs w:val="20"/>
                <w:color w:val="auto"/>
              </w:rPr>
            </w:pPr>
            <w:r>
              <w:rPr>
                <w:rFonts w:ascii="Arial" w:cs="Arial" w:eastAsia="Arial" w:hAnsi="Arial"/>
                <w:sz w:val="15"/>
                <w:szCs w:val="15"/>
                <w:b w:val="1"/>
                <w:bCs w:val="1"/>
                <w:color w:val="170D67"/>
              </w:rPr>
              <w:t>Welfare Benefits</w:t>
            </w:r>
          </w:p>
        </w:tc>
        <w:tc>
          <w:tcPr>
            <w:tcW w:w="9480" w:type="dxa"/>
            <w:vAlign w:val="bottom"/>
            <w:vMerge w:val="restart"/>
          </w:tcPr>
          <w:p>
            <w:pPr>
              <w:ind w:left="20"/>
              <w:spacing w:after="0"/>
              <w:rPr>
                <w:sz w:val="20"/>
                <w:szCs w:val="20"/>
                <w:color w:val="auto"/>
              </w:rPr>
            </w:pPr>
            <w:r>
              <w:rPr>
                <w:rFonts w:ascii="Arial" w:cs="Arial" w:eastAsia="Arial" w:hAnsi="Arial"/>
                <w:sz w:val="16"/>
                <w:szCs w:val="16"/>
                <w:color w:val="auto"/>
              </w:rPr>
              <w:t>coverage for the severance period.</w:t>
            </w:r>
          </w:p>
        </w:tc>
        <w:tc>
          <w:tcPr>
            <w:tcW w:w="0" w:type="dxa"/>
            <w:vAlign w:val="bottom"/>
          </w:tcPr>
          <w:p>
            <w:pPr>
              <w:spacing w:after="0"/>
              <w:rPr>
                <w:sz w:val="1"/>
                <w:szCs w:val="1"/>
                <w:color w:val="auto"/>
              </w:rPr>
            </w:pPr>
          </w:p>
        </w:tc>
      </w:tr>
      <w:tr>
        <w:trPr>
          <w:trHeight w:val="58"/>
        </w:trPr>
        <w:tc>
          <w:tcPr>
            <w:tcW w:w="1740" w:type="dxa"/>
            <w:vAlign w:val="bottom"/>
            <w:shd w:val="clear" w:color="auto" w:fill="E8E7EA"/>
          </w:tcPr>
          <w:p>
            <w:pPr>
              <w:spacing w:after="0"/>
              <w:rPr>
                <w:sz w:val="5"/>
                <w:szCs w:val="5"/>
                <w:color w:val="auto"/>
              </w:rPr>
            </w:pPr>
          </w:p>
        </w:tc>
        <w:tc>
          <w:tcPr>
            <w:tcW w:w="9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740" w:type="dxa"/>
            <w:vAlign w:val="bottom"/>
            <w:tcBorders>
              <w:bottom w:val="single" w:sz="8" w:color="170D67"/>
            </w:tcBorders>
            <w:shd w:val="clear" w:color="auto" w:fill="E8E7EA"/>
          </w:tcPr>
          <w:p>
            <w:pPr>
              <w:spacing w:after="0"/>
              <w:rPr>
                <w:sz w:val="11"/>
                <w:szCs w:val="11"/>
                <w:color w:val="auto"/>
              </w:rPr>
            </w:pPr>
          </w:p>
        </w:tc>
        <w:tc>
          <w:tcPr>
            <w:tcW w:w="9480" w:type="dxa"/>
            <w:vAlign w:val="bottom"/>
            <w:tcBorders>
              <w:bottom w:val="single" w:sz="8" w:color="170D67"/>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1740" w:type="dxa"/>
            <w:vAlign w:val="bottom"/>
            <w:shd w:val="clear" w:color="auto" w:fill="E8E7EA"/>
          </w:tcPr>
          <w:p>
            <w:pPr>
              <w:spacing w:after="0"/>
              <w:rPr>
                <w:sz w:val="24"/>
                <w:szCs w:val="24"/>
                <w:color w:val="auto"/>
              </w:rPr>
            </w:pPr>
          </w:p>
        </w:tc>
        <w:tc>
          <w:tcPr>
            <w:tcW w:w="9480" w:type="dxa"/>
            <w:vAlign w:val="bottom"/>
          </w:tcPr>
          <w:p>
            <w:pPr>
              <w:ind w:left="20"/>
              <w:spacing w:after="0"/>
              <w:rPr>
                <w:sz w:val="20"/>
                <w:szCs w:val="20"/>
                <w:color w:val="auto"/>
              </w:rPr>
            </w:pPr>
            <w:r>
              <w:rPr>
                <w:rFonts w:ascii="Arial" w:cs="Arial" w:eastAsia="Arial" w:hAnsi="Arial"/>
                <w:sz w:val="16"/>
                <w:szCs w:val="16"/>
                <w:color w:val="auto"/>
              </w:rPr>
              <w:t>Generally, unvested RSU awards vest and unvested performance share awards vest based on actual or deemed performance and</w:t>
            </w:r>
          </w:p>
        </w:tc>
        <w:tc>
          <w:tcPr>
            <w:tcW w:w="0" w:type="dxa"/>
            <w:vAlign w:val="bottom"/>
          </w:tcPr>
          <w:p>
            <w:pPr>
              <w:spacing w:after="0"/>
              <w:rPr>
                <w:sz w:val="1"/>
                <w:szCs w:val="1"/>
                <w:color w:val="auto"/>
              </w:rPr>
            </w:pPr>
          </w:p>
        </w:tc>
      </w:tr>
      <w:tr>
        <w:trPr>
          <w:trHeight w:val="216"/>
        </w:trPr>
        <w:tc>
          <w:tcPr>
            <w:tcW w:w="1740" w:type="dxa"/>
            <w:vAlign w:val="bottom"/>
            <w:shd w:val="clear" w:color="auto" w:fill="E8E7EA"/>
          </w:tcPr>
          <w:p>
            <w:pPr>
              <w:ind w:left="20"/>
              <w:spacing w:after="0"/>
              <w:rPr>
                <w:sz w:val="20"/>
                <w:szCs w:val="20"/>
                <w:color w:val="auto"/>
              </w:rPr>
            </w:pPr>
            <w:r>
              <w:rPr>
                <w:rFonts w:ascii="Arial" w:cs="Arial" w:eastAsia="Arial" w:hAnsi="Arial"/>
                <w:sz w:val="15"/>
                <w:szCs w:val="15"/>
                <w:b w:val="1"/>
                <w:bCs w:val="1"/>
                <w:color w:val="170D67"/>
              </w:rPr>
              <w:t>Equity Awards</w:t>
            </w:r>
          </w:p>
        </w:tc>
        <w:tc>
          <w:tcPr>
            <w:tcW w:w="9480" w:type="dxa"/>
            <w:vAlign w:val="bottom"/>
          </w:tcPr>
          <w:p>
            <w:pPr>
              <w:ind w:left="20"/>
              <w:spacing w:after="0"/>
              <w:rPr>
                <w:sz w:val="20"/>
                <w:szCs w:val="20"/>
                <w:color w:val="auto"/>
              </w:rPr>
            </w:pPr>
            <w:r>
              <w:rPr>
                <w:rFonts w:ascii="Arial" w:cs="Arial" w:eastAsia="Arial" w:hAnsi="Arial"/>
                <w:sz w:val="16"/>
                <w:szCs w:val="16"/>
                <w:color w:val="auto"/>
              </w:rPr>
              <w:t>are payable upon termination, subject to the executive’s execution of a waiver and release of claims, unless otherwise modified or</w:t>
            </w:r>
          </w:p>
        </w:tc>
        <w:tc>
          <w:tcPr>
            <w:tcW w:w="0" w:type="dxa"/>
            <w:vAlign w:val="bottom"/>
          </w:tcPr>
          <w:p>
            <w:pPr>
              <w:spacing w:after="0"/>
              <w:rPr>
                <w:sz w:val="1"/>
                <w:szCs w:val="1"/>
                <w:color w:val="auto"/>
              </w:rPr>
            </w:pPr>
          </w:p>
        </w:tc>
      </w:tr>
      <w:tr>
        <w:trPr>
          <w:trHeight w:val="215"/>
        </w:trPr>
        <w:tc>
          <w:tcPr>
            <w:tcW w:w="1740" w:type="dxa"/>
            <w:vAlign w:val="bottom"/>
            <w:shd w:val="clear" w:color="auto" w:fill="E8E7EA"/>
          </w:tcPr>
          <w:p>
            <w:pPr>
              <w:spacing w:after="0"/>
              <w:rPr>
                <w:sz w:val="18"/>
                <w:szCs w:val="18"/>
                <w:color w:val="auto"/>
              </w:rPr>
            </w:pPr>
          </w:p>
        </w:tc>
        <w:tc>
          <w:tcPr>
            <w:tcW w:w="9480" w:type="dxa"/>
            <w:vAlign w:val="bottom"/>
          </w:tcPr>
          <w:p>
            <w:pPr>
              <w:ind w:left="20"/>
              <w:spacing w:after="0"/>
              <w:rPr>
                <w:sz w:val="20"/>
                <w:szCs w:val="20"/>
                <w:color w:val="auto"/>
              </w:rPr>
            </w:pPr>
            <w:r>
              <w:rPr>
                <w:rFonts w:ascii="Arial" w:cs="Arial" w:eastAsia="Arial" w:hAnsi="Arial"/>
                <w:sz w:val="16"/>
                <w:szCs w:val="16"/>
                <w:color w:val="auto"/>
              </w:rPr>
              <w:t>cancelled pursuant to the terms of the LTIP.</w:t>
            </w:r>
          </w:p>
        </w:tc>
        <w:tc>
          <w:tcPr>
            <w:tcW w:w="0" w:type="dxa"/>
            <w:vAlign w:val="bottom"/>
          </w:tcPr>
          <w:p>
            <w:pPr>
              <w:spacing w:after="0"/>
              <w:rPr>
                <w:sz w:val="1"/>
                <w:szCs w:val="1"/>
                <w:color w:val="auto"/>
              </w:rPr>
            </w:pPr>
          </w:p>
        </w:tc>
      </w:tr>
      <w:tr>
        <w:trPr>
          <w:trHeight w:val="137"/>
        </w:trPr>
        <w:tc>
          <w:tcPr>
            <w:tcW w:w="1740" w:type="dxa"/>
            <w:vAlign w:val="bottom"/>
            <w:tcBorders>
              <w:bottom w:val="single" w:sz="8" w:color="170D67"/>
            </w:tcBorders>
            <w:shd w:val="clear" w:color="auto" w:fill="E8E7EA"/>
          </w:tcPr>
          <w:p>
            <w:pPr>
              <w:spacing w:after="0"/>
              <w:rPr>
                <w:sz w:val="11"/>
                <w:szCs w:val="11"/>
                <w:color w:val="auto"/>
              </w:rPr>
            </w:pPr>
          </w:p>
        </w:tc>
        <w:tc>
          <w:tcPr>
            <w:tcW w:w="9480" w:type="dxa"/>
            <w:vAlign w:val="bottom"/>
            <w:tcBorders>
              <w:bottom w:val="single" w:sz="8" w:color="170D67"/>
            </w:tcBorders>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1740" w:type="dxa"/>
            <w:vAlign w:val="bottom"/>
            <w:shd w:val="clear" w:color="auto" w:fill="E8E7EA"/>
          </w:tcPr>
          <w:p>
            <w:pPr>
              <w:ind w:left="20"/>
              <w:spacing w:after="0"/>
              <w:rPr>
                <w:sz w:val="20"/>
                <w:szCs w:val="20"/>
                <w:color w:val="auto"/>
              </w:rPr>
            </w:pPr>
            <w:r>
              <w:rPr>
                <w:rFonts w:ascii="Arial" w:cs="Arial" w:eastAsia="Arial" w:hAnsi="Arial"/>
                <w:sz w:val="16"/>
                <w:szCs w:val="16"/>
                <w:b w:val="1"/>
                <w:bCs w:val="1"/>
                <w:color w:val="170D67"/>
              </w:rPr>
              <w:t>Outplacement and</w:t>
            </w:r>
          </w:p>
        </w:tc>
        <w:tc>
          <w:tcPr>
            <w:tcW w:w="9480" w:type="dxa"/>
            <w:vAlign w:val="bottom"/>
            <w:vMerge w:val="restart"/>
          </w:tcPr>
          <w:p>
            <w:pPr>
              <w:ind w:left="20"/>
              <w:spacing w:after="0"/>
              <w:rPr>
                <w:sz w:val="20"/>
                <w:szCs w:val="20"/>
                <w:color w:val="auto"/>
              </w:rPr>
            </w:pPr>
            <w:r>
              <w:rPr>
                <w:rFonts w:ascii="Arial" w:cs="Arial" w:eastAsia="Arial" w:hAnsi="Arial"/>
                <w:sz w:val="16"/>
                <w:szCs w:val="16"/>
                <w:color w:val="auto"/>
              </w:rPr>
              <w:t>Outplacement and financial planning services for a period of 12 months.</w:t>
            </w:r>
          </w:p>
        </w:tc>
        <w:tc>
          <w:tcPr>
            <w:tcW w:w="0" w:type="dxa"/>
            <w:vAlign w:val="bottom"/>
          </w:tcPr>
          <w:p>
            <w:pPr>
              <w:spacing w:after="0"/>
              <w:rPr>
                <w:sz w:val="1"/>
                <w:szCs w:val="1"/>
                <w:color w:val="auto"/>
              </w:rPr>
            </w:pPr>
          </w:p>
        </w:tc>
      </w:tr>
      <w:tr>
        <w:trPr>
          <w:trHeight w:val="93"/>
        </w:trPr>
        <w:tc>
          <w:tcPr>
            <w:tcW w:w="1740" w:type="dxa"/>
            <w:vAlign w:val="bottom"/>
            <w:vMerge w:val="restart"/>
            <w:shd w:val="clear" w:color="auto" w:fill="E8E7EA"/>
          </w:tcPr>
          <w:p>
            <w:pPr>
              <w:ind w:left="20"/>
              <w:spacing w:after="0"/>
              <w:rPr>
                <w:sz w:val="20"/>
                <w:szCs w:val="20"/>
                <w:color w:val="auto"/>
              </w:rPr>
            </w:pPr>
            <w:r>
              <w:rPr>
                <w:rFonts w:ascii="Arial" w:cs="Arial" w:eastAsia="Arial" w:hAnsi="Arial"/>
                <w:sz w:val="16"/>
                <w:szCs w:val="16"/>
                <w:b w:val="1"/>
                <w:bCs w:val="1"/>
                <w:color w:val="170D67"/>
              </w:rPr>
              <w:t>Financial Planning</w:t>
            </w:r>
          </w:p>
        </w:tc>
        <w:tc>
          <w:tcPr>
            <w:tcW w:w="9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740" w:type="dxa"/>
            <w:vAlign w:val="bottom"/>
            <w:tcBorders>
              <w:bottom w:val="single" w:sz="8" w:color="E8E7EA"/>
            </w:tcBorders>
            <w:vMerge w:val="continue"/>
            <w:shd w:val="clear" w:color="auto" w:fill="E8E7EA"/>
          </w:tcPr>
          <w:p>
            <w:pPr>
              <w:spacing w:after="0"/>
              <w:rPr>
                <w:sz w:val="11"/>
                <w:szCs w:val="11"/>
                <w:color w:val="auto"/>
              </w:rPr>
            </w:pPr>
          </w:p>
        </w:tc>
        <w:tc>
          <w:tcPr>
            <w:tcW w:w="9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170D67"/>
          </w:tcPr>
          <w:p>
            <w:pPr>
              <w:spacing w:after="0" w:line="20" w:lineRule="exact"/>
              <w:rPr>
                <w:sz w:val="1"/>
                <w:szCs w:val="1"/>
                <w:color w:val="auto"/>
              </w:rPr>
            </w:pPr>
          </w:p>
        </w:tc>
        <w:tc>
          <w:tcPr>
            <w:tcW w:w="9480" w:type="dxa"/>
            <w:vAlign w:val="bottom"/>
            <w:shd w:val="clear" w:color="auto" w:fill="170D6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Estimated Value of Benefits to be Received Upon a Qualifying Termination Following a Change in Control</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40" w:type="dxa"/>
            <w:vAlign w:val="bottom"/>
          </w:tcPr>
          <w:p>
            <w:pPr>
              <w:jc w:val="right"/>
              <w:ind w:right="186"/>
              <w:spacing w:after="0"/>
              <w:rPr>
                <w:sz w:val="20"/>
                <w:szCs w:val="20"/>
                <w:color w:val="auto"/>
              </w:rPr>
            </w:pPr>
            <w:r>
              <w:rPr>
                <w:rFonts w:ascii="Arial" w:cs="Arial" w:eastAsia="Arial" w:hAnsi="Arial"/>
                <w:sz w:val="14"/>
                <w:szCs w:val="14"/>
                <w:b w:val="1"/>
                <w:bCs w:val="1"/>
                <w:color w:val="170D67"/>
              </w:rPr>
              <w:t>Retirement</w:t>
            </w:r>
          </w:p>
        </w:tc>
        <w:tc>
          <w:tcPr>
            <w:tcW w:w="1520" w:type="dxa"/>
            <w:vAlign w:val="bottom"/>
          </w:tcPr>
          <w:p>
            <w:pPr>
              <w:jc w:val="right"/>
              <w:ind w:right="206"/>
              <w:spacing w:after="0"/>
              <w:rPr>
                <w:sz w:val="20"/>
                <w:szCs w:val="20"/>
                <w:color w:val="auto"/>
              </w:rPr>
            </w:pPr>
            <w:r>
              <w:rPr>
                <w:rFonts w:ascii="Arial" w:cs="Arial" w:eastAsia="Arial" w:hAnsi="Arial"/>
                <w:sz w:val="14"/>
                <w:szCs w:val="14"/>
                <w:b w:val="1"/>
                <w:bCs w:val="1"/>
                <w:color w:val="170D67"/>
              </w:rPr>
              <w:t>Value of</w:t>
            </w:r>
          </w:p>
        </w:tc>
        <w:tc>
          <w:tcPr>
            <w:tcW w:w="1560" w:type="dxa"/>
            <w:vAlign w:val="bottom"/>
          </w:tcPr>
          <w:p>
            <w:pPr>
              <w:jc w:val="right"/>
              <w:ind w:right="146"/>
              <w:spacing w:after="0"/>
              <w:rPr>
                <w:sz w:val="20"/>
                <w:szCs w:val="20"/>
                <w:color w:val="auto"/>
              </w:rPr>
            </w:pPr>
            <w:r>
              <w:rPr>
                <w:rFonts w:ascii="Arial" w:cs="Arial" w:eastAsia="Arial" w:hAnsi="Arial"/>
                <w:sz w:val="14"/>
                <w:szCs w:val="14"/>
                <w:b w:val="1"/>
                <w:bCs w:val="1"/>
                <w:color w:val="170D67"/>
              </w:rPr>
              <w:t>Health and</w:t>
            </w:r>
          </w:p>
        </w:tc>
        <w:tc>
          <w:tcPr>
            <w:tcW w:w="1180" w:type="dxa"/>
            <w:vAlign w:val="bottom"/>
          </w:tcPr>
          <w:p>
            <w:pPr>
              <w:jc w:val="right"/>
              <w:ind w:right="106"/>
              <w:spacing w:after="0"/>
              <w:rPr>
                <w:sz w:val="20"/>
                <w:szCs w:val="20"/>
                <w:color w:val="auto"/>
              </w:rPr>
            </w:pPr>
            <w:r>
              <w:rPr>
                <w:rFonts w:ascii="Arial" w:cs="Arial" w:eastAsia="Arial" w:hAnsi="Arial"/>
                <w:sz w:val="14"/>
                <w:szCs w:val="14"/>
                <w:b w:val="1"/>
                <w:bCs w:val="1"/>
                <w:color w:val="170D67"/>
              </w:rPr>
              <w:t>Perquisites</w:t>
            </w: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1700" w:type="dxa"/>
            <w:vAlign w:val="bottom"/>
          </w:tcPr>
          <w:p>
            <w:pPr>
              <w:jc w:val="right"/>
              <w:ind w:right="166"/>
              <w:spacing w:after="0"/>
              <w:rPr>
                <w:sz w:val="20"/>
                <w:szCs w:val="20"/>
                <w:color w:val="auto"/>
              </w:rPr>
            </w:pPr>
            <w:r>
              <w:rPr>
                <w:rFonts w:ascii="Arial" w:cs="Arial" w:eastAsia="Arial" w:hAnsi="Arial"/>
                <w:sz w:val="14"/>
                <w:szCs w:val="14"/>
                <w:b w:val="1"/>
                <w:bCs w:val="1"/>
                <w:color w:val="170D67"/>
              </w:rPr>
              <w:t>Cash</w:t>
            </w:r>
          </w:p>
        </w:tc>
        <w:tc>
          <w:tcPr>
            <w:tcW w:w="1440" w:type="dxa"/>
            <w:vAlign w:val="bottom"/>
          </w:tcPr>
          <w:p>
            <w:pPr>
              <w:jc w:val="right"/>
              <w:ind w:right="186"/>
              <w:spacing w:after="0"/>
              <w:rPr>
                <w:sz w:val="20"/>
                <w:szCs w:val="20"/>
                <w:color w:val="auto"/>
              </w:rPr>
            </w:pPr>
            <w:r>
              <w:rPr>
                <w:rFonts w:ascii="Arial" w:cs="Arial" w:eastAsia="Arial" w:hAnsi="Arial"/>
                <w:sz w:val="14"/>
                <w:szCs w:val="14"/>
                <w:b w:val="1"/>
                <w:bCs w:val="1"/>
                <w:color w:val="170D67"/>
              </w:rPr>
              <w:t>Benefit</w:t>
            </w:r>
          </w:p>
        </w:tc>
        <w:tc>
          <w:tcPr>
            <w:tcW w:w="1520" w:type="dxa"/>
            <w:vAlign w:val="bottom"/>
          </w:tcPr>
          <w:p>
            <w:pPr>
              <w:jc w:val="right"/>
              <w:ind w:right="206"/>
              <w:spacing w:after="0"/>
              <w:rPr>
                <w:sz w:val="20"/>
                <w:szCs w:val="20"/>
                <w:color w:val="auto"/>
              </w:rPr>
            </w:pPr>
            <w:r>
              <w:rPr>
                <w:rFonts w:ascii="Arial" w:cs="Arial" w:eastAsia="Arial" w:hAnsi="Arial"/>
                <w:sz w:val="14"/>
                <w:szCs w:val="14"/>
                <w:b w:val="1"/>
                <w:bCs w:val="1"/>
                <w:color w:val="170D67"/>
              </w:rPr>
              <w:t>Unvested</w:t>
            </w:r>
          </w:p>
        </w:tc>
        <w:tc>
          <w:tcPr>
            <w:tcW w:w="1560" w:type="dxa"/>
            <w:vAlign w:val="bottom"/>
          </w:tcPr>
          <w:p>
            <w:pPr>
              <w:jc w:val="right"/>
              <w:ind w:right="146"/>
              <w:spacing w:after="0"/>
              <w:rPr>
                <w:sz w:val="20"/>
                <w:szCs w:val="20"/>
                <w:color w:val="auto"/>
              </w:rPr>
            </w:pPr>
            <w:r>
              <w:rPr>
                <w:rFonts w:ascii="Arial" w:cs="Arial" w:eastAsia="Arial" w:hAnsi="Arial"/>
                <w:sz w:val="14"/>
                <w:szCs w:val="14"/>
                <w:b w:val="1"/>
                <w:bCs w:val="1"/>
                <w:color w:val="170D67"/>
              </w:rPr>
              <w:t>Welfare Benefit</w:t>
            </w:r>
          </w:p>
        </w:tc>
        <w:tc>
          <w:tcPr>
            <w:tcW w:w="1180" w:type="dxa"/>
            <w:vAlign w:val="bottom"/>
          </w:tcPr>
          <w:p>
            <w:pPr>
              <w:jc w:val="right"/>
              <w:ind w:right="106"/>
              <w:spacing w:after="0"/>
              <w:rPr>
                <w:sz w:val="20"/>
                <w:szCs w:val="20"/>
                <w:color w:val="auto"/>
              </w:rPr>
            </w:pPr>
            <w:r>
              <w:rPr>
                <w:rFonts w:ascii="Arial" w:cs="Arial" w:eastAsia="Arial" w:hAnsi="Arial"/>
                <w:sz w:val="14"/>
                <w:szCs w:val="14"/>
                <w:b w:val="1"/>
                <w:bCs w:val="1"/>
                <w:color w:val="170D67"/>
              </w:rPr>
              <w:t>And Other</w:t>
            </w:r>
          </w:p>
        </w:tc>
        <w:tc>
          <w:tcPr>
            <w:tcW w:w="1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170D67"/>
              </w:rPr>
              <w:t>Total Value of</w:t>
            </w: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1700" w:type="dxa"/>
            <w:vAlign w:val="bottom"/>
          </w:tcPr>
          <w:p>
            <w:pPr>
              <w:jc w:val="right"/>
              <w:ind w:right="166"/>
              <w:spacing w:after="0"/>
              <w:rPr>
                <w:sz w:val="20"/>
                <w:szCs w:val="20"/>
                <w:color w:val="auto"/>
              </w:rPr>
            </w:pPr>
            <w:r>
              <w:rPr>
                <w:rFonts w:ascii="Arial" w:cs="Arial" w:eastAsia="Arial" w:hAnsi="Arial"/>
                <w:sz w:val="14"/>
                <w:szCs w:val="14"/>
                <w:b w:val="1"/>
                <w:bCs w:val="1"/>
                <w:color w:val="170D67"/>
              </w:rPr>
              <w:t>Payment</w:t>
            </w:r>
          </w:p>
        </w:tc>
        <w:tc>
          <w:tcPr>
            <w:tcW w:w="1440" w:type="dxa"/>
            <w:vAlign w:val="bottom"/>
          </w:tcPr>
          <w:p>
            <w:pPr>
              <w:jc w:val="right"/>
              <w:ind w:right="186"/>
              <w:spacing w:after="0"/>
              <w:rPr>
                <w:sz w:val="20"/>
                <w:szCs w:val="20"/>
                <w:color w:val="auto"/>
              </w:rPr>
            </w:pPr>
            <w:r>
              <w:rPr>
                <w:rFonts w:ascii="Arial" w:cs="Arial" w:eastAsia="Arial" w:hAnsi="Arial"/>
                <w:sz w:val="14"/>
                <w:szCs w:val="14"/>
                <w:b w:val="1"/>
                <w:bCs w:val="1"/>
                <w:color w:val="170D67"/>
              </w:rPr>
              <w:t>Enhancement</w:t>
            </w:r>
          </w:p>
        </w:tc>
        <w:tc>
          <w:tcPr>
            <w:tcW w:w="1520" w:type="dxa"/>
            <w:vAlign w:val="bottom"/>
          </w:tcPr>
          <w:p>
            <w:pPr>
              <w:jc w:val="right"/>
              <w:ind w:right="206"/>
              <w:spacing w:after="0"/>
              <w:rPr>
                <w:sz w:val="20"/>
                <w:szCs w:val="20"/>
                <w:color w:val="auto"/>
              </w:rPr>
            </w:pPr>
            <w:r>
              <w:rPr>
                <w:rFonts w:ascii="Arial" w:cs="Arial" w:eastAsia="Arial" w:hAnsi="Arial"/>
                <w:sz w:val="14"/>
                <w:szCs w:val="14"/>
                <w:b w:val="1"/>
                <w:bCs w:val="1"/>
                <w:color w:val="170D67"/>
              </w:rPr>
              <w:t>Equity Awards</w:t>
            </w:r>
          </w:p>
        </w:tc>
        <w:tc>
          <w:tcPr>
            <w:tcW w:w="1560" w:type="dxa"/>
            <w:vAlign w:val="bottom"/>
          </w:tcPr>
          <w:p>
            <w:pPr>
              <w:jc w:val="right"/>
              <w:ind w:right="146"/>
              <w:spacing w:after="0"/>
              <w:rPr>
                <w:sz w:val="20"/>
                <w:szCs w:val="20"/>
                <w:color w:val="auto"/>
              </w:rPr>
            </w:pPr>
            <w:r>
              <w:rPr>
                <w:rFonts w:ascii="Arial" w:cs="Arial" w:eastAsia="Arial" w:hAnsi="Arial"/>
                <w:sz w:val="14"/>
                <w:szCs w:val="14"/>
                <w:b w:val="1"/>
                <w:bCs w:val="1"/>
                <w:color w:val="170D67"/>
              </w:rPr>
              <w:t>Continuation</w:t>
            </w:r>
          </w:p>
        </w:tc>
        <w:tc>
          <w:tcPr>
            <w:tcW w:w="1180" w:type="dxa"/>
            <w:vAlign w:val="bottom"/>
          </w:tcPr>
          <w:p>
            <w:pPr>
              <w:jc w:val="center"/>
              <w:ind w:left="186"/>
              <w:spacing w:after="0"/>
              <w:rPr>
                <w:sz w:val="20"/>
                <w:szCs w:val="20"/>
                <w:color w:val="auto"/>
              </w:rPr>
            </w:pPr>
            <w:r>
              <w:rPr>
                <w:rFonts w:ascii="Arial" w:cs="Arial" w:eastAsia="Arial" w:hAnsi="Arial"/>
                <w:sz w:val="14"/>
                <w:szCs w:val="14"/>
                <w:b w:val="1"/>
                <w:bCs w:val="1"/>
                <w:color w:val="170D67"/>
              </w:rPr>
              <w:t>Benefits</w:t>
            </w:r>
          </w:p>
        </w:tc>
        <w:tc>
          <w:tcPr>
            <w:tcW w:w="1240" w:type="dxa"/>
            <w:vAlign w:val="bottom"/>
            <w:vMerge w:val="restart"/>
          </w:tcPr>
          <w:p>
            <w:pPr>
              <w:jc w:val="right"/>
              <w:ind w:right="185"/>
              <w:spacing w:after="0"/>
              <w:rPr>
                <w:sz w:val="20"/>
                <w:szCs w:val="20"/>
                <w:color w:val="auto"/>
              </w:rPr>
            </w:pPr>
            <w:r>
              <w:rPr>
                <w:rFonts w:ascii="Arial" w:cs="Arial" w:eastAsia="Arial" w:hAnsi="Arial"/>
                <w:sz w:val="14"/>
                <w:szCs w:val="14"/>
                <w:b w:val="1"/>
                <w:bCs w:val="1"/>
                <w:color w:val="170D67"/>
              </w:rPr>
              <w:t>Scaleback</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170D67"/>
              </w:rPr>
              <w:t>All Payments</w:t>
            </w: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1700" w:type="dxa"/>
            <w:vAlign w:val="bottom"/>
          </w:tcPr>
          <w:p>
            <w:pPr>
              <w:jc w:val="right"/>
              <w:ind w:right="166"/>
              <w:spacing w:after="0"/>
              <w:rPr>
                <w:sz w:val="20"/>
                <w:szCs w:val="20"/>
                <w:color w:val="auto"/>
              </w:rPr>
            </w:pPr>
            <w:r>
              <w:rPr>
                <w:rFonts w:ascii="Arial" w:cs="Arial" w:eastAsia="Arial" w:hAnsi="Arial"/>
                <w:sz w:val="14"/>
                <w:szCs w:val="14"/>
                <w:b w:val="1"/>
                <w:bCs w:val="1"/>
                <w:color w:val="170D67"/>
              </w:rPr>
              <w:t>($)</w:t>
            </w:r>
          </w:p>
        </w:tc>
        <w:tc>
          <w:tcPr>
            <w:tcW w:w="1440" w:type="dxa"/>
            <w:vAlign w:val="bottom"/>
          </w:tcPr>
          <w:p>
            <w:pPr>
              <w:jc w:val="right"/>
              <w:ind w:right="186"/>
              <w:spacing w:after="0"/>
              <w:rPr>
                <w:sz w:val="20"/>
                <w:szCs w:val="20"/>
                <w:color w:val="auto"/>
              </w:rPr>
            </w:pPr>
            <w:r>
              <w:rPr>
                <w:rFonts w:ascii="Arial" w:cs="Arial" w:eastAsia="Arial" w:hAnsi="Arial"/>
                <w:sz w:val="14"/>
                <w:szCs w:val="14"/>
                <w:b w:val="1"/>
                <w:bCs w:val="1"/>
                <w:color w:val="170D67"/>
              </w:rPr>
              <w:t>($)</w:t>
            </w:r>
          </w:p>
        </w:tc>
        <w:tc>
          <w:tcPr>
            <w:tcW w:w="1520" w:type="dxa"/>
            <w:vAlign w:val="bottom"/>
          </w:tcPr>
          <w:p>
            <w:pPr>
              <w:jc w:val="right"/>
              <w:ind w:right="206"/>
              <w:spacing w:after="0"/>
              <w:rPr>
                <w:sz w:val="20"/>
                <w:szCs w:val="20"/>
                <w:color w:val="auto"/>
              </w:rPr>
            </w:pPr>
            <w:r>
              <w:rPr>
                <w:rFonts w:ascii="Arial" w:cs="Arial" w:eastAsia="Arial" w:hAnsi="Arial"/>
                <w:sz w:val="14"/>
                <w:szCs w:val="14"/>
                <w:b w:val="1"/>
                <w:bCs w:val="1"/>
                <w:color w:val="170D67"/>
              </w:rPr>
              <w:t>($)</w:t>
            </w:r>
          </w:p>
        </w:tc>
        <w:tc>
          <w:tcPr>
            <w:tcW w:w="1560" w:type="dxa"/>
            <w:vAlign w:val="bottom"/>
          </w:tcPr>
          <w:p>
            <w:pPr>
              <w:jc w:val="right"/>
              <w:ind w:right="146"/>
              <w:spacing w:after="0"/>
              <w:rPr>
                <w:sz w:val="20"/>
                <w:szCs w:val="20"/>
                <w:color w:val="auto"/>
              </w:rPr>
            </w:pPr>
            <w:r>
              <w:rPr>
                <w:rFonts w:ascii="Arial" w:cs="Arial" w:eastAsia="Arial" w:hAnsi="Arial"/>
                <w:sz w:val="14"/>
                <w:szCs w:val="14"/>
                <w:b w:val="1"/>
                <w:bCs w:val="1"/>
                <w:color w:val="170D67"/>
              </w:rPr>
              <w:t>($)</w:t>
            </w:r>
          </w:p>
        </w:tc>
        <w:tc>
          <w:tcPr>
            <w:tcW w:w="1180" w:type="dxa"/>
            <w:vAlign w:val="bottom"/>
          </w:tcPr>
          <w:p>
            <w:pPr>
              <w:jc w:val="right"/>
              <w:ind w:right="106"/>
              <w:spacing w:after="0"/>
              <w:rPr>
                <w:sz w:val="20"/>
                <w:szCs w:val="20"/>
                <w:color w:val="auto"/>
              </w:rPr>
            </w:pPr>
            <w:r>
              <w:rPr>
                <w:rFonts w:ascii="Arial" w:cs="Arial" w:eastAsia="Arial" w:hAnsi="Arial"/>
                <w:sz w:val="14"/>
                <w:szCs w:val="14"/>
                <w:b w:val="1"/>
                <w:bCs w:val="1"/>
                <w:color w:val="170D67"/>
              </w:rPr>
              <w:t>($)</w:t>
            </w:r>
          </w:p>
        </w:tc>
        <w:tc>
          <w:tcPr>
            <w:tcW w:w="1240" w:type="dxa"/>
            <w:vAlign w:val="bottom"/>
            <w:vMerge w:val="continue"/>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170D67"/>
              </w:rPr>
              <w:t>and Benefits</w:t>
            </w:r>
          </w:p>
        </w:tc>
        <w:tc>
          <w:tcPr>
            <w:tcW w:w="0" w:type="dxa"/>
            <w:vAlign w:val="bottom"/>
          </w:tcPr>
          <w:p>
            <w:pPr>
              <w:spacing w:after="0"/>
              <w:rPr>
                <w:sz w:val="1"/>
                <w:szCs w:val="1"/>
                <w:color w:val="auto"/>
              </w:rPr>
            </w:pPr>
          </w:p>
        </w:tc>
      </w:tr>
      <w:tr>
        <w:trPr>
          <w:trHeight w:val="211"/>
        </w:trPr>
        <w:tc>
          <w:tcPr>
            <w:tcW w:w="1380" w:type="dxa"/>
            <w:vAlign w:val="bottom"/>
            <w:tcBorders>
              <w:bottom w:val="single" w:sz="8" w:color="170D67"/>
            </w:tcBorders>
          </w:tcPr>
          <w:p>
            <w:pPr>
              <w:ind w:left="20"/>
              <w:spacing w:after="0"/>
              <w:rPr>
                <w:sz w:val="20"/>
                <w:szCs w:val="20"/>
                <w:color w:val="auto"/>
              </w:rPr>
            </w:pPr>
            <w:r>
              <w:rPr>
                <w:rFonts w:ascii="Arial" w:cs="Arial" w:eastAsia="Arial" w:hAnsi="Arial"/>
                <w:sz w:val="14"/>
                <w:szCs w:val="14"/>
                <w:b w:val="1"/>
                <w:bCs w:val="1"/>
                <w:color w:val="170D67"/>
              </w:rPr>
              <w:t>Name</w:t>
            </w:r>
          </w:p>
        </w:tc>
        <w:tc>
          <w:tcPr>
            <w:tcW w:w="1700" w:type="dxa"/>
            <w:vAlign w:val="bottom"/>
            <w:tcBorders>
              <w:bottom w:val="single" w:sz="8" w:color="170D67"/>
            </w:tcBorders>
          </w:tcPr>
          <w:p>
            <w:pPr>
              <w:jc w:val="right"/>
              <w:ind w:right="166"/>
              <w:spacing w:after="0"/>
              <w:rPr>
                <w:sz w:val="20"/>
                <w:szCs w:val="20"/>
                <w:color w:val="auto"/>
              </w:rPr>
            </w:pPr>
            <w:r>
              <w:rPr>
                <w:rFonts w:ascii="Arial" w:cs="Arial" w:eastAsia="Arial" w:hAnsi="Arial"/>
                <w:sz w:val="14"/>
                <w:szCs w:val="14"/>
                <w:b w:val="1"/>
                <w:bCs w:val="1"/>
                <w:color w:val="170D67"/>
              </w:rPr>
              <w:t>(Note 1)</w:t>
            </w:r>
          </w:p>
        </w:tc>
        <w:tc>
          <w:tcPr>
            <w:tcW w:w="1440" w:type="dxa"/>
            <w:vAlign w:val="bottom"/>
            <w:tcBorders>
              <w:bottom w:val="single" w:sz="8" w:color="170D67"/>
            </w:tcBorders>
          </w:tcPr>
          <w:p>
            <w:pPr>
              <w:jc w:val="right"/>
              <w:ind w:right="186"/>
              <w:spacing w:after="0"/>
              <w:rPr>
                <w:sz w:val="20"/>
                <w:szCs w:val="20"/>
                <w:color w:val="auto"/>
              </w:rPr>
            </w:pPr>
            <w:r>
              <w:rPr>
                <w:rFonts w:ascii="Arial" w:cs="Arial" w:eastAsia="Arial" w:hAnsi="Arial"/>
                <w:sz w:val="14"/>
                <w:szCs w:val="14"/>
                <w:b w:val="1"/>
                <w:bCs w:val="1"/>
                <w:color w:val="170D67"/>
              </w:rPr>
              <w:t>(Note 2)</w:t>
            </w:r>
          </w:p>
        </w:tc>
        <w:tc>
          <w:tcPr>
            <w:tcW w:w="1520" w:type="dxa"/>
            <w:vAlign w:val="bottom"/>
            <w:tcBorders>
              <w:bottom w:val="single" w:sz="8" w:color="170D67"/>
            </w:tcBorders>
          </w:tcPr>
          <w:p>
            <w:pPr>
              <w:jc w:val="right"/>
              <w:ind w:right="206"/>
              <w:spacing w:after="0"/>
              <w:rPr>
                <w:sz w:val="20"/>
                <w:szCs w:val="20"/>
                <w:color w:val="auto"/>
              </w:rPr>
            </w:pPr>
            <w:r>
              <w:rPr>
                <w:rFonts w:ascii="Arial" w:cs="Arial" w:eastAsia="Arial" w:hAnsi="Arial"/>
                <w:sz w:val="14"/>
                <w:szCs w:val="14"/>
                <w:b w:val="1"/>
                <w:bCs w:val="1"/>
                <w:color w:val="170D67"/>
              </w:rPr>
              <w:t>(Note 3)</w:t>
            </w:r>
          </w:p>
        </w:tc>
        <w:tc>
          <w:tcPr>
            <w:tcW w:w="1560" w:type="dxa"/>
            <w:vAlign w:val="bottom"/>
            <w:tcBorders>
              <w:bottom w:val="single" w:sz="8" w:color="170D67"/>
            </w:tcBorders>
          </w:tcPr>
          <w:p>
            <w:pPr>
              <w:jc w:val="right"/>
              <w:ind w:right="146"/>
              <w:spacing w:after="0"/>
              <w:rPr>
                <w:sz w:val="20"/>
                <w:szCs w:val="20"/>
                <w:color w:val="auto"/>
              </w:rPr>
            </w:pPr>
            <w:r>
              <w:rPr>
                <w:rFonts w:ascii="Arial" w:cs="Arial" w:eastAsia="Arial" w:hAnsi="Arial"/>
                <w:sz w:val="14"/>
                <w:szCs w:val="14"/>
                <w:b w:val="1"/>
                <w:bCs w:val="1"/>
                <w:color w:val="170D67"/>
              </w:rPr>
              <w:t>(Note 4)</w:t>
            </w:r>
          </w:p>
        </w:tc>
        <w:tc>
          <w:tcPr>
            <w:tcW w:w="1180" w:type="dxa"/>
            <w:vAlign w:val="bottom"/>
            <w:tcBorders>
              <w:bottom w:val="single" w:sz="8" w:color="170D67"/>
            </w:tcBorders>
          </w:tcPr>
          <w:p>
            <w:pPr>
              <w:jc w:val="center"/>
              <w:ind w:left="206"/>
              <w:spacing w:after="0"/>
              <w:rPr>
                <w:sz w:val="20"/>
                <w:szCs w:val="20"/>
                <w:color w:val="auto"/>
              </w:rPr>
            </w:pPr>
            <w:r>
              <w:rPr>
                <w:rFonts w:ascii="Arial" w:cs="Arial" w:eastAsia="Arial" w:hAnsi="Arial"/>
                <w:sz w:val="14"/>
                <w:szCs w:val="14"/>
                <w:b w:val="1"/>
                <w:bCs w:val="1"/>
                <w:color w:val="170D67"/>
              </w:rPr>
              <w:t>(Note 5)</w:t>
            </w:r>
          </w:p>
        </w:tc>
        <w:tc>
          <w:tcPr>
            <w:tcW w:w="1240" w:type="dxa"/>
            <w:vAlign w:val="bottom"/>
            <w:tcBorders>
              <w:bottom w:val="single" w:sz="8" w:color="170D67"/>
            </w:tcBorders>
          </w:tcPr>
          <w:p>
            <w:pPr>
              <w:jc w:val="right"/>
              <w:ind w:right="185"/>
              <w:spacing w:after="0"/>
              <w:rPr>
                <w:sz w:val="20"/>
                <w:szCs w:val="20"/>
                <w:color w:val="auto"/>
              </w:rPr>
            </w:pPr>
            <w:r>
              <w:rPr>
                <w:rFonts w:ascii="Arial" w:cs="Arial" w:eastAsia="Arial" w:hAnsi="Arial"/>
                <w:sz w:val="14"/>
                <w:szCs w:val="14"/>
                <w:b w:val="1"/>
                <w:bCs w:val="1"/>
                <w:color w:val="170D67"/>
              </w:rPr>
              <w:t>($)</w:t>
            </w:r>
          </w:p>
        </w:tc>
        <w:tc>
          <w:tcPr>
            <w:tcW w:w="1200" w:type="dxa"/>
            <w:vAlign w:val="bottom"/>
            <w:tcBorders>
              <w:bottom w:val="single" w:sz="8" w:color="170D67"/>
            </w:tcBorders>
          </w:tcPr>
          <w:p>
            <w:pPr>
              <w:jc w:val="right"/>
              <w:spacing w:after="0"/>
              <w:rPr>
                <w:sz w:val="20"/>
                <w:szCs w:val="20"/>
                <w:color w:val="auto"/>
              </w:rPr>
            </w:pPr>
            <w:r>
              <w:rPr>
                <w:rFonts w:ascii="Arial" w:cs="Arial" w:eastAsia="Arial" w:hAnsi="Arial"/>
                <w:sz w:val="14"/>
                <w:szCs w:val="14"/>
                <w:b w:val="1"/>
                <w:bCs w:val="1"/>
                <w:color w:val="170D67"/>
              </w:rPr>
              <w:t>($)</w:t>
            </w:r>
          </w:p>
        </w:tc>
        <w:tc>
          <w:tcPr>
            <w:tcW w:w="0" w:type="dxa"/>
            <w:vAlign w:val="bottom"/>
          </w:tcPr>
          <w:p>
            <w:pPr>
              <w:spacing w:after="0"/>
              <w:rPr>
                <w:sz w:val="1"/>
                <w:szCs w:val="1"/>
                <w:color w:val="auto"/>
              </w:rPr>
            </w:pPr>
          </w:p>
        </w:tc>
      </w:tr>
      <w:tr>
        <w:trPr>
          <w:trHeight w:val="205"/>
        </w:trPr>
        <w:tc>
          <w:tcPr>
            <w:tcW w:w="1380" w:type="dxa"/>
            <w:vAlign w:val="bottom"/>
          </w:tcPr>
          <w:p>
            <w:pPr>
              <w:ind w:left="20"/>
              <w:spacing w:after="0"/>
              <w:rPr>
                <w:sz w:val="20"/>
                <w:szCs w:val="20"/>
                <w:color w:val="auto"/>
              </w:rPr>
            </w:pPr>
            <w:r>
              <w:rPr>
                <w:rFonts w:ascii="Arial" w:cs="Arial" w:eastAsia="Arial" w:hAnsi="Arial"/>
                <w:sz w:val="15"/>
                <w:szCs w:val="15"/>
                <w:color w:val="auto"/>
              </w:rPr>
              <w:t>Butler</w:t>
            </w:r>
          </w:p>
        </w:tc>
        <w:tc>
          <w:tcPr>
            <w:tcW w:w="1700" w:type="dxa"/>
            <w:vAlign w:val="bottom"/>
          </w:tcPr>
          <w:p>
            <w:pPr>
              <w:jc w:val="right"/>
              <w:ind w:right="226"/>
              <w:spacing w:after="0"/>
              <w:rPr>
                <w:sz w:val="20"/>
                <w:szCs w:val="20"/>
                <w:color w:val="auto"/>
              </w:rPr>
            </w:pPr>
            <w:r>
              <w:rPr>
                <w:rFonts w:ascii="Arial" w:cs="Arial" w:eastAsia="Arial" w:hAnsi="Arial"/>
                <w:sz w:val="15"/>
                <w:szCs w:val="15"/>
                <w:color w:val="auto"/>
              </w:rPr>
              <w:t>12,267,685</w:t>
            </w:r>
          </w:p>
        </w:tc>
        <w:tc>
          <w:tcPr>
            <w:tcW w:w="1440" w:type="dxa"/>
            <w:vAlign w:val="bottom"/>
          </w:tcPr>
          <w:p>
            <w:pPr>
              <w:jc w:val="right"/>
              <w:ind w:right="226"/>
              <w:spacing w:after="0"/>
              <w:rPr>
                <w:sz w:val="20"/>
                <w:szCs w:val="20"/>
                <w:color w:val="auto"/>
              </w:rPr>
            </w:pPr>
            <w:r>
              <w:rPr>
                <w:rFonts w:ascii="Arial" w:cs="Arial" w:eastAsia="Arial" w:hAnsi="Arial"/>
                <w:sz w:val="15"/>
                <w:szCs w:val="15"/>
                <w:color w:val="auto"/>
              </w:rPr>
              <w:t>673,946</w:t>
            </w:r>
          </w:p>
        </w:tc>
        <w:tc>
          <w:tcPr>
            <w:tcW w:w="1520" w:type="dxa"/>
            <w:vAlign w:val="bottom"/>
          </w:tcPr>
          <w:p>
            <w:pPr>
              <w:jc w:val="right"/>
              <w:ind w:right="246"/>
              <w:spacing w:after="0"/>
              <w:rPr>
                <w:sz w:val="20"/>
                <w:szCs w:val="20"/>
                <w:color w:val="auto"/>
              </w:rPr>
            </w:pPr>
            <w:r>
              <w:rPr>
                <w:rFonts w:ascii="Arial" w:cs="Arial" w:eastAsia="Arial" w:hAnsi="Arial"/>
                <w:sz w:val="15"/>
                <w:szCs w:val="15"/>
                <w:color w:val="auto"/>
              </w:rPr>
              <w:t>18,716,539</w:t>
            </w:r>
          </w:p>
        </w:tc>
        <w:tc>
          <w:tcPr>
            <w:tcW w:w="1560" w:type="dxa"/>
            <w:vAlign w:val="bottom"/>
          </w:tcPr>
          <w:p>
            <w:pPr>
              <w:jc w:val="right"/>
              <w:ind w:right="206"/>
              <w:spacing w:after="0"/>
              <w:rPr>
                <w:sz w:val="20"/>
                <w:szCs w:val="20"/>
                <w:color w:val="auto"/>
              </w:rPr>
            </w:pPr>
            <w:r>
              <w:rPr>
                <w:rFonts w:ascii="Arial" w:cs="Arial" w:eastAsia="Arial" w:hAnsi="Arial"/>
                <w:sz w:val="15"/>
                <w:szCs w:val="15"/>
                <w:color w:val="auto"/>
              </w:rPr>
              <w:t>63,388</w:t>
            </w:r>
          </w:p>
        </w:tc>
        <w:tc>
          <w:tcPr>
            <w:tcW w:w="1180" w:type="dxa"/>
            <w:vAlign w:val="bottom"/>
          </w:tcPr>
          <w:p>
            <w:pPr>
              <w:jc w:val="center"/>
              <w:ind w:left="186"/>
              <w:spacing w:after="0"/>
              <w:rPr>
                <w:sz w:val="20"/>
                <w:szCs w:val="20"/>
                <w:color w:val="auto"/>
              </w:rPr>
            </w:pPr>
            <w:r>
              <w:rPr>
                <w:rFonts w:ascii="Arial" w:cs="Arial" w:eastAsia="Arial" w:hAnsi="Arial"/>
                <w:sz w:val="15"/>
                <w:szCs w:val="15"/>
                <w:color w:val="auto"/>
              </w:rPr>
              <w:t>23,150</w:t>
            </w:r>
          </w:p>
        </w:tc>
        <w:tc>
          <w:tcPr>
            <w:tcW w:w="1240" w:type="dxa"/>
            <w:vAlign w:val="bottom"/>
          </w:tcPr>
          <w:p>
            <w:pPr>
              <w:jc w:val="right"/>
              <w:ind w:right="245"/>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31,744,708</w:t>
            </w:r>
          </w:p>
        </w:tc>
        <w:tc>
          <w:tcPr>
            <w:tcW w:w="0" w:type="dxa"/>
            <w:vAlign w:val="bottom"/>
          </w:tcPr>
          <w:p>
            <w:pPr>
              <w:spacing w:after="0"/>
              <w:rPr>
                <w:sz w:val="1"/>
                <w:szCs w:val="1"/>
                <w:color w:val="auto"/>
              </w:rPr>
            </w:pPr>
          </w:p>
        </w:tc>
      </w:tr>
      <w:tr>
        <w:trPr>
          <w:trHeight w:val="33"/>
        </w:trPr>
        <w:tc>
          <w:tcPr>
            <w:tcW w:w="1380" w:type="dxa"/>
            <w:vAlign w:val="bottom"/>
            <w:tcBorders>
              <w:bottom w:val="single" w:sz="8" w:color="808080"/>
            </w:tcBorders>
          </w:tcPr>
          <w:p>
            <w:pPr>
              <w:spacing w:after="0"/>
              <w:rPr>
                <w:sz w:val="2"/>
                <w:szCs w:val="2"/>
                <w:color w:val="auto"/>
              </w:rPr>
            </w:pPr>
          </w:p>
        </w:tc>
        <w:tc>
          <w:tcPr>
            <w:tcW w:w="1700" w:type="dxa"/>
            <w:vAlign w:val="bottom"/>
            <w:tcBorders>
              <w:bottom w:val="single" w:sz="8" w:color="808080"/>
            </w:tcBorders>
          </w:tcPr>
          <w:p>
            <w:pPr>
              <w:spacing w:after="0"/>
              <w:rPr>
                <w:sz w:val="2"/>
                <w:szCs w:val="2"/>
                <w:color w:val="auto"/>
              </w:rPr>
            </w:pPr>
          </w:p>
        </w:tc>
        <w:tc>
          <w:tcPr>
            <w:tcW w:w="1440" w:type="dxa"/>
            <w:vAlign w:val="bottom"/>
            <w:tcBorders>
              <w:bottom w:val="single" w:sz="8" w:color="808080"/>
            </w:tcBorders>
          </w:tcPr>
          <w:p>
            <w:pPr>
              <w:spacing w:after="0"/>
              <w:rPr>
                <w:sz w:val="2"/>
                <w:szCs w:val="2"/>
                <w:color w:val="auto"/>
              </w:rPr>
            </w:pPr>
          </w:p>
        </w:tc>
        <w:tc>
          <w:tcPr>
            <w:tcW w:w="1520" w:type="dxa"/>
            <w:vAlign w:val="bottom"/>
            <w:tcBorders>
              <w:bottom w:val="single" w:sz="8" w:color="808080"/>
            </w:tcBorders>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1180" w:type="dxa"/>
            <w:vAlign w:val="bottom"/>
            <w:tcBorders>
              <w:bottom w:val="single" w:sz="8" w:color="808080"/>
            </w:tcBorders>
          </w:tcPr>
          <w:p>
            <w:pPr>
              <w:spacing w:after="0"/>
              <w:rPr>
                <w:sz w:val="2"/>
                <w:szCs w:val="2"/>
                <w:color w:val="auto"/>
              </w:rPr>
            </w:pPr>
          </w:p>
        </w:tc>
        <w:tc>
          <w:tcPr>
            <w:tcW w:w="1240" w:type="dxa"/>
            <w:vAlign w:val="bottom"/>
            <w:tcBorders>
              <w:bottom w:val="single" w:sz="8" w:color="808080"/>
            </w:tcBorders>
          </w:tcPr>
          <w:p>
            <w:pPr>
              <w:spacing w:after="0"/>
              <w:rPr>
                <w:sz w:val="2"/>
                <w:szCs w:val="2"/>
                <w:color w:val="auto"/>
              </w:rPr>
            </w:pPr>
          </w:p>
        </w:tc>
        <w:tc>
          <w:tcPr>
            <w:tcW w:w="12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380" w:type="dxa"/>
            <w:vAlign w:val="bottom"/>
          </w:tcPr>
          <w:p>
            <w:pPr>
              <w:ind w:left="20"/>
              <w:spacing w:after="0"/>
              <w:rPr>
                <w:sz w:val="20"/>
                <w:szCs w:val="20"/>
                <w:color w:val="auto"/>
              </w:rPr>
            </w:pPr>
            <w:r>
              <w:rPr>
                <w:rFonts w:ascii="Arial" w:cs="Arial" w:eastAsia="Arial" w:hAnsi="Arial"/>
                <w:sz w:val="15"/>
                <w:szCs w:val="15"/>
                <w:color w:val="auto"/>
              </w:rPr>
              <w:t>Jones</w:t>
            </w:r>
          </w:p>
        </w:tc>
        <w:tc>
          <w:tcPr>
            <w:tcW w:w="1700" w:type="dxa"/>
            <w:vAlign w:val="bottom"/>
          </w:tcPr>
          <w:p>
            <w:pPr>
              <w:jc w:val="right"/>
              <w:ind w:right="226"/>
              <w:spacing w:after="0"/>
              <w:rPr>
                <w:sz w:val="20"/>
                <w:szCs w:val="20"/>
                <w:color w:val="auto"/>
              </w:rPr>
            </w:pPr>
            <w:r>
              <w:rPr>
                <w:rFonts w:ascii="Arial" w:cs="Arial" w:eastAsia="Arial" w:hAnsi="Arial"/>
                <w:sz w:val="15"/>
                <w:szCs w:val="15"/>
                <w:color w:val="auto"/>
              </w:rPr>
              <w:t>4,998,691</w:t>
            </w:r>
          </w:p>
        </w:tc>
        <w:tc>
          <w:tcPr>
            <w:tcW w:w="1440" w:type="dxa"/>
            <w:vAlign w:val="bottom"/>
          </w:tcPr>
          <w:p>
            <w:pPr>
              <w:jc w:val="right"/>
              <w:ind w:right="226"/>
              <w:spacing w:after="0"/>
              <w:rPr>
                <w:sz w:val="20"/>
                <w:szCs w:val="20"/>
                <w:color w:val="auto"/>
              </w:rPr>
            </w:pPr>
            <w:r>
              <w:rPr>
                <w:rFonts w:ascii="Arial" w:cs="Arial" w:eastAsia="Arial" w:hAnsi="Arial"/>
                <w:sz w:val="15"/>
                <w:szCs w:val="15"/>
                <w:color w:val="auto"/>
              </w:rPr>
              <w:t>308,189</w:t>
            </w:r>
          </w:p>
        </w:tc>
        <w:tc>
          <w:tcPr>
            <w:tcW w:w="1520" w:type="dxa"/>
            <w:vAlign w:val="bottom"/>
          </w:tcPr>
          <w:p>
            <w:pPr>
              <w:jc w:val="right"/>
              <w:ind w:right="246"/>
              <w:spacing w:after="0"/>
              <w:rPr>
                <w:sz w:val="20"/>
                <w:szCs w:val="20"/>
                <w:color w:val="auto"/>
              </w:rPr>
            </w:pPr>
            <w:r>
              <w:rPr>
                <w:rFonts w:ascii="Arial" w:cs="Arial" w:eastAsia="Arial" w:hAnsi="Arial"/>
                <w:sz w:val="15"/>
                <w:szCs w:val="15"/>
                <w:color w:val="auto"/>
              </w:rPr>
              <w:t>3,822,657</w:t>
            </w:r>
          </w:p>
        </w:tc>
        <w:tc>
          <w:tcPr>
            <w:tcW w:w="1560" w:type="dxa"/>
            <w:vAlign w:val="bottom"/>
          </w:tcPr>
          <w:p>
            <w:pPr>
              <w:jc w:val="right"/>
              <w:ind w:right="206"/>
              <w:spacing w:after="0"/>
              <w:rPr>
                <w:sz w:val="20"/>
                <w:szCs w:val="20"/>
                <w:color w:val="auto"/>
              </w:rPr>
            </w:pPr>
            <w:r>
              <w:rPr>
                <w:rFonts w:ascii="Arial" w:cs="Arial" w:eastAsia="Arial" w:hAnsi="Arial"/>
                <w:sz w:val="15"/>
                <w:szCs w:val="15"/>
                <w:color w:val="auto"/>
              </w:rPr>
              <w:t>58,903</w:t>
            </w:r>
          </w:p>
        </w:tc>
        <w:tc>
          <w:tcPr>
            <w:tcW w:w="1180" w:type="dxa"/>
            <w:vAlign w:val="bottom"/>
          </w:tcPr>
          <w:p>
            <w:pPr>
              <w:jc w:val="center"/>
              <w:ind w:left="186"/>
              <w:spacing w:after="0"/>
              <w:rPr>
                <w:sz w:val="20"/>
                <w:szCs w:val="20"/>
                <w:color w:val="auto"/>
              </w:rPr>
            </w:pPr>
            <w:r>
              <w:rPr>
                <w:rFonts w:ascii="Arial" w:cs="Arial" w:eastAsia="Arial" w:hAnsi="Arial"/>
                <w:sz w:val="15"/>
                <w:szCs w:val="15"/>
                <w:color w:val="auto"/>
              </w:rPr>
              <w:t>23,150</w:t>
            </w:r>
          </w:p>
        </w:tc>
        <w:tc>
          <w:tcPr>
            <w:tcW w:w="1240" w:type="dxa"/>
            <w:vAlign w:val="bottom"/>
          </w:tcPr>
          <w:p>
            <w:pPr>
              <w:jc w:val="right"/>
              <w:ind w:right="245"/>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9,211,590</w:t>
            </w:r>
          </w:p>
        </w:tc>
        <w:tc>
          <w:tcPr>
            <w:tcW w:w="0" w:type="dxa"/>
            <w:vAlign w:val="bottom"/>
          </w:tcPr>
          <w:p>
            <w:pPr>
              <w:spacing w:after="0"/>
              <w:rPr>
                <w:sz w:val="1"/>
                <w:szCs w:val="1"/>
                <w:color w:val="auto"/>
              </w:rPr>
            </w:pPr>
          </w:p>
        </w:tc>
      </w:tr>
      <w:tr>
        <w:trPr>
          <w:trHeight w:val="33"/>
        </w:trPr>
        <w:tc>
          <w:tcPr>
            <w:tcW w:w="1380" w:type="dxa"/>
            <w:vAlign w:val="bottom"/>
            <w:tcBorders>
              <w:bottom w:val="single" w:sz="8" w:color="808080"/>
            </w:tcBorders>
          </w:tcPr>
          <w:p>
            <w:pPr>
              <w:spacing w:after="0"/>
              <w:rPr>
                <w:sz w:val="2"/>
                <w:szCs w:val="2"/>
                <w:color w:val="auto"/>
              </w:rPr>
            </w:pPr>
          </w:p>
        </w:tc>
        <w:tc>
          <w:tcPr>
            <w:tcW w:w="1700" w:type="dxa"/>
            <w:vAlign w:val="bottom"/>
            <w:tcBorders>
              <w:bottom w:val="single" w:sz="8" w:color="808080"/>
            </w:tcBorders>
          </w:tcPr>
          <w:p>
            <w:pPr>
              <w:spacing w:after="0"/>
              <w:rPr>
                <w:sz w:val="2"/>
                <w:szCs w:val="2"/>
                <w:color w:val="auto"/>
              </w:rPr>
            </w:pPr>
          </w:p>
        </w:tc>
        <w:tc>
          <w:tcPr>
            <w:tcW w:w="1440" w:type="dxa"/>
            <w:vAlign w:val="bottom"/>
            <w:tcBorders>
              <w:bottom w:val="single" w:sz="8" w:color="808080"/>
            </w:tcBorders>
          </w:tcPr>
          <w:p>
            <w:pPr>
              <w:spacing w:after="0"/>
              <w:rPr>
                <w:sz w:val="2"/>
                <w:szCs w:val="2"/>
                <w:color w:val="auto"/>
              </w:rPr>
            </w:pPr>
          </w:p>
        </w:tc>
        <w:tc>
          <w:tcPr>
            <w:tcW w:w="1520" w:type="dxa"/>
            <w:vAlign w:val="bottom"/>
            <w:tcBorders>
              <w:bottom w:val="single" w:sz="8" w:color="808080"/>
            </w:tcBorders>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1180" w:type="dxa"/>
            <w:vAlign w:val="bottom"/>
            <w:tcBorders>
              <w:bottom w:val="single" w:sz="8" w:color="808080"/>
            </w:tcBorders>
          </w:tcPr>
          <w:p>
            <w:pPr>
              <w:spacing w:after="0"/>
              <w:rPr>
                <w:sz w:val="2"/>
                <w:szCs w:val="2"/>
                <w:color w:val="auto"/>
              </w:rPr>
            </w:pPr>
          </w:p>
        </w:tc>
        <w:tc>
          <w:tcPr>
            <w:tcW w:w="1240" w:type="dxa"/>
            <w:vAlign w:val="bottom"/>
            <w:tcBorders>
              <w:bottom w:val="single" w:sz="8" w:color="808080"/>
            </w:tcBorders>
          </w:tcPr>
          <w:p>
            <w:pPr>
              <w:spacing w:after="0"/>
              <w:rPr>
                <w:sz w:val="2"/>
                <w:szCs w:val="2"/>
                <w:color w:val="auto"/>
              </w:rPr>
            </w:pPr>
          </w:p>
        </w:tc>
        <w:tc>
          <w:tcPr>
            <w:tcW w:w="12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380" w:type="dxa"/>
            <w:vAlign w:val="bottom"/>
          </w:tcPr>
          <w:p>
            <w:pPr>
              <w:ind w:left="20"/>
              <w:spacing w:after="0"/>
              <w:rPr>
                <w:sz w:val="20"/>
                <w:szCs w:val="20"/>
                <w:color w:val="auto"/>
              </w:rPr>
            </w:pPr>
            <w:r>
              <w:rPr>
                <w:rFonts w:ascii="Arial" w:cs="Arial" w:eastAsia="Arial" w:hAnsi="Arial"/>
                <w:sz w:val="15"/>
                <w:szCs w:val="15"/>
                <w:color w:val="auto"/>
              </w:rPr>
              <w:t>Glockner</w:t>
            </w:r>
          </w:p>
        </w:tc>
        <w:tc>
          <w:tcPr>
            <w:tcW w:w="1700" w:type="dxa"/>
            <w:vAlign w:val="bottom"/>
          </w:tcPr>
          <w:p>
            <w:pPr>
              <w:jc w:val="right"/>
              <w:ind w:right="226"/>
              <w:spacing w:after="0"/>
              <w:rPr>
                <w:sz w:val="20"/>
                <w:szCs w:val="20"/>
                <w:color w:val="auto"/>
              </w:rPr>
            </w:pPr>
            <w:r>
              <w:rPr>
                <w:rFonts w:ascii="Arial" w:cs="Arial" w:eastAsia="Arial" w:hAnsi="Arial"/>
                <w:sz w:val="15"/>
                <w:szCs w:val="15"/>
                <w:color w:val="auto"/>
              </w:rPr>
              <w:t>4,308,390</w:t>
            </w:r>
          </w:p>
        </w:tc>
        <w:tc>
          <w:tcPr>
            <w:tcW w:w="1440" w:type="dxa"/>
            <w:vAlign w:val="bottom"/>
          </w:tcPr>
          <w:p>
            <w:pPr>
              <w:jc w:val="right"/>
              <w:ind w:right="226"/>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246"/>
              <w:spacing w:after="0"/>
              <w:rPr>
                <w:sz w:val="20"/>
                <w:szCs w:val="20"/>
                <w:color w:val="auto"/>
              </w:rPr>
            </w:pPr>
            <w:r>
              <w:rPr>
                <w:rFonts w:ascii="Arial" w:cs="Arial" w:eastAsia="Arial" w:hAnsi="Arial"/>
                <w:sz w:val="15"/>
                <w:szCs w:val="15"/>
                <w:color w:val="auto"/>
              </w:rPr>
              <w:t>3,543,126</w:t>
            </w:r>
          </w:p>
        </w:tc>
        <w:tc>
          <w:tcPr>
            <w:tcW w:w="1560" w:type="dxa"/>
            <w:vAlign w:val="bottom"/>
          </w:tcPr>
          <w:p>
            <w:pPr>
              <w:jc w:val="right"/>
              <w:ind w:right="206"/>
              <w:spacing w:after="0"/>
              <w:rPr>
                <w:sz w:val="20"/>
                <w:szCs w:val="20"/>
                <w:color w:val="auto"/>
              </w:rPr>
            </w:pPr>
            <w:r>
              <w:rPr>
                <w:rFonts w:ascii="Arial" w:cs="Arial" w:eastAsia="Arial" w:hAnsi="Arial"/>
                <w:sz w:val="15"/>
                <w:szCs w:val="15"/>
                <w:color w:val="auto"/>
              </w:rPr>
              <w:t>25,714</w:t>
            </w:r>
          </w:p>
        </w:tc>
        <w:tc>
          <w:tcPr>
            <w:tcW w:w="1180" w:type="dxa"/>
            <w:vAlign w:val="bottom"/>
          </w:tcPr>
          <w:p>
            <w:pPr>
              <w:jc w:val="center"/>
              <w:ind w:left="186"/>
              <w:spacing w:after="0"/>
              <w:rPr>
                <w:sz w:val="20"/>
                <w:szCs w:val="20"/>
                <w:color w:val="auto"/>
              </w:rPr>
            </w:pPr>
            <w:r>
              <w:rPr>
                <w:rFonts w:ascii="Arial" w:cs="Arial" w:eastAsia="Arial" w:hAnsi="Arial"/>
                <w:sz w:val="15"/>
                <w:szCs w:val="15"/>
                <w:color w:val="auto"/>
              </w:rPr>
              <w:t>23,150</w:t>
            </w:r>
          </w:p>
        </w:tc>
        <w:tc>
          <w:tcPr>
            <w:tcW w:w="1240" w:type="dxa"/>
            <w:vAlign w:val="bottom"/>
          </w:tcPr>
          <w:p>
            <w:pPr>
              <w:jc w:val="right"/>
              <w:ind w:right="205"/>
              <w:spacing w:after="0"/>
              <w:rPr>
                <w:sz w:val="20"/>
                <w:szCs w:val="20"/>
                <w:color w:val="auto"/>
              </w:rPr>
            </w:pPr>
            <w:r>
              <w:rPr>
                <w:rFonts w:ascii="Arial" w:cs="Arial" w:eastAsia="Arial" w:hAnsi="Arial"/>
                <w:sz w:val="15"/>
                <w:szCs w:val="15"/>
                <w:color w:val="auto"/>
              </w:rPr>
              <w:t>(1,098,583)</w:t>
            </w:r>
          </w:p>
        </w:tc>
        <w:tc>
          <w:tcPr>
            <w:tcW w:w="1200" w:type="dxa"/>
            <w:vAlign w:val="bottom"/>
          </w:tcPr>
          <w:p>
            <w:pPr>
              <w:jc w:val="right"/>
              <w:spacing w:after="0"/>
              <w:rPr>
                <w:sz w:val="20"/>
                <w:szCs w:val="20"/>
                <w:color w:val="auto"/>
              </w:rPr>
            </w:pPr>
            <w:r>
              <w:rPr>
                <w:rFonts w:ascii="Arial" w:cs="Arial" w:eastAsia="Arial" w:hAnsi="Arial"/>
                <w:sz w:val="15"/>
                <w:szCs w:val="15"/>
                <w:color w:val="auto"/>
              </w:rPr>
              <w:t>6,801,797</w:t>
            </w:r>
          </w:p>
        </w:tc>
        <w:tc>
          <w:tcPr>
            <w:tcW w:w="0" w:type="dxa"/>
            <w:vAlign w:val="bottom"/>
          </w:tcPr>
          <w:p>
            <w:pPr>
              <w:spacing w:after="0"/>
              <w:rPr>
                <w:sz w:val="1"/>
                <w:szCs w:val="1"/>
                <w:color w:val="auto"/>
              </w:rPr>
            </w:pPr>
          </w:p>
        </w:tc>
      </w:tr>
      <w:tr>
        <w:trPr>
          <w:trHeight w:val="33"/>
        </w:trPr>
        <w:tc>
          <w:tcPr>
            <w:tcW w:w="1380" w:type="dxa"/>
            <w:vAlign w:val="bottom"/>
            <w:tcBorders>
              <w:bottom w:val="single" w:sz="8" w:color="808080"/>
            </w:tcBorders>
          </w:tcPr>
          <w:p>
            <w:pPr>
              <w:spacing w:after="0"/>
              <w:rPr>
                <w:sz w:val="2"/>
                <w:szCs w:val="2"/>
                <w:color w:val="auto"/>
              </w:rPr>
            </w:pPr>
          </w:p>
        </w:tc>
        <w:tc>
          <w:tcPr>
            <w:tcW w:w="1700" w:type="dxa"/>
            <w:vAlign w:val="bottom"/>
            <w:tcBorders>
              <w:bottom w:val="single" w:sz="8" w:color="808080"/>
            </w:tcBorders>
          </w:tcPr>
          <w:p>
            <w:pPr>
              <w:spacing w:after="0"/>
              <w:rPr>
                <w:sz w:val="2"/>
                <w:szCs w:val="2"/>
                <w:color w:val="auto"/>
              </w:rPr>
            </w:pPr>
          </w:p>
        </w:tc>
        <w:tc>
          <w:tcPr>
            <w:tcW w:w="1440" w:type="dxa"/>
            <w:vAlign w:val="bottom"/>
            <w:tcBorders>
              <w:bottom w:val="single" w:sz="8" w:color="808080"/>
            </w:tcBorders>
          </w:tcPr>
          <w:p>
            <w:pPr>
              <w:spacing w:after="0"/>
              <w:rPr>
                <w:sz w:val="2"/>
                <w:szCs w:val="2"/>
                <w:color w:val="auto"/>
              </w:rPr>
            </w:pPr>
          </w:p>
        </w:tc>
        <w:tc>
          <w:tcPr>
            <w:tcW w:w="1520" w:type="dxa"/>
            <w:vAlign w:val="bottom"/>
            <w:tcBorders>
              <w:bottom w:val="single" w:sz="8" w:color="808080"/>
            </w:tcBorders>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1180" w:type="dxa"/>
            <w:vAlign w:val="bottom"/>
            <w:tcBorders>
              <w:bottom w:val="single" w:sz="8" w:color="808080"/>
            </w:tcBorders>
          </w:tcPr>
          <w:p>
            <w:pPr>
              <w:spacing w:after="0"/>
              <w:rPr>
                <w:sz w:val="2"/>
                <w:szCs w:val="2"/>
                <w:color w:val="auto"/>
              </w:rPr>
            </w:pPr>
          </w:p>
        </w:tc>
        <w:tc>
          <w:tcPr>
            <w:tcW w:w="1240" w:type="dxa"/>
            <w:vAlign w:val="bottom"/>
            <w:tcBorders>
              <w:bottom w:val="single" w:sz="8" w:color="808080"/>
            </w:tcBorders>
          </w:tcPr>
          <w:p>
            <w:pPr>
              <w:spacing w:after="0"/>
              <w:rPr>
                <w:sz w:val="2"/>
                <w:szCs w:val="2"/>
                <w:color w:val="auto"/>
              </w:rPr>
            </w:pPr>
          </w:p>
        </w:tc>
        <w:tc>
          <w:tcPr>
            <w:tcW w:w="12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380" w:type="dxa"/>
            <w:vAlign w:val="bottom"/>
          </w:tcPr>
          <w:p>
            <w:pPr>
              <w:ind w:left="20"/>
              <w:spacing w:after="0"/>
              <w:rPr>
                <w:sz w:val="20"/>
                <w:szCs w:val="20"/>
                <w:color w:val="auto"/>
              </w:rPr>
            </w:pPr>
            <w:r>
              <w:rPr>
                <w:rFonts w:ascii="Arial" w:cs="Arial" w:eastAsia="Arial" w:hAnsi="Arial"/>
                <w:sz w:val="15"/>
                <w:szCs w:val="15"/>
                <w:color w:val="auto"/>
              </w:rPr>
              <w:t>Innocenzo</w:t>
            </w:r>
          </w:p>
        </w:tc>
        <w:tc>
          <w:tcPr>
            <w:tcW w:w="1700" w:type="dxa"/>
            <w:vAlign w:val="bottom"/>
          </w:tcPr>
          <w:p>
            <w:pPr>
              <w:jc w:val="right"/>
              <w:ind w:right="226"/>
              <w:spacing w:after="0"/>
              <w:rPr>
                <w:sz w:val="20"/>
                <w:szCs w:val="20"/>
                <w:color w:val="auto"/>
              </w:rPr>
            </w:pPr>
            <w:r>
              <w:rPr>
                <w:rFonts w:ascii="Arial" w:cs="Arial" w:eastAsia="Arial" w:hAnsi="Arial"/>
                <w:sz w:val="15"/>
                <w:szCs w:val="15"/>
                <w:color w:val="auto"/>
              </w:rPr>
              <w:t>4,647,615</w:t>
            </w:r>
          </w:p>
        </w:tc>
        <w:tc>
          <w:tcPr>
            <w:tcW w:w="1440" w:type="dxa"/>
            <w:vAlign w:val="bottom"/>
          </w:tcPr>
          <w:p>
            <w:pPr>
              <w:jc w:val="right"/>
              <w:ind w:right="226"/>
              <w:spacing w:after="0"/>
              <w:rPr>
                <w:sz w:val="20"/>
                <w:szCs w:val="20"/>
                <w:color w:val="auto"/>
              </w:rPr>
            </w:pPr>
            <w:r>
              <w:rPr>
                <w:rFonts w:ascii="Arial" w:cs="Arial" w:eastAsia="Arial" w:hAnsi="Arial"/>
                <w:sz w:val="15"/>
                <w:szCs w:val="15"/>
                <w:color w:val="auto"/>
              </w:rPr>
              <w:t>350,234</w:t>
            </w:r>
          </w:p>
        </w:tc>
        <w:tc>
          <w:tcPr>
            <w:tcW w:w="1520" w:type="dxa"/>
            <w:vAlign w:val="bottom"/>
          </w:tcPr>
          <w:p>
            <w:pPr>
              <w:jc w:val="right"/>
              <w:ind w:right="246"/>
              <w:spacing w:after="0"/>
              <w:rPr>
                <w:sz w:val="20"/>
                <w:szCs w:val="20"/>
                <w:color w:val="auto"/>
              </w:rPr>
            </w:pPr>
            <w:r>
              <w:rPr>
                <w:rFonts w:ascii="Arial" w:cs="Arial" w:eastAsia="Arial" w:hAnsi="Arial"/>
                <w:sz w:val="15"/>
                <w:szCs w:val="15"/>
                <w:color w:val="auto"/>
              </w:rPr>
              <w:t>3,019,545</w:t>
            </w:r>
          </w:p>
        </w:tc>
        <w:tc>
          <w:tcPr>
            <w:tcW w:w="1560" w:type="dxa"/>
            <w:vAlign w:val="bottom"/>
          </w:tcPr>
          <w:p>
            <w:pPr>
              <w:jc w:val="right"/>
              <w:ind w:right="206"/>
              <w:spacing w:after="0"/>
              <w:rPr>
                <w:sz w:val="20"/>
                <w:szCs w:val="20"/>
                <w:color w:val="auto"/>
              </w:rPr>
            </w:pPr>
            <w:r>
              <w:rPr>
                <w:rFonts w:ascii="Arial" w:cs="Arial" w:eastAsia="Arial" w:hAnsi="Arial"/>
                <w:sz w:val="15"/>
                <w:szCs w:val="15"/>
                <w:color w:val="auto"/>
              </w:rPr>
              <w:t>71,162</w:t>
            </w:r>
          </w:p>
        </w:tc>
        <w:tc>
          <w:tcPr>
            <w:tcW w:w="1180" w:type="dxa"/>
            <w:vAlign w:val="bottom"/>
          </w:tcPr>
          <w:p>
            <w:pPr>
              <w:jc w:val="center"/>
              <w:ind w:left="186"/>
              <w:spacing w:after="0"/>
              <w:rPr>
                <w:sz w:val="20"/>
                <w:szCs w:val="20"/>
                <w:color w:val="auto"/>
              </w:rPr>
            </w:pPr>
            <w:r>
              <w:rPr>
                <w:rFonts w:ascii="Arial" w:cs="Arial" w:eastAsia="Arial" w:hAnsi="Arial"/>
                <w:sz w:val="15"/>
                <w:szCs w:val="15"/>
                <w:color w:val="auto"/>
              </w:rPr>
              <w:t>23,150</w:t>
            </w:r>
          </w:p>
        </w:tc>
        <w:tc>
          <w:tcPr>
            <w:tcW w:w="1240" w:type="dxa"/>
            <w:vAlign w:val="bottom"/>
          </w:tcPr>
          <w:p>
            <w:pPr>
              <w:jc w:val="right"/>
              <w:ind w:right="205"/>
              <w:spacing w:after="0"/>
              <w:rPr>
                <w:sz w:val="20"/>
                <w:szCs w:val="20"/>
                <w:color w:val="auto"/>
              </w:rPr>
            </w:pPr>
            <w:r>
              <w:rPr>
                <w:rFonts w:ascii="Arial" w:cs="Arial" w:eastAsia="Arial" w:hAnsi="Arial"/>
                <w:sz w:val="15"/>
                <w:szCs w:val="15"/>
                <w:color w:val="auto"/>
              </w:rPr>
              <w:t>(843,333)</w:t>
            </w:r>
          </w:p>
        </w:tc>
        <w:tc>
          <w:tcPr>
            <w:tcW w:w="1200" w:type="dxa"/>
            <w:vAlign w:val="bottom"/>
          </w:tcPr>
          <w:p>
            <w:pPr>
              <w:jc w:val="right"/>
              <w:spacing w:after="0"/>
              <w:rPr>
                <w:sz w:val="20"/>
                <w:szCs w:val="20"/>
                <w:color w:val="auto"/>
              </w:rPr>
            </w:pPr>
            <w:r>
              <w:rPr>
                <w:rFonts w:ascii="Arial" w:cs="Arial" w:eastAsia="Arial" w:hAnsi="Arial"/>
                <w:sz w:val="15"/>
                <w:szCs w:val="15"/>
                <w:color w:val="auto"/>
              </w:rPr>
              <w:t>7,268,373</w:t>
            </w:r>
          </w:p>
        </w:tc>
        <w:tc>
          <w:tcPr>
            <w:tcW w:w="0" w:type="dxa"/>
            <w:vAlign w:val="bottom"/>
          </w:tcPr>
          <w:p>
            <w:pPr>
              <w:spacing w:after="0"/>
              <w:rPr>
                <w:sz w:val="1"/>
                <w:szCs w:val="1"/>
                <w:color w:val="auto"/>
              </w:rPr>
            </w:pPr>
          </w:p>
        </w:tc>
      </w:tr>
      <w:tr>
        <w:trPr>
          <w:trHeight w:val="33"/>
        </w:trPr>
        <w:tc>
          <w:tcPr>
            <w:tcW w:w="1380" w:type="dxa"/>
            <w:vAlign w:val="bottom"/>
            <w:tcBorders>
              <w:bottom w:val="single" w:sz="8" w:color="808080"/>
            </w:tcBorders>
          </w:tcPr>
          <w:p>
            <w:pPr>
              <w:spacing w:after="0"/>
              <w:rPr>
                <w:sz w:val="2"/>
                <w:szCs w:val="2"/>
                <w:color w:val="auto"/>
              </w:rPr>
            </w:pPr>
          </w:p>
        </w:tc>
        <w:tc>
          <w:tcPr>
            <w:tcW w:w="1700" w:type="dxa"/>
            <w:vAlign w:val="bottom"/>
            <w:tcBorders>
              <w:bottom w:val="single" w:sz="8" w:color="808080"/>
            </w:tcBorders>
          </w:tcPr>
          <w:p>
            <w:pPr>
              <w:spacing w:after="0"/>
              <w:rPr>
                <w:sz w:val="2"/>
                <w:szCs w:val="2"/>
                <w:color w:val="auto"/>
              </w:rPr>
            </w:pPr>
          </w:p>
        </w:tc>
        <w:tc>
          <w:tcPr>
            <w:tcW w:w="1440" w:type="dxa"/>
            <w:vAlign w:val="bottom"/>
            <w:tcBorders>
              <w:bottom w:val="single" w:sz="8" w:color="808080"/>
            </w:tcBorders>
          </w:tcPr>
          <w:p>
            <w:pPr>
              <w:spacing w:after="0"/>
              <w:rPr>
                <w:sz w:val="2"/>
                <w:szCs w:val="2"/>
                <w:color w:val="auto"/>
              </w:rPr>
            </w:pPr>
          </w:p>
        </w:tc>
        <w:tc>
          <w:tcPr>
            <w:tcW w:w="1520" w:type="dxa"/>
            <w:vAlign w:val="bottom"/>
            <w:tcBorders>
              <w:bottom w:val="single" w:sz="8" w:color="808080"/>
            </w:tcBorders>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1180" w:type="dxa"/>
            <w:vAlign w:val="bottom"/>
            <w:tcBorders>
              <w:bottom w:val="single" w:sz="8" w:color="808080"/>
            </w:tcBorders>
          </w:tcPr>
          <w:p>
            <w:pPr>
              <w:spacing w:after="0"/>
              <w:rPr>
                <w:sz w:val="2"/>
                <w:szCs w:val="2"/>
                <w:color w:val="auto"/>
              </w:rPr>
            </w:pPr>
          </w:p>
        </w:tc>
        <w:tc>
          <w:tcPr>
            <w:tcW w:w="1240" w:type="dxa"/>
            <w:vAlign w:val="bottom"/>
            <w:tcBorders>
              <w:bottom w:val="single" w:sz="8" w:color="808080"/>
            </w:tcBorders>
          </w:tcPr>
          <w:p>
            <w:pPr>
              <w:spacing w:after="0"/>
              <w:rPr>
                <w:sz w:val="2"/>
                <w:szCs w:val="2"/>
                <w:color w:val="auto"/>
              </w:rPr>
            </w:pPr>
          </w:p>
        </w:tc>
        <w:tc>
          <w:tcPr>
            <w:tcW w:w="12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320" w:hanging="252"/>
        <w:spacing w:after="0" w:line="305" w:lineRule="auto"/>
        <w:tabs>
          <w:tab w:leader="none" w:pos="263" w:val="left"/>
        </w:tabs>
        <w:numPr>
          <w:ilvl w:val="0"/>
          <w:numId w:val="144"/>
        </w:numPr>
        <w:rPr>
          <w:rFonts w:ascii="Arial" w:cs="Arial" w:eastAsia="Arial" w:hAnsi="Arial"/>
          <w:sz w:val="8"/>
          <w:szCs w:val="8"/>
          <w:color w:val="auto"/>
        </w:rPr>
      </w:pPr>
      <w:r>
        <w:rPr>
          <w:rFonts w:ascii="Arial" w:cs="Arial" w:eastAsia="Arial" w:hAnsi="Arial"/>
          <w:sz w:val="14"/>
          <w:szCs w:val="14"/>
          <w:color w:val="auto"/>
        </w:rPr>
        <w:t>Represents the estimated cash severance benefit payable upon a qualifying termination following a change in control (described above) plus the executive’s AIP award based on actual performance.</w:t>
      </w:r>
    </w:p>
    <w:p>
      <w:pPr>
        <w:spacing w:after="0" w:line="9" w:lineRule="exact"/>
        <w:rPr>
          <w:rFonts w:ascii="Arial" w:cs="Arial" w:eastAsia="Arial" w:hAnsi="Arial"/>
          <w:sz w:val="8"/>
          <w:szCs w:val="8"/>
          <w:color w:val="auto"/>
        </w:rPr>
      </w:pPr>
    </w:p>
    <w:p>
      <w:pPr>
        <w:ind w:left="260" w:right="200" w:hanging="252"/>
        <w:spacing w:after="0" w:line="305" w:lineRule="auto"/>
        <w:tabs>
          <w:tab w:leader="none" w:pos="249" w:val="left"/>
        </w:tabs>
        <w:numPr>
          <w:ilvl w:val="0"/>
          <w:numId w:val="144"/>
        </w:numPr>
        <w:rPr>
          <w:rFonts w:ascii="Arial" w:cs="Arial" w:eastAsia="Arial" w:hAnsi="Arial"/>
          <w:sz w:val="8"/>
          <w:szCs w:val="8"/>
          <w:color w:val="auto"/>
        </w:rPr>
      </w:pPr>
      <w:r>
        <w:rPr>
          <w:rFonts w:ascii="Arial" w:cs="Arial" w:eastAsia="Arial" w:hAnsi="Arial"/>
          <w:sz w:val="14"/>
          <w:szCs w:val="14"/>
          <w:color w:val="auto"/>
        </w:rPr>
        <w:t>Represents the estimated retirement benefit enhancement that consists of a one-time lump sum payment based on the actuarial present value of a benefit under the non-qualified pension plan assuming that two years of the severance pay constituted covered compensation for purposes of the non-qualified pension plan.</w:t>
      </w:r>
    </w:p>
    <w:p>
      <w:pPr>
        <w:spacing w:after="0" w:line="9" w:lineRule="exact"/>
        <w:rPr>
          <w:rFonts w:ascii="Arial" w:cs="Arial" w:eastAsia="Arial" w:hAnsi="Arial"/>
          <w:sz w:val="8"/>
          <w:szCs w:val="8"/>
          <w:color w:val="auto"/>
        </w:rPr>
      </w:pPr>
    </w:p>
    <w:p>
      <w:pPr>
        <w:ind w:left="260" w:right="180" w:hanging="252"/>
        <w:spacing w:after="0" w:line="305" w:lineRule="auto"/>
        <w:tabs>
          <w:tab w:leader="none" w:pos="249" w:val="left"/>
        </w:tabs>
        <w:numPr>
          <w:ilvl w:val="0"/>
          <w:numId w:val="144"/>
        </w:numPr>
        <w:rPr>
          <w:rFonts w:ascii="Arial" w:cs="Arial" w:eastAsia="Arial" w:hAnsi="Arial"/>
          <w:sz w:val="8"/>
          <w:szCs w:val="8"/>
          <w:color w:val="auto"/>
        </w:rPr>
      </w:pPr>
      <w:r>
        <w:rPr>
          <w:rFonts w:ascii="Arial" w:cs="Arial" w:eastAsia="Arial" w:hAnsi="Arial"/>
          <w:sz w:val="14"/>
          <w:szCs w:val="14"/>
          <w:color w:val="auto"/>
        </w:rPr>
        <w:t>Represents the value of the executives’ unvested PSU awards granted in 2022 (based on actual performance), and 2023 and 2024 (assuming target performance), which will vest upon termination and the accelerated portion of the executives’ RSUs that would vest upon a qualifying termination following a change in control.</w:t>
      </w:r>
    </w:p>
    <w:p>
      <w:pPr>
        <w:spacing w:after="0" w:line="9" w:lineRule="exact"/>
        <w:rPr>
          <w:rFonts w:ascii="Arial" w:cs="Arial" w:eastAsia="Arial" w:hAnsi="Arial"/>
          <w:sz w:val="8"/>
          <w:szCs w:val="8"/>
          <w:color w:val="auto"/>
        </w:rPr>
      </w:pPr>
    </w:p>
    <w:p>
      <w:pPr>
        <w:ind w:left="260" w:hanging="252"/>
        <w:spacing w:after="0"/>
        <w:tabs>
          <w:tab w:leader="none" w:pos="260" w:val="left"/>
        </w:tabs>
        <w:numPr>
          <w:ilvl w:val="0"/>
          <w:numId w:val="144"/>
        </w:numPr>
        <w:rPr>
          <w:rFonts w:ascii="Arial" w:cs="Arial" w:eastAsia="Arial" w:hAnsi="Arial"/>
          <w:sz w:val="8"/>
          <w:szCs w:val="8"/>
          <w:color w:val="auto"/>
        </w:rPr>
      </w:pPr>
      <w:r>
        <w:rPr>
          <w:rFonts w:ascii="Arial" w:cs="Arial" w:eastAsia="Arial" w:hAnsi="Arial"/>
          <w:sz w:val="14"/>
          <w:szCs w:val="14"/>
          <w:color w:val="auto"/>
        </w:rPr>
        <w:t>Represents estimated costs of healthcare, life insurance, and long-term disability coverage which continue during the severance period.</w:t>
      </w:r>
    </w:p>
    <w:p>
      <w:pPr>
        <w:spacing w:after="0" w:line="82" w:lineRule="exact"/>
        <w:rPr>
          <w:rFonts w:ascii="Arial" w:cs="Arial" w:eastAsia="Arial" w:hAnsi="Arial"/>
          <w:sz w:val="8"/>
          <w:szCs w:val="8"/>
          <w:color w:val="auto"/>
        </w:rPr>
      </w:pPr>
    </w:p>
    <w:p>
      <w:pPr>
        <w:ind w:left="260" w:hanging="252"/>
        <w:spacing w:after="0"/>
        <w:tabs>
          <w:tab w:leader="none" w:pos="260" w:val="left"/>
        </w:tabs>
        <w:numPr>
          <w:ilvl w:val="0"/>
          <w:numId w:val="144"/>
        </w:numPr>
        <w:rPr>
          <w:rFonts w:ascii="Arial" w:cs="Arial" w:eastAsia="Arial" w:hAnsi="Arial"/>
          <w:sz w:val="8"/>
          <w:szCs w:val="8"/>
          <w:color w:val="auto"/>
        </w:rPr>
      </w:pPr>
      <w:r>
        <w:rPr>
          <w:rFonts w:ascii="Arial" w:cs="Arial" w:eastAsia="Arial" w:hAnsi="Arial"/>
          <w:sz w:val="14"/>
          <w:szCs w:val="14"/>
          <w:color w:val="auto"/>
        </w:rPr>
        <w:t>Represents estimated costs of outplacement and financial planning services for 12 months.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80" w:hanging="454"/>
        <w:spacing w:after="0"/>
        <w:tabs>
          <w:tab w:leader="none" w:pos="480" w:val="left"/>
        </w:tabs>
        <w:numPr>
          <w:ilvl w:val="0"/>
          <w:numId w:val="14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4" w:name="page75"/>
    <w:bookmarkEnd w:id="74"/>
    <w:p>
      <w:pPr>
        <w:jc w:val="right"/>
        <w:spacing w:after="0"/>
        <w:rPr>
          <w:sz w:val="20"/>
          <w:szCs w:val="20"/>
          <w:color w:val="auto"/>
        </w:rPr>
      </w:pPr>
      <w:r>
        <w:rPr>
          <w:rFonts w:ascii="Arial" w:cs="Arial" w:eastAsia="Arial" w:hAnsi="Arial"/>
          <w:sz w:val="13"/>
          <w:szCs w:val="13"/>
          <w:b w:val="1"/>
          <w:bCs w:val="1"/>
          <w:color w:val="auto"/>
        </w:rPr>
        <w:t>Compensation Discussion &amp; Analysis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CEO Pay Ratio</w:t>
      </w:r>
    </w:p>
    <w:p>
      <w:pPr>
        <w:spacing w:after="0" w:line="123" w:lineRule="exact"/>
        <w:rPr>
          <w:sz w:val="20"/>
          <w:szCs w:val="20"/>
          <w:color w:val="auto"/>
        </w:rPr>
      </w:pPr>
    </w:p>
    <w:p>
      <w:pPr>
        <w:ind w:right="560"/>
        <w:spacing w:after="0" w:line="321" w:lineRule="auto"/>
        <w:rPr>
          <w:sz w:val="20"/>
          <w:szCs w:val="20"/>
          <w:color w:val="auto"/>
        </w:rPr>
      </w:pPr>
      <w:r>
        <w:rPr>
          <w:rFonts w:ascii="Arial" w:cs="Arial" w:eastAsia="Arial" w:hAnsi="Arial"/>
          <w:sz w:val="16"/>
          <w:szCs w:val="16"/>
          <w:color w:val="auto"/>
        </w:rPr>
        <w:t>As required by the Dodd-Frank Wall Street Reform and Consumer Protection Act and SEC rules, we are providing the following information about the relationship of annual total compensation, calculated pursuant to SEC rules, of our median employee and our CEO, Calvin G. Butler, Jr.</w:t>
      </w:r>
    </w:p>
    <w:p>
      <w:pPr>
        <w:spacing w:after="0" w:line="34"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color w:val="auto"/>
        </w:rPr>
        <w:t>For the year ended December 31, 2024, the total compensation for Mr. Butler was $14,662,925 as reported in the “Total” column of the Summary Compensation Table on page 60. The total annual compensation for the median employee was $146,214. Based on these values, the ratio of annual total compensation of our CEO and the median of the annual total compensation of all employees for 2024 was 100:1, demonstrating Exelon’s commitment to balance equitable compensation stewardship with competitively based compensation that drives and rewards performance.</w:t>
      </w:r>
    </w:p>
    <w:p>
      <w:pPr>
        <w:spacing w:after="0" w:line="72"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On December 31, 2024, our employee population consisted of approximately 20,175 individuals (excluding the CEO). The consistently applied compensation measure used to identify the median employee was W-2 Box 1 wages for employees as of December 31, 2024. After identifying the median employee, the annual total compensation for the median employee was calculated using the same methodology used in compiling the Summary Compensation Table found on page 60 in this proxy statement for our NEOs. This ratio is a reasonable estimate calculated in a manner consistent with Item 402(u) of Regulation S-K. We believe the methodology, assumptions, and estimates used in determining the ratio are reasonable given our specific employee population.</w:t>
      </w:r>
    </w:p>
    <w:p>
      <w:pPr>
        <w:spacing w:after="0" w:line="275"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auto"/>
        </w:rPr>
        <w:t>Because SEC rules provide flexibility in determining the methodology, assumptions, and estimates used to determine pay ratios and the fact that workforce composition issues differ significantly between companies, comparability of pay ratios amongst companies may be limited.</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780"/>
              <w:spacing w:after="0"/>
              <w:rPr>
                <w:sz w:val="20"/>
                <w:szCs w:val="20"/>
                <w:color w:val="auto"/>
              </w:rPr>
            </w:pPr>
            <w:r>
              <w:rPr>
                <w:rFonts w:ascii="Arial" w:cs="Arial" w:eastAsia="Arial" w:hAnsi="Arial"/>
                <w:sz w:val="14"/>
                <w:szCs w:val="14"/>
                <w:color w:val="auto"/>
              </w:rPr>
              <w:t>2025 ׀ Exelon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71</w:t>
            </w:r>
          </w:p>
        </w:tc>
      </w:tr>
      <w:tr>
        <w:trPr>
          <w:trHeight w:val="225"/>
        </w:trPr>
        <w:tc>
          <w:tcPr>
            <w:tcW w:w="1092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3"/>
          <w:szCs w:val="13"/>
          <w:b w:val="1"/>
          <w:bCs w:val="1"/>
          <w:color w:val="auto"/>
        </w:rPr>
        <w:t>Compensation Discussion &amp; Analysis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Pay For Performance</w:t>
      </w:r>
    </w:p>
    <w:p>
      <w:pPr>
        <w:spacing w:after="0" w:line="123"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color w:val="auto"/>
        </w:rPr>
        <w:t>As required by the Dodd-Frank Wall Street Reform and Consumer Protection Act, and the SEC rules, we are providing the following information about the relationship between executive compensation actually paid and certain financial performance of the Company. For further information concerning the Company’s variable pay-for-performance philosophy and how the Company aligns executive compensation with the Company’s performance, refer to the CD&amp;A.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4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170D67"/>
              </w:rPr>
              <w:t>Value of initial fixed $100</w:t>
            </w: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40" w:type="dxa"/>
            <w:vAlign w:val="bottom"/>
            <w:tcBorders>
              <w:bottom w:val="single" w:sz="8" w:color="170D67"/>
            </w:tcBorders>
            <w:gridSpan w:val="2"/>
          </w:tcPr>
          <w:p>
            <w:pPr>
              <w:jc w:val="right"/>
              <w:ind w:right="308"/>
              <w:spacing w:after="0"/>
              <w:rPr>
                <w:sz w:val="20"/>
                <w:szCs w:val="20"/>
                <w:color w:val="auto"/>
              </w:rPr>
            </w:pPr>
            <w:r>
              <w:rPr>
                <w:rFonts w:ascii="Arial" w:cs="Arial" w:eastAsia="Arial" w:hAnsi="Arial"/>
                <w:sz w:val="14"/>
                <w:szCs w:val="14"/>
                <w:b w:val="1"/>
                <w:bCs w:val="1"/>
                <w:color w:val="170D67"/>
              </w:rPr>
              <w:t>investment based on:</w:t>
            </w: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60" w:type="dxa"/>
            <w:vAlign w:val="bottom"/>
          </w:tcPr>
          <w:p>
            <w:pPr>
              <w:spacing w:after="0"/>
              <w:rPr>
                <w:sz w:val="16"/>
                <w:szCs w:val="16"/>
                <w:color w:val="auto"/>
              </w:rPr>
            </w:pPr>
          </w:p>
        </w:tc>
        <w:tc>
          <w:tcPr>
            <w:tcW w:w="22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170D67"/>
              </w:rPr>
              <w:t>Summary</w:t>
            </w: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b w:val="1"/>
                <w:bCs w:val="1"/>
                <w:color w:val="170D67"/>
              </w:rPr>
              <w:t>Average</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170D67"/>
              </w:rPr>
              <w:t>Average</w:t>
            </w:r>
          </w:p>
        </w:tc>
        <w:tc>
          <w:tcPr>
            <w:tcW w:w="1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560" w:type="dxa"/>
            <w:vAlign w:val="bottom"/>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9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170D67"/>
              </w:rPr>
              <w:t>Summary</w:t>
            </w: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170D67"/>
              </w:rPr>
              <w:t>Compensation</w:t>
            </w:r>
          </w:p>
        </w:tc>
        <w:tc>
          <w:tcPr>
            <w:tcW w:w="124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170D67"/>
              </w:rPr>
              <w:t>Peer Group</w:t>
            </w:r>
          </w:p>
        </w:tc>
        <w:tc>
          <w:tcPr>
            <w:tcW w:w="9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2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170D67"/>
              </w:rPr>
              <w:t>Compensation</w:t>
            </w:r>
          </w:p>
        </w:tc>
        <w:tc>
          <w:tcPr>
            <w:tcW w:w="2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170D67"/>
              </w:rPr>
              <w:t>Compensation</w:t>
            </w:r>
          </w:p>
        </w:tc>
        <w:tc>
          <w:tcPr>
            <w:tcW w:w="146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560" w:type="dxa"/>
            <w:vAlign w:val="bottom"/>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2000" w:type="dxa"/>
            <w:vAlign w:val="bottom"/>
            <w:gridSpan w:val="2"/>
            <w:vMerge w:val="continue"/>
          </w:tcPr>
          <w:p>
            <w:pPr>
              <w:spacing w:after="0"/>
              <w:rPr>
                <w:sz w:val="9"/>
                <w:szCs w:val="9"/>
                <w:color w:val="auto"/>
              </w:rPr>
            </w:pPr>
          </w:p>
        </w:tc>
        <w:tc>
          <w:tcPr>
            <w:tcW w:w="14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170D67"/>
              </w:rPr>
              <w:t>Compensation</w:t>
            </w: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170D67"/>
              </w:rPr>
              <w:t>Actually Paid</w:t>
            </w: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170D67"/>
              </w:rPr>
              <w:t>Exelon Total</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170D67"/>
              </w:rPr>
              <w:t>Total</w:t>
            </w:r>
          </w:p>
        </w:tc>
        <w:tc>
          <w:tcPr>
            <w:tcW w:w="9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2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170D67"/>
              </w:rPr>
              <w:t>Table Total for PEO</w:t>
            </w:r>
          </w:p>
        </w:tc>
        <w:tc>
          <w:tcPr>
            <w:tcW w:w="2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170D67"/>
              </w:rPr>
              <w:t>Actually Paid to PEO</w:t>
            </w:r>
          </w:p>
        </w:tc>
        <w:tc>
          <w:tcPr>
            <w:tcW w:w="146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560" w:type="dxa"/>
            <w:vAlign w:val="bottom"/>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2000" w:type="dxa"/>
            <w:vAlign w:val="bottom"/>
            <w:gridSpan w:val="2"/>
            <w:vMerge w:val="continue"/>
          </w:tcPr>
          <w:p>
            <w:pPr>
              <w:spacing w:after="0"/>
              <w:rPr>
                <w:sz w:val="9"/>
                <w:szCs w:val="9"/>
                <w:color w:val="auto"/>
              </w:rPr>
            </w:pPr>
          </w:p>
        </w:tc>
        <w:tc>
          <w:tcPr>
            <w:tcW w:w="14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170D67"/>
              </w:rPr>
              <w:t>Table Total for</w:t>
            </w: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170D67"/>
              </w:rPr>
              <w:t>to Non-PEO</w:t>
            </w: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170D67"/>
              </w:rPr>
              <w:t>Shareholder</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170D67"/>
              </w:rPr>
              <w:t>Shareholder</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170D67"/>
              </w:rPr>
              <w:t>Net Income</w:t>
            </w:r>
          </w:p>
        </w:tc>
        <w:tc>
          <w:tcPr>
            <w:tcW w:w="600" w:type="dxa"/>
            <w:vAlign w:val="bottom"/>
            <w:vMerge w:val="restart"/>
          </w:tcPr>
          <w:p>
            <w:pPr>
              <w:ind w:left="180"/>
              <w:spacing w:after="0"/>
              <w:rPr>
                <w:sz w:val="20"/>
                <w:szCs w:val="20"/>
                <w:color w:val="auto"/>
              </w:rPr>
            </w:pPr>
            <w:r>
              <w:rPr>
                <w:rFonts w:ascii="Arial" w:cs="Arial" w:eastAsia="Arial" w:hAnsi="Arial"/>
                <w:sz w:val="14"/>
                <w:szCs w:val="14"/>
                <w:b w:val="1"/>
                <w:bCs w:val="1"/>
                <w:color w:val="170D67"/>
              </w:rPr>
              <w:t>Utility</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40" w:type="dxa"/>
            <w:vAlign w:val="bottom"/>
            <w:vMerge w:val="restart"/>
          </w:tcPr>
          <w:p>
            <w:pPr>
              <w:jc w:val="center"/>
              <w:ind w:right="888"/>
              <w:spacing w:after="0"/>
              <w:rPr>
                <w:sz w:val="20"/>
                <w:szCs w:val="20"/>
                <w:color w:val="auto"/>
              </w:rPr>
            </w:pPr>
            <w:r>
              <w:rPr>
                <w:rFonts w:ascii="Arial" w:cs="Arial" w:eastAsia="Arial" w:hAnsi="Arial"/>
                <w:sz w:val="14"/>
                <w:szCs w:val="14"/>
                <w:b w:val="1"/>
                <w:bCs w:val="1"/>
                <w:color w:val="170D67"/>
              </w:rPr>
              <w:t>($)</w:t>
            </w: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80" w:type="dxa"/>
            <w:vAlign w:val="bottom"/>
            <w:vMerge w:val="restart"/>
          </w:tcPr>
          <w:p>
            <w:pPr>
              <w:jc w:val="center"/>
              <w:ind w:right="828"/>
              <w:spacing w:after="0"/>
              <w:rPr>
                <w:sz w:val="20"/>
                <w:szCs w:val="20"/>
                <w:color w:val="auto"/>
              </w:rPr>
            </w:pPr>
            <w:r>
              <w:rPr>
                <w:rFonts w:ascii="Arial" w:cs="Arial" w:eastAsia="Arial" w:hAnsi="Arial"/>
                <w:sz w:val="14"/>
                <w:szCs w:val="14"/>
                <w:b w:val="1"/>
                <w:bCs w:val="1"/>
                <w:color w:val="170D67"/>
              </w:rPr>
              <w:t>($)</w:t>
            </w:r>
          </w:p>
        </w:tc>
        <w:tc>
          <w:tcPr>
            <w:tcW w:w="146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560" w:type="dxa"/>
            <w:vAlign w:val="bottom"/>
          </w:tcPr>
          <w:p>
            <w:pPr>
              <w:spacing w:after="0"/>
              <w:rPr>
                <w:sz w:val="11"/>
                <w:szCs w:val="11"/>
                <w:color w:val="auto"/>
              </w:rPr>
            </w:pPr>
          </w:p>
        </w:tc>
        <w:tc>
          <w:tcPr>
            <w:tcW w:w="960" w:type="dxa"/>
            <w:vAlign w:val="bottom"/>
            <w:tcBorders>
              <w:bottom w:val="single" w:sz="8" w:color="170D67"/>
            </w:tcBorders>
          </w:tcPr>
          <w:p>
            <w:pPr>
              <w:spacing w:after="0"/>
              <w:rPr>
                <w:sz w:val="11"/>
                <w:szCs w:val="11"/>
                <w:color w:val="auto"/>
              </w:rPr>
            </w:pPr>
          </w:p>
        </w:tc>
        <w:tc>
          <w:tcPr>
            <w:tcW w:w="1140" w:type="dxa"/>
            <w:vAlign w:val="bottom"/>
            <w:tcBorders>
              <w:bottom w:val="single" w:sz="8" w:color="170D67"/>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Borders>
              <w:bottom w:val="single" w:sz="8" w:color="170D67"/>
            </w:tcBorders>
          </w:tcPr>
          <w:p>
            <w:pPr>
              <w:spacing w:after="0"/>
              <w:rPr>
                <w:sz w:val="11"/>
                <w:szCs w:val="11"/>
                <w:color w:val="auto"/>
              </w:rPr>
            </w:pPr>
          </w:p>
        </w:tc>
        <w:tc>
          <w:tcPr>
            <w:tcW w:w="1080" w:type="dxa"/>
            <w:vAlign w:val="bottom"/>
            <w:tcBorders>
              <w:bottom w:val="single" w:sz="8" w:color="170D67"/>
            </w:tcBorders>
            <w:vMerge w:val="continue"/>
          </w:tcPr>
          <w:p>
            <w:pPr>
              <w:spacing w:after="0"/>
              <w:rPr>
                <w:sz w:val="11"/>
                <w:szCs w:val="11"/>
                <w:color w:val="auto"/>
              </w:rPr>
            </w:pPr>
          </w:p>
        </w:tc>
        <w:tc>
          <w:tcPr>
            <w:tcW w:w="1460" w:type="dxa"/>
            <w:vAlign w:val="bottom"/>
          </w:tcPr>
          <w:p>
            <w:pPr>
              <w:jc w:val="right"/>
              <w:ind w:right="88"/>
              <w:spacing w:after="0" w:line="125" w:lineRule="exact"/>
              <w:rPr>
                <w:sz w:val="20"/>
                <w:szCs w:val="20"/>
                <w:color w:val="auto"/>
              </w:rPr>
            </w:pPr>
            <w:r>
              <w:rPr>
                <w:rFonts w:ascii="Arial" w:cs="Arial" w:eastAsia="Arial" w:hAnsi="Arial"/>
                <w:sz w:val="14"/>
                <w:szCs w:val="14"/>
                <w:b w:val="1"/>
                <w:bCs w:val="1"/>
                <w:color w:val="170D67"/>
              </w:rPr>
              <w:t>Non-PEO NEOs</w:t>
            </w:r>
          </w:p>
        </w:tc>
        <w:tc>
          <w:tcPr>
            <w:tcW w:w="1160" w:type="dxa"/>
            <w:vAlign w:val="bottom"/>
          </w:tcPr>
          <w:p>
            <w:pPr>
              <w:jc w:val="right"/>
              <w:spacing w:after="0" w:line="125" w:lineRule="exact"/>
              <w:rPr>
                <w:sz w:val="20"/>
                <w:szCs w:val="20"/>
                <w:color w:val="auto"/>
              </w:rPr>
            </w:pPr>
            <w:r>
              <w:rPr>
                <w:rFonts w:ascii="Arial" w:cs="Arial" w:eastAsia="Arial" w:hAnsi="Arial"/>
                <w:sz w:val="14"/>
                <w:szCs w:val="14"/>
                <w:b w:val="1"/>
                <w:bCs w:val="1"/>
                <w:color w:val="170D67"/>
              </w:rPr>
              <w:t>NEOs</w:t>
            </w:r>
          </w:p>
        </w:tc>
        <w:tc>
          <w:tcPr>
            <w:tcW w:w="1240" w:type="dxa"/>
            <w:vAlign w:val="bottom"/>
          </w:tcPr>
          <w:p>
            <w:pPr>
              <w:jc w:val="right"/>
              <w:ind w:right="68"/>
              <w:spacing w:after="0" w:line="125" w:lineRule="exact"/>
              <w:rPr>
                <w:sz w:val="20"/>
                <w:szCs w:val="20"/>
                <w:color w:val="auto"/>
              </w:rPr>
            </w:pPr>
            <w:r>
              <w:rPr>
                <w:rFonts w:ascii="Arial" w:cs="Arial" w:eastAsia="Arial" w:hAnsi="Arial"/>
                <w:sz w:val="14"/>
                <w:szCs w:val="14"/>
                <w:b w:val="1"/>
                <w:bCs w:val="1"/>
                <w:color w:val="170D67"/>
              </w:rPr>
              <w:t>Return</w:t>
            </w:r>
          </w:p>
        </w:tc>
        <w:tc>
          <w:tcPr>
            <w:tcW w:w="1000" w:type="dxa"/>
            <w:vAlign w:val="bottom"/>
          </w:tcPr>
          <w:p>
            <w:pPr>
              <w:jc w:val="right"/>
              <w:spacing w:after="0" w:line="125" w:lineRule="exact"/>
              <w:rPr>
                <w:sz w:val="20"/>
                <w:szCs w:val="20"/>
                <w:color w:val="auto"/>
              </w:rPr>
            </w:pPr>
            <w:r>
              <w:rPr>
                <w:rFonts w:ascii="Arial" w:cs="Arial" w:eastAsia="Arial" w:hAnsi="Arial"/>
                <w:sz w:val="14"/>
                <w:szCs w:val="14"/>
                <w:b w:val="1"/>
                <w:bCs w:val="1"/>
                <w:color w:val="170D67"/>
              </w:rPr>
              <w:t>Return</w:t>
            </w:r>
          </w:p>
        </w:tc>
        <w:tc>
          <w:tcPr>
            <w:tcW w:w="980" w:type="dxa"/>
            <w:vAlign w:val="bottom"/>
          </w:tcPr>
          <w:p>
            <w:pPr>
              <w:jc w:val="right"/>
              <w:ind w:right="28"/>
              <w:spacing w:after="0" w:line="125" w:lineRule="exact"/>
              <w:rPr>
                <w:sz w:val="20"/>
                <w:szCs w:val="20"/>
                <w:color w:val="auto"/>
              </w:rPr>
            </w:pPr>
            <w:r>
              <w:rPr>
                <w:rFonts w:ascii="Arial" w:cs="Arial" w:eastAsia="Arial" w:hAnsi="Arial"/>
                <w:sz w:val="14"/>
                <w:szCs w:val="14"/>
                <w:b w:val="1"/>
                <w:bCs w:val="1"/>
                <w:color w:val="170D67"/>
              </w:rPr>
              <w:t>(millions)</w:t>
            </w:r>
          </w:p>
        </w:tc>
        <w:tc>
          <w:tcPr>
            <w:tcW w:w="600" w:type="dxa"/>
            <w:vAlign w:val="bottom"/>
          </w:tcPr>
          <w:p>
            <w:pPr>
              <w:jc w:val="right"/>
              <w:spacing w:after="0" w:line="125" w:lineRule="exact"/>
              <w:rPr>
                <w:sz w:val="20"/>
                <w:szCs w:val="20"/>
                <w:color w:val="auto"/>
              </w:rPr>
            </w:pPr>
            <w:r>
              <w:rPr>
                <w:rFonts w:ascii="Arial" w:cs="Arial" w:eastAsia="Arial" w:hAnsi="Arial"/>
                <w:sz w:val="14"/>
                <w:szCs w:val="14"/>
                <w:b w:val="1"/>
                <w:bCs w:val="1"/>
                <w:color w:val="170D67"/>
              </w:rPr>
              <w:t>Earned</w:t>
            </w:r>
          </w:p>
        </w:tc>
        <w:tc>
          <w:tcPr>
            <w:tcW w:w="0" w:type="dxa"/>
            <w:vAlign w:val="bottom"/>
          </w:tcPr>
          <w:p>
            <w:pPr>
              <w:spacing w:after="0"/>
              <w:rPr>
                <w:sz w:val="1"/>
                <w:szCs w:val="1"/>
                <w:color w:val="auto"/>
              </w:rPr>
            </w:pPr>
          </w:p>
        </w:tc>
      </w:tr>
      <w:tr>
        <w:trPr>
          <w:trHeight w:val="188"/>
        </w:trPr>
        <w:tc>
          <w:tcPr>
            <w:tcW w:w="560" w:type="dxa"/>
            <w:vAlign w:val="bottom"/>
          </w:tcPr>
          <w:p>
            <w:pPr>
              <w:ind w:left="20"/>
              <w:spacing w:after="0"/>
              <w:rPr>
                <w:sz w:val="20"/>
                <w:szCs w:val="20"/>
                <w:color w:val="auto"/>
              </w:rPr>
            </w:pPr>
            <w:r>
              <w:rPr>
                <w:rFonts w:ascii="Arial" w:cs="Arial" w:eastAsia="Arial" w:hAnsi="Arial"/>
                <w:sz w:val="14"/>
                <w:szCs w:val="14"/>
                <w:b w:val="1"/>
                <w:bCs w:val="1"/>
                <w:color w:val="170D67"/>
              </w:rPr>
              <w:t>Year</w:t>
            </w:r>
          </w:p>
        </w:tc>
        <w:tc>
          <w:tcPr>
            <w:tcW w:w="960" w:type="dxa"/>
            <w:vAlign w:val="bottom"/>
          </w:tcPr>
          <w:p>
            <w:pPr>
              <w:jc w:val="right"/>
              <w:ind w:right="168"/>
              <w:spacing w:after="0"/>
              <w:rPr>
                <w:sz w:val="20"/>
                <w:szCs w:val="20"/>
                <w:color w:val="auto"/>
              </w:rPr>
            </w:pPr>
            <w:r>
              <w:rPr>
                <w:rFonts w:ascii="Arial" w:cs="Arial" w:eastAsia="Arial" w:hAnsi="Arial"/>
                <w:sz w:val="14"/>
                <w:szCs w:val="14"/>
                <w:b w:val="1"/>
                <w:bCs w:val="1"/>
                <w:color w:val="170D67"/>
              </w:rPr>
              <w:t>Butler</w:t>
            </w:r>
          </w:p>
        </w:tc>
        <w:tc>
          <w:tcPr>
            <w:tcW w:w="12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170D67"/>
              </w:rPr>
              <w:t>Crane</w:t>
            </w:r>
          </w:p>
        </w:tc>
        <w:tc>
          <w:tcPr>
            <w:tcW w:w="920" w:type="dxa"/>
            <w:vAlign w:val="bottom"/>
          </w:tcPr>
          <w:p>
            <w:pPr>
              <w:jc w:val="right"/>
              <w:ind w:right="148"/>
              <w:spacing w:after="0"/>
              <w:rPr>
                <w:sz w:val="20"/>
                <w:szCs w:val="20"/>
                <w:color w:val="auto"/>
              </w:rPr>
            </w:pPr>
            <w:r>
              <w:rPr>
                <w:rFonts w:ascii="Arial" w:cs="Arial" w:eastAsia="Arial" w:hAnsi="Arial"/>
                <w:sz w:val="14"/>
                <w:szCs w:val="14"/>
                <w:b w:val="1"/>
                <w:bCs w:val="1"/>
                <w:color w:val="170D67"/>
              </w:rPr>
              <w:t>Butler</w:t>
            </w:r>
          </w:p>
        </w:tc>
        <w:tc>
          <w:tcPr>
            <w:tcW w:w="1080" w:type="dxa"/>
            <w:vAlign w:val="bottom"/>
          </w:tcPr>
          <w:p>
            <w:pPr>
              <w:jc w:val="right"/>
              <w:ind w:right="228"/>
              <w:spacing w:after="0"/>
              <w:rPr>
                <w:sz w:val="20"/>
                <w:szCs w:val="20"/>
                <w:color w:val="auto"/>
              </w:rPr>
            </w:pPr>
            <w:r>
              <w:rPr>
                <w:rFonts w:ascii="Arial" w:cs="Arial" w:eastAsia="Arial" w:hAnsi="Arial"/>
                <w:sz w:val="14"/>
                <w:szCs w:val="14"/>
                <w:b w:val="1"/>
                <w:bCs w:val="1"/>
                <w:color w:val="170D67"/>
              </w:rPr>
              <w:t>Crane</w:t>
            </w:r>
          </w:p>
        </w:tc>
        <w:tc>
          <w:tcPr>
            <w:tcW w:w="1460" w:type="dxa"/>
            <w:vAlign w:val="bottom"/>
          </w:tcPr>
          <w:p>
            <w:pPr>
              <w:jc w:val="right"/>
              <w:ind w:right="88"/>
              <w:spacing w:after="0"/>
              <w:rPr>
                <w:sz w:val="20"/>
                <w:szCs w:val="20"/>
                <w:color w:val="auto"/>
              </w:rPr>
            </w:pPr>
            <w:r>
              <w:rPr>
                <w:rFonts w:ascii="Arial" w:cs="Arial" w:eastAsia="Arial" w:hAnsi="Arial"/>
                <w:sz w:val="14"/>
                <w:szCs w:val="14"/>
                <w:b w:val="1"/>
                <w:bCs w:val="1"/>
                <w:color w:val="170D67"/>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170D67"/>
              </w:rPr>
              <w:t>($)</w:t>
            </w:r>
          </w:p>
        </w:tc>
        <w:tc>
          <w:tcPr>
            <w:tcW w:w="1240" w:type="dxa"/>
            <w:vAlign w:val="bottom"/>
          </w:tcPr>
          <w:p>
            <w:pPr>
              <w:jc w:val="right"/>
              <w:ind w:right="68"/>
              <w:spacing w:after="0"/>
              <w:rPr>
                <w:sz w:val="20"/>
                <w:szCs w:val="20"/>
                <w:color w:val="auto"/>
              </w:rPr>
            </w:pPr>
            <w:r>
              <w:rPr>
                <w:rFonts w:ascii="Arial" w:cs="Arial" w:eastAsia="Arial" w:hAnsi="Arial"/>
                <w:sz w:val="14"/>
                <w:szCs w:val="14"/>
                <w:b w:val="1"/>
                <w:bCs w:val="1"/>
                <w:color w:val="170D67"/>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170D67"/>
              </w:rPr>
              <w:t>($)</w:t>
            </w: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170D67"/>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170D67"/>
              </w:rPr>
              <w:t>ROE*</w:t>
            </w:r>
          </w:p>
        </w:tc>
        <w:tc>
          <w:tcPr>
            <w:tcW w:w="0" w:type="dxa"/>
            <w:vAlign w:val="bottom"/>
          </w:tcPr>
          <w:p>
            <w:pPr>
              <w:spacing w:after="0"/>
              <w:rPr>
                <w:sz w:val="1"/>
                <w:szCs w:val="1"/>
                <w:color w:val="auto"/>
              </w:rPr>
            </w:pPr>
          </w:p>
        </w:tc>
      </w:tr>
      <w:tr>
        <w:trPr>
          <w:trHeight w:val="211"/>
        </w:trPr>
        <w:tc>
          <w:tcPr>
            <w:tcW w:w="560" w:type="dxa"/>
            <w:vAlign w:val="bottom"/>
            <w:tcBorders>
              <w:bottom w:val="single" w:sz="8" w:color="170D67"/>
            </w:tcBorders>
          </w:tcPr>
          <w:p>
            <w:pPr>
              <w:ind w:left="20"/>
              <w:spacing w:after="0"/>
              <w:rPr>
                <w:sz w:val="20"/>
                <w:szCs w:val="20"/>
                <w:color w:val="auto"/>
              </w:rPr>
            </w:pPr>
            <w:r>
              <w:rPr>
                <w:rFonts w:ascii="Arial" w:cs="Arial" w:eastAsia="Arial" w:hAnsi="Arial"/>
                <w:sz w:val="14"/>
                <w:szCs w:val="14"/>
                <w:b w:val="1"/>
                <w:bCs w:val="1"/>
                <w:color w:val="170D67"/>
              </w:rPr>
              <w:t>(a)</w:t>
            </w:r>
          </w:p>
        </w:tc>
        <w:tc>
          <w:tcPr>
            <w:tcW w:w="960" w:type="dxa"/>
            <w:vAlign w:val="bottom"/>
            <w:tcBorders>
              <w:bottom w:val="single" w:sz="8" w:color="170D67"/>
            </w:tcBorders>
          </w:tcPr>
          <w:p>
            <w:pPr>
              <w:jc w:val="right"/>
              <w:ind w:right="248"/>
              <w:spacing w:after="0"/>
              <w:rPr>
                <w:sz w:val="20"/>
                <w:szCs w:val="20"/>
                <w:color w:val="auto"/>
              </w:rPr>
            </w:pPr>
            <w:r>
              <w:rPr>
                <w:rFonts w:ascii="Arial" w:cs="Arial" w:eastAsia="Arial" w:hAnsi="Arial"/>
                <w:sz w:val="14"/>
                <w:szCs w:val="14"/>
                <w:b w:val="1"/>
                <w:bCs w:val="1"/>
                <w:color w:val="170D67"/>
              </w:rPr>
              <w:t>(b1)</w:t>
            </w:r>
          </w:p>
        </w:tc>
        <w:tc>
          <w:tcPr>
            <w:tcW w:w="1260" w:type="dxa"/>
            <w:vAlign w:val="bottom"/>
            <w:tcBorders>
              <w:bottom w:val="single" w:sz="8" w:color="170D67"/>
            </w:tcBorders>
            <w:gridSpan w:val="2"/>
          </w:tcPr>
          <w:p>
            <w:pPr>
              <w:jc w:val="center"/>
              <w:ind w:right="40"/>
              <w:spacing w:after="0"/>
              <w:rPr>
                <w:sz w:val="20"/>
                <w:szCs w:val="20"/>
                <w:color w:val="auto"/>
              </w:rPr>
            </w:pPr>
            <w:r>
              <w:rPr>
                <w:rFonts w:ascii="Arial" w:cs="Arial" w:eastAsia="Arial" w:hAnsi="Arial"/>
                <w:sz w:val="14"/>
                <w:szCs w:val="14"/>
                <w:b w:val="1"/>
                <w:bCs w:val="1"/>
                <w:color w:val="170D67"/>
              </w:rPr>
              <w:t>(b2)</w:t>
            </w:r>
          </w:p>
        </w:tc>
        <w:tc>
          <w:tcPr>
            <w:tcW w:w="920" w:type="dxa"/>
            <w:vAlign w:val="bottom"/>
            <w:tcBorders>
              <w:bottom w:val="single" w:sz="8" w:color="170D67"/>
            </w:tcBorders>
          </w:tcPr>
          <w:p>
            <w:pPr>
              <w:jc w:val="right"/>
              <w:ind w:right="228"/>
              <w:spacing w:after="0"/>
              <w:rPr>
                <w:sz w:val="20"/>
                <w:szCs w:val="20"/>
                <w:color w:val="auto"/>
              </w:rPr>
            </w:pPr>
            <w:r>
              <w:rPr>
                <w:rFonts w:ascii="Arial" w:cs="Arial" w:eastAsia="Arial" w:hAnsi="Arial"/>
                <w:sz w:val="14"/>
                <w:szCs w:val="14"/>
                <w:b w:val="1"/>
                <w:bCs w:val="1"/>
                <w:color w:val="170D67"/>
              </w:rPr>
              <w:t>(c1)</w:t>
            </w:r>
          </w:p>
        </w:tc>
        <w:tc>
          <w:tcPr>
            <w:tcW w:w="1080" w:type="dxa"/>
            <w:vAlign w:val="bottom"/>
            <w:tcBorders>
              <w:bottom w:val="single" w:sz="8" w:color="170D67"/>
            </w:tcBorders>
          </w:tcPr>
          <w:p>
            <w:pPr>
              <w:jc w:val="right"/>
              <w:ind w:right="308"/>
              <w:spacing w:after="0"/>
              <w:rPr>
                <w:sz w:val="20"/>
                <w:szCs w:val="20"/>
                <w:color w:val="auto"/>
              </w:rPr>
            </w:pPr>
            <w:r>
              <w:rPr>
                <w:rFonts w:ascii="Arial" w:cs="Arial" w:eastAsia="Arial" w:hAnsi="Arial"/>
                <w:sz w:val="14"/>
                <w:szCs w:val="14"/>
                <w:b w:val="1"/>
                <w:bCs w:val="1"/>
                <w:color w:val="170D67"/>
              </w:rPr>
              <w:t>(c2)</w:t>
            </w:r>
          </w:p>
        </w:tc>
        <w:tc>
          <w:tcPr>
            <w:tcW w:w="1460" w:type="dxa"/>
            <w:vAlign w:val="bottom"/>
            <w:tcBorders>
              <w:bottom w:val="single" w:sz="8" w:color="170D67"/>
            </w:tcBorders>
          </w:tcPr>
          <w:p>
            <w:pPr>
              <w:jc w:val="right"/>
              <w:ind w:right="88"/>
              <w:spacing w:after="0"/>
              <w:rPr>
                <w:sz w:val="20"/>
                <w:szCs w:val="20"/>
                <w:color w:val="auto"/>
              </w:rPr>
            </w:pPr>
            <w:r>
              <w:rPr>
                <w:rFonts w:ascii="Arial" w:cs="Arial" w:eastAsia="Arial" w:hAnsi="Arial"/>
                <w:sz w:val="14"/>
                <w:szCs w:val="14"/>
                <w:b w:val="1"/>
                <w:bCs w:val="1"/>
                <w:color w:val="170D67"/>
              </w:rPr>
              <w:t>(d)</w:t>
            </w:r>
          </w:p>
        </w:tc>
        <w:tc>
          <w:tcPr>
            <w:tcW w:w="1160" w:type="dxa"/>
            <w:vAlign w:val="bottom"/>
            <w:tcBorders>
              <w:bottom w:val="single" w:sz="8" w:color="170D67"/>
            </w:tcBorders>
          </w:tcPr>
          <w:p>
            <w:pPr>
              <w:jc w:val="right"/>
              <w:spacing w:after="0"/>
              <w:rPr>
                <w:sz w:val="20"/>
                <w:szCs w:val="20"/>
                <w:color w:val="auto"/>
              </w:rPr>
            </w:pPr>
            <w:r>
              <w:rPr>
                <w:rFonts w:ascii="Arial" w:cs="Arial" w:eastAsia="Arial" w:hAnsi="Arial"/>
                <w:sz w:val="14"/>
                <w:szCs w:val="14"/>
                <w:b w:val="1"/>
                <w:bCs w:val="1"/>
                <w:color w:val="170D67"/>
              </w:rPr>
              <w:t>(e)</w:t>
            </w:r>
          </w:p>
        </w:tc>
        <w:tc>
          <w:tcPr>
            <w:tcW w:w="1240" w:type="dxa"/>
            <w:vAlign w:val="bottom"/>
            <w:tcBorders>
              <w:bottom w:val="single" w:sz="8" w:color="170D67"/>
            </w:tcBorders>
          </w:tcPr>
          <w:p>
            <w:pPr>
              <w:jc w:val="right"/>
              <w:ind w:right="68"/>
              <w:spacing w:after="0"/>
              <w:rPr>
                <w:sz w:val="20"/>
                <w:szCs w:val="20"/>
                <w:color w:val="auto"/>
              </w:rPr>
            </w:pPr>
            <w:r>
              <w:rPr>
                <w:rFonts w:ascii="Arial" w:cs="Arial" w:eastAsia="Arial" w:hAnsi="Arial"/>
                <w:sz w:val="14"/>
                <w:szCs w:val="14"/>
                <w:b w:val="1"/>
                <w:bCs w:val="1"/>
                <w:color w:val="170D67"/>
              </w:rPr>
              <w:t>(f)</w:t>
            </w:r>
          </w:p>
        </w:tc>
        <w:tc>
          <w:tcPr>
            <w:tcW w:w="1000" w:type="dxa"/>
            <w:vAlign w:val="bottom"/>
            <w:tcBorders>
              <w:bottom w:val="single" w:sz="8" w:color="170D67"/>
            </w:tcBorders>
          </w:tcPr>
          <w:p>
            <w:pPr>
              <w:jc w:val="right"/>
              <w:spacing w:after="0"/>
              <w:rPr>
                <w:sz w:val="20"/>
                <w:szCs w:val="20"/>
                <w:color w:val="auto"/>
              </w:rPr>
            </w:pPr>
            <w:r>
              <w:rPr>
                <w:rFonts w:ascii="Arial" w:cs="Arial" w:eastAsia="Arial" w:hAnsi="Arial"/>
                <w:sz w:val="14"/>
                <w:szCs w:val="14"/>
                <w:b w:val="1"/>
                <w:bCs w:val="1"/>
                <w:color w:val="170D67"/>
              </w:rPr>
              <w:t>(g)</w:t>
            </w:r>
          </w:p>
        </w:tc>
        <w:tc>
          <w:tcPr>
            <w:tcW w:w="980" w:type="dxa"/>
            <w:vAlign w:val="bottom"/>
            <w:tcBorders>
              <w:bottom w:val="single" w:sz="8" w:color="170D67"/>
            </w:tcBorders>
          </w:tcPr>
          <w:p>
            <w:pPr>
              <w:jc w:val="right"/>
              <w:ind w:right="28"/>
              <w:spacing w:after="0"/>
              <w:rPr>
                <w:sz w:val="20"/>
                <w:szCs w:val="20"/>
                <w:color w:val="auto"/>
              </w:rPr>
            </w:pPr>
            <w:r>
              <w:rPr>
                <w:rFonts w:ascii="Arial" w:cs="Arial" w:eastAsia="Arial" w:hAnsi="Arial"/>
                <w:sz w:val="14"/>
                <w:szCs w:val="14"/>
                <w:b w:val="1"/>
                <w:bCs w:val="1"/>
                <w:color w:val="170D67"/>
              </w:rPr>
              <w:t>(h)</w:t>
            </w:r>
          </w:p>
        </w:tc>
        <w:tc>
          <w:tcPr>
            <w:tcW w:w="600" w:type="dxa"/>
            <w:vAlign w:val="bottom"/>
            <w:tcBorders>
              <w:bottom w:val="single" w:sz="8" w:color="170D67"/>
            </w:tcBorders>
          </w:tcPr>
          <w:p>
            <w:pPr>
              <w:jc w:val="right"/>
              <w:spacing w:after="0"/>
              <w:rPr>
                <w:sz w:val="20"/>
                <w:szCs w:val="20"/>
                <w:color w:val="auto"/>
              </w:rPr>
            </w:pPr>
            <w:r>
              <w:rPr>
                <w:rFonts w:ascii="Arial" w:cs="Arial" w:eastAsia="Arial" w:hAnsi="Arial"/>
                <w:sz w:val="14"/>
                <w:szCs w:val="14"/>
                <w:b w:val="1"/>
                <w:bCs w:val="1"/>
                <w:color w:val="170D67"/>
              </w:rPr>
              <w:t>(i)</w:t>
            </w:r>
          </w:p>
        </w:tc>
        <w:tc>
          <w:tcPr>
            <w:tcW w:w="0" w:type="dxa"/>
            <w:vAlign w:val="bottom"/>
          </w:tcPr>
          <w:p>
            <w:pPr>
              <w:spacing w:after="0"/>
              <w:rPr>
                <w:sz w:val="1"/>
                <w:szCs w:val="1"/>
                <w:color w:val="auto"/>
              </w:rPr>
            </w:pPr>
          </w:p>
        </w:tc>
      </w:tr>
      <w:tr>
        <w:trPr>
          <w:trHeight w:val="216"/>
        </w:trPr>
        <w:tc>
          <w:tcPr>
            <w:tcW w:w="560" w:type="dxa"/>
            <w:vAlign w:val="bottom"/>
          </w:tcPr>
          <w:p>
            <w:pPr>
              <w:ind w:left="20"/>
              <w:spacing w:after="0"/>
              <w:rPr>
                <w:sz w:val="20"/>
                <w:szCs w:val="20"/>
                <w:color w:val="auto"/>
              </w:rPr>
            </w:pPr>
            <w:r>
              <w:rPr>
                <w:rFonts w:ascii="Arial" w:cs="Arial" w:eastAsia="Arial" w:hAnsi="Arial"/>
                <w:sz w:val="14"/>
                <w:szCs w:val="14"/>
                <w:color w:val="auto"/>
              </w:rPr>
              <w:t>2024</w:t>
            </w:r>
          </w:p>
        </w:tc>
        <w:tc>
          <w:tcPr>
            <w:tcW w:w="960" w:type="dxa"/>
            <w:vAlign w:val="bottom"/>
          </w:tcPr>
          <w:p>
            <w:pPr>
              <w:jc w:val="right"/>
              <w:spacing w:after="0"/>
              <w:rPr>
                <w:sz w:val="20"/>
                <w:szCs w:val="20"/>
                <w:color w:val="auto"/>
              </w:rPr>
            </w:pPr>
            <w:r>
              <w:rPr>
                <w:rFonts w:ascii="Arial" w:cs="Arial" w:eastAsia="Arial" w:hAnsi="Arial"/>
                <w:sz w:val="14"/>
                <w:szCs w:val="14"/>
                <w:color w:val="auto"/>
              </w:rPr>
              <w:t>14,662,925</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14,638,992</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48"/>
              <w:spacing w:after="0"/>
              <w:rPr>
                <w:sz w:val="20"/>
                <w:szCs w:val="20"/>
                <w:color w:val="auto"/>
              </w:rPr>
            </w:pPr>
            <w:r>
              <w:rPr>
                <w:rFonts w:ascii="Arial" w:cs="Arial" w:eastAsia="Arial" w:hAnsi="Arial"/>
                <w:sz w:val="14"/>
                <w:szCs w:val="14"/>
                <w:color w:val="auto"/>
              </w:rPr>
              <w:t>3,542,148</w:t>
            </w:r>
          </w:p>
        </w:tc>
        <w:tc>
          <w:tcPr>
            <w:tcW w:w="1160" w:type="dxa"/>
            <w:vAlign w:val="bottom"/>
          </w:tcPr>
          <w:p>
            <w:pPr>
              <w:jc w:val="right"/>
              <w:spacing w:after="0"/>
              <w:rPr>
                <w:sz w:val="20"/>
                <w:szCs w:val="20"/>
                <w:color w:val="auto"/>
              </w:rPr>
            </w:pPr>
            <w:r>
              <w:rPr>
                <w:rFonts w:ascii="Arial" w:cs="Arial" w:eastAsia="Arial" w:hAnsi="Arial"/>
                <w:sz w:val="14"/>
                <w:szCs w:val="14"/>
                <w:color w:val="auto"/>
              </w:rPr>
              <w:t>3,467,807</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138</w:t>
            </w:r>
          </w:p>
        </w:tc>
        <w:tc>
          <w:tcPr>
            <w:tcW w:w="1000" w:type="dxa"/>
            <w:vAlign w:val="bottom"/>
          </w:tcPr>
          <w:p>
            <w:pPr>
              <w:jc w:val="right"/>
              <w:spacing w:after="0"/>
              <w:rPr>
                <w:sz w:val="20"/>
                <w:szCs w:val="20"/>
                <w:color w:val="auto"/>
              </w:rPr>
            </w:pPr>
            <w:r>
              <w:rPr>
                <w:rFonts w:ascii="Arial" w:cs="Arial" w:eastAsia="Arial" w:hAnsi="Arial"/>
                <w:sz w:val="14"/>
                <w:szCs w:val="14"/>
                <w:color w:val="auto"/>
              </w:rPr>
              <w:t>134</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2,460</w:t>
            </w:r>
          </w:p>
        </w:tc>
        <w:tc>
          <w:tcPr>
            <w:tcW w:w="600" w:type="dxa"/>
            <w:vAlign w:val="bottom"/>
          </w:tcPr>
          <w:p>
            <w:pPr>
              <w:ind w:left="200"/>
              <w:spacing w:after="0"/>
              <w:rPr>
                <w:sz w:val="20"/>
                <w:szCs w:val="20"/>
                <w:color w:val="auto"/>
              </w:rPr>
            </w:pPr>
            <w:r>
              <w:rPr>
                <w:rFonts w:ascii="Arial" w:cs="Arial" w:eastAsia="Arial" w:hAnsi="Arial"/>
                <w:sz w:val="14"/>
                <w:szCs w:val="14"/>
                <w:color w:val="212529"/>
              </w:rPr>
              <w:t>9.1%</w:t>
            </w:r>
          </w:p>
        </w:tc>
        <w:tc>
          <w:tcPr>
            <w:tcW w:w="0" w:type="dxa"/>
            <w:vAlign w:val="bottom"/>
          </w:tcPr>
          <w:p>
            <w:pPr>
              <w:spacing w:after="0"/>
              <w:rPr>
                <w:sz w:val="1"/>
                <w:szCs w:val="1"/>
                <w:color w:val="auto"/>
              </w:rPr>
            </w:pPr>
          </w:p>
        </w:tc>
      </w:tr>
      <w:tr>
        <w:trPr>
          <w:trHeight w:val="22"/>
        </w:trPr>
        <w:tc>
          <w:tcPr>
            <w:tcW w:w="560" w:type="dxa"/>
            <w:vAlign w:val="bottom"/>
            <w:tcBorders>
              <w:bottom w:val="single" w:sz="8" w:color="929292"/>
            </w:tcBorders>
          </w:tcPr>
          <w:p>
            <w:pPr>
              <w:spacing w:after="0" w:line="20" w:lineRule="exact"/>
              <w:rPr>
                <w:sz w:val="1"/>
                <w:szCs w:val="1"/>
                <w:color w:val="auto"/>
              </w:rPr>
            </w:pPr>
          </w:p>
        </w:tc>
        <w:tc>
          <w:tcPr>
            <w:tcW w:w="960" w:type="dxa"/>
            <w:vAlign w:val="bottom"/>
            <w:tcBorders>
              <w:bottom w:val="single" w:sz="8" w:color="929292"/>
            </w:tcBorders>
          </w:tcPr>
          <w:p>
            <w:pPr>
              <w:spacing w:after="0" w:line="20" w:lineRule="exact"/>
              <w:rPr>
                <w:sz w:val="1"/>
                <w:szCs w:val="1"/>
                <w:color w:val="auto"/>
              </w:rPr>
            </w:pPr>
          </w:p>
        </w:tc>
        <w:tc>
          <w:tcPr>
            <w:tcW w:w="1140" w:type="dxa"/>
            <w:vAlign w:val="bottom"/>
            <w:tcBorders>
              <w:bottom w:val="single" w:sz="8" w:color="929292"/>
            </w:tcBorders>
          </w:tcPr>
          <w:p>
            <w:pPr>
              <w:spacing w:after="0" w:line="20" w:lineRule="exact"/>
              <w:rPr>
                <w:sz w:val="1"/>
                <w:szCs w:val="1"/>
                <w:color w:val="auto"/>
              </w:rPr>
            </w:pPr>
          </w:p>
        </w:tc>
        <w:tc>
          <w:tcPr>
            <w:tcW w:w="120" w:type="dxa"/>
            <w:vAlign w:val="bottom"/>
            <w:tcBorders>
              <w:bottom w:val="single" w:sz="8" w:color="929292"/>
            </w:tcBorders>
          </w:tcPr>
          <w:p>
            <w:pPr>
              <w:spacing w:after="0" w:line="20" w:lineRule="exact"/>
              <w:rPr>
                <w:sz w:val="1"/>
                <w:szCs w:val="1"/>
                <w:color w:val="auto"/>
              </w:rPr>
            </w:pPr>
          </w:p>
        </w:tc>
        <w:tc>
          <w:tcPr>
            <w:tcW w:w="920" w:type="dxa"/>
            <w:vAlign w:val="bottom"/>
            <w:tcBorders>
              <w:bottom w:val="single" w:sz="8" w:color="929292"/>
            </w:tcBorders>
          </w:tcPr>
          <w:p>
            <w:pPr>
              <w:spacing w:after="0" w:line="20" w:lineRule="exact"/>
              <w:rPr>
                <w:sz w:val="1"/>
                <w:szCs w:val="1"/>
                <w:color w:val="auto"/>
              </w:rPr>
            </w:pPr>
          </w:p>
        </w:tc>
        <w:tc>
          <w:tcPr>
            <w:tcW w:w="1080" w:type="dxa"/>
            <w:vAlign w:val="bottom"/>
            <w:tcBorders>
              <w:bottom w:val="single" w:sz="8" w:color="929292"/>
            </w:tcBorders>
          </w:tcPr>
          <w:p>
            <w:pPr>
              <w:spacing w:after="0" w:line="20" w:lineRule="exact"/>
              <w:rPr>
                <w:sz w:val="1"/>
                <w:szCs w:val="1"/>
                <w:color w:val="auto"/>
              </w:rPr>
            </w:pPr>
          </w:p>
        </w:tc>
        <w:tc>
          <w:tcPr>
            <w:tcW w:w="1460" w:type="dxa"/>
            <w:vAlign w:val="bottom"/>
            <w:tcBorders>
              <w:bottom w:val="single" w:sz="8" w:color="929292"/>
            </w:tcBorders>
          </w:tcPr>
          <w:p>
            <w:pPr>
              <w:spacing w:after="0" w:line="20" w:lineRule="exact"/>
              <w:rPr>
                <w:sz w:val="1"/>
                <w:szCs w:val="1"/>
                <w:color w:val="auto"/>
              </w:rPr>
            </w:pPr>
          </w:p>
        </w:tc>
        <w:tc>
          <w:tcPr>
            <w:tcW w:w="1160" w:type="dxa"/>
            <w:vAlign w:val="bottom"/>
            <w:tcBorders>
              <w:bottom w:val="single" w:sz="8" w:color="929292"/>
            </w:tcBorders>
          </w:tcPr>
          <w:p>
            <w:pPr>
              <w:spacing w:after="0" w:line="20" w:lineRule="exact"/>
              <w:rPr>
                <w:sz w:val="1"/>
                <w:szCs w:val="1"/>
                <w:color w:val="auto"/>
              </w:rPr>
            </w:pPr>
          </w:p>
        </w:tc>
        <w:tc>
          <w:tcPr>
            <w:tcW w:w="1240" w:type="dxa"/>
            <w:vAlign w:val="bottom"/>
            <w:tcBorders>
              <w:bottom w:val="single" w:sz="8" w:color="929292"/>
            </w:tcBorders>
          </w:tcPr>
          <w:p>
            <w:pPr>
              <w:spacing w:after="0" w:line="20" w:lineRule="exact"/>
              <w:rPr>
                <w:sz w:val="1"/>
                <w:szCs w:val="1"/>
                <w:color w:val="auto"/>
              </w:rPr>
            </w:pPr>
          </w:p>
        </w:tc>
        <w:tc>
          <w:tcPr>
            <w:tcW w:w="1000" w:type="dxa"/>
            <w:vAlign w:val="bottom"/>
            <w:tcBorders>
              <w:bottom w:val="single" w:sz="8" w:color="929292"/>
            </w:tcBorders>
          </w:tcPr>
          <w:p>
            <w:pPr>
              <w:spacing w:after="0" w:line="20" w:lineRule="exact"/>
              <w:rPr>
                <w:sz w:val="1"/>
                <w:szCs w:val="1"/>
                <w:color w:val="auto"/>
              </w:rPr>
            </w:pPr>
          </w:p>
        </w:tc>
        <w:tc>
          <w:tcPr>
            <w:tcW w:w="980" w:type="dxa"/>
            <w:vAlign w:val="bottom"/>
            <w:tcBorders>
              <w:bottom w:val="single" w:sz="8" w:color="929292"/>
            </w:tcBorders>
          </w:tcPr>
          <w:p>
            <w:pPr>
              <w:spacing w:after="0" w:line="20" w:lineRule="exact"/>
              <w:rPr>
                <w:sz w:val="1"/>
                <w:szCs w:val="1"/>
                <w:color w:val="auto"/>
              </w:rPr>
            </w:pPr>
          </w:p>
        </w:tc>
        <w:tc>
          <w:tcPr>
            <w:tcW w:w="60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560" w:type="dxa"/>
            <w:vAlign w:val="bottom"/>
          </w:tcPr>
          <w:p>
            <w:pPr>
              <w:ind w:left="20"/>
              <w:spacing w:after="0"/>
              <w:rPr>
                <w:sz w:val="20"/>
                <w:szCs w:val="20"/>
                <w:color w:val="auto"/>
              </w:rPr>
            </w:pPr>
            <w:r>
              <w:rPr>
                <w:rFonts w:ascii="Arial" w:cs="Arial" w:eastAsia="Arial" w:hAnsi="Arial"/>
                <w:sz w:val="14"/>
                <w:szCs w:val="14"/>
                <w:color w:val="auto"/>
              </w:rPr>
              <w:t>2023</w:t>
            </w:r>
          </w:p>
        </w:tc>
        <w:tc>
          <w:tcPr>
            <w:tcW w:w="960" w:type="dxa"/>
            <w:vAlign w:val="bottom"/>
          </w:tcPr>
          <w:p>
            <w:pPr>
              <w:jc w:val="right"/>
              <w:spacing w:after="0"/>
              <w:rPr>
                <w:sz w:val="20"/>
                <w:szCs w:val="20"/>
                <w:color w:val="auto"/>
              </w:rPr>
            </w:pPr>
            <w:r>
              <w:rPr>
                <w:rFonts w:ascii="Arial" w:cs="Arial" w:eastAsia="Arial" w:hAnsi="Arial"/>
                <w:sz w:val="14"/>
                <w:szCs w:val="14"/>
                <w:color w:val="auto"/>
              </w:rPr>
              <w:t>12,266,720</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9,261,591</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48"/>
              <w:spacing w:after="0"/>
              <w:rPr>
                <w:sz w:val="20"/>
                <w:szCs w:val="20"/>
                <w:color w:val="auto"/>
              </w:rPr>
            </w:pPr>
            <w:r>
              <w:rPr>
                <w:rFonts w:ascii="Arial" w:cs="Arial" w:eastAsia="Arial" w:hAnsi="Arial"/>
                <w:sz w:val="14"/>
                <w:szCs w:val="14"/>
                <w:color w:val="auto"/>
              </w:rPr>
              <w:t>3,247,012</w:t>
            </w:r>
          </w:p>
        </w:tc>
        <w:tc>
          <w:tcPr>
            <w:tcW w:w="1160" w:type="dxa"/>
            <w:vAlign w:val="bottom"/>
          </w:tcPr>
          <w:p>
            <w:pPr>
              <w:jc w:val="right"/>
              <w:spacing w:after="0"/>
              <w:rPr>
                <w:sz w:val="20"/>
                <w:szCs w:val="20"/>
                <w:color w:val="auto"/>
              </w:rPr>
            </w:pPr>
            <w:r>
              <w:rPr>
                <w:rFonts w:ascii="Arial" w:cs="Arial" w:eastAsia="Arial" w:hAnsi="Arial"/>
                <w:sz w:val="14"/>
                <w:szCs w:val="14"/>
                <w:color w:val="auto"/>
              </w:rPr>
              <w:t>2,557,696</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127</w:t>
            </w:r>
          </w:p>
        </w:tc>
        <w:tc>
          <w:tcPr>
            <w:tcW w:w="1000" w:type="dxa"/>
            <w:vAlign w:val="bottom"/>
          </w:tcPr>
          <w:p>
            <w:pPr>
              <w:jc w:val="right"/>
              <w:spacing w:after="0"/>
              <w:rPr>
                <w:sz w:val="20"/>
                <w:szCs w:val="20"/>
                <w:color w:val="auto"/>
              </w:rPr>
            </w:pPr>
            <w:r>
              <w:rPr>
                <w:rFonts w:ascii="Arial" w:cs="Arial" w:eastAsia="Arial" w:hAnsi="Arial"/>
                <w:sz w:val="14"/>
                <w:szCs w:val="14"/>
                <w:color w:val="auto"/>
              </w:rPr>
              <w:t>111</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2,328</w:t>
            </w:r>
          </w:p>
        </w:tc>
        <w:tc>
          <w:tcPr>
            <w:tcW w:w="600" w:type="dxa"/>
            <w:vAlign w:val="bottom"/>
          </w:tcPr>
          <w:p>
            <w:pPr>
              <w:ind w:left="200"/>
              <w:spacing w:after="0"/>
              <w:rPr>
                <w:sz w:val="20"/>
                <w:szCs w:val="20"/>
                <w:color w:val="auto"/>
              </w:rPr>
            </w:pPr>
            <w:r>
              <w:rPr>
                <w:rFonts w:ascii="Arial" w:cs="Arial" w:eastAsia="Arial" w:hAnsi="Arial"/>
                <w:sz w:val="14"/>
                <w:szCs w:val="14"/>
                <w:color w:val="212529"/>
              </w:rPr>
              <w:t>9.3%</w:t>
            </w:r>
          </w:p>
        </w:tc>
        <w:tc>
          <w:tcPr>
            <w:tcW w:w="0" w:type="dxa"/>
            <w:vAlign w:val="bottom"/>
          </w:tcPr>
          <w:p>
            <w:pPr>
              <w:spacing w:after="0"/>
              <w:rPr>
                <w:sz w:val="1"/>
                <w:szCs w:val="1"/>
                <w:color w:val="auto"/>
              </w:rPr>
            </w:pPr>
          </w:p>
        </w:tc>
      </w:tr>
      <w:tr>
        <w:trPr>
          <w:trHeight w:val="22"/>
        </w:trPr>
        <w:tc>
          <w:tcPr>
            <w:tcW w:w="560" w:type="dxa"/>
            <w:vAlign w:val="bottom"/>
            <w:tcBorders>
              <w:bottom w:val="single" w:sz="8" w:color="929292"/>
            </w:tcBorders>
          </w:tcPr>
          <w:p>
            <w:pPr>
              <w:spacing w:after="0" w:line="20" w:lineRule="exact"/>
              <w:rPr>
                <w:sz w:val="1"/>
                <w:szCs w:val="1"/>
                <w:color w:val="auto"/>
              </w:rPr>
            </w:pPr>
          </w:p>
        </w:tc>
        <w:tc>
          <w:tcPr>
            <w:tcW w:w="960" w:type="dxa"/>
            <w:vAlign w:val="bottom"/>
            <w:tcBorders>
              <w:bottom w:val="single" w:sz="8" w:color="929292"/>
            </w:tcBorders>
          </w:tcPr>
          <w:p>
            <w:pPr>
              <w:spacing w:after="0" w:line="20" w:lineRule="exact"/>
              <w:rPr>
                <w:sz w:val="1"/>
                <w:szCs w:val="1"/>
                <w:color w:val="auto"/>
              </w:rPr>
            </w:pPr>
          </w:p>
        </w:tc>
        <w:tc>
          <w:tcPr>
            <w:tcW w:w="1140" w:type="dxa"/>
            <w:vAlign w:val="bottom"/>
            <w:tcBorders>
              <w:bottom w:val="single" w:sz="8" w:color="929292"/>
            </w:tcBorders>
          </w:tcPr>
          <w:p>
            <w:pPr>
              <w:spacing w:after="0" w:line="20" w:lineRule="exact"/>
              <w:rPr>
                <w:sz w:val="1"/>
                <w:szCs w:val="1"/>
                <w:color w:val="auto"/>
              </w:rPr>
            </w:pPr>
          </w:p>
        </w:tc>
        <w:tc>
          <w:tcPr>
            <w:tcW w:w="120" w:type="dxa"/>
            <w:vAlign w:val="bottom"/>
            <w:tcBorders>
              <w:bottom w:val="single" w:sz="8" w:color="929292"/>
            </w:tcBorders>
          </w:tcPr>
          <w:p>
            <w:pPr>
              <w:spacing w:after="0" w:line="20" w:lineRule="exact"/>
              <w:rPr>
                <w:sz w:val="1"/>
                <w:szCs w:val="1"/>
                <w:color w:val="auto"/>
              </w:rPr>
            </w:pPr>
          </w:p>
        </w:tc>
        <w:tc>
          <w:tcPr>
            <w:tcW w:w="920" w:type="dxa"/>
            <w:vAlign w:val="bottom"/>
            <w:tcBorders>
              <w:bottom w:val="single" w:sz="8" w:color="929292"/>
            </w:tcBorders>
          </w:tcPr>
          <w:p>
            <w:pPr>
              <w:spacing w:after="0" w:line="20" w:lineRule="exact"/>
              <w:rPr>
                <w:sz w:val="1"/>
                <w:szCs w:val="1"/>
                <w:color w:val="auto"/>
              </w:rPr>
            </w:pPr>
          </w:p>
        </w:tc>
        <w:tc>
          <w:tcPr>
            <w:tcW w:w="1080" w:type="dxa"/>
            <w:vAlign w:val="bottom"/>
            <w:tcBorders>
              <w:bottom w:val="single" w:sz="8" w:color="929292"/>
            </w:tcBorders>
          </w:tcPr>
          <w:p>
            <w:pPr>
              <w:spacing w:after="0" w:line="20" w:lineRule="exact"/>
              <w:rPr>
                <w:sz w:val="1"/>
                <w:szCs w:val="1"/>
                <w:color w:val="auto"/>
              </w:rPr>
            </w:pPr>
          </w:p>
        </w:tc>
        <w:tc>
          <w:tcPr>
            <w:tcW w:w="1460" w:type="dxa"/>
            <w:vAlign w:val="bottom"/>
            <w:tcBorders>
              <w:bottom w:val="single" w:sz="8" w:color="929292"/>
            </w:tcBorders>
          </w:tcPr>
          <w:p>
            <w:pPr>
              <w:spacing w:after="0" w:line="20" w:lineRule="exact"/>
              <w:rPr>
                <w:sz w:val="1"/>
                <w:szCs w:val="1"/>
                <w:color w:val="auto"/>
              </w:rPr>
            </w:pPr>
          </w:p>
        </w:tc>
        <w:tc>
          <w:tcPr>
            <w:tcW w:w="1160" w:type="dxa"/>
            <w:vAlign w:val="bottom"/>
            <w:tcBorders>
              <w:bottom w:val="single" w:sz="8" w:color="929292"/>
            </w:tcBorders>
          </w:tcPr>
          <w:p>
            <w:pPr>
              <w:spacing w:after="0" w:line="20" w:lineRule="exact"/>
              <w:rPr>
                <w:sz w:val="1"/>
                <w:szCs w:val="1"/>
                <w:color w:val="auto"/>
              </w:rPr>
            </w:pPr>
          </w:p>
        </w:tc>
        <w:tc>
          <w:tcPr>
            <w:tcW w:w="1240" w:type="dxa"/>
            <w:vAlign w:val="bottom"/>
            <w:tcBorders>
              <w:bottom w:val="single" w:sz="8" w:color="929292"/>
            </w:tcBorders>
          </w:tcPr>
          <w:p>
            <w:pPr>
              <w:spacing w:after="0" w:line="20" w:lineRule="exact"/>
              <w:rPr>
                <w:sz w:val="1"/>
                <w:szCs w:val="1"/>
                <w:color w:val="auto"/>
              </w:rPr>
            </w:pPr>
          </w:p>
        </w:tc>
        <w:tc>
          <w:tcPr>
            <w:tcW w:w="1000" w:type="dxa"/>
            <w:vAlign w:val="bottom"/>
            <w:tcBorders>
              <w:bottom w:val="single" w:sz="8" w:color="929292"/>
            </w:tcBorders>
          </w:tcPr>
          <w:p>
            <w:pPr>
              <w:spacing w:after="0" w:line="20" w:lineRule="exact"/>
              <w:rPr>
                <w:sz w:val="1"/>
                <w:szCs w:val="1"/>
                <w:color w:val="auto"/>
              </w:rPr>
            </w:pPr>
          </w:p>
        </w:tc>
        <w:tc>
          <w:tcPr>
            <w:tcW w:w="980" w:type="dxa"/>
            <w:vAlign w:val="bottom"/>
            <w:tcBorders>
              <w:bottom w:val="single" w:sz="8" w:color="929292"/>
            </w:tcBorders>
          </w:tcPr>
          <w:p>
            <w:pPr>
              <w:spacing w:after="0" w:line="20" w:lineRule="exact"/>
              <w:rPr>
                <w:sz w:val="1"/>
                <w:szCs w:val="1"/>
                <w:color w:val="auto"/>
              </w:rPr>
            </w:pPr>
          </w:p>
        </w:tc>
        <w:tc>
          <w:tcPr>
            <w:tcW w:w="60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560" w:type="dxa"/>
            <w:vAlign w:val="bottom"/>
          </w:tcPr>
          <w:p>
            <w:pPr>
              <w:ind w:left="20"/>
              <w:spacing w:after="0"/>
              <w:rPr>
                <w:sz w:val="20"/>
                <w:szCs w:val="20"/>
                <w:color w:val="auto"/>
              </w:rPr>
            </w:pPr>
            <w:r>
              <w:rPr>
                <w:rFonts w:ascii="Arial" w:cs="Arial" w:eastAsia="Arial" w:hAnsi="Arial"/>
                <w:sz w:val="14"/>
                <w:szCs w:val="14"/>
                <w:color w:val="auto"/>
              </w:rPr>
              <w:t>2022</w:t>
            </w:r>
          </w:p>
        </w:tc>
        <w:tc>
          <w:tcPr>
            <w:tcW w:w="960" w:type="dxa"/>
            <w:vAlign w:val="bottom"/>
          </w:tcPr>
          <w:p>
            <w:pPr>
              <w:jc w:val="right"/>
              <w:spacing w:after="0"/>
              <w:rPr>
                <w:sz w:val="20"/>
                <w:szCs w:val="20"/>
                <w:color w:val="auto"/>
              </w:rPr>
            </w:pPr>
            <w:r>
              <w:rPr>
                <w:rFonts w:ascii="Arial" w:cs="Arial" w:eastAsia="Arial" w:hAnsi="Arial"/>
                <w:sz w:val="14"/>
                <w:szCs w:val="14"/>
                <w:color w:val="auto"/>
              </w:rPr>
              <w:t>6,286,091</w:t>
            </w:r>
          </w:p>
        </w:tc>
        <w:tc>
          <w:tcPr>
            <w:tcW w:w="1140" w:type="dxa"/>
            <w:vAlign w:val="bottom"/>
          </w:tcPr>
          <w:p>
            <w:pPr>
              <w:jc w:val="right"/>
              <w:spacing w:after="0"/>
              <w:rPr>
                <w:sz w:val="20"/>
                <w:szCs w:val="20"/>
                <w:color w:val="auto"/>
              </w:rPr>
            </w:pPr>
            <w:r>
              <w:rPr>
                <w:rFonts w:ascii="Arial" w:cs="Arial" w:eastAsia="Arial" w:hAnsi="Arial"/>
                <w:sz w:val="14"/>
                <w:szCs w:val="14"/>
                <w:color w:val="auto"/>
              </w:rPr>
              <w:t>30,084,980</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5,509,746</w:t>
            </w:r>
          </w:p>
        </w:tc>
        <w:tc>
          <w:tcPr>
            <w:tcW w:w="1080" w:type="dxa"/>
            <w:vAlign w:val="bottom"/>
          </w:tcPr>
          <w:p>
            <w:pPr>
              <w:jc w:val="right"/>
              <w:spacing w:after="0"/>
              <w:rPr>
                <w:sz w:val="20"/>
                <w:szCs w:val="20"/>
                <w:color w:val="auto"/>
              </w:rPr>
            </w:pPr>
            <w:r>
              <w:rPr>
                <w:rFonts w:ascii="Arial" w:cs="Arial" w:eastAsia="Arial" w:hAnsi="Arial"/>
                <w:sz w:val="14"/>
                <w:szCs w:val="14"/>
                <w:color w:val="auto"/>
              </w:rPr>
              <w:t>10,875,275</w:t>
            </w:r>
          </w:p>
        </w:tc>
        <w:tc>
          <w:tcPr>
            <w:tcW w:w="1460" w:type="dxa"/>
            <w:vAlign w:val="bottom"/>
          </w:tcPr>
          <w:p>
            <w:pPr>
              <w:jc w:val="right"/>
              <w:ind w:right="148"/>
              <w:spacing w:after="0"/>
              <w:rPr>
                <w:sz w:val="20"/>
                <w:szCs w:val="20"/>
                <w:color w:val="auto"/>
              </w:rPr>
            </w:pPr>
            <w:r>
              <w:rPr>
                <w:rFonts w:ascii="Arial" w:cs="Arial" w:eastAsia="Arial" w:hAnsi="Arial"/>
                <w:sz w:val="14"/>
                <w:szCs w:val="14"/>
                <w:color w:val="auto"/>
              </w:rPr>
              <w:t>3,223,949</w:t>
            </w:r>
          </w:p>
        </w:tc>
        <w:tc>
          <w:tcPr>
            <w:tcW w:w="1160" w:type="dxa"/>
            <w:vAlign w:val="bottom"/>
          </w:tcPr>
          <w:p>
            <w:pPr>
              <w:jc w:val="right"/>
              <w:spacing w:after="0"/>
              <w:rPr>
                <w:sz w:val="20"/>
                <w:szCs w:val="20"/>
                <w:color w:val="auto"/>
              </w:rPr>
            </w:pPr>
            <w:r>
              <w:rPr>
                <w:rFonts w:ascii="Arial" w:cs="Arial" w:eastAsia="Arial" w:hAnsi="Arial"/>
                <w:sz w:val="14"/>
                <w:szCs w:val="14"/>
                <w:color w:val="auto"/>
              </w:rPr>
              <w:t>2,895,438</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147</w:t>
            </w:r>
          </w:p>
        </w:tc>
        <w:tc>
          <w:tcPr>
            <w:tcW w:w="1000" w:type="dxa"/>
            <w:vAlign w:val="bottom"/>
          </w:tcPr>
          <w:p>
            <w:pPr>
              <w:jc w:val="right"/>
              <w:spacing w:after="0"/>
              <w:rPr>
                <w:sz w:val="20"/>
                <w:szCs w:val="20"/>
                <w:color w:val="auto"/>
              </w:rPr>
            </w:pPr>
            <w:r>
              <w:rPr>
                <w:rFonts w:ascii="Arial" w:cs="Arial" w:eastAsia="Arial" w:hAnsi="Arial"/>
                <w:sz w:val="14"/>
                <w:szCs w:val="14"/>
                <w:color w:val="auto"/>
              </w:rPr>
              <w:t>122</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2,054</w:t>
            </w:r>
          </w:p>
        </w:tc>
        <w:tc>
          <w:tcPr>
            <w:tcW w:w="600" w:type="dxa"/>
            <w:vAlign w:val="bottom"/>
          </w:tcPr>
          <w:p>
            <w:pPr>
              <w:ind w:left="200"/>
              <w:spacing w:after="0"/>
              <w:rPr>
                <w:sz w:val="20"/>
                <w:szCs w:val="20"/>
                <w:color w:val="auto"/>
              </w:rPr>
            </w:pPr>
            <w:r>
              <w:rPr>
                <w:rFonts w:ascii="Arial" w:cs="Arial" w:eastAsia="Arial" w:hAnsi="Arial"/>
                <w:sz w:val="14"/>
                <w:szCs w:val="14"/>
                <w:color w:val="212529"/>
              </w:rPr>
              <w:t>9.4%</w:t>
            </w:r>
          </w:p>
        </w:tc>
        <w:tc>
          <w:tcPr>
            <w:tcW w:w="0" w:type="dxa"/>
            <w:vAlign w:val="bottom"/>
          </w:tcPr>
          <w:p>
            <w:pPr>
              <w:spacing w:after="0"/>
              <w:rPr>
                <w:sz w:val="1"/>
                <w:szCs w:val="1"/>
                <w:color w:val="auto"/>
              </w:rPr>
            </w:pPr>
          </w:p>
        </w:tc>
      </w:tr>
      <w:tr>
        <w:trPr>
          <w:trHeight w:val="22"/>
        </w:trPr>
        <w:tc>
          <w:tcPr>
            <w:tcW w:w="560" w:type="dxa"/>
            <w:vAlign w:val="bottom"/>
            <w:tcBorders>
              <w:bottom w:val="single" w:sz="8" w:color="929292"/>
            </w:tcBorders>
          </w:tcPr>
          <w:p>
            <w:pPr>
              <w:spacing w:after="0" w:line="20" w:lineRule="exact"/>
              <w:rPr>
                <w:sz w:val="1"/>
                <w:szCs w:val="1"/>
                <w:color w:val="auto"/>
              </w:rPr>
            </w:pPr>
          </w:p>
        </w:tc>
        <w:tc>
          <w:tcPr>
            <w:tcW w:w="960" w:type="dxa"/>
            <w:vAlign w:val="bottom"/>
            <w:tcBorders>
              <w:bottom w:val="single" w:sz="8" w:color="929292"/>
            </w:tcBorders>
          </w:tcPr>
          <w:p>
            <w:pPr>
              <w:spacing w:after="0" w:line="20" w:lineRule="exact"/>
              <w:rPr>
                <w:sz w:val="1"/>
                <w:szCs w:val="1"/>
                <w:color w:val="auto"/>
              </w:rPr>
            </w:pPr>
          </w:p>
        </w:tc>
        <w:tc>
          <w:tcPr>
            <w:tcW w:w="1140" w:type="dxa"/>
            <w:vAlign w:val="bottom"/>
            <w:tcBorders>
              <w:bottom w:val="single" w:sz="8" w:color="929292"/>
            </w:tcBorders>
          </w:tcPr>
          <w:p>
            <w:pPr>
              <w:spacing w:after="0" w:line="20" w:lineRule="exact"/>
              <w:rPr>
                <w:sz w:val="1"/>
                <w:szCs w:val="1"/>
                <w:color w:val="auto"/>
              </w:rPr>
            </w:pPr>
          </w:p>
        </w:tc>
        <w:tc>
          <w:tcPr>
            <w:tcW w:w="120" w:type="dxa"/>
            <w:vAlign w:val="bottom"/>
            <w:tcBorders>
              <w:bottom w:val="single" w:sz="8" w:color="929292"/>
            </w:tcBorders>
          </w:tcPr>
          <w:p>
            <w:pPr>
              <w:spacing w:after="0" w:line="20" w:lineRule="exact"/>
              <w:rPr>
                <w:sz w:val="1"/>
                <w:szCs w:val="1"/>
                <w:color w:val="auto"/>
              </w:rPr>
            </w:pPr>
          </w:p>
        </w:tc>
        <w:tc>
          <w:tcPr>
            <w:tcW w:w="920" w:type="dxa"/>
            <w:vAlign w:val="bottom"/>
            <w:tcBorders>
              <w:bottom w:val="single" w:sz="8" w:color="929292"/>
            </w:tcBorders>
          </w:tcPr>
          <w:p>
            <w:pPr>
              <w:spacing w:after="0" w:line="20" w:lineRule="exact"/>
              <w:rPr>
                <w:sz w:val="1"/>
                <w:szCs w:val="1"/>
                <w:color w:val="auto"/>
              </w:rPr>
            </w:pPr>
          </w:p>
        </w:tc>
        <w:tc>
          <w:tcPr>
            <w:tcW w:w="1080" w:type="dxa"/>
            <w:vAlign w:val="bottom"/>
            <w:tcBorders>
              <w:bottom w:val="single" w:sz="8" w:color="929292"/>
            </w:tcBorders>
          </w:tcPr>
          <w:p>
            <w:pPr>
              <w:spacing w:after="0" w:line="20" w:lineRule="exact"/>
              <w:rPr>
                <w:sz w:val="1"/>
                <w:szCs w:val="1"/>
                <w:color w:val="auto"/>
              </w:rPr>
            </w:pPr>
          </w:p>
        </w:tc>
        <w:tc>
          <w:tcPr>
            <w:tcW w:w="1460" w:type="dxa"/>
            <w:vAlign w:val="bottom"/>
            <w:tcBorders>
              <w:bottom w:val="single" w:sz="8" w:color="929292"/>
            </w:tcBorders>
          </w:tcPr>
          <w:p>
            <w:pPr>
              <w:spacing w:after="0" w:line="20" w:lineRule="exact"/>
              <w:rPr>
                <w:sz w:val="1"/>
                <w:szCs w:val="1"/>
                <w:color w:val="auto"/>
              </w:rPr>
            </w:pPr>
          </w:p>
        </w:tc>
        <w:tc>
          <w:tcPr>
            <w:tcW w:w="1160" w:type="dxa"/>
            <w:vAlign w:val="bottom"/>
            <w:tcBorders>
              <w:bottom w:val="single" w:sz="8" w:color="929292"/>
            </w:tcBorders>
          </w:tcPr>
          <w:p>
            <w:pPr>
              <w:spacing w:after="0" w:line="20" w:lineRule="exact"/>
              <w:rPr>
                <w:sz w:val="1"/>
                <w:szCs w:val="1"/>
                <w:color w:val="auto"/>
              </w:rPr>
            </w:pPr>
          </w:p>
        </w:tc>
        <w:tc>
          <w:tcPr>
            <w:tcW w:w="1240" w:type="dxa"/>
            <w:vAlign w:val="bottom"/>
            <w:tcBorders>
              <w:bottom w:val="single" w:sz="8" w:color="929292"/>
            </w:tcBorders>
          </w:tcPr>
          <w:p>
            <w:pPr>
              <w:spacing w:after="0" w:line="20" w:lineRule="exact"/>
              <w:rPr>
                <w:sz w:val="1"/>
                <w:szCs w:val="1"/>
                <w:color w:val="auto"/>
              </w:rPr>
            </w:pPr>
          </w:p>
        </w:tc>
        <w:tc>
          <w:tcPr>
            <w:tcW w:w="1000" w:type="dxa"/>
            <w:vAlign w:val="bottom"/>
            <w:tcBorders>
              <w:bottom w:val="single" w:sz="8" w:color="929292"/>
            </w:tcBorders>
          </w:tcPr>
          <w:p>
            <w:pPr>
              <w:spacing w:after="0" w:line="20" w:lineRule="exact"/>
              <w:rPr>
                <w:sz w:val="1"/>
                <w:szCs w:val="1"/>
                <w:color w:val="auto"/>
              </w:rPr>
            </w:pPr>
          </w:p>
        </w:tc>
        <w:tc>
          <w:tcPr>
            <w:tcW w:w="980" w:type="dxa"/>
            <w:vAlign w:val="bottom"/>
            <w:tcBorders>
              <w:bottom w:val="single" w:sz="8" w:color="929292"/>
            </w:tcBorders>
          </w:tcPr>
          <w:p>
            <w:pPr>
              <w:spacing w:after="0" w:line="20" w:lineRule="exact"/>
              <w:rPr>
                <w:sz w:val="1"/>
                <w:szCs w:val="1"/>
                <w:color w:val="auto"/>
              </w:rPr>
            </w:pPr>
          </w:p>
        </w:tc>
        <w:tc>
          <w:tcPr>
            <w:tcW w:w="60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560" w:type="dxa"/>
            <w:vAlign w:val="bottom"/>
          </w:tcPr>
          <w:p>
            <w:pPr>
              <w:ind w:left="20"/>
              <w:spacing w:after="0"/>
              <w:rPr>
                <w:sz w:val="20"/>
                <w:szCs w:val="20"/>
                <w:color w:val="auto"/>
              </w:rPr>
            </w:pPr>
            <w:r>
              <w:rPr>
                <w:rFonts w:ascii="Arial" w:cs="Arial" w:eastAsia="Arial" w:hAnsi="Arial"/>
                <w:sz w:val="14"/>
                <w:szCs w:val="14"/>
                <w:color w:val="auto"/>
              </w:rPr>
              <w:t>2021</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15,667,002</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29,721,525</w:t>
            </w:r>
          </w:p>
        </w:tc>
        <w:tc>
          <w:tcPr>
            <w:tcW w:w="1460" w:type="dxa"/>
            <w:vAlign w:val="bottom"/>
          </w:tcPr>
          <w:p>
            <w:pPr>
              <w:jc w:val="right"/>
              <w:ind w:right="148"/>
              <w:spacing w:after="0"/>
              <w:rPr>
                <w:sz w:val="20"/>
                <w:szCs w:val="20"/>
                <w:color w:val="auto"/>
              </w:rPr>
            </w:pPr>
            <w:r>
              <w:rPr>
                <w:rFonts w:ascii="Arial" w:cs="Arial" w:eastAsia="Arial" w:hAnsi="Arial"/>
                <w:sz w:val="14"/>
                <w:szCs w:val="14"/>
                <w:color w:val="auto"/>
              </w:rPr>
              <w:t>5,459,913</w:t>
            </w:r>
          </w:p>
        </w:tc>
        <w:tc>
          <w:tcPr>
            <w:tcW w:w="1160" w:type="dxa"/>
            <w:vAlign w:val="bottom"/>
          </w:tcPr>
          <w:p>
            <w:pPr>
              <w:jc w:val="right"/>
              <w:spacing w:after="0"/>
              <w:rPr>
                <w:sz w:val="20"/>
                <w:szCs w:val="20"/>
                <w:color w:val="auto"/>
              </w:rPr>
            </w:pPr>
            <w:r>
              <w:rPr>
                <w:rFonts w:ascii="Arial" w:cs="Arial" w:eastAsia="Arial" w:hAnsi="Arial"/>
                <w:sz w:val="14"/>
                <w:szCs w:val="14"/>
                <w:color w:val="auto"/>
              </w:rPr>
              <w:t>7,403,484</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136</w:t>
            </w:r>
          </w:p>
        </w:tc>
        <w:tc>
          <w:tcPr>
            <w:tcW w:w="1000" w:type="dxa"/>
            <w:vAlign w:val="bottom"/>
          </w:tcPr>
          <w:p>
            <w:pPr>
              <w:jc w:val="right"/>
              <w:spacing w:after="0"/>
              <w:rPr>
                <w:sz w:val="20"/>
                <w:szCs w:val="20"/>
                <w:color w:val="auto"/>
              </w:rPr>
            </w:pPr>
            <w:r>
              <w:rPr>
                <w:rFonts w:ascii="Arial" w:cs="Arial" w:eastAsia="Arial" w:hAnsi="Arial"/>
                <w:sz w:val="14"/>
                <w:szCs w:val="14"/>
                <w:color w:val="auto"/>
              </w:rPr>
              <w:t>121</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1,616</w:t>
            </w:r>
          </w:p>
        </w:tc>
        <w:tc>
          <w:tcPr>
            <w:tcW w:w="600" w:type="dxa"/>
            <w:vAlign w:val="bottom"/>
          </w:tcPr>
          <w:p>
            <w:pPr>
              <w:ind w:left="200"/>
              <w:spacing w:after="0"/>
              <w:rPr>
                <w:sz w:val="20"/>
                <w:szCs w:val="20"/>
                <w:color w:val="auto"/>
              </w:rPr>
            </w:pPr>
            <w:r>
              <w:rPr>
                <w:rFonts w:ascii="Arial" w:cs="Arial" w:eastAsia="Arial" w:hAnsi="Arial"/>
                <w:sz w:val="14"/>
                <w:szCs w:val="14"/>
                <w:color w:val="212529"/>
              </w:rPr>
              <w:t>9.2%</w:t>
            </w:r>
          </w:p>
        </w:tc>
        <w:tc>
          <w:tcPr>
            <w:tcW w:w="0" w:type="dxa"/>
            <w:vAlign w:val="bottom"/>
          </w:tcPr>
          <w:p>
            <w:pPr>
              <w:spacing w:after="0"/>
              <w:rPr>
                <w:sz w:val="1"/>
                <w:szCs w:val="1"/>
                <w:color w:val="auto"/>
              </w:rPr>
            </w:pPr>
          </w:p>
        </w:tc>
      </w:tr>
      <w:tr>
        <w:trPr>
          <w:trHeight w:val="22"/>
        </w:trPr>
        <w:tc>
          <w:tcPr>
            <w:tcW w:w="560" w:type="dxa"/>
            <w:vAlign w:val="bottom"/>
            <w:tcBorders>
              <w:bottom w:val="single" w:sz="8" w:color="929292"/>
            </w:tcBorders>
          </w:tcPr>
          <w:p>
            <w:pPr>
              <w:spacing w:after="0" w:line="20" w:lineRule="exact"/>
              <w:rPr>
                <w:sz w:val="1"/>
                <w:szCs w:val="1"/>
                <w:color w:val="auto"/>
              </w:rPr>
            </w:pPr>
          </w:p>
        </w:tc>
        <w:tc>
          <w:tcPr>
            <w:tcW w:w="960" w:type="dxa"/>
            <w:vAlign w:val="bottom"/>
            <w:tcBorders>
              <w:bottom w:val="single" w:sz="8" w:color="929292"/>
            </w:tcBorders>
          </w:tcPr>
          <w:p>
            <w:pPr>
              <w:spacing w:after="0" w:line="20" w:lineRule="exact"/>
              <w:rPr>
                <w:sz w:val="1"/>
                <w:szCs w:val="1"/>
                <w:color w:val="auto"/>
              </w:rPr>
            </w:pPr>
          </w:p>
        </w:tc>
        <w:tc>
          <w:tcPr>
            <w:tcW w:w="1140" w:type="dxa"/>
            <w:vAlign w:val="bottom"/>
            <w:tcBorders>
              <w:bottom w:val="single" w:sz="8" w:color="929292"/>
            </w:tcBorders>
          </w:tcPr>
          <w:p>
            <w:pPr>
              <w:spacing w:after="0" w:line="20" w:lineRule="exact"/>
              <w:rPr>
                <w:sz w:val="1"/>
                <w:szCs w:val="1"/>
                <w:color w:val="auto"/>
              </w:rPr>
            </w:pPr>
          </w:p>
        </w:tc>
        <w:tc>
          <w:tcPr>
            <w:tcW w:w="120" w:type="dxa"/>
            <w:vAlign w:val="bottom"/>
            <w:tcBorders>
              <w:bottom w:val="single" w:sz="8" w:color="929292"/>
            </w:tcBorders>
          </w:tcPr>
          <w:p>
            <w:pPr>
              <w:spacing w:after="0" w:line="20" w:lineRule="exact"/>
              <w:rPr>
                <w:sz w:val="1"/>
                <w:szCs w:val="1"/>
                <w:color w:val="auto"/>
              </w:rPr>
            </w:pPr>
          </w:p>
        </w:tc>
        <w:tc>
          <w:tcPr>
            <w:tcW w:w="920" w:type="dxa"/>
            <w:vAlign w:val="bottom"/>
            <w:tcBorders>
              <w:bottom w:val="single" w:sz="8" w:color="929292"/>
            </w:tcBorders>
          </w:tcPr>
          <w:p>
            <w:pPr>
              <w:spacing w:after="0" w:line="20" w:lineRule="exact"/>
              <w:rPr>
                <w:sz w:val="1"/>
                <w:szCs w:val="1"/>
                <w:color w:val="auto"/>
              </w:rPr>
            </w:pPr>
          </w:p>
        </w:tc>
        <w:tc>
          <w:tcPr>
            <w:tcW w:w="1080" w:type="dxa"/>
            <w:vAlign w:val="bottom"/>
            <w:tcBorders>
              <w:bottom w:val="single" w:sz="8" w:color="929292"/>
            </w:tcBorders>
          </w:tcPr>
          <w:p>
            <w:pPr>
              <w:spacing w:after="0" w:line="20" w:lineRule="exact"/>
              <w:rPr>
                <w:sz w:val="1"/>
                <w:szCs w:val="1"/>
                <w:color w:val="auto"/>
              </w:rPr>
            </w:pPr>
          </w:p>
        </w:tc>
        <w:tc>
          <w:tcPr>
            <w:tcW w:w="1460" w:type="dxa"/>
            <w:vAlign w:val="bottom"/>
            <w:tcBorders>
              <w:bottom w:val="single" w:sz="8" w:color="929292"/>
            </w:tcBorders>
          </w:tcPr>
          <w:p>
            <w:pPr>
              <w:spacing w:after="0" w:line="20" w:lineRule="exact"/>
              <w:rPr>
                <w:sz w:val="1"/>
                <w:szCs w:val="1"/>
                <w:color w:val="auto"/>
              </w:rPr>
            </w:pPr>
          </w:p>
        </w:tc>
        <w:tc>
          <w:tcPr>
            <w:tcW w:w="1160" w:type="dxa"/>
            <w:vAlign w:val="bottom"/>
            <w:tcBorders>
              <w:bottom w:val="single" w:sz="8" w:color="929292"/>
            </w:tcBorders>
          </w:tcPr>
          <w:p>
            <w:pPr>
              <w:spacing w:after="0" w:line="20" w:lineRule="exact"/>
              <w:rPr>
                <w:sz w:val="1"/>
                <w:szCs w:val="1"/>
                <w:color w:val="auto"/>
              </w:rPr>
            </w:pPr>
          </w:p>
        </w:tc>
        <w:tc>
          <w:tcPr>
            <w:tcW w:w="1240" w:type="dxa"/>
            <w:vAlign w:val="bottom"/>
            <w:tcBorders>
              <w:bottom w:val="single" w:sz="8" w:color="929292"/>
            </w:tcBorders>
          </w:tcPr>
          <w:p>
            <w:pPr>
              <w:spacing w:after="0" w:line="20" w:lineRule="exact"/>
              <w:rPr>
                <w:sz w:val="1"/>
                <w:szCs w:val="1"/>
                <w:color w:val="auto"/>
              </w:rPr>
            </w:pPr>
          </w:p>
        </w:tc>
        <w:tc>
          <w:tcPr>
            <w:tcW w:w="1000" w:type="dxa"/>
            <w:vAlign w:val="bottom"/>
            <w:tcBorders>
              <w:bottom w:val="single" w:sz="8" w:color="929292"/>
            </w:tcBorders>
          </w:tcPr>
          <w:p>
            <w:pPr>
              <w:spacing w:after="0" w:line="20" w:lineRule="exact"/>
              <w:rPr>
                <w:sz w:val="1"/>
                <w:szCs w:val="1"/>
                <w:color w:val="auto"/>
              </w:rPr>
            </w:pPr>
          </w:p>
        </w:tc>
        <w:tc>
          <w:tcPr>
            <w:tcW w:w="980" w:type="dxa"/>
            <w:vAlign w:val="bottom"/>
            <w:tcBorders>
              <w:bottom w:val="single" w:sz="8" w:color="929292"/>
            </w:tcBorders>
          </w:tcPr>
          <w:p>
            <w:pPr>
              <w:spacing w:after="0" w:line="20" w:lineRule="exact"/>
              <w:rPr>
                <w:sz w:val="1"/>
                <w:szCs w:val="1"/>
                <w:color w:val="auto"/>
              </w:rPr>
            </w:pPr>
          </w:p>
        </w:tc>
        <w:tc>
          <w:tcPr>
            <w:tcW w:w="60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560" w:type="dxa"/>
            <w:vAlign w:val="bottom"/>
          </w:tcPr>
          <w:p>
            <w:pPr>
              <w:ind w:left="20"/>
              <w:spacing w:after="0"/>
              <w:rPr>
                <w:sz w:val="20"/>
                <w:szCs w:val="20"/>
                <w:color w:val="auto"/>
              </w:rPr>
            </w:pPr>
            <w:r>
              <w:rPr>
                <w:rFonts w:ascii="Arial" w:cs="Arial" w:eastAsia="Arial" w:hAnsi="Arial"/>
                <w:sz w:val="14"/>
                <w:szCs w:val="14"/>
                <w:color w:val="auto"/>
              </w:rPr>
              <w:t>2020</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14,440,051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9,364,603</w:t>
            </w:r>
          </w:p>
        </w:tc>
        <w:tc>
          <w:tcPr>
            <w:tcW w:w="1460" w:type="dxa"/>
            <w:vAlign w:val="bottom"/>
          </w:tcPr>
          <w:p>
            <w:pPr>
              <w:jc w:val="right"/>
              <w:ind w:right="148"/>
              <w:spacing w:after="0"/>
              <w:rPr>
                <w:sz w:val="20"/>
                <w:szCs w:val="20"/>
                <w:color w:val="auto"/>
              </w:rPr>
            </w:pPr>
            <w:r>
              <w:rPr>
                <w:rFonts w:ascii="Arial" w:cs="Arial" w:eastAsia="Arial" w:hAnsi="Arial"/>
                <w:sz w:val="14"/>
                <w:szCs w:val="14"/>
                <w:color w:val="auto"/>
              </w:rPr>
              <w:t>4,611,546</w:t>
            </w:r>
          </w:p>
        </w:tc>
        <w:tc>
          <w:tcPr>
            <w:tcW w:w="1160" w:type="dxa"/>
            <w:vAlign w:val="bottom"/>
          </w:tcPr>
          <w:p>
            <w:pPr>
              <w:jc w:val="right"/>
              <w:spacing w:after="0"/>
              <w:rPr>
                <w:sz w:val="20"/>
                <w:szCs w:val="20"/>
                <w:color w:val="auto"/>
              </w:rPr>
            </w:pPr>
            <w:r>
              <w:rPr>
                <w:rFonts w:ascii="Arial" w:cs="Arial" w:eastAsia="Arial" w:hAnsi="Arial"/>
                <w:sz w:val="14"/>
                <w:szCs w:val="14"/>
                <w:color w:val="auto"/>
              </w:rPr>
              <w:t>3,334,402</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96</w:t>
            </w:r>
          </w:p>
        </w:tc>
        <w:tc>
          <w:tcPr>
            <w:tcW w:w="1000" w:type="dxa"/>
            <w:vAlign w:val="bottom"/>
          </w:tcPr>
          <w:p>
            <w:pPr>
              <w:jc w:val="right"/>
              <w:spacing w:after="0"/>
              <w:rPr>
                <w:sz w:val="20"/>
                <w:szCs w:val="20"/>
                <w:color w:val="auto"/>
              </w:rPr>
            </w:pPr>
            <w:r>
              <w:rPr>
                <w:rFonts w:ascii="Arial" w:cs="Arial" w:eastAsia="Arial" w:hAnsi="Arial"/>
                <w:sz w:val="14"/>
                <w:szCs w:val="14"/>
                <w:color w:val="auto"/>
              </w:rPr>
              <w:t>103</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1,099</w:t>
            </w:r>
          </w:p>
        </w:tc>
        <w:tc>
          <w:tcPr>
            <w:tcW w:w="600" w:type="dxa"/>
            <w:vAlign w:val="bottom"/>
          </w:tcPr>
          <w:p>
            <w:pPr>
              <w:ind w:left="200"/>
              <w:spacing w:after="0"/>
              <w:rPr>
                <w:sz w:val="20"/>
                <w:szCs w:val="20"/>
                <w:color w:val="auto"/>
              </w:rPr>
            </w:pPr>
            <w:r>
              <w:rPr>
                <w:rFonts w:ascii="Arial" w:cs="Arial" w:eastAsia="Arial" w:hAnsi="Arial"/>
                <w:sz w:val="14"/>
                <w:szCs w:val="14"/>
                <w:color w:val="212529"/>
              </w:rPr>
              <w:t>8.7%</w:t>
            </w:r>
          </w:p>
        </w:tc>
        <w:tc>
          <w:tcPr>
            <w:tcW w:w="0" w:type="dxa"/>
            <w:vAlign w:val="bottom"/>
          </w:tcPr>
          <w:p>
            <w:pPr>
              <w:spacing w:after="0"/>
              <w:rPr>
                <w:sz w:val="1"/>
                <w:szCs w:val="1"/>
                <w:color w:val="auto"/>
              </w:rPr>
            </w:pPr>
          </w:p>
        </w:tc>
      </w:tr>
      <w:tr>
        <w:trPr>
          <w:trHeight w:val="22"/>
        </w:trPr>
        <w:tc>
          <w:tcPr>
            <w:tcW w:w="560" w:type="dxa"/>
            <w:vAlign w:val="bottom"/>
            <w:tcBorders>
              <w:bottom w:val="single" w:sz="8" w:color="929292"/>
            </w:tcBorders>
          </w:tcPr>
          <w:p>
            <w:pPr>
              <w:spacing w:after="0" w:line="20" w:lineRule="exact"/>
              <w:rPr>
                <w:sz w:val="1"/>
                <w:szCs w:val="1"/>
                <w:color w:val="auto"/>
              </w:rPr>
            </w:pPr>
          </w:p>
        </w:tc>
        <w:tc>
          <w:tcPr>
            <w:tcW w:w="960" w:type="dxa"/>
            <w:vAlign w:val="bottom"/>
            <w:tcBorders>
              <w:bottom w:val="single" w:sz="8" w:color="929292"/>
            </w:tcBorders>
          </w:tcPr>
          <w:p>
            <w:pPr>
              <w:spacing w:after="0" w:line="20" w:lineRule="exact"/>
              <w:rPr>
                <w:sz w:val="1"/>
                <w:szCs w:val="1"/>
                <w:color w:val="auto"/>
              </w:rPr>
            </w:pPr>
          </w:p>
        </w:tc>
        <w:tc>
          <w:tcPr>
            <w:tcW w:w="1140" w:type="dxa"/>
            <w:vAlign w:val="bottom"/>
            <w:tcBorders>
              <w:bottom w:val="single" w:sz="8" w:color="929292"/>
            </w:tcBorders>
          </w:tcPr>
          <w:p>
            <w:pPr>
              <w:spacing w:after="0" w:line="20" w:lineRule="exact"/>
              <w:rPr>
                <w:sz w:val="1"/>
                <w:szCs w:val="1"/>
                <w:color w:val="auto"/>
              </w:rPr>
            </w:pPr>
          </w:p>
        </w:tc>
        <w:tc>
          <w:tcPr>
            <w:tcW w:w="120" w:type="dxa"/>
            <w:vAlign w:val="bottom"/>
            <w:tcBorders>
              <w:bottom w:val="single" w:sz="8" w:color="929292"/>
            </w:tcBorders>
          </w:tcPr>
          <w:p>
            <w:pPr>
              <w:spacing w:after="0" w:line="20" w:lineRule="exact"/>
              <w:rPr>
                <w:sz w:val="1"/>
                <w:szCs w:val="1"/>
                <w:color w:val="auto"/>
              </w:rPr>
            </w:pPr>
          </w:p>
        </w:tc>
        <w:tc>
          <w:tcPr>
            <w:tcW w:w="920" w:type="dxa"/>
            <w:vAlign w:val="bottom"/>
            <w:tcBorders>
              <w:bottom w:val="single" w:sz="8" w:color="929292"/>
            </w:tcBorders>
          </w:tcPr>
          <w:p>
            <w:pPr>
              <w:spacing w:after="0" w:line="20" w:lineRule="exact"/>
              <w:rPr>
                <w:sz w:val="1"/>
                <w:szCs w:val="1"/>
                <w:color w:val="auto"/>
              </w:rPr>
            </w:pPr>
          </w:p>
        </w:tc>
        <w:tc>
          <w:tcPr>
            <w:tcW w:w="1080" w:type="dxa"/>
            <w:vAlign w:val="bottom"/>
            <w:tcBorders>
              <w:bottom w:val="single" w:sz="8" w:color="929292"/>
            </w:tcBorders>
          </w:tcPr>
          <w:p>
            <w:pPr>
              <w:spacing w:after="0" w:line="20" w:lineRule="exact"/>
              <w:rPr>
                <w:sz w:val="1"/>
                <w:szCs w:val="1"/>
                <w:color w:val="auto"/>
              </w:rPr>
            </w:pPr>
          </w:p>
        </w:tc>
        <w:tc>
          <w:tcPr>
            <w:tcW w:w="1460" w:type="dxa"/>
            <w:vAlign w:val="bottom"/>
            <w:tcBorders>
              <w:bottom w:val="single" w:sz="8" w:color="929292"/>
            </w:tcBorders>
          </w:tcPr>
          <w:p>
            <w:pPr>
              <w:spacing w:after="0" w:line="20" w:lineRule="exact"/>
              <w:rPr>
                <w:sz w:val="1"/>
                <w:szCs w:val="1"/>
                <w:color w:val="auto"/>
              </w:rPr>
            </w:pPr>
          </w:p>
        </w:tc>
        <w:tc>
          <w:tcPr>
            <w:tcW w:w="1160" w:type="dxa"/>
            <w:vAlign w:val="bottom"/>
            <w:tcBorders>
              <w:bottom w:val="single" w:sz="8" w:color="929292"/>
            </w:tcBorders>
          </w:tcPr>
          <w:p>
            <w:pPr>
              <w:spacing w:after="0" w:line="20" w:lineRule="exact"/>
              <w:rPr>
                <w:sz w:val="1"/>
                <w:szCs w:val="1"/>
                <w:color w:val="auto"/>
              </w:rPr>
            </w:pPr>
          </w:p>
        </w:tc>
        <w:tc>
          <w:tcPr>
            <w:tcW w:w="1240" w:type="dxa"/>
            <w:vAlign w:val="bottom"/>
            <w:tcBorders>
              <w:bottom w:val="single" w:sz="8" w:color="929292"/>
            </w:tcBorders>
          </w:tcPr>
          <w:p>
            <w:pPr>
              <w:spacing w:after="0" w:line="20" w:lineRule="exact"/>
              <w:rPr>
                <w:sz w:val="1"/>
                <w:szCs w:val="1"/>
                <w:color w:val="auto"/>
              </w:rPr>
            </w:pPr>
          </w:p>
        </w:tc>
        <w:tc>
          <w:tcPr>
            <w:tcW w:w="1000" w:type="dxa"/>
            <w:vAlign w:val="bottom"/>
            <w:tcBorders>
              <w:bottom w:val="single" w:sz="8" w:color="929292"/>
            </w:tcBorders>
          </w:tcPr>
          <w:p>
            <w:pPr>
              <w:spacing w:after="0" w:line="20" w:lineRule="exact"/>
              <w:rPr>
                <w:sz w:val="1"/>
                <w:szCs w:val="1"/>
                <w:color w:val="auto"/>
              </w:rPr>
            </w:pPr>
          </w:p>
        </w:tc>
        <w:tc>
          <w:tcPr>
            <w:tcW w:w="980" w:type="dxa"/>
            <w:vAlign w:val="bottom"/>
            <w:tcBorders>
              <w:bottom w:val="single" w:sz="8" w:color="929292"/>
            </w:tcBorders>
          </w:tcPr>
          <w:p>
            <w:pPr>
              <w:spacing w:after="0" w:line="20" w:lineRule="exact"/>
              <w:rPr>
                <w:sz w:val="1"/>
                <w:szCs w:val="1"/>
                <w:color w:val="auto"/>
              </w:rPr>
            </w:pPr>
          </w:p>
        </w:tc>
        <w:tc>
          <w:tcPr>
            <w:tcW w:w="60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100" w:hanging="252"/>
        <w:spacing w:after="0" w:line="325" w:lineRule="auto"/>
        <w:tabs>
          <w:tab w:leader="none" w:pos="263" w:val="left"/>
        </w:tabs>
        <w:numPr>
          <w:ilvl w:val="0"/>
          <w:numId w:val="146"/>
        </w:numPr>
        <w:rPr>
          <w:rFonts w:ascii="Arial" w:cs="Arial" w:eastAsia="Arial" w:hAnsi="Arial"/>
          <w:sz w:val="8"/>
          <w:szCs w:val="8"/>
          <w:color w:val="auto"/>
        </w:rPr>
      </w:pPr>
      <w:r>
        <w:rPr>
          <w:rFonts w:ascii="Arial" w:cs="Arial" w:eastAsia="Arial" w:hAnsi="Arial"/>
          <w:sz w:val="14"/>
          <w:szCs w:val="14"/>
          <w:color w:val="auto"/>
        </w:rPr>
        <w:t>The dollar amounts reported in column (b1) are the amounts of total compensation reported for Mr. Butler (our current Chief Executive Officer) for each corresponding year in the “Total” column of the Summary Compensation Table.</w:t>
      </w:r>
    </w:p>
    <w:p>
      <w:pPr>
        <w:spacing w:after="0" w:line="9" w:lineRule="exact"/>
        <w:rPr>
          <w:rFonts w:ascii="Arial" w:cs="Arial" w:eastAsia="Arial" w:hAnsi="Arial"/>
          <w:sz w:val="8"/>
          <w:szCs w:val="8"/>
          <w:color w:val="auto"/>
        </w:rPr>
      </w:pPr>
    </w:p>
    <w:p>
      <w:pPr>
        <w:ind w:left="260" w:right="140" w:hanging="252"/>
        <w:spacing w:after="0" w:line="325" w:lineRule="auto"/>
        <w:tabs>
          <w:tab w:leader="none" w:pos="249" w:val="left"/>
        </w:tabs>
        <w:numPr>
          <w:ilvl w:val="0"/>
          <w:numId w:val="146"/>
        </w:numPr>
        <w:rPr>
          <w:rFonts w:ascii="Arial" w:cs="Arial" w:eastAsia="Arial" w:hAnsi="Arial"/>
          <w:sz w:val="8"/>
          <w:szCs w:val="8"/>
          <w:color w:val="auto"/>
        </w:rPr>
      </w:pPr>
      <w:r>
        <w:rPr>
          <w:rFonts w:ascii="Arial" w:cs="Arial" w:eastAsia="Arial" w:hAnsi="Arial"/>
          <w:sz w:val="14"/>
          <w:szCs w:val="14"/>
          <w:color w:val="auto"/>
        </w:rPr>
        <w:t>The dollar amounts reported in column (b2) are the amounts of total compensation reported for Mr. Crane (our former Chief Executive Officer) for each corresponding year in the “Total” column of the Summary Compensation Table.</w:t>
      </w:r>
    </w:p>
    <w:p>
      <w:pPr>
        <w:spacing w:after="0" w:line="9" w:lineRule="exact"/>
        <w:rPr>
          <w:rFonts w:ascii="Arial" w:cs="Arial" w:eastAsia="Arial" w:hAnsi="Arial"/>
          <w:sz w:val="8"/>
          <w:szCs w:val="8"/>
          <w:color w:val="auto"/>
        </w:rPr>
      </w:pPr>
    </w:p>
    <w:p>
      <w:pPr>
        <w:ind w:left="260" w:right="160" w:hanging="252"/>
        <w:spacing w:after="0" w:line="303" w:lineRule="auto"/>
        <w:tabs>
          <w:tab w:leader="none" w:pos="249" w:val="left"/>
        </w:tabs>
        <w:numPr>
          <w:ilvl w:val="0"/>
          <w:numId w:val="146"/>
        </w:numPr>
        <w:rPr>
          <w:rFonts w:ascii="Arial" w:cs="Arial" w:eastAsia="Arial" w:hAnsi="Arial"/>
          <w:sz w:val="8"/>
          <w:szCs w:val="8"/>
          <w:color w:val="auto"/>
        </w:rPr>
      </w:pPr>
      <w:r>
        <w:rPr>
          <w:rFonts w:ascii="Arial" w:cs="Arial" w:eastAsia="Arial" w:hAnsi="Arial"/>
          <w:sz w:val="14"/>
          <w:szCs w:val="14"/>
          <w:color w:val="auto"/>
        </w:rPr>
        <w:t>The dollar amounts reported in columns (c1) and (c2) represent the amount of “compensation actually paid” to Messrs. Butler and Crane, as computed in accordance with Item 402(v) of Regulation S-K. The dollar amounts do not reflect the actual amount of compensation earned by or paid to Messrs. Crane and Butler during the applicable year. Compensation actually paid is determined using the following assumptions:</w:t>
      </w:r>
    </w:p>
    <w:p>
      <w:pPr>
        <w:spacing w:after="0" w:line="109" w:lineRule="exact"/>
        <w:rPr>
          <w:sz w:val="20"/>
          <w:szCs w:val="20"/>
          <w:color w:val="auto"/>
        </w:rPr>
      </w:pPr>
    </w:p>
    <w:tbl>
      <w:tblPr>
        <w:tblLayout w:type="fixed"/>
        <w:tblInd w:w="260" w:type="dxa"/>
        <w:tblCellMar>
          <w:top w:w="0" w:type="dxa"/>
          <w:left w:w="0" w:type="dxa"/>
          <w:bottom w:w="0" w:type="dxa"/>
          <w:right w:w="0" w:type="dxa"/>
        </w:tblCellMar>
      </w:tblPr>
      <w:tr>
        <w:trPr>
          <w:trHeight w:val="175"/>
        </w:trPr>
        <w:tc>
          <w:tcPr>
            <w:tcW w:w="3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tcPr>
          <w:p>
            <w:pPr>
              <w:jc w:val="right"/>
              <w:ind w:right="244"/>
              <w:spacing w:after="0"/>
              <w:rPr>
                <w:sz w:val="20"/>
                <w:szCs w:val="20"/>
                <w:color w:val="auto"/>
              </w:rPr>
            </w:pPr>
            <w:r>
              <w:rPr>
                <w:rFonts w:ascii="Arial" w:cs="Arial" w:eastAsia="Arial" w:hAnsi="Arial"/>
                <w:sz w:val="15"/>
                <w:szCs w:val="15"/>
                <w:b w:val="1"/>
                <w:bCs w:val="1"/>
                <w:color w:val="170D67"/>
              </w:rPr>
              <w:t>Closing</w:t>
            </w: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5"/>
        </w:trPr>
        <w:tc>
          <w:tcPr>
            <w:tcW w:w="39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b w:val="1"/>
                <w:bCs w:val="1"/>
                <w:color w:val="170D67"/>
              </w:rPr>
              <w:t>Performance</w:t>
            </w:r>
          </w:p>
        </w:tc>
        <w:tc>
          <w:tcPr>
            <w:tcW w:w="1260" w:type="dxa"/>
            <w:vAlign w:val="bottom"/>
          </w:tcPr>
          <w:p>
            <w:pPr>
              <w:jc w:val="center"/>
              <w:ind w:left="44"/>
              <w:spacing w:after="0"/>
              <w:rPr>
                <w:sz w:val="20"/>
                <w:szCs w:val="20"/>
                <w:color w:val="auto"/>
              </w:rPr>
            </w:pPr>
            <w:r>
              <w:rPr>
                <w:rFonts w:ascii="Arial" w:cs="Arial" w:eastAsia="Arial" w:hAnsi="Arial"/>
                <w:sz w:val="15"/>
                <w:szCs w:val="15"/>
                <w:b w:val="1"/>
                <w:bCs w:val="1"/>
                <w:color w:val="170D67"/>
              </w:rPr>
              <w:t>Stock</w:t>
            </w: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b w:val="1"/>
                <w:bCs w:val="1"/>
                <w:color w:val="170D67"/>
              </w:rPr>
              <w:t>Performance</w:t>
            </w:r>
          </w:p>
        </w:tc>
      </w:tr>
      <w:tr>
        <w:trPr>
          <w:trHeight w:val="189"/>
        </w:trPr>
        <w:tc>
          <w:tcPr>
            <w:tcW w:w="39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b w:val="1"/>
                <w:bCs w:val="1"/>
                <w:color w:val="170D67"/>
              </w:rPr>
              <w:t>Share</w:t>
            </w:r>
          </w:p>
        </w:tc>
        <w:tc>
          <w:tcPr>
            <w:tcW w:w="1260" w:type="dxa"/>
            <w:vAlign w:val="bottom"/>
          </w:tcPr>
          <w:p>
            <w:pPr>
              <w:jc w:val="center"/>
              <w:ind w:left="84"/>
              <w:spacing w:after="0"/>
              <w:rPr>
                <w:sz w:val="20"/>
                <w:szCs w:val="20"/>
                <w:color w:val="auto"/>
              </w:rPr>
            </w:pPr>
            <w:r>
              <w:rPr>
                <w:rFonts w:ascii="Arial" w:cs="Arial" w:eastAsia="Arial" w:hAnsi="Arial"/>
                <w:sz w:val="15"/>
                <w:szCs w:val="15"/>
                <w:b w:val="1"/>
                <w:bCs w:val="1"/>
                <w:color w:val="170D67"/>
              </w:rPr>
              <w:t>Price</w:t>
            </w:r>
          </w:p>
        </w:tc>
        <w:tc>
          <w:tcPr>
            <w:tcW w:w="1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b w:val="1"/>
                <w:bCs w:val="1"/>
                <w:color w:val="170D67"/>
              </w:rPr>
              <w:t>Fair Value</w:t>
            </w:r>
          </w:p>
        </w:tc>
      </w:tr>
      <w:tr>
        <w:trPr>
          <w:trHeight w:val="210"/>
        </w:trPr>
        <w:tc>
          <w:tcPr>
            <w:tcW w:w="3900" w:type="dxa"/>
            <w:vAlign w:val="bottom"/>
          </w:tcPr>
          <w:p>
            <w:pPr>
              <w:ind w:left="20"/>
              <w:spacing w:after="0"/>
              <w:rPr>
                <w:sz w:val="20"/>
                <w:szCs w:val="20"/>
                <w:color w:val="auto"/>
              </w:rPr>
            </w:pPr>
            <w:r>
              <w:rPr>
                <w:rFonts w:ascii="Arial" w:cs="Arial" w:eastAsia="Arial" w:hAnsi="Arial"/>
                <w:sz w:val="15"/>
                <w:szCs w:val="15"/>
                <w:b w:val="1"/>
                <w:bCs w:val="1"/>
                <w:color w:val="170D67"/>
              </w:rPr>
              <w:t>Date</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170D67"/>
              </w:rPr>
              <w:t>Cycle</w:t>
            </w:r>
          </w:p>
        </w:tc>
        <w:tc>
          <w:tcPr>
            <w:tcW w:w="1260" w:type="dxa"/>
            <w:vAlign w:val="bottom"/>
          </w:tcPr>
          <w:p>
            <w:pPr>
              <w:jc w:val="right"/>
              <w:ind w:right="244"/>
              <w:spacing w:after="0"/>
              <w:rPr>
                <w:sz w:val="20"/>
                <w:szCs w:val="20"/>
                <w:color w:val="auto"/>
              </w:rPr>
            </w:pPr>
            <w:r>
              <w:rPr>
                <w:rFonts w:ascii="Arial" w:cs="Arial" w:eastAsia="Arial" w:hAnsi="Arial"/>
                <w:sz w:val="15"/>
                <w:szCs w:val="15"/>
                <w:b w:val="1"/>
                <w:bCs w:val="1"/>
                <w:color w:val="170D67"/>
              </w:rPr>
              <w:t>($)</w:t>
            </w:r>
          </w:p>
        </w:tc>
        <w:tc>
          <w:tcPr>
            <w:tcW w:w="1480" w:type="dxa"/>
            <w:vAlign w:val="bottom"/>
          </w:tcPr>
          <w:p>
            <w:pPr>
              <w:jc w:val="right"/>
              <w:ind w:right="144"/>
              <w:spacing w:after="0"/>
              <w:rPr>
                <w:sz w:val="20"/>
                <w:szCs w:val="20"/>
                <w:color w:val="auto"/>
              </w:rPr>
            </w:pPr>
            <w:r>
              <w:rPr>
                <w:rFonts w:ascii="Arial" w:cs="Arial" w:eastAsia="Arial" w:hAnsi="Arial"/>
                <w:sz w:val="15"/>
                <w:szCs w:val="15"/>
                <w:b w:val="1"/>
                <w:bCs w:val="1"/>
                <w:color w:val="170D67"/>
              </w:rPr>
              <w:t>Performance</w:t>
            </w:r>
          </w:p>
        </w:tc>
        <w:tc>
          <w:tcPr>
            <w:tcW w:w="1240" w:type="dxa"/>
            <w:vAlign w:val="bottom"/>
          </w:tcPr>
          <w:p>
            <w:pPr>
              <w:jc w:val="right"/>
              <w:ind w:right="304"/>
              <w:spacing w:after="0"/>
              <w:rPr>
                <w:sz w:val="20"/>
                <w:szCs w:val="20"/>
                <w:color w:val="auto"/>
              </w:rPr>
            </w:pPr>
            <w:r>
              <w:rPr>
                <w:rFonts w:ascii="Arial" w:cs="Arial" w:eastAsia="Arial" w:hAnsi="Arial"/>
                <w:sz w:val="15"/>
                <w:szCs w:val="15"/>
                <w:b w:val="1"/>
                <w:bCs w:val="1"/>
                <w:color w:val="170D67"/>
              </w:rPr>
              <w:t>TSR</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170D67"/>
              </w:rPr>
              <w:t>Multiplier</w:t>
            </w:r>
          </w:p>
        </w:tc>
      </w:tr>
      <w:tr>
        <w:trPr>
          <w:trHeight w:val="25"/>
        </w:trPr>
        <w:tc>
          <w:tcPr>
            <w:tcW w:w="3900" w:type="dxa"/>
            <w:vAlign w:val="bottom"/>
            <w:tcBorders>
              <w:bottom w:val="single" w:sz="8" w:color="170D67"/>
            </w:tcBorders>
          </w:tcPr>
          <w:p>
            <w:pPr>
              <w:spacing w:after="0"/>
              <w:rPr>
                <w:sz w:val="2"/>
                <w:szCs w:val="2"/>
                <w:color w:val="auto"/>
              </w:rPr>
            </w:pPr>
          </w:p>
        </w:tc>
        <w:tc>
          <w:tcPr>
            <w:tcW w:w="1380" w:type="dxa"/>
            <w:vAlign w:val="bottom"/>
            <w:tcBorders>
              <w:bottom w:val="single" w:sz="8" w:color="170D67"/>
            </w:tcBorders>
          </w:tcPr>
          <w:p>
            <w:pPr>
              <w:spacing w:after="0"/>
              <w:rPr>
                <w:sz w:val="2"/>
                <w:szCs w:val="2"/>
                <w:color w:val="auto"/>
              </w:rPr>
            </w:pPr>
          </w:p>
        </w:tc>
        <w:tc>
          <w:tcPr>
            <w:tcW w:w="1260" w:type="dxa"/>
            <w:vAlign w:val="bottom"/>
            <w:tcBorders>
              <w:bottom w:val="single" w:sz="8" w:color="170D67"/>
            </w:tcBorders>
          </w:tcPr>
          <w:p>
            <w:pPr>
              <w:spacing w:after="0"/>
              <w:rPr>
                <w:sz w:val="2"/>
                <w:szCs w:val="2"/>
                <w:color w:val="auto"/>
              </w:rPr>
            </w:pPr>
          </w:p>
        </w:tc>
        <w:tc>
          <w:tcPr>
            <w:tcW w:w="1480" w:type="dxa"/>
            <w:vAlign w:val="bottom"/>
            <w:tcBorders>
              <w:bottom w:val="single" w:sz="8" w:color="170D67"/>
            </w:tcBorders>
          </w:tcPr>
          <w:p>
            <w:pPr>
              <w:spacing w:after="0"/>
              <w:rPr>
                <w:sz w:val="2"/>
                <w:szCs w:val="2"/>
                <w:color w:val="auto"/>
              </w:rPr>
            </w:pPr>
          </w:p>
        </w:tc>
        <w:tc>
          <w:tcPr>
            <w:tcW w:w="1240" w:type="dxa"/>
            <w:vAlign w:val="bottom"/>
            <w:tcBorders>
              <w:bottom w:val="single" w:sz="8" w:color="170D67"/>
            </w:tcBorders>
          </w:tcPr>
          <w:p>
            <w:pPr>
              <w:spacing w:after="0"/>
              <w:rPr>
                <w:sz w:val="2"/>
                <w:szCs w:val="2"/>
                <w:color w:val="auto"/>
              </w:rPr>
            </w:pPr>
          </w:p>
        </w:tc>
        <w:tc>
          <w:tcPr>
            <w:tcW w:w="1380" w:type="dxa"/>
            <w:vAlign w:val="bottom"/>
            <w:tcBorders>
              <w:bottom w:val="single" w:sz="8" w:color="170D67"/>
            </w:tcBorders>
          </w:tcPr>
          <w:p>
            <w:pPr>
              <w:spacing w:after="0"/>
              <w:rPr>
                <w:sz w:val="2"/>
                <w:szCs w:val="2"/>
                <w:color w:val="auto"/>
              </w:rPr>
            </w:pPr>
          </w:p>
        </w:tc>
      </w:tr>
      <w:tr>
        <w:trPr>
          <w:trHeight w:val="204"/>
        </w:trPr>
        <w:tc>
          <w:tcPr>
            <w:tcW w:w="39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2024-2026</w:t>
            </w:r>
          </w:p>
        </w:tc>
        <w:tc>
          <w:tcPr>
            <w:tcW w:w="1260" w:type="dxa"/>
            <w:vAlign w:val="bottom"/>
          </w:tcPr>
          <w:p>
            <w:pPr>
              <w:jc w:val="center"/>
              <w:ind w:left="84"/>
              <w:spacing w:after="0"/>
              <w:rPr>
                <w:sz w:val="20"/>
                <w:szCs w:val="20"/>
                <w:color w:val="auto"/>
              </w:rPr>
            </w:pPr>
            <w:r>
              <w:rPr>
                <w:rFonts w:ascii="Arial" w:cs="Arial" w:eastAsia="Arial" w:hAnsi="Arial"/>
                <w:sz w:val="15"/>
                <w:szCs w:val="15"/>
                <w:color w:val="auto"/>
              </w:rPr>
              <w:t>37.64</w:t>
            </w:r>
          </w:p>
        </w:tc>
        <w:tc>
          <w:tcPr>
            <w:tcW w:w="1480" w:type="dxa"/>
            <w:vAlign w:val="bottom"/>
          </w:tcPr>
          <w:p>
            <w:pPr>
              <w:jc w:val="right"/>
              <w:ind w:right="144"/>
              <w:spacing w:after="0"/>
              <w:rPr>
                <w:sz w:val="20"/>
                <w:szCs w:val="20"/>
                <w:color w:val="auto"/>
              </w:rPr>
            </w:pPr>
            <w:r>
              <w:rPr>
                <w:rFonts w:ascii="Arial" w:cs="Arial" w:eastAsia="Arial" w:hAnsi="Arial"/>
                <w:sz w:val="15"/>
                <w:szCs w:val="15"/>
                <w:color w:val="auto"/>
              </w:rPr>
              <w:t>106.03 %</w:t>
            </w:r>
          </w:p>
        </w:tc>
        <w:tc>
          <w:tcPr>
            <w:tcW w:w="1240" w:type="dxa"/>
            <w:vAlign w:val="bottom"/>
          </w:tcPr>
          <w:p>
            <w:pPr>
              <w:jc w:val="right"/>
              <w:ind w:right="304"/>
              <w:spacing w:after="0"/>
              <w:rPr>
                <w:sz w:val="20"/>
                <w:szCs w:val="20"/>
                <w:color w:val="auto"/>
              </w:rPr>
            </w:pPr>
            <w:r>
              <w:rPr>
                <w:rFonts w:ascii="Arial" w:cs="Arial" w:eastAsia="Arial" w:hAnsi="Arial"/>
                <w:sz w:val="15"/>
                <w:szCs w:val="15"/>
                <w:color w:val="auto"/>
              </w:rPr>
              <w:t>83.60 %</w:t>
            </w:r>
          </w:p>
        </w:tc>
        <w:tc>
          <w:tcPr>
            <w:tcW w:w="1380" w:type="dxa"/>
            <w:vAlign w:val="bottom"/>
          </w:tcPr>
          <w:p>
            <w:pPr>
              <w:jc w:val="right"/>
              <w:spacing w:after="0"/>
              <w:rPr>
                <w:sz w:val="20"/>
                <w:szCs w:val="20"/>
                <w:color w:val="auto"/>
              </w:rPr>
            </w:pPr>
            <w:r>
              <w:rPr>
                <w:rFonts w:ascii="Arial" w:cs="Arial" w:eastAsia="Arial" w:hAnsi="Arial"/>
                <w:sz w:val="15"/>
                <w:szCs w:val="15"/>
                <w:color w:val="auto"/>
              </w:rPr>
              <w:t>88.64 %</w:t>
            </w:r>
          </w:p>
        </w:tc>
      </w:tr>
      <w:tr>
        <w:trPr>
          <w:trHeight w:val="33"/>
        </w:trPr>
        <w:tc>
          <w:tcPr>
            <w:tcW w:w="3900" w:type="dxa"/>
            <w:vAlign w:val="bottom"/>
          </w:tcPr>
          <w:p>
            <w:pPr>
              <w:spacing w:after="0"/>
              <w:rPr>
                <w:sz w:val="2"/>
                <w:szCs w:val="2"/>
                <w:color w:val="auto"/>
              </w:rPr>
            </w:pPr>
          </w:p>
        </w:tc>
        <w:tc>
          <w:tcPr>
            <w:tcW w:w="1380" w:type="dxa"/>
            <w:vAlign w:val="bottom"/>
            <w:tcBorders>
              <w:bottom w:val="single" w:sz="8" w:color="929292"/>
            </w:tcBorders>
          </w:tcPr>
          <w:p>
            <w:pPr>
              <w:spacing w:after="0"/>
              <w:rPr>
                <w:sz w:val="2"/>
                <w:szCs w:val="2"/>
                <w:color w:val="auto"/>
              </w:rPr>
            </w:pPr>
          </w:p>
        </w:tc>
        <w:tc>
          <w:tcPr>
            <w:tcW w:w="1260" w:type="dxa"/>
            <w:vAlign w:val="bottom"/>
            <w:tcBorders>
              <w:bottom w:val="single" w:sz="8" w:color="929292"/>
            </w:tcBorders>
          </w:tcPr>
          <w:p>
            <w:pPr>
              <w:spacing w:after="0"/>
              <w:rPr>
                <w:sz w:val="2"/>
                <w:szCs w:val="2"/>
                <w:color w:val="auto"/>
              </w:rPr>
            </w:pPr>
          </w:p>
        </w:tc>
        <w:tc>
          <w:tcPr>
            <w:tcW w:w="1480" w:type="dxa"/>
            <w:vAlign w:val="bottom"/>
            <w:tcBorders>
              <w:bottom w:val="single" w:sz="8" w:color="929292"/>
            </w:tcBorders>
          </w:tcPr>
          <w:p>
            <w:pPr>
              <w:spacing w:after="0"/>
              <w:rPr>
                <w:sz w:val="2"/>
                <w:szCs w:val="2"/>
                <w:color w:val="auto"/>
              </w:rPr>
            </w:pPr>
          </w:p>
        </w:tc>
        <w:tc>
          <w:tcPr>
            <w:tcW w:w="1240" w:type="dxa"/>
            <w:vAlign w:val="bottom"/>
            <w:tcBorders>
              <w:bottom w:val="single" w:sz="8" w:color="929292"/>
            </w:tcBorders>
          </w:tcPr>
          <w:p>
            <w:pPr>
              <w:spacing w:after="0"/>
              <w:rPr>
                <w:sz w:val="2"/>
                <w:szCs w:val="2"/>
                <w:color w:val="auto"/>
              </w:rPr>
            </w:pPr>
          </w:p>
        </w:tc>
        <w:tc>
          <w:tcPr>
            <w:tcW w:w="1380" w:type="dxa"/>
            <w:vAlign w:val="bottom"/>
            <w:tcBorders>
              <w:bottom w:val="single" w:sz="8" w:color="929292"/>
            </w:tcBorders>
          </w:tcPr>
          <w:p>
            <w:pPr>
              <w:spacing w:after="0"/>
              <w:rPr>
                <w:sz w:val="2"/>
                <w:szCs w:val="2"/>
                <w:color w:val="auto"/>
              </w:rPr>
            </w:pPr>
          </w:p>
        </w:tc>
      </w:tr>
      <w:tr>
        <w:trPr>
          <w:trHeight w:val="203"/>
        </w:trPr>
        <w:tc>
          <w:tcPr>
            <w:tcW w:w="3900" w:type="dxa"/>
            <w:vAlign w:val="bottom"/>
          </w:tcPr>
          <w:p>
            <w:pPr>
              <w:ind w:left="20"/>
              <w:spacing w:after="0"/>
              <w:rPr>
                <w:sz w:val="20"/>
                <w:szCs w:val="20"/>
                <w:color w:val="auto"/>
              </w:rPr>
            </w:pPr>
            <w:r>
              <w:rPr>
                <w:rFonts w:ascii="Arial" w:cs="Arial" w:eastAsia="Arial" w:hAnsi="Arial"/>
                <w:sz w:val="15"/>
                <w:szCs w:val="15"/>
                <w:color w:val="auto"/>
              </w:rPr>
              <w:t>12/31/2024</w:t>
            </w:r>
          </w:p>
        </w:tc>
        <w:tc>
          <w:tcPr>
            <w:tcW w:w="1380" w:type="dxa"/>
            <w:vAlign w:val="bottom"/>
          </w:tcPr>
          <w:p>
            <w:pPr>
              <w:jc w:val="right"/>
              <w:spacing w:after="0"/>
              <w:rPr>
                <w:sz w:val="20"/>
                <w:szCs w:val="20"/>
                <w:color w:val="auto"/>
              </w:rPr>
            </w:pPr>
            <w:r>
              <w:rPr>
                <w:rFonts w:ascii="Arial" w:cs="Arial" w:eastAsia="Arial" w:hAnsi="Arial"/>
                <w:sz w:val="15"/>
                <w:szCs w:val="15"/>
                <w:color w:val="auto"/>
              </w:rPr>
              <w:t>2023-2025</w:t>
            </w:r>
          </w:p>
        </w:tc>
        <w:tc>
          <w:tcPr>
            <w:tcW w:w="1260" w:type="dxa"/>
            <w:vAlign w:val="bottom"/>
          </w:tcPr>
          <w:p>
            <w:pPr>
              <w:jc w:val="center"/>
              <w:ind w:left="84"/>
              <w:spacing w:after="0"/>
              <w:rPr>
                <w:sz w:val="20"/>
                <w:szCs w:val="20"/>
                <w:color w:val="auto"/>
              </w:rPr>
            </w:pPr>
            <w:r>
              <w:rPr>
                <w:rFonts w:ascii="Arial" w:cs="Arial" w:eastAsia="Arial" w:hAnsi="Arial"/>
                <w:sz w:val="15"/>
                <w:szCs w:val="15"/>
                <w:color w:val="auto"/>
              </w:rPr>
              <w:t>37.64</w:t>
            </w:r>
          </w:p>
        </w:tc>
        <w:tc>
          <w:tcPr>
            <w:tcW w:w="1480" w:type="dxa"/>
            <w:vAlign w:val="bottom"/>
          </w:tcPr>
          <w:p>
            <w:pPr>
              <w:jc w:val="right"/>
              <w:ind w:right="144"/>
              <w:spacing w:after="0"/>
              <w:rPr>
                <w:sz w:val="20"/>
                <w:szCs w:val="20"/>
                <w:color w:val="auto"/>
              </w:rPr>
            </w:pPr>
            <w:r>
              <w:rPr>
                <w:rFonts w:ascii="Arial" w:cs="Arial" w:eastAsia="Arial" w:hAnsi="Arial"/>
                <w:sz w:val="15"/>
                <w:szCs w:val="15"/>
                <w:color w:val="auto"/>
              </w:rPr>
              <w:t>98.57 %</w:t>
            </w:r>
          </w:p>
        </w:tc>
        <w:tc>
          <w:tcPr>
            <w:tcW w:w="1240" w:type="dxa"/>
            <w:vAlign w:val="bottom"/>
          </w:tcPr>
          <w:p>
            <w:pPr>
              <w:jc w:val="right"/>
              <w:ind w:right="304"/>
              <w:spacing w:after="0"/>
              <w:rPr>
                <w:sz w:val="20"/>
                <w:szCs w:val="20"/>
                <w:color w:val="auto"/>
              </w:rPr>
            </w:pPr>
            <w:r>
              <w:rPr>
                <w:rFonts w:ascii="Arial" w:cs="Arial" w:eastAsia="Arial" w:hAnsi="Arial"/>
                <w:sz w:val="15"/>
                <w:szCs w:val="15"/>
                <w:color w:val="auto"/>
              </w:rPr>
              <w:t>74.90 %</w:t>
            </w:r>
          </w:p>
        </w:tc>
        <w:tc>
          <w:tcPr>
            <w:tcW w:w="1380" w:type="dxa"/>
            <w:vAlign w:val="bottom"/>
          </w:tcPr>
          <w:p>
            <w:pPr>
              <w:jc w:val="right"/>
              <w:spacing w:after="0"/>
              <w:rPr>
                <w:sz w:val="20"/>
                <w:szCs w:val="20"/>
                <w:color w:val="auto"/>
              </w:rPr>
            </w:pPr>
            <w:r>
              <w:rPr>
                <w:rFonts w:ascii="Arial" w:cs="Arial" w:eastAsia="Arial" w:hAnsi="Arial"/>
                <w:sz w:val="15"/>
                <w:szCs w:val="15"/>
                <w:color w:val="auto"/>
              </w:rPr>
              <w:t>73.83 %</w:t>
            </w:r>
          </w:p>
        </w:tc>
      </w:tr>
      <w:tr>
        <w:trPr>
          <w:trHeight w:val="33"/>
        </w:trPr>
        <w:tc>
          <w:tcPr>
            <w:tcW w:w="3900" w:type="dxa"/>
            <w:vAlign w:val="bottom"/>
          </w:tcPr>
          <w:p>
            <w:pPr>
              <w:spacing w:after="0"/>
              <w:rPr>
                <w:sz w:val="2"/>
                <w:szCs w:val="2"/>
                <w:color w:val="auto"/>
              </w:rPr>
            </w:pPr>
          </w:p>
        </w:tc>
        <w:tc>
          <w:tcPr>
            <w:tcW w:w="1380" w:type="dxa"/>
            <w:vAlign w:val="bottom"/>
            <w:tcBorders>
              <w:bottom w:val="single" w:sz="8" w:color="929292"/>
            </w:tcBorders>
          </w:tcPr>
          <w:p>
            <w:pPr>
              <w:spacing w:after="0"/>
              <w:rPr>
                <w:sz w:val="2"/>
                <w:szCs w:val="2"/>
                <w:color w:val="auto"/>
              </w:rPr>
            </w:pPr>
          </w:p>
        </w:tc>
        <w:tc>
          <w:tcPr>
            <w:tcW w:w="1260" w:type="dxa"/>
            <w:vAlign w:val="bottom"/>
            <w:tcBorders>
              <w:bottom w:val="single" w:sz="8" w:color="929292"/>
            </w:tcBorders>
          </w:tcPr>
          <w:p>
            <w:pPr>
              <w:spacing w:after="0"/>
              <w:rPr>
                <w:sz w:val="2"/>
                <w:szCs w:val="2"/>
                <w:color w:val="auto"/>
              </w:rPr>
            </w:pPr>
          </w:p>
        </w:tc>
        <w:tc>
          <w:tcPr>
            <w:tcW w:w="1480" w:type="dxa"/>
            <w:vAlign w:val="bottom"/>
            <w:tcBorders>
              <w:bottom w:val="single" w:sz="8" w:color="929292"/>
            </w:tcBorders>
          </w:tcPr>
          <w:p>
            <w:pPr>
              <w:spacing w:after="0"/>
              <w:rPr>
                <w:sz w:val="2"/>
                <w:szCs w:val="2"/>
                <w:color w:val="auto"/>
              </w:rPr>
            </w:pPr>
          </w:p>
        </w:tc>
        <w:tc>
          <w:tcPr>
            <w:tcW w:w="1240" w:type="dxa"/>
            <w:vAlign w:val="bottom"/>
            <w:tcBorders>
              <w:bottom w:val="single" w:sz="8" w:color="929292"/>
            </w:tcBorders>
          </w:tcPr>
          <w:p>
            <w:pPr>
              <w:spacing w:after="0"/>
              <w:rPr>
                <w:sz w:val="2"/>
                <w:szCs w:val="2"/>
                <w:color w:val="auto"/>
              </w:rPr>
            </w:pPr>
          </w:p>
        </w:tc>
        <w:tc>
          <w:tcPr>
            <w:tcW w:w="1380" w:type="dxa"/>
            <w:vAlign w:val="bottom"/>
            <w:tcBorders>
              <w:bottom w:val="single" w:sz="8" w:color="929292"/>
            </w:tcBorders>
          </w:tcPr>
          <w:p>
            <w:pPr>
              <w:spacing w:after="0"/>
              <w:rPr>
                <w:sz w:val="2"/>
                <w:szCs w:val="2"/>
                <w:color w:val="auto"/>
              </w:rPr>
            </w:pPr>
          </w:p>
        </w:tc>
      </w:tr>
      <w:tr>
        <w:trPr>
          <w:trHeight w:val="203"/>
        </w:trPr>
        <w:tc>
          <w:tcPr>
            <w:tcW w:w="39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2022-2024</w:t>
            </w:r>
          </w:p>
        </w:tc>
        <w:tc>
          <w:tcPr>
            <w:tcW w:w="1260" w:type="dxa"/>
            <w:vAlign w:val="bottom"/>
          </w:tcPr>
          <w:p>
            <w:pPr>
              <w:jc w:val="center"/>
              <w:ind w:left="84"/>
              <w:spacing w:after="0"/>
              <w:rPr>
                <w:sz w:val="20"/>
                <w:szCs w:val="20"/>
                <w:color w:val="auto"/>
              </w:rPr>
            </w:pPr>
            <w:r>
              <w:rPr>
                <w:rFonts w:ascii="Arial" w:cs="Arial" w:eastAsia="Arial" w:hAnsi="Arial"/>
                <w:sz w:val="15"/>
                <w:szCs w:val="15"/>
                <w:color w:val="auto"/>
              </w:rPr>
              <w:t>37.64</w:t>
            </w:r>
          </w:p>
        </w:tc>
        <w:tc>
          <w:tcPr>
            <w:tcW w:w="1480" w:type="dxa"/>
            <w:vAlign w:val="bottom"/>
          </w:tcPr>
          <w:p>
            <w:pPr>
              <w:jc w:val="right"/>
              <w:ind w:right="144"/>
              <w:spacing w:after="0"/>
              <w:rPr>
                <w:sz w:val="20"/>
                <w:szCs w:val="20"/>
                <w:color w:val="auto"/>
              </w:rPr>
            </w:pPr>
            <w:r>
              <w:rPr>
                <w:rFonts w:ascii="Arial" w:cs="Arial" w:eastAsia="Arial" w:hAnsi="Arial"/>
                <w:sz w:val="15"/>
                <w:szCs w:val="15"/>
                <w:color w:val="auto"/>
              </w:rPr>
              <w:t>91.79 %</w:t>
            </w:r>
          </w:p>
        </w:tc>
        <w:tc>
          <w:tcPr>
            <w:tcW w:w="1240" w:type="dxa"/>
            <w:vAlign w:val="bottom"/>
          </w:tcPr>
          <w:p>
            <w:pPr>
              <w:jc w:val="right"/>
              <w:ind w:right="304"/>
              <w:spacing w:after="0"/>
              <w:rPr>
                <w:sz w:val="20"/>
                <w:szCs w:val="20"/>
                <w:color w:val="auto"/>
              </w:rPr>
            </w:pPr>
            <w:r>
              <w:rPr>
                <w:rFonts w:ascii="Arial" w:cs="Arial" w:eastAsia="Arial" w:hAnsi="Arial"/>
                <w:sz w:val="15"/>
                <w:szCs w:val="15"/>
                <w:color w:val="auto"/>
              </w:rPr>
              <w:t>91.26 %</w:t>
            </w:r>
          </w:p>
        </w:tc>
        <w:tc>
          <w:tcPr>
            <w:tcW w:w="1380" w:type="dxa"/>
            <w:vAlign w:val="bottom"/>
          </w:tcPr>
          <w:p>
            <w:pPr>
              <w:jc w:val="right"/>
              <w:spacing w:after="0"/>
              <w:rPr>
                <w:sz w:val="20"/>
                <w:szCs w:val="20"/>
                <w:color w:val="auto"/>
              </w:rPr>
            </w:pPr>
            <w:r>
              <w:rPr>
                <w:rFonts w:ascii="Arial" w:cs="Arial" w:eastAsia="Arial" w:hAnsi="Arial"/>
                <w:sz w:val="15"/>
                <w:szCs w:val="15"/>
                <w:color w:val="auto"/>
              </w:rPr>
              <w:t>83.76 %</w:t>
            </w:r>
          </w:p>
        </w:tc>
      </w:tr>
      <w:tr>
        <w:trPr>
          <w:trHeight w:val="33"/>
        </w:trPr>
        <w:tc>
          <w:tcPr>
            <w:tcW w:w="3900" w:type="dxa"/>
            <w:vAlign w:val="bottom"/>
            <w:tcBorders>
              <w:bottom w:val="single" w:sz="8" w:color="929292"/>
            </w:tcBorders>
          </w:tcPr>
          <w:p>
            <w:pPr>
              <w:spacing w:after="0"/>
              <w:rPr>
                <w:sz w:val="2"/>
                <w:szCs w:val="2"/>
                <w:color w:val="auto"/>
              </w:rPr>
            </w:pPr>
          </w:p>
        </w:tc>
        <w:tc>
          <w:tcPr>
            <w:tcW w:w="1380" w:type="dxa"/>
            <w:vAlign w:val="bottom"/>
            <w:tcBorders>
              <w:bottom w:val="single" w:sz="8" w:color="929292"/>
            </w:tcBorders>
          </w:tcPr>
          <w:p>
            <w:pPr>
              <w:spacing w:after="0"/>
              <w:rPr>
                <w:sz w:val="2"/>
                <w:szCs w:val="2"/>
                <w:color w:val="auto"/>
              </w:rPr>
            </w:pPr>
          </w:p>
        </w:tc>
        <w:tc>
          <w:tcPr>
            <w:tcW w:w="1260" w:type="dxa"/>
            <w:vAlign w:val="bottom"/>
            <w:tcBorders>
              <w:bottom w:val="single" w:sz="8" w:color="929292"/>
            </w:tcBorders>
          </w:tcPr>
          <w:p>
            <w:pPr>
              <w:spacing w:after="0"/>
              <w:rPr>
                <w:sz w:val="2"/>
                <w:szCs w:val="2"/>
                <w:color w:val="auto"/>
              </w:rPr>
            </w:pPr>
          </w:p>
        </w:tc>
        <w:tc>
          <w:tcPr>
            <w:tcW w:w="1480" w:type="dxa"/>
            <w:vAlign w:val="bottom"/>
            <w:tcBorders>
              <w:bottom w:val="single" w:sz="8" w:color="929292"/>
            </w:tcBorders>
          </w:tcPr>
          <w:p>
            <w:pPr>
              <w:spacing w:after="0"/>
              <w:rPr>
                <w:sz w:val="2"/>
                <w:szCs w:val="2"/>
                <w:color w:val="auto"/>
              </w:rPr>
            </w:pPr>
          </w:p>
        </w:tc>
        <w:tc>
          <w:tcPr>
            <w:tcW w:w="1240" w:type="dxa"/>
            <w:vAlign w:val="bottom"/>
            <w:tcBorders>
              <w:bottom w:val="single" w:sz="8" w:color="929292"/>
            </w:tcBorders>
          </w:tcPr>
          <w:p>
            <w:pPr>
              <w:spacing w:after="0"/>
              <w:rPr>
                <w:sz w:val="2"/>
                <w:szCs w:val="2"/>
                <w:color w:val="auto"/>
              </w:rPr>
            </w:pPr>
          </w:p>
        </w:tc>
        <w:tc>
          <w:tcPr>
            <w:tcW w:w="1380" w:type="dxa"/>
            <w:vAlign w:val="bottom"/>
            <w:tcBorders>
              <w:bottom w:val="single" w:sz="8" w:color="929292"/>
            </w:tcBorders>
          </w:tcPr>
          <w:p>
            <w:pPr>
              <w:spacing w:after="0"/>
              <w:rPr>
                <w:sz w:val="2"/>
                <w:szCs w:val="2"/>
                <w:color w:val="auto"/>
              </w:rPr>
            </w:pPr>
          </w:p>
        </w:tc>
      </w:tr>
      <w:tr>
        <w:trPr>
          <w:trHeight w:val="242"/>
        </w:trPr>
        <w:tc>
          <w:tcPr>
            <w:tcW w:w="3900" w:type="dxa"/>
            <w:vAlign w:val="bottom"/>
            <w:tcBorders>
              <w:bottom w:val="single" w:sz="8" w:color="E8E7EA"/>
            </w:tcBorders>
            <w:shd w:val="clear" w:color="auto" w:fill="E8E7EA"/>
          </w:tcPr>
          <w:p>
            <w:pPr>
              <w:spacing w:after="0"/>
              <w:rPr>
                <w:sz w:val="20"/>
                <w:szCs w:val="20"/>
                <w:color w:val="auto"/>
              </w:rPr>
            </w:pPr>
          </w:p>
        </w:tc>
        <w:tc>
          <w:tcPr>
            <w:tcW w:w="1380" w:type="dxa"/>
            <w:vAlign w:val="bottom"/>
            <w:tcBorders>
              <w:bottom w:val="single" w:sz="8" w:color="E8E7EA"/>
            </w:tcBorders>
            <w:shd w:val="clear" w:color="auto" w:fill="E8E7EA"/>
          </w:tcPr>
          <w:p>
            <w:pPr>
              <w:jc w:val="right"/>
              <w:spacing w:after="0"/>
              <w:rPr>
                <w:sz w:val="20"/>
                <w:szCs w:val="20"/>
                <w:color w:val="auto"/>
              </w:rPr>
            </w:pPr>
            <w:r>
              <w:rPr>
                <w:rFonts w:ascii="Arial" w:cs="Arial" w:eastAsia="Arial" w:hAnsi="Arial"/>
                <w:sz w:val="15"/>
                <w:szCs w:val="15"/>
                <w:color w:val="auto"/>
              </w:rPr>
              <w:t>2023-2025</w:t>
            </w:r>
          </w:p>
        </w:tc>
        <w:tc>
          <w:tcPr>
            <w:tcW w:w="1260" w:type="dxa"/>
            <w:vAlign w:val="bottom"/>
            <w:tcBorders>
              <w:bottom w:val="single" w:sz="8" w:color="E8E7EA"/>
            </w:tcBorders>
            <w:shd w:val="clear" w:color="auto" w:fill="E8E7EA"/>
          </w:tcPr>
          <w:p>
            <w:pPr>
              <w:jc w:val="center"/>
              <w:ind w:left="84"/>
              <w:spacing w:after="0"/>
              <w:rPr>
                <w:sz w:val="20"/>
                <w:szCs w:val="20"/>
                <w:color w:val="auto"/>
              </w:rPr>
            </w:pPr>
            <w:r>
              <w:rPr>
                <w:rFonts w:ascii="Arial" w:cs="Arial" w:eastAsia="Arial" w:hAnsi="Arial"/>
                <w:sz w:val="15"/>
                <w:szCs w:val="15"/>
                <w:color w:val="auto"/>
              </w:rPr>
              <w:t>35.90</w:t>
            </w:r>
          </w:p>
        </w:tc>
        <w:tc>
          <w:tcPr>
            <w:tcW w:w="1480" w:type="dxa"/>
            <w:vAlign w:val="bottom"/>
            <w:tcBorders>
              <w:bottom w:val="single" w:sz="8" w:color="E8E7EA"/>
            </w:tcBorders>
            <w:shd w:val="clear" w:color="auto" w:fill="E8E7EA"/>
          </w:tcPr>
          <w:p>
            <w:pPr>
              <w:jc w:val="right"/>
              <w:ind w:right="144"/>
              <w:spacing w:after="0"/>
              <w:rPr>
                <w:sz w:val="20"/>
                <w:szCs w:val="20"/>
                <w:color w:val="auto"/>
              </w:rPr>
            </w:pPr>
            <w:r>
              <w:rPr>
                <w:rFonts w:ascii="Arial" w:cs="Arial" w:eastAsia="Arial" w:hAnsi="Arial"/>
                <w:sz w:val="15"/>
                <w:szCs w:val="15"/>
                <w:color w:val="auto"/>
              </w:rPr>
              <w:t>98.92 %</w:t>
            </w:r>
          </w:p>
        </w:tc>
        <w:tc>
          <w:tcPr>
            <w:tcW w:w="1240" w:type="dxa"/>
            <w:vAlign w:val="bottom"/>
            <w:tcBorders>
              <w:bottom w:val="single" w:sz="8" w:color="E8E7EA"/>
            </w:tcBorders>
            <w:shd w:val="clear" w:color="auto" w:fill="E8E7EA"/>
          </w:tcPr>
          <w:p>
            <w:pPr>
              <w:jc w:val="right"/>
              <w:ind w:right="304"/>
              <w:spacing w:after="0"/>
              <w:rPr>
                <w:sz w:val="20"/>
                <w:szCs w:val="20"/>
                <w:color w:val="auto"/>
              </w:rPr>
            </w:pPr>
            <w:r>
              <w:rPr>
                <w:rFonts w:ascii="Arial" w:cs="Arial" w:eastAsia="Arial" w:hAnsi="Arial"/>
                <w:sz w:val="15"/>
                <w:szCs w:val="15"/>
                <w:color w:val="auto"/>
              </w:rPr>
              <w:t>88.90 %</w:t>
            </w:r>
          </w:p>
        </w:tc>
        <w:tc>
          <w:tcPr>
            <w:tcW w:w="1380" w:type="dxa"/>
            <w:vAlign w:val="bottom"/>
            <w:tcBorders>
              <w:bottom w:val="single" w:sz="8" w:color="E8E7EA"/>
            </w:tcBorders>
            <w:shd w:val="clear" w:color="auto" w:fill="E8E7EA"/>
          </w:tcPr>
          <w:p>
            <w:pPr>
              <w:jc w:val="right"/>
              <w:spacing w:after="0"/>
              <w:rPr>
                <w:sz w:val="20"/>
                <w:szCs w:val="20"/>
                <w:color w:val="auto"/>
              </w:rPr>
            </w:pPr>
            <w:r>
              <w:rPr>
                <w:rFonts w:ascii="Arial" w:cs="Arial" w:eastAsia="Arial" w:hAnsi="Arial"/>
                <w:sz w:val="15"/>
                <w:szCs w:val="15"/>
                <w:color w:val="auto"/>
              </w:rPr>
              <w:t>87.90 %</w:t>
            </w:r>
          </w:p>
        </w:tc>
      </w:tr>
      <w:tr>
        <w:trPr>
          <w:trHeight w:val="241"/>
        </w:trPr>
        <w:tc>
          <w:tcPr>
            <w:tcW w:w="3900" w:type="dxa"/>
            <w:vAlign w:val="bottom"/>
            <w:tcBorders>
              <w:top w:val="single" w:sz="8" w:color="E8E7EA"/>
              <w:bottom w:val="single" w:sz="8" w:color="E8E7EA"/>
            </w:tcBorders>
            <w:shd w:val="clear" w:color="auto" w:fill="E8E7EA"/>
          </w:tcPr>
          <w:p>
            <w:pPr>
              <w:ind w:left="20"/>
              <w:spacing w:after="0"/>
              <w:rPr>
                <w:sz w:val="20"/>
                <w:szCs w:val="20"/>
                <w:color w:val="auto"/>
              </w:rPr>
            </w:pPr>
            <w:r>
              <w:rPr>
                <w:rFonts w:ascii="Arial" w:cs="Arial" w:eastAsia="Arial" w:hAnsi="Arial"/>
                <w:sz w:val="15"/>
                <w:szCs w:val="15"/>
                <w:color w:val="auto"/>
              </w:rPr>
              <w:t>12/31/2023</w:t>
            </w:r>
          </w:p>
        </w:tc>
        <w:tc>
          <w:tcPr>
            <w:tcW w:w="1380" w:type="dxa"/>
            <w:vAlign w:val="bottom"/>
            <w:tcBorders>
              <w:top w:val="single" w:sz="8" w:color="929292"/>
              <w:bottom w:val="single" w:sz="8" w:color="E8E7EA"/>
            </w:tcBorders>
            <w:shd w:val="clear" w:color="auto" w:fill="E8E7EA"/>
          </w:tcPr>
          <w:p>
            <w:pPr>
              <w:jc w:val="right"/>
              <w:spacing w:after="0"/>
              <w:rPr>
                <w:sz w:val="20"/>
                <w:szCs w:val="20"/>
                <w:color w:val="auto"/>
              </w:rPr>
            </w:pPr>
            <w:r>
              <w:rPr>
                <w:rFonts w:ascii="Arial" w:cs="Arial" w:eastAsia="Arial" w:hAnsi="Arial"/>
                <w:sz w:val="15"/>
                <w:szCs w:val="15"/>
                <w:color w:val="auto"/>
              </w:rPr>
              <w:t>2022-2024</w:t>
            </w:r>
          </w:p>
        </w:tc>
        <w:tc>
          <w:tcPr>
            <w:tcW w:w="1260" w:type="dxa"/>
            <w:vAlign w:val="bottom"/>
            <w:tcBorders>
              <w:top w:val="single" w:sz="8" w:color="929292"/>
              <w:bottom w:val="single" w:sz="8" w:color="E8E7EA"/>
            </w:tcBorders>
            <w:shd w:val="clear" w:color="auto" w:fill="E8E7EA"/>
          </w:tcPr>
          <w:p>
            <w:pPr>
              <w:jc w:val="center"/>
              <w:ind w:left="84"/>
              <w:spacing w:after="0"/>
              <w:rPr>
                <w:sz w:val="20"/>
                <w:szCs w:val="20"/>
                <w:color w:val="auto"/>
              </w:rPr>
            </w:pPr>
            <w:r>
              <w:rPr>
                <w:rFonts w:ascii="Arial" w:cs="Arial" w:eastAsia="Arial" w:hAnsi="Arial"/>
                <w:sz w:val="15"/>
                <w:szCs w:val="15"/>
                <w:color w:val="auto"/>
              </w:rPr>
              <w:t>35.90</w:t>
            </w:r>
          </w:p>
        </w:tc>
        <w:tc>
          <w:tcPr>
            <w:tcW w:w="1480" w:type="dxa"/>
            <w:vAlign w:val="bottom"/>
            <w:tcBorders>
              <w:top w:val="single" w:sz="8" w:color="929292"/>
              <w:bottom w:val="single" w:sz="8" w:color="E8E7EA"/>
            </w:tcBorders>
            <w:shd w:val="clear" w:color="auto" w:fill="E8E7EA"/>
          </w:tcPr>
          <w:p>
            <w:pPr>
              <w:jc w:val="right"/>
              <w:ind w:right="144"/>
              <w:spacing w:after="0"/>
              <w:rPr>
                <w:sz w:val="20"/>
                <w:szCs w:val="20"/>
                <w:color w:val="auto"/>
              </w:rPr>
            </w:pPr>
            <w:r>
              <w:rPr>
                <w:rFonts w:ascii="Arial" w:cs="Arial" w:eastAsia="Arial" w:hAnsi="Arial"/>
                <w:sz w:val="15"/>
                <w:szCs w:val="15"/>
                <w:color w:val="auto"/>
              </w:rPr>
              <w:t>92.36 %</w:t>
            </w:r>
          </w:p>
        </w:tc>
        <w:tc>
          <w:tcPr>
            <w:tcW w:w="1240" w:type="dxa"/>
            <w:vAlign w:val="bottom"/>
            <w:tcBorders>
              <w:top w:val="single" w:sz="8" w:color="929292"/>
              <w:bottom w:val="single" w:sz="8" w:color="E8E7EA"/>
            </w:tcBorders>
            <w:shd w:val="clear" w:color="auto" w:fill="E8E7EA"/>
          </w:tcPr>
          <w:p>
            <w:pPr>
              <w:jc w:val="right"/>
              <w:ind w:right="304"/>
              <w:spacing w:after="0"/>
              <w:rPr>
                <w:sz w:val="20"/>
                <w:szCs w:val="20"/>
                <w:color w:val="auto"/>
              </w:rPr>
            </w:pPr>
            <w:r>
              <w:rPr>
                <w:rFonts w:ascii="Arial" w:cs="Arial" w:eastAsia="Arial" w:hAnsi="Arial"/>
                <w:sz w:val="15"/>
                <w:szCs w:val="15"/>
                <w:color w:val="auto"/>
              </w:rPr>
              <w:t>98.20 %</w:t>
            </w:r>
          </w:p>
        </w:tc>
        <w:tc>
          <w:tcPr>
            <w:tcW w:w="1380" w:type="dxa"/>
            <w:vAlign w:val="bottom"/>
            <w:tcBorders>
              <w:top w:val="single" w:sz="8" w:color="929292"/>
              <w:bottom w:val="single" w:sz="8" w:color="E8E7EA"/>
            </w:tcBorders>
            <w:shd w:val="clear" w:color="auto" w:fill="E8E7EA"/>
          </w:tcPr>
          <w:p>
            <w:pPr>
              <w:jc w:val="right"/>
              <w:spacing w:after="0"/>
              <w:rPr>
                <w:sz w:val="20"/>
                <w:szCs w:val="20"/>
                <w:color w:val="auto"/>
              </w:rPr>
            </w:pPr>
            <w:r>
              <w:rPr>
                <w:rFonts w:ascii="Arial" w:cs="Arial" w:eastAsia="Arial" w:hAnsi="Arial"/>
                <w:sz w:val="15"/>
                <w:szCs w:val="15"/>
                <w:color w:val="auto"/>
              </w:rPr>
              <w:t>90.70 %</w:t>
            </w:r>
          </w:p>
        </w:tc>
      </w:tr>
      <w:tr>
        <w:trPr>
          <w:trHeight w:val="242"/>
        </w:trPr>
        <w:tc>
          <w:tcPr>
            <w:tcW w:w="3900" w:type="dxa"/>
            <w:vAlign w:val="bottom"/>
            <w:tcBorders>
              <w:top w:val="single" w:sz="8" w:color="E8E7EA"/>
              <w:bottom w:val="single" w:sz="8" w:color="E8E7EA"/>
            </w:tcBorders>
            <w:shd w:val="clear" w:color="auto" w:fill="E8E7EA"/>
          </w:tcPr>
          <w:p>
            <w:pPr>
              <w:spacing w:after="0"/>
              <w:rPr>
                <w:sz w:val="20"/>
                <w:szCs w:val="20"/>
                <w:color w:val="auto"/>
              </w:rPr>
            </w:pPr>
          </w:p>
        </w:tc>
        <w:tc>
          <w:tcPr>
            <w:tcW w:w="1380" w:type="dxa"/>
            <w:vAlign w:val="bottom"/>
            <w:tcBorders>
              <w:top w:val="single" w:sz="8" w:color="929292"/>
              <w:bottom w:val="single" w:sz="8" w:color="E8E7EA"/>
            </w:tcBorders>
            <w:shd w:val="clear" w:color="auto" w:fill="E8E7EA"/>
          </w:tcPr>
          <w:p>
            <w:pPr>
              <w:jc w:val="right"/>
              <w:spacing w:after="0"/>
              <w:rPr>
                <w:sz w:val="20"/>
                <w:szCs w:val="20"/>
                <w:color w:val="auto"/>
              </w:rPr>
            </w:pPr>
            <w:r>
              <w:rPr>
                <w:rFonts w:ascii="Arial" w:cs="Arial" w:eastAsia="Arial" w:hAnsi="Arial"/>
                <w:sz w:val="15"/>
                <w:szCs w:val="15"/>
                <w:color w:val="auto"/>
              </w:rPr>
              <w:t>2021-2023</w:t>
            </w:r>
          </w:p>
        </w:tc>
        <w:tc>
          <w:tcPr>
            <w:tcW w:w="1260" w:type="dxa"/>
            <w:vAlign w:val="bottom"/>
            <w:tcBorders>
              <w:top w:val="single" w:sz="8" w:color="929292"/>
              <w:bottom w:val="single" w:sz="8" w:color="E8E7EA"/>
            </w:tcBorders>
            <w:shd w:val="clear" w:color="auto" w:fill="E8E7EA"/>
          </w:tcPr>
          <w:p>
            <w:pPr>
              <w:jc w:val="center"/>
              <w:ind w:left="84"/>
              <w:spacing w:after="0"/>
              <w:rPr>
                <w:sz w:val="20"/>
                <w:szCs w:val="20"/>
                <w:color w:val="auto"/>
              </w:rPr>
            </w:pPr>
            <w:r>
              <w:rPr>
                <w:rFonts w:ascii="Arial" w:cs="Arial" w:eastAsia="Arial" w:hAnsi="Arial"/>
                <w:sz w:val="15"/>
                <w:szCs w:val="15"/>
                <w:color w:val="auto"/>
              </w:rPr>
              <w:t>35.90</w:t>
            </w:r>
          </w:p>
        </w:tc>
        <w:tc>
          <w:tcPr>
            <w:tcW w:w="1480" w:type="dxa"/>
            <w:vAlign w:val="bottom"/>
            <w:tcBorders>
              <w:top w:val="single" w:sz="8" w:color="929292"/>
              <w:bottom w:val="single" w:sz="8" w:color="E8E7EA"/>
            </w:tcBorders>
            <w:shd w:val="clear" w:color="auto" w:fill="E8E7EA"/>
          </w:tcPr>
          <w:p>
            <w:pPr>
              <w:jc w:val="right"/>
              <w:ind w:right="144"/>
              <w:spacing w:after="0"/>
              <w:rPr>
                <w:sz w:val="20"/>
                <w:szCs w:val="20"/>
                <w:color w:val="auto"/>
              </w:rPr>
            </w:pPr>
            <w:r>
              <w:rPr>
                <w:rFonts w:ascii="Arial" w:cs="Arial" w:eastAsia="Arial" w:hAnsi="Arial"/>
                <w:sz w:val="15"/>
                <w:szCs w:val="15"/>
                <w:color w:val="auto"/>
              </w:rPr>
              <w:t>100.70 %</w:t>
            </w:r>
          </w:p>
        </w:tc>
        <w:tc>
          <w:tcPr>
            <w:tcW w:w="1240" w:type="dxa"/>
            <w:vAlign w:val="bottom"/>
            <w:tcBorders>
              <w:top w:val="single" w:sz="8" w:color="929292"/>
              <w:bottom w:val="single" w:sz="8" w:color="E8E7EA"/>
            </w:tcBorders>
            <w:shd w:val="clear" w:color="auto" w:fill="E8E7EA"/>
          </w:tcPr>
          <w:p>
            <w:pPr>
              <w:jc w:val="right"/>
              <w:ind w:right="304"/>
              <w:spacing w:after="0"/>
              <w:rPr>
                <w:sz w:val="20"/>
                <w:szCs w:val="20"/>
                <w:color w:val="auto"/>
              </w:rPr>
            </w:pPr>
            <w:r>
              <w:rPr>
                <w:rFonts w:ascii="Arial" w:cs="Arial" w:eastAsia="Arial" w:hAnsi="Arial"/>
                <w:sz w:val="15"/>
                <w:szCs w:val="15"/>
                <w:color w:val="auto"/>
              </w:rPr>
              <w:t>101.76 %</w:t>
            </w:r>
          </w:p>
        </w:tc>
        <w:tc>
          <w:tcPr>
            <w:tcW w:w="1380" w:type="dxa"/>
            <w:vAlign w:val="bottom"/>
            <w:tcBorders>
              <w:top w:val="single" w:sz="8" w:color="929292"/>
              <w:bottom w:val="single" w:sz="8" w:color="E8E7EA"/>
            </w:tcBorders>
            <w:shd w:val="clear" w:color="auto" w:fill="E8E7EA"/>
          </w:tcPr>
          <w:p>
            <w:pPr>
              <w:jc w:val="right"/>
              <w:spacing w:after="0"/>
              <w:rPr>
                <w:sz w:val="20"/>
                <w:szCs w:val="20"/>
                <w:color w:val="auto"/>
              </w:rPr>
            </w:pPr>
            <w:r>
              <w:rPr>
                <w:rFonts w:ascii="Arial" w:cs="Arial" w:eastAsia="Arial" w:hAnsi="Arial"/>
                <w:sz w:val="15"/>
                <w:szCs w:val="15"/>
                <w:color w:val="auto"/>
              </w:rPr>
              <w:t>102.50 %</w:t>
            </w:r>
          </w:p>
        </w:tc>
      </w:tr>
      <w:tr>
        <w:trPr>
          <w:trHeight w:val="203"/>
        </w:trPr>
        <w:tc>
          <w:tcPr>
            <w:tcW w:w="3900" w:type="dxa"/>
            <w:vAlign w:val="bottom"/>
            <w:tcBorders>
              <w:top w:val="single" w:sz="8" w:color="929292"/>
            </w:tcBorders>
          </w:tcPr>
          <w:p>
            <w:pPr>
              <w:spacing w:after="0"/>
              <w:rPr>
                <w:sz w:val="17"/>
                <w:szCs w:val="17"/>
                <w:color w:val="auto"/>
              </w:rPr>
            </w:pPr>
          </w:p>
        </w:tc>
        <w:tc>
          <w:tcPr>
            <w:tcW w:w="1380" w:type="dxa"/>
            <w:vAlign w:val="bottom"/>
            <w:tcBorders>
              <w:top w:val="single" w:sz="8" w:color="929292"/>
            </w:tcBorders>
          </w:tcPr>
          <w:p>
            <w:pPr>
              <w:jc w:val="right"/>
              <w:spacing w:after="0"/>
              <w:rPr>
                <w:sz w:val="20"/>
                <w:szCs w:val="20"/>
                <w:color w:val="auto"/>
              </w:rPr>
            </w:pPr>
            <w:r>
              <w:rPr>
                <w:rFonts w:ascii="Arial" w:cs="Arial" w:eastAsia="Arial" w:hAnsi="Arial"/>
                <w:sz w:val="15"/>
                <w:szCs w:val="15"/>
                <w:color w:val="auto"/>
              </w:rPr>
              <w:t>2022-2024</w:t>
            </w:r>
          </w:p>
        </w:tc>
        <w:tc>
          <w:tcPr>
            <w:tcW w:w="1260" w:type="dxa"/>
            <w:vAlign w:val="bottom"/>
            <w:tcBorders>
              <w:top w:val="single" w:sz="8" w:color="929292"/>
            </w:tcBorders>
          </w:tcPr>
          <w:p>
            <w:pPr>
              <w:jc w:val="center"/>
              <w:ind w:left="84"/>
              <w:spacing w:after="0"/>
              <w:rPr>
                <w:sz w:val="20"/>
                <w:szCs w:val="20"/>
                <w:color w:val="auto"/>
              </w:rPr>
            </w:pPr>
            <w:r>
              <w:rPr>
                <w:rFonts w:ascii="Arial" w:cs="Arial" w:eastAsia="Arial" w:hAnsi="Arial"/>
                <w:sz w:val="15"/>
                <w:szCs w:val="15"/>
                <w:color w:val="auto"/>
              </w:rPr>
              <w:t>43.23</w:t>
            </w:r>
          </w:p>
        </w:tc>
        <w:tc>
          <w:tcPr>
            <w:tcW w:w="1480" w:type="dxa"/>
            <w:vAlign w:val="bottom"/>
            <w:tcBorders>
              <w:top w:val="single" w:sz="8" w:color="929292"/>
            </w:tcBorders>
          </w:tcPr>
          <w:p>
            <w:pPr>
              <w:jc w:val="right"/>
              <w:ind w:right="144"/>
              <w:spacing w:after="0"/>
              <w:rPr>
                <w:sz w:val="20"/>
                <w:szCs w:val="20"/>
                <w:color w:val="auto"/>
              </w:rPr>
            </w:pPr>
            <w:r>
              <w:rPr>
                <w:rFonts w:ascii="Arial" w:cs="Arial" w:eastAsia="Arial" w:hAnsi="Arial"/>
                <w:sz w:val="15"/>
                <w:szCs w:val="15"/>
                <w:color w:val="auto"/>
              </w:rPr>
              <w:t>89.19 %</w:t>
            </w:r>
          </w:p>
        </w:tc>
        <w:tc>
          <w:tcPr>
            <w:tcW w:w="1240" w:type="dxa"/>
            <w:vAlign w:val="bottom"/>
            <w:tcBorders>
              <w:top w:val="single" w:sz="8" w:color="929292"/>
            </w:tcBorders>
          </w:tcPr>
          <w:p>
            <w:pPr>
              <w:jc w:val="right"/>
              <w:ind w:right="304"/>
              <w:spacing w:after="0"/>
              <w:rPr>
                <w:sz w:val="20"/>
                <w:szCs w:val="20"/>
                <w:color w:val="auto"/>
              </w:rPr>
            </w:pPr>
            <w:r>
              <w:rPr>
                <w:rFonts w:ascii="Arial" w:cs="Arial" w:eastAsia="Arial" w:hAnsi="Arial"/>
                <w:sz w:val="15"/>
                <w:szCs w:val="15"/>
                <w:color w:val="auto"/>
              </w:rPr>
              <w:t>108.60 %</w:t>
            </w:r>
          </w:p>
        </w:tc>
        <w:tc>
          <w:tcPr>
            <w:tcW w:w="1380" w:type="dxa"/>
            <w:vAlign w:val="bottom"/>
            <w:tcBorders>
              <w:top w:val="single" w:sz="8" w:color="929292"/>
            </w:tcBorders>
          </w:tcPr>
          <w:p>
            <w:pPr>
              <w:jc w:val="right"/>
              <w:spacing w:after="0"/>
              <w:rPr>
                <w:sz w:val="20"/>
                <w:szCs w:val="20"/>
                <w:color w:val="auto"/>
              </w:rPr>
            </w:pPr>
            <w:r>
              <w:rPr>
                <w:rFonts w:ascii="Arial" w:cs="Arial" w:eastAsia="Arial" w:hAnsi="Arial"/>
                <w:sz w:val="15"/>
                <w:szCs w:val="15"/>
                <w:color w:val="auto"/>
              </w:rPr>
              <w:t>96.90 %</w:t>
            </w:r>
          </w:p>
        </w:tc>
      </w:tr>
      <w:tr>
        <w:trPr>
          <w:trHeight w:val="33"/>
        </w:trPr>
        <w:tc>
          <w:tcPr>
            <w:tcW w:w="3900" w:type="dxa"/>
            <w:vAlign w:val="bottom"/>
          </w:tcPr>
          <w:p>
            <w:pPr>
              <w:spacing w:after="0"/>
              <w:rPr>
                <w:sz w:val="2"/>
                <w:szCs w:val="2"/>
                <w:color w:val="auto"/>
              </w:rPr>
            </w:pPr>
          </w:p>
        </w:tc>
        <w:tc>
          <w:tcPr>
            <w:tcW w:w="1380" w:type="dxa"/>
            <w:vAlign w:val="bottom"/>
            <w:tcBorders>
              <w:bottom w:val="single" w:sz="8" w:color="929292"/>
            </w:tcBorders>
          </w:tcPr>
          <w:p>
            <w:pPr>
              <w:spacing w:after="0"/>
              <w:rPr>
                <w:sz w:val="2"/>
                <w:szCs w:val="2"/>
                <w:color w:val="auto"/>
              </w:rPr>
            </w:pPr>
          </w:p>
        </w:tc>
        <w:tc>
          <w:tcPr>
            <w:tcW w:w="1260" w:type="dxa"/>
            <w:vAlign w:val="bottom"/>
            <w:tcBorders>
              <w:bottom w:val="single" w:sz="8" w:color="929292"/>
            </w:tcBorders>
          </w:tcPr>
          <w:p>
            <w:pPr>
              <w:spacing w:after="0"/>
              <w:rPr>
                <w:sz w:val="2"/>
                <w:szCs w:val="2"/>
                <w:color w:val="auto"/>
              </w:rPr>
            </w:pPr>
          </w:p>
        </w:tc>
        <w:tc>
          <w:tcPr>
            <w:tcW w:w="1480" w:type="dxa"/>
            <w:vAlign w:val="bottom"/>
            <w:tcBorders>
              <w:bottom w:val="single" w:sz="8" w:color="929292"/>
            </w:tcBorders>
          </w:tcPr>
          <w:p>
            <w:pPr>
              <w:spacing w:after="0"/>
              <w:rPr>
                <w:sz w:val="2"/>
                <w:szCs w:val="2"/>
                <w:color w:val="auto"/>
              </w:rPr>
            </w:pPr>
          </w:p>
        </w:tc>
        <w:tc>
          <w:tcPr>
            <w:tcW w:w="1240" w:type="dxa"/>
            <w:vAlign w:val="bottom"/>
            <w:tcBorders>
              <w:bottom w:val="single" w:sz="8" w:color="929292"/>
            </w:tcBorders>
          </w:tcPr>
          <w:p>
            <w:pPr>
              <w:spacing w:after="0"/>
              <w:rPr>
                <w:sz w:val="2"/>
                <w:szCs w:val="2"/>
                <w:color w:val="auto"/>
              </w:rPr>
            </w:pPr>
          </w:p>
        </w:tc>
        <w:tc>
          <w:tcPr>
            <w:tcW w:w="1380" w:type="dxa"/>
            <w:vAlign w:val="bottom"/>
            <w:tcBorders>
              <w:bottom w:val="single" w:sz="8" w:color="929292"/>
            </w:tcBorders>
          </w:tcPr>
          <w:p>
            <w:pPr>
              <w:spacing w:after="0"/>
              <w:rPr>
                <w:sz w:val="2"/>
                <w:szCs w:val="2"/>
                <w:color w:val="auto"/>
              </w:rPr>
            </w:pPr>
          </w:p>
        </w:tc>
      </w:tr>
      <w:tr>
        <w:trPr>
          <w:trHeight w:val="203"/>
        </w:trPr>
        <w:tc>
          <w:tcPr>
            <w:tcW w:w="3900" w:type="dxa"/>
            <w:vAlign w:val="bottom"/>
          </w:tcPr>
          <w:p>
            <w:pPr>
              <w:ind w:left="20"/>
              <w:spacing w:after="0"/>
              <w:rPr>
                <w:sz w:val="20"/>
                <w:szCs w:val="20"/>
                <w:color w:val="auto"/>
              </w:rPr>
            </w:pPr>
            <w:r>
              <w:rPr>
                <w:rFonts w:ascii="Arial" w:cs="Arial" w:eastAsia="Arial" w:hAnsi="Arial"/>
                <w:sz w:val="15"/>
                <w:szCs w:val="15"/>
                <w:color w:val="auto"/>
              </w:rPr>
              <w:t>12/31/2022</w:t>
            </w:r>
          </w:p>
        </w:tc>
        <w:tc>
          <w:tcPr>
            <w:tcW w:w="1380" w:type="dxa"/>
            <w:vAlign w:val="bottom"/>
          </w:tcPr>
          <w:p>
            <w:pPr>
              <w:jc w:val="right"/>
              <w:spacing w:after="0"/>
              <w:rPr>
                <w:sz w:val="20"/>
                <w:szCs w:val="20"/>
                <w:color w:val="auto"/>
              </w:rPr>
            </w:pPr>
            <w:r>
              <w:rPr>
                <w:rFonts w:ascii="Arial" w:cs="Arial" w:eastAsia="Arial" w:hAnsi="Arial"/>
                <w:sz w:val="15"/>
                <w:szCs w:val="15"/>
                <w:color w:val="auto"/>
              </w:rPr>
              <w:t>2021-2023</w:t>
            </w:r>
          </w:p>
        </w:tc>
        <w:tc>
          <w:tcPr>
            <w:tcW w:w="1260" w:type="dxa"/>
            <w:vAlign w:val="bottom"/>
          </w:tcPr>
          <w:p>
            <w:pPr>
              <w:jc w:val="center"/>
              <w:ind w:left="84"/>
              <w:spacing w:after="0"/>
              <w:rPr>
                <w:sz w:val="20"/>
                <w:szCs w:val="20"/>
                <w:color w:val="auto"/>
              </w:rPr>
            </w:pPr>
            <w:r>
              <w:rPr>
                <w:rFonts w:ascii="Arial" w:cs="Arial" w:eastAsia="Arial" w:hAnsi="Arial"/>
                <w:sz w:val="15"/>
                <w:szCs w:val="15"/>
                <w:color w:val="auto"/>
              </w:rPr>
              <w:t>43.23</w:t>
            </w:r>
          </w:p>
        </w:tc>
        <w:tc>
          <w:tcPr>
            <w:tcW w:w="1480" w:type="dxa"/>
            <w:vAlign w:val="bottom"/>
          </w:tcPr>
          <w:p>
            <w:pPr>
              <w:jc w:val="right"/>
              <w:ind w:right="144"/>
              <w:spacing w:after="0"/>
              <w:rPr>
                <w:sz w:val="20"/>
                <w:szCs w:val="20"/>
                <w:color w:val="auto"/>
              </w:rPr>
            </w:pPr>
            <w:r>
              <w:rPr>
                <w:rFonts w:ascii="Arial" w:cs="Arial" w:eastAsia="Arial" w:hAnsi="Arial"/>
                <w:sz w:val="15"/>
                <w:szCs w:val="15"/>
                <w:color w:val="auto"/>
              </w:rPr>
              <w:t>88.29 %</w:t>
            </w:r>
          </w:p>
        </w:tc>
        <w:tc>
          <w:tcPr>
            <w:tcW w:w="1240" w:type="dxa"/>
            <w:vAlign w:val="bottom"/>
          </w:tcPr>
          <w:p>
            <w:pPr>
              <w:jc w:val="right"/>
              <w:ind w:right="304"/>
              <w:spacing w:after="0"/>
              <w:rPr>
                <w:sz w:val="20"/>
                <w:szCs w:val="20"/>
                <w:color w:val="auto"/>
              </w:rPr>
            </w:pPr>
            <w:r>
              <w:rPr>
                <w:rFonts w:ascii="Arial" w:cs="Arial" w:eastAsia="Arial" w:hAnsi="Arial"/>
                <w:sz w:val="15"/>
                <w:szCs w:val="15"/>
                <w:color w:val="auto"/>
              </w:rPr>
              <w:t>107.10 %</w:t>
            </w:r>
          </w:p>
        </w:tc>
        <w:tc>
          <w:tcPr>
            <w:tcW w:w="1380" w:type="dxa"/>
            <w:vAlign w:val="bottom"/>
          </w:tcPr>
          <w:p>
            <w:pPr>
              <w:jc w:val="right"/>
              <w:spacing w:after="0"/>
              <w:rPr>
                <w:sz w:val="20"/>
                <w:szCs w:val="20"/>
                <w:color w:val="auto"/>
              </w:rPr>
            </w:pPr>
            <w:r>
              <w:rPr>
                <w:rFonts w:ascii="Arial" w:cs="Arial" w:eastAsia="Arial" w:hAnsi="Arial"/>
                <w:sz w:val="15"/>
                <w:szCs w:val="15"/>
                <w:color w:val="auto"/>
              </w:rPr>
              <w:t>94.60 %</w:t>
            </w:r>
          </w:p>
        </w:tc>
      </w:tr>
      <w:tr>
        <w:trPr>
          <w:trHeight w:val="33"/>
        </w:trPr>
        <w:tc>
          <w:tcPr>
            <w:tcW w:w="3900" w:type="dxa"/>
            <w:vAlign w:val="bottom"/>
          </w:tcPr>
          <w:p>
            <w:pPr>
              <w:spacing w:after="0"/>
              <w:rPr>
                <w:sz w:val="2"/>
                <w:szCs w:val="2"/>
                <w:color w:val="auto"/>
              </w:rPr>
            </w:pPr>
          </w:p>
        </w:tc>
        <w:tc>
          <w:tcPr>
            <w:tcW w:w="1380" w:type="dxa"/>
            <w:vAlign w:val="bottom"/>
            <w:tcBorders>
              <w:bottom w:val="single" w:sz="8" w:color="929292"/>
            </w:tcBorders>
          </w:tcPr>
          <w:p>
            <w:pPr>
              <w:spacing w:after="0"/>
              <w:rPr>
                <w:sz w:val="2"/>
                <w:szCs w:val="2"/>
                <w:color w:val="auto"/>
              </w:rPr>
            </w:pPr>
          </w:p>
        </w:tc>
        <w:tc>
          <w:tcPr>
            <w:tcW w:w="1260" w:type="dxa"/>
            <w:vAlign w:val="bottom"/>
            <w:tcBorders>
              <w:bottom w:val="single" w:sz="8" w:color="929292"/>
            </w:tcBorders>
          </w:tcPr>
          <w:p>
            <w:pPr>
              <w:spacing w:after="0"/>
              <w:rPr>
                <w:sz w:val="2"/>
                <w:szCs w:val="2"/>
                <w:color w:val="auto"/>
              </w:rPr>
            </w:pPr>
          </w:p>
        </w:tc>
        <w:tc>
          <w:tcPr>
            <w:tcW w:w="1480" w:type="dxa"/>
            <w:vAlign w:val="bottom"/>
            <w:tcBorders>
              <w:bottom w:val="single" w:sz="8" w:color="929292"/>
            </w:tcBorders>
          </w:tcPr>
          <w:p>
            <w:pPr>
              <w:spacing w:after="0"/>
              <w:rPr>
                <w:sz w:val="2"/>
                <w:szCs w:val="2"/>
                <w:color w:val="auto"/>
              </w:rPr>
            </w:pPr>
          </w:p>
        </w:tc>
        <w:tc>
          <w:tcPr>
            <w:tcW w:w="1240" w:type="dxa"/>
            <w:vAlign w:val="bottom"/>
            <w:tcBorders>
              <w:bottom w:val="single" w:sz="8" w:color="929292"/>
            </w:tcBorders>
          </w:tcPr>
          <w:p>
            <w:pPr>
              <w:spacing w:after="0"/>
              <w:rPr>
                <w:sz w:val="2"/>
                <w:szCs w:val="2"/>
                <w:color w:val="auto"/>
              </w:rPr>
            </w:pPr>
          </w:p>
        </w:tc>
        <w:tc>
          <w:tcPr>
            <w:tcW w:w="1380" w:type="dxa"/>
            <w:vAlign w:val="bottom"/>
            <w:tcBorders>
              <w:bottom w:val="single" w:sz="8" w:color="929292"/>
            </w:tcBorders>
          </w:tcPr>
          <w:p>
            <w:pPr>
              <w:spacing w:after="0"/>
              <w:rPr>
                <w:sz w:val="2"/>
                <w:szCs w:val="2"/>
                <w:color w:val="auto"/>
              </w:rPr>
            </w:pPr>
          </w:p>
        </w:tc>
      </w:tr>
      <w:tr>
        <w:trPr>
          <w:trHeight w:val="203"/>
        </w:trPr>
        <w:tc>
          <w:tcPr>
            <w:tcW w:w="39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2020-2022</w:t>
            </w:r>
          </w:p>
        </w:tc>
        <w:tc>
          <w:tcPr>
            <w:tcW w:w="1260" w:type="dxa"/>
            <w:vAlign w:val="bottom"/>
          </w:tcPr>
          <w:p>
            <w:pPr>
              <w:jc w:val="center"/>
              <w:ind w:left="84"/>
              <w:spacing w:after="0"/>
              <w:rPr>
                <w:sz w:val="20"/>
                <w:szCs w:val="20"/>
                <w:color w:val="auto"/>
              </w:rPr>
            </w:pPr>
            <w:r>
              <w:rPr>
                <w:rFonts w:ascii="Arial" w:cs="Arial" w:eastAsia="Arial" w:hAnsi="Arial"/>
                <w:sz w:val="15"/>
                <w:szCs w:val="15"/>
                <w:color w:val="auto"/>
              </w:rPr>
              <w:t>43.23</w:t>
            </w:r>
          </w:p>
        </w:tc>
        <w:tc>
          <w:tcPr>
            <w:tcW w:w="1480" w:type="dxa"/>
            <w:vAlign w:val="bottom"/>
          </w:tcPr>
          <w:p>
            <w:pPr>
              <w:jc w:val="right"/>
              <w:ind w:right="144"/>
              <w:spacing w:after="0"/>
              <w:rPr>
                <w:sz w:val="20"/>
                <w:szCs w:val="20"/>
                <w:color w:val="auto"/>
              </w:rPr>
            </w:pPr>
            <w:r>
              <w:rPr>
                <w:rFonts w:ascii="Arial" w:cs="Arial" w:eastAsia="Arial" w:hAnsi="Arial"/>
                <w:sz w:val="15"/>
                <w:szCs w:val="15"/>
                <w:color w:val="auto"/>
              </w:rPr>
              <w:t>100.00 %</w:t>
            </w:r>
          </w:p>
        </w:tc>
        <w:tc>
          <w:tcPr>
            <w:tcW w:w="1240" w:type="dxa"/>
            <w:vAlign w:val="bottom"/>
          </w:tcPr>
          <w:p>
            <w:pPr>
              <w:jc w:val="right"/>
              <w:ind w:right="304"/>
              <w:spacing w:after="0"/>
              <w:rPr>
                <w:sz w:val="20"/>
                <w:szCs w:val="20"/>
                <w:color w:val="auto"/>
              </w:rPr>
            </w:pPr>
            <w:r>
              <w:rPr>
                <w:rFonts w:ascii="Arial" w:cs="Arial" w:eastAsia="Arial" w:hAnsi="Arial"/>
                <w:sz w:val="15"/>
                <w:szCs w:val="15"/>
                <w:color w:val="auto"/>
              </w:rPr>
              <w:t>100.00 %</w:t>
            </w:r>
          </w:p>
        </w:tc>
        <w:tc>
          <w:tcPr>
            <w:tcW w:w="1380" w:type="dxa"/>
            <w:vAlign w:val="bottom"/>
          </w:tcPr>
          <w:p>
            <w:pPr>
              <w:jc w:val="right"/>
              <w:spacing w:after="0"/>
              <w:rPr>
                <w:sz w:val="20"/>
                <w:szCs w:val="20"/>
                <w:color w:val="auto"/>
              </w:rPr>
            </w:pPr>
            <w:r>
              <w:rPr>
                <w:rFonts w:ascii="Arial" w:cs="Arial" w:eastAsia="Arial" w:hAnsi="Arial"/>
                <w:sz w:val="15"/>
                <w:szCs w:val="15"/>
                <w:color w:val="auto"/>
              </w:rPr>
              <w:t>100.00 %</w:t>
            </w:r>
          </w:p>
        </w:tc>
      </w:tr>
      <w:tr>
        <w:trPr>
          <w:trHeight w:val="33"/>
        </w:trPr>
        <w:tc>
          <w:tcPr>
            <w:tcW w:w="3900" w:type="dxa"/>
            <w:vAlign w:val="bottom"/>
            <w:tcBorders>
              <w:bottom w:val="single" w:sz="8" w:color="929292"/>
            </w:tcBorders>
          </w:tcPr>
          <w:p>
            <w:pPr>
              <w:spacing w:after="0"/>
              <w:rPr>
                <w:sz w:val="2"/>
                <w:szCs w:val="2"/>
                <w:color w:val="auto"/>
              </w:rPr>
            </w:pPr>
          </w:p>
        </w:tc>
        <w:tc>
          <w:tcPr>
            <w:tcW w:w="1380" w:type="dxa"/>
            <w:vAlign w:val="bottom"/>
            <w:tcBorders>
              <w:bottom w:val="single" w:sz="8" w:color="929292"/>
            </w:tcBorders>
          </w:tcPr>
          <w:p>
            <w:pPr>
              <w:spacing w:after="0"/>
              <w:rPr>
                <w:sz w:val="2"/>
                <w:szCs w:val="2"/>
                <w:color w:val="auto"/>
              </w:rPr>
            </w:pPr>
          </w:p>
        </w:tc>
        <w:tc>
          <w:tcPr>
            <w:tcW w:w="1260" w:type="dxa"/>
            <w:vAlign w:val="bottom"/>
            <w:tcBorders>
              <w:bottom w:val="single" w:sz="8" w:color="929292"/>
            </w:tcBorders>
          </w:tcPr>
          <w:p>
            <w:pPr>
              <w:spacing w:after="0"/>
              <w:rPr>
                <w:sz w:val="2"/>
                <w:szCs w:val="2"/>
                <w:color w:val="auto"/>
              </w:rPr>
            </w:pPr>
          </w:p>
        </w:tc>
        <w:tc>
          <w:tcPr>
            <w:tcW w:w="1480" w:type="dxa"/>
            <w:vAlign w:val="bottom"/>
            <w:tcBorders>
              <w:bottom w:val="single" w:sz="8" w:color="929292"/>
            </w:tcBorders>
          </w:tcPr>
          <w:p>
            <w:pPr>
              <w:spacing w:after="0"/>
              <w:rPr>
                <w:sz w:val="2"/>
                <w:szCs w:val="2"/>
                <w:color w:val="auto"/>
              </w:rPr>
            </w:pPr>
          </w:p>
        </w:tc>
        <w:tc>
          <w:tcPr>
            <w:tcW w:w="1240" w:type="dxa"/>
            <w:vAlign w:val="bottom"/>
            <w:tcBorders>
              <w:bottom w:val="single" w:sz="8" w:color="929292"/>
            </w:tcBorders>
          </w:tcPr>
          <w:p>
            <w:pPr>
              <w:spacing w:after="0"/>
              <w:rPr>
                <w:sz w:val="2"/>
                <w:szCs w:val="2"/>
                <w:color w:val="auto"/>
              </w:rPr>
            </w:pPr>
          </w:p>
        </w:tc>
        <w:tc>
          <w:tcPr>
            <w:tcW w:w="1380" w:type="dxa"/>
            <w:vAlign w:val="bottom"/>
            <w:tcBorders>
              <w:bottom w:val="single" w:sz="8" w:color="929292"/>
            </w:tcBorders>
          </w:tcPr>
          <w:p>
            <w:pPr>
              <w:spacing w:after="0"/>
              <w:rPr>
                <w:sz w:val="2"/>
                <w:szCs w:val="2"/>
                <w:color w:val="auto"/>
              </w:rPr>
            </w:pPr>
          </w:p>
        </w:tc>
      </w:tr>
      <w:tr>
        <w:trPr>
          <w:trHeight w:val="242"/>
        </w:trPr>
        <w:tc>
          <w:tcPr>
            <w:tcW w:w="3900" w:type="dxa"/>
            <w:vAlign w:val="bottom"/>
            <w:tcBorders>
              <w:bottom w:val="single" w:sz="8" w:color="E8E7EA"/>
            </w:tcBorders>
            <w:shd w:val="clear" w:color="auto" w:fill="E8E7EA"/>
          </w:tcPr>
          <w:p>
            <w:pPr>
              <w:spacing w:after="0"/>
              <w:rPr>
                <w:sz w:val="20"/>
                <w:szCs w:val="20"/>
                <w:color w:val="auto"/>
              </w:rPr>
            </w:pPr>
          </w:p>
        </w:tc>
        <w:tc>
          <w:tcPr>
            <w:tcW w:w="1380" w:type="dxa"/>
            <w:vAlign w:val="bottom"/>
            <w:tcBorders>
              <w:bottom w:val="single" w:sz="8" w:color="E8E7EA"/>
            </w:tcBorders>
            <w:shd w:val="clear" w:color="auto" w:fill="E8E7EA"/>
          </w:tcPr>
          <w:p>
            <w:pPr>
              <w:jc w:val="right"/>
              <w:spacing w:after="0"/>
              <w:rPr>
                <w:sz w:val="20"/>
                <w:szCs w:val="20"/>
                <w:color w:val="auto"/>
              </w:rPr>
            </w:pPr>
            <w:r>
              <w:rPr>
                <w:rFonts w:ascii="Arial" w:cs="Arial" w:eastAsia="Arial" w:hAnsi="Arial"/>
                <w:sz w:val="15"/>
                <w:szCs w:val="15"/>
                <w:color w:val="auto"/>
              </w:rPr>
              <w:t>2021-2023</w:t>
            </w:r>
          </w:p>
        </w:tc>
        <w:tc>
          <w:tcPr>
            <w:tcW w:w="1260" w:type="dxa"/>
            <w:vAlign w:val="bottom"/>
            <w:tcBorders>
              <w:bottom w:val="single" w:sz="8" w:color="E8E7EA"/>
            </w:tcBorders>
            <w:shd w:val="clear" w:color="auto" w:fill="E8E7EA"/>
          </w:tcPr>
          <w:p>
            <w:pPr>
              <w:jc w:val="center"/>
              <w:ind w:left="84"/>
              <w:spacing w:after="0"/>
              <w:rPr>
                <w:sz w:val="20"/>
                <w:szCs w:val="20"/>
                <w:color w:val="auto"/>
              </w:rPr>
            </w:pPr>
            <w:r>
              <w:rPr>
                <w:rFonts w:ascii="Arial" w:cs="Arial" w:eastAsia="Arial" w:hAnsi="Arial"/>
                <w:sz w:val="15"/>
                <w:szCs w:val="15"/>
                <w:color w:val="auto"/>
              </w:rPr>
              <w:t>57.76</w:t>
            </w:r>
          </w:p>
        </w:tc>
        <w:tc>
          <w:tcPr>
            <w:tcW w:w="1480" w:type="dxa"/>
            <w:vAlign w:val="bottom"/>
            <w:tcBorders>
              <w:bottom w:val="single" w:sz="8" w:color="E8E7EA"/>
            </w:tcBorders>
            <w:shd w:val="clear" w:color="auto" w:fill="E8E7EA"/>
          </w:tcPr>
          <w:p>
            <w:pPr>
              <w:jc w:val="right"/>
              <w:ind w:right="144"/>
              <w:spacing w:after="0"/>
              <w:rPr>
                <w:sz w:val="20"/>
                <w:szCs w:val="20"/>
                <w:color w:val="auto"/>
              </w:rPr>
            </w:pPr>
            <w:r>
              <w:rPr>
                <w:rFonts w:ascii="Arial" w:cs="Arial" w:eastAsia="Arial" w:hAnsi="Arial"/>
                <w:sz w:val="15"/>
                <w:szCs w:val="15"/>
                <w:color w:val="auto"/>
              </w:rPr>
              <w:t>96.22 %</w:t>
            </w:r>
          </w:p>
        </w:tc>
        <w:tc>
          <w:tcPr>
            <w:tcW w:w="1240" w:type="dxa"/>
            <w:vAlign w:val="bottom"/>
            <w:tcBorders>
              <w:bottom w:val="single" w:sz="8" w:color="E8E7EA"/>
            </w:tcBorders>
            <w:shd w:val="clear" w:color="auto" w:fill="E8E7EA"/>
          </w:tcPr>
          <w:p>
            <w:pPr>
              <w:jc w:val="right"/>
              <w:ind w:right="304"/>
              <w:spacing w:after="0"/>
              <w:rPr>
                <w:sz w:val="20"/>
                <w:szCs w:val="20"/>
                <w:color w:val="auto"/>
              </w:rPr>
            </w:pPr>
            <w:r>
              <w:rPr>
                <w:rFonts w:ascii="Arial" w:cs="Arial" w:eastAsia="Arial" w:hAnsi="Arial"/>
                <w:sz w:val="15"/>
                <w:szCs w:val="15"/>
                <w:color w:val="auto"/>
              </w:rPr>
              <w:t>128.10 %</w:t>
            </w:r>
          </w:p>
        </w:tc>
        <w:tc>
          <w:tcPr>
            <w:tcW w:w="1380" w:type="dxa"/>
            <w:vAlign w:val="bottom"/>
            <w:tcBorders>
              <w:bottom w:val="single" w:sz="8" w:color="E8E7EA"/>
            </w:tcBorders>
            <w:shd w:val="clear" w:color="auto" w:fill="E8E7EA"/>
          </w:tcPr>
          <w:p>
            <w:pPr>
              <w:jc w:val="right"/>
              <w:spacing w:after="0"/>
              <w:rPr>
                <w:sz w:val="20"/>
                <w:szCs w:val="20"/>
                <w:color w:val="auto"/>
              </w:rPr>
            </w:pPr>
            <w:r>
              <w:rPr>
                <w:rFonts w:ascii="Arial" w:cs="Arial" w:eastAsia="Arial" w:hAnsi="Arial"/>
                <w:sz w:val="15"/>
                <w:szCs w:val="15"/>
                <w:color w:val="auto"/>
              </w:rPr>
              <w:t>123.30 %</w:t>
            </w:r>
          </w:p>
        </w:tc>
      </w:tr>
      <w:tr>
        <w:trPr>
          <w:trHeight w:val="241"/>
        </w:trPr>
        <w:tc>
          <w:tcPr>
            <w:tcW w:w="3900" w:type="dxa"/>
            <w:vAlign w:val="bottom"/>
            <w:tcBorders>
              <w:top w:val="single" w:sz="8" w:color="E8E7EA"/>
              <w:bottom w:val="single" w:sz="8" w:color="E8E7EA"/>
            </w:tcBorders>
            <w:shd w:val="clear" w:color="auto" w:fill="E8E7EA"/>
          </w:tcPr>
          <w:p>
            <w:pPr>
              <w:ind w:left="20"/>
              <w:spacing w:after="0"/>
              <w:rPr>
                <w:sz w:val="20"/>
                <w:szCs w:val="20"/>
                <w:color w:val="auto"/>
              </w:rPr>
            </w:pPr>
            <w:r>
              <w:rPr>
                <w:rFonts w:ascii="Arial" w:cs="Arial" w:eastAsia="Arial" w:hAnsi="Arial"/>
                <w:sz w:val="15"/>
                <w:szCs w:val="15"/>
                <w:color w:val="auto"/>
              </w:rPr>
              <w:t>12/31/2021</w:t>
            </w:r>
          </w:p>
        </w:tc>
        <w:tc>
          <w:tcPr>
            <w:tcW w:w="1380" w:type="dxa"/>
            <w:vAlign w:val="bottom"/>
            <w:tcBorders>
              <w:top w:val="single" w:sz="8" w:color="929292"/>
              <w:bottom w:val="single" w:sz="8" w:color="E8E7EA"/>
            </w:tcBorders>
            <w:shd w:val="clear" w:color="auto" w:fill="E8E7EA"/>
          </w:tcPr>
          <w:p>
            <w:pPr>
              <w:jc w:val="right"/>
              <w:spacing w:after="0"/>
              <w:rPr>
                <w:sz w:val="20"/>
                <w:szCs w:val="20"/>
                <w:color w:val="auto"/>
              </w:rPr>
            </w:pPr>
            <w:r>
              <w:rPr>
                <w:rFonts w:ascii="Arial" w:cs="Arial" w:eastAsia="Arial" w:hAnsi="Arial"/>
                <w:sz w:val="15"/>
                <w:szCs w:val="15"/>
                <w:color w:val="auto"/>
              </w:rPr>
              <w:t>2020-2022</w:t>
            </w:r>
          </w:p>
        </w:tc>
        <w:tc>
          <w:tcPr>
            <w:tcW w:w="1260" w:type="dxa"/>
            <w:vAlign w:val="bottom"/>
            <w:tcBorders>
              <w:top w:val="single" w:sz="8" w:color="929292"/>
              <w:bottom w:val="single" w:sz="8" w:color="E8E7EA"/>
            </w:tcBorders>
            <w:shd w:val="clear" w:color="auto" w:fill="E8E7EA"/>
          </w:tcPr>
          <w:p>
            <w:pPr>
              <w:jc w:val="center"/>
              <w:ind w:left="84"/>
              <w:spacing w:after="0"/>
              <w:rPr>
                <w:sz w:val="20"/>
                <w:szCs w:val="20"/>
                <w:color w:val="auto"/>
              </w:rPr>
            </w:pPr>
            <w:r>
              <w:rPr>
                <w:rFonts w:ascii="Arial" w:cs="Arial" w:eastAsia="Arial" w:hAnsi="Arial"/>
                <w:sz w:val="15"/>
                <w:szCs w:val="15"/>
                <w:color w:val="auto"/>
              </w:rPr>
              <w:t>57.76</w:t>
            </w:r>
          </w:p>
        </w:tc>
        <w:tc>
          <w:tcPr>
            <w:tcW w:w="1480" w:type="dxa"/>
            <w:vAlign w:val="bottom"/>
            <w:tcBorders>
              <w:top w:val="single" w:sz="8" w:color="929292"/>
              <w:bottom w:val="single" w:sz="8" w:color="E8E7EA"/>
            </w:tcBorders>
            <w:shd w:val="clear" w:color="auto" w:fill="E8E7EA"/>
          </w:tcPr>
          <w:p>
            <w:pPr>
              <w:jc w:val="right"/>
              <w:ind w:right="144"/>
              <w:spacing w:after="0"/>
              <w:rPr>
                <w:sz w:val="20"/>
                <w:szCs w:val="20"/>
                <w:color w:val="auto"/>
              </w:rPr>
            </w:pPr>
            <w:r>
              <w:rPr>
                <w:rFonts w:ascii="Arial" w:cs="Arial" w:eastAsia="Arial" w:hAnsi="Arial"/>
                <w:sz w:val="15"/>
                <w:szCs w:val="15"/>
                <w:color w:val="auto"/>
              </w:rPr>
              <w:t>91.73 %</w:t>
            </w:r>
          </w:p>
        </w:tc>
        <w:tc>
          <w:tcPr>
            <w:tcW w:w="1240" w:type="dxa"/>
            <w:vAlign w:val="bottom"/>
            <w:tcBorders>
              <w:top w:val="single" w:sz="8" w:color="929292"/>
              <w:bottom w:val="single" w:sz="8" w:color="E8E7EA"/>
            </w:tcBorders>
            <w:shd w:val="clear" w:color="auto" w:fill="E8E7EA"/>
          </w:tcPr>
          <w:p>
            <w:pPr>
              <w:jc w:val="right"/>
              <w:ind w:right="304"/>
              <w:spacing w:after="0"/>
              <w:rPr>
                <w:sz w:val="20"/>
                <w:szCs w:val="20"/>
                <w:color w:val="auto"/>
              </w:rPr>
            </w:pPr>
            <w:r>
              <w:rPr>
                <w:rFonts w:ascii="Arial" w:cs="Arial" w:eastAsia="Arial" w:hAnsi="Arial"/>
                <w:sz w:val="15"/>
                <w:szCs w:val="15"/>
                <w:color w:val="auto"/>
              </w:rPr>
              <w:t>124.10 %</w:t>
            </w:r>
          </w:p>
        </w:tc>
        <w:tc>
          <w:tcPr>
            <w:tcW w:w="1380" w:type="dxa"/>
            <w:vAlign w:val="bottom"/>
            <w:tcBorders>
              <w:top w:val="single" w:sz="8" w:color="929292"/>
              <w:bottom w:val="single" w:sz="8" w:color="E8E7EA"/>
            </w:tcBorders>
            <w:shd w:val="clear" w:color="auto" w:fill="E8E7EA"/>
          </w:tcPr>
          <w:p>
            <w:pPr>
              <w:jc w:val="right"/>
              <w:spacing w:after="0"/>
              <w:rPr>
                <w:sz w:val="20"/>
                <w:szCs w:val="20"/>
                <w:color w:val="auto"/>
              </w:rPr>
            </w:pPr>
            <w:r>
              <w:rPr>
                <w:rFonts w:ascii="Arial" w:cs="Arial" w:eastAsia="Arial" w:hAnsi="Arial"/>
                <w:sz w:val="15"/>
                <w:szCs w:val="15"/>
                <w:color w:val="auto"/>
              </w:rPr>
              <w:t>113.80 %</w:t>
            </w:r>
          </w:p>
        </w:tc>
      </w:tr>
      <w:tr>
        <w:trPr>
          <w:trHeight w:val="242"/>
        </w:trPr>
        <w:tc>
          <w:tcPr>
            <w:tcW w:w="3900" w:type="dxa"/>
            <w:vAlign w:val="bottom"/>
            <w:tcBorders>
              <w:top w:val="single" w:sz="8" w:color="E8E7EA"/>
              <w:bottom w:val="single" w:sz="8" w:color="E8E7EA"/>
            </w:tcBorders>
            <w:shd w:val="clear" w:color="auto" w:fill="E8E7EA"/>
          </w:tcPr>
          <w:p>
            <w:pPr>
              <w:spacing w:after="0"/>
              <w:rPr>
                <w:sz w:val="20"/>
                <w:szCs w:val="20"/>
                <w:color w:val="auto"/>
              </w:rPr>
            </w:pPr>
          </w:p>
        </w:tc>
        <w:tc>
          <w:tcPr>
            <w:tcW w:w="1380" w:type="dxa"/>
            <w:vAlign w:val="bottom"/>
            <w:tcBorders>
              <w:top w:val="single" w:sz="8" w:color="929292"/>
              <w:bottom w:val="single" w:sz="8" w:color="E8E7EA"/>
            </w:tcBorders>
            <w:shd w:val="clear" w:color="auto" w:fill="E8E7EA"/>
          </w:tcPr>
          <w:p>
            <w:pPr>
              <w:jc w:val="right"/>
              <w:spacing w:after="0"/>
              <w:rPr>
                <w:sz w:val="20"/>
                <w:szCs w:val="20"/>
                <w:color w:val="auto"/>
              </w:rPr>
            </w:pPr>
            <w:r>
              <w:rPr>
                <w:rFonts w:ascii="Arial" w:cs="Arial" w:eastAsia="Arial" w:hAnsi="Arial"/>
                <w:sz w:val="15"/>
                <w:szCs w:val="15"/>
                <w:color w:val="auto"/>
              </w:rPr>
              <w:t>2019-2021</w:t>
            </w:r>
          </w:p>
        </w:tc>
        <w:tc>
          <w:tcPr>
            <w:tcW w:w="1260" w:type="dxa"/>
            <w:vAlign w:val="bottom"/>
            <w:tcBorders>
              <w:top w:val="single" w:sz="8" w:color="929292"/>
              <w:bottom w:val="single" w:sz="8" w:color="E8E7EA"/>
            </w:tcBorders>
            <w:shd w:val="clear" w:color="auto" w:fill="E8E7EA"/>
          </w:tcPr>
          <w:p>
            <w:pPr>
              <w:jc w:val="center"/>
              <w:ind w:left="84"/>
              <w:spacing w:after="0"/>
              <w:rPr>
                <w:sz w:val="20"/>
                <w:szCs w:val="20"/>
                <w:color w:val="auto"/>
              </w:rPr>
            </w:pPr>
            <w:r>
              <w:rPr>
                <w:rFonts w:ascii="Arial" w:cs="Arial" w:eastAsia="Arial" w:hAnsi="Arial"/>
                <w:sz w:val="15"/>
                <w:szCs w:val="15"/>
                <w:color w:val="auto"/>
              </w:rPr>
              <w:t>57.76</w:t>
            </w:r>
          </w:p>
        </w:tc>
        <w:tc>
          <w:tcPr>
            <w:tcW w:w="1480" w:type="dxa"/>
            <w:vAlign w:val="bottom"/>
            <w:tcBorders>
              <w:top w:val="single" w:sz="8" w:color="929292"/>
              <w:bottom w:val="single" w:sz="8" w:color="E8E7EA"/>
            </w:tcBorders>
            <w:shd w:val="clear" w:color="auto" w:fill="E8E7EA"/>
          </w:tcPr>
          <w:p>
            <w:pPr>
              <w:jc w:val="right"/>
              <w:ind w:right="144"/>
              <w:spacing w:after="0"/>
              <w:rPr>
                <w:sz w:val="20"/>
                <w:szCs w:val="20"/>
                <w:color w:val="auto"/>
              </w:rPr>
            </w:pPr>
            <w:r>
              <w:rPr>
                <w:rFonts w:ascii="Arial" w:cs="Arial" w:eastAsia="Arial" w:hAnsi="Arial"/>
                <w:sz w:val="15"/>
                <w:szCs w:val="15"/>
                <w:color w:val="auto"/>
              </w:rPr>
              <w:t>80.53 %</w:t>
            </w:r>
          </w:p>
        </w:tc>
        <w:tc>
          <w:tcPr>
            <w:tcW w:w="1240" w:type="dxa"/>
            <w:vAlign w:val="bottom"/>
            <w:tcBorders>
              <w:top w:val="single" w:sz="8" w:color="929292"/>
              <w:bottom w:val="single" w:sz="8" w:color="E8E7EA"/>
            </w:tcBorders>
            <w:shd w:val="clear" w:color="auto" w:fill="E8E7EA"/>
          </w:tcPr>
          <w:p>
            <w:pPr>
              <w:jc w:val="right"/>
              <w:ind w:right="304"/>
              <w:spacing w:after="0"/>
              <w:rPr>
                <w:sz w:val="20"/>
                <w:szCs w:val="20"/>
                <w:color w:val="auto"/>
              </w:rPr>
            </w:pPr>
            <w:r>
              <w:rPr>
                <w:rFonts w:ascii="Arial" w:cs="Arial" w:eastAsia="Arial" w:hAnsi="Arial"/>
                <w:sz w:val="15"/>
                <w:szCs w:val="15"/>
                <w:color w:val="auto"/>
              </w:rPr>
              <w:t>87.69 %</w:t>
            </w:r>
          </w:p>
        </w:tc>
        <w:tc>
          <w:tcPr>
            <w:tcW w:w="1380" w:type="dxa"/>
            <w:vAlign w:val="bottom"/>
            <w:tcBorders>
              <w:top w:val="single" w:sz="8" w:color="929292"/>
              <w:bottom w:val="single" w:sz="8" w:color="E8E7EA"/>
            </w:tcBorders>
            <w:shd w:val="clear" w:color="auto" w:fill="E8E7EA"/>
          </w:tcPr>
          <w:p>
            <w:pPr>
              <w:jc w:val="right"/>
              <w:spacing w:after="0"/>
              <w:rPr>
                <w:sz w:val="20"/>
                <w:szCs w:val="20"/>
                <w:color w:val="auto"/>
              </w:rPr>
            </w:pPr>
            <w:r>
              <w:rPr>
                <w:rFonts w:ascii="Arial" w:cs="Arial" w:eastAsia="Arial" w:hAnsi="Arial"/>
                <w:sz w:val="15"/>
                <w:szCs w:val="15"/>
                <w:color w:val="auto"/>
              </w:rPr>
              <w:t>70.60 %</w:t>
            </w:r>
          </w:p>
        </w:tc>
      </w:tr>
      <w:tr>
        <w:trPr>
          <w:trHeight w:val="203"/>
        </w:trPr>
        <w:tc>
          <w:tcPr>
            <w:tcW w:w="3900" w:type="dxa"/>
            <w:vAlign w:val="bottom"/>
            <w:tcBorders>
              <w:top w:val="single" w:sz="8" w:color="929292"/>
            </w:tcBorders>
          </w:tcPr>
          <w:p>
            <w:pPr>
              <w:spacing w:after="0"/>
              <w:rPr>
                <w:sz w:val="17"/>
                <w:szCs w:val="17"/>
                <w:color w:val="auto"/>
              </w:rPr>
            </w:pPr>
          </w:p>
        </w:tc>
        <w:tc>
          <w:tcPr>
            <w:tcW w:w="1380" w:type="dxa"/>
            <w:vAlign w:val="bottom"/>
            <w:tcBorders>
              <w:top w:val="single" w:sz="8" w:color="929292"/>
            </w:tcBorders>
          </w:tcPr>
          <w:p>
            <w:pPr>
              <w:jc w:val="right"/>
              <w:spacing w:after="0"/>
              <w:rPr>
                <w:sz w:val="20"/>
                <w:szCs w:val="20"/>
                <w:color w:val="auto"/>
              </w:rPr>
            </w:pPr>
            <w:r>
              <w:rPr>
                <w:rFonts w:ascii="Arial" w:cs="Arial" w:eastAsia="Arial" w:hAnsi="Arial"/>
                <w:sz w:val="15"/>
                <w:szCs w:val="15"/>
                <w:color w:val="auto"/>
              </w:rPr>
              <w:t>2020-2022</w:t>
            </w:r>
          </w:p>
        </w:tc>
        <w:tc>
          <w:tcPr>
            <w:tcW w:w="1260" w:type="dxa"/>
            <w:vAlign w:val="bottom"/>
            <w:tcBorders>
              <w:top w:val="single" w:sz="8" w:color="929292"/>
            </w:tcBorders>
          </w:tcPr>
          <w:p>
            <w:pPr>
              <w:jc w:val="center"/>
              <w:ind w:left="84"/>
              <w:spacing w:after="0"/>
              <w:rPr>
                <w:sz w:val="20"/>
                <w:szCs w:val="20"/>
                <w:color w:val="auto"/>
              </w:rPr>
            </w:pPr>
            <w:r>
              <w:rPr>
                <w:rFonts w:ascii="Arial" w:cs="Arial" w:eastAsia="Arial" w:hAnsi="Arial"/>
                <w:sz w:val="15"/>
                <w:szCs w:val="15"/>
                <w:color w:val="auto"/>
              </w:rPr>
              <w:t>42.22</w:t>
            </w:r>
          </w:p>
        </w:tc>
        <w:tc>
          <w:tcPr>
            <w:tcW w:w="1480" w:type="dxa"/>
            <w:vAlign w:val="bottom"/>
            <w:tcBorders>
              <w:top w:val="single" w:sz="8" w:color="929292"/>
            </w:tcBorders>
          </w:tcPr>
          <w:p>
            <w:pPr>
              <w:jc w:val="right"/>
              <w:ind w:right="144"/>
              <w:spacing w:after="0"/>
              <w:rPr>
                <w:sz w:val="20"/>
                <w:szCs w:val="20"/>
                <w:color w:val="auto"/>
              </w:rPr>
            </w:pPr>
            <w:r>
              <w:rPr>
                <w:rFonts w:ascii="Arial" w:cs="Arial" w:eastAsia="Arial" w:hAnsi="Arial"/>
                <w:sz w:val="15"/>
                <w:szCs w:val="15"/>
                <w:color w:val="auto"/>
              </w:rPr>
              <w:t>90.33 %</w:t>
            </w:r>
          </w:p>
        </w:tc>
        <w:tc>
          <w:tcPr>
            <w:tcW w:w="1240" w:type="dxa"/>
            <w:vAlign w:val="bottom"/>
            <w:tcBorders>
              <w:top w:val="single" w:sz="8" w:color="929292"/>
            </w:tcBorders>
          </w:tcPr>
          <w:p>
            <w:pPr>
              <w:jc w:val="right"/>
              <w:ind w:right="304"/>
              <w:spacing w:after="0"/>
              <w:rPr>
                <w:sz w:val="20"/>
                <w:szCs w:val="20"/>
                <w:color w:val="auto"/>
              </w:rPr>
            </w:pPr>
            <w:r>
              <w:rPr>
                <w:rFonts w:ascii="Arial" w:cs="Arial" w:eastAsia="Arial" w:hAnsi="Arial"/>
                <w:sz w:val="15"/>
                <w:szCs w:val="15"/>
                <w:color w:val="auto"/>
              </w:rPr>
              <w:t>95.10 %</w:t>
            </w:r>
          </w:p>
        </w:tc>
        <w:tc>
          <w:tcPr>
            <w:tcW w:w="1380" w:type="dxa"/>
            <w:vAlign w:val="bottom"/>
            <w:tcBorders>
              <w:top w:val="single" w:sz="8" w:color="929292"/>
            </w:tcBorders>
          </w:tcPr>
          <w:p>
            <w:pPr>
              <w:jc w:val="right"/>
              <w:spacing w:after="0"/>
              <w:rPr>
                <w:sz w:val="20"/>
                <w:szCs w:val="20"/>
                <w:color w:val="auto"/>
              </w:rPr>
            </w:pPr>
            <w:r>
              <w:rPr>
                <w:rFonts w:ascii="Arial" w:cs="Arial" w:eastAsia="Arial" w:hAnsi="Arial"/>
                <w:sz w:val="15"/>
                <w:szCs w:val="15"/>
                <w:color w:val="auto"/>
              </w:rPr>
              <w:t>85.90 %</w:t>
            </w:r>
          </w:p>
        </w:tc>
      </w:tr>
      <w:tr>
        <w:trPr>
          <w:trHeight w:val="33"/>
        </w:trPr>
        <w:tc>
          <w:tcPr>
            <w:tcW w:w="3900" w:type="dxa"/>
            <w:vAlign w:val="bottom"/>
          </w:tcPr>
          <w:p>
            <w:pPr>
              <w:spacing w:after="0"/>
              <w:rPr>
                <w:sz w:val="2"/>
                <w:szCs w:val="2"/>
                <w:color w:val="auto"/>
              </w:rPr>
            </w:pPr>
          </w:p>
        </w:tc>
        <w:tc>
          <w:tcPr>
            <w:tcW w:w="1380" w:type="dxa"/>
            <w:vAlign w:val="bottom"/>
            <w:tcBorders>
              <w:bottom w:val="single" w:sz="8" w:color="929292"/>
            </w:tcBorders>
          </w:tcPr>
          <w:p>
            <w:pPr>
              <w:spacing w:after="0"/>
              <w:rPr>
                <w:sz w:val="2"/>
                <w:szCs w:val="2"/>
                <w:color w:val="auto"/>
              </w:rPr>
            </w:pPr>
          </w:p>
        </w:tc>
        <w:tc>
          <w:tcPr>
            <w:tcW w:w="1260" w:type="dxa"/>
            <w:vAlign w:val="bottom"/>
            <w:tcBorders>
              <w:bottom w:val="single" w:sz="8" w:color="929292"/>
            </w:tcBorders>
          </w:tcPr>
          <w:p>
            <w:pPr>
              <w:spacing w:after="0"/>
              <w:rPr>
                <w:sz w:val="2"/>
                <w:szCs w:val="2"/>
                <w:color w:val="auto"/>
              </w:rPr>
            </w:pPr>
          </w:p>
        </w:tc>
        <w:tc>
          <w:tcPr>
            <w:tcW w:w="1480" w:type="dxa"/>
            <w:vAlign w:val="bottom"/>
            <w:tcBorders>
              <w:bottom w:val="single" w:sz="8" w:color="929292"/>
            </w:tcBorders>
          </w:tcPr>
          <w:p>
            <w:pPr>
              <w:spacing w:after="0"/>
              <w:rPr>
                <w:sz w:val="2"/>
                <w:szCs w:val="2"/>
                <w:color w:val="auto"/>
              </w:rPr>
            </w:pPr>
          </w:p>
        </w:tc>
        <w:tc>
          <w:tcPr>
            <w:tcW w:w="1240" w:type="dxa"/>
            <w:vAlign w:val="bottom"/>
            <w:tcBorders>
              <w:bottom w:val="single" w:sz="8" w:color="929292"/>
            </w:tcBorders>
          </w:tcPr>
          <w:p>
            <w:pPr>
              <w:spacing w:after="0"/>
              <w:rPr>
                <w:sz w:val="2"/>
                <w:szCs w:val="2"/>
                <w:color w:val="auto"/>
              </w:rPr>
            </w:pPr>
          </w:p>
        </w:tc>
        <w:tc>
          <w:tcPr>
            <w:tcW w:w="1380" w:type="dxa"/>
            <w:vAlign w:val="bottom"/>
            <w:tcBorders>
              <w:bottom w:val="single" w:sz="8" w:color="929292"/>
            </w:tcBorders>
          </w:tcPr>
          <w:p>
            <w:pPr>
              <w:spacing w:after="0"/>
              <w:rPr>
                <w:sz w:val="2"/>
                <w:szCs w:val="2"/>
                <w:color w:val="auto"/>
              </w:rPr>
            </w:pPr>
          </w:p>
        </w:tc>
      </w:tr>
      <w:tr>
        <w:trPr>
          <w:trHeight w:val="203"/>
        </w:trPr>
        <w:tc>
          <w:tcPr>
            <w:tcW w:w="3900" w:type="dxa"/>
            <w:vAlign w:val="bottom"/>
          </w:tcPr>
          <w:p>
            <w:pPr>
              <w:ind w:left="20"/>
              <w:spacing w:after="0"/>
              <w:rPr>
                <w:sz w:val="20"/>
                <w:szCs w:val="20"/>
                <w:color w:val="auto"/>
              </w:rPr>
            </w:pPr>
            <w:r>
              <w:rPr>
                <w:rFonts w:ascii="Arial" w:cs="Arial" w:eastAsia="Arial" w:hAnsi="Arial"/>
                <w:sz w:val="15"/>
                <w:szCs w:val="15"/>
                <w:color w:val="auto"/>
              </w:rPr>
              <w:t>12/31/2020</w:t>
            </w:r>
          </w:p>
        </w:tc>
        <w:tc>
          <w:tcPr>
            <w:tcW w:w="1380" w:type="dxa"/>
            <w:vAlign w:val="bottom"/>
          </w:tcPr>
          <w:p>
            <w:pPr>
              <w:jc w:val="right"/>
              <w:spacing w:after="0"/>
              <w:rPr>
                <w:sz w:val="20"/>
                <w:szCs w:val="20"/>
                <w:color w:val="auto"/>
              </w:rPr>
            </w:pPr>
            <w:r>
              <w:rPr>
                <w:rFonts w:ascii="Arial" w:cs="Arial" w:eastAsia="Arial" w:hAnsi="Arial"/>
                <w:sz w:val="15"/>
                <w:szCs w:val="15"/>
                <w:color w:val="auto"/>
              </w:rPr>
              <w:t>2019-2021</w:t>
            </w:r>
          </w:p>
        </w:tc>
        <w:tc>
          <w:tcPr>
            <w:tcW w:w="1260" w:type="dxa"/>
            <w:vAlign w:val="bottom"/>
          </w:tcPr>
          <w:p>
            <w:pPr>
              <w:jc w:val="center"/>
              <w:ind w:left="84"/>
              <w:spacing w:after="0"/>
              <w:rPr>
                <w:sz w:val="20"/>
                <w:szCs w:val="20"/>
                <w:color w:val="auto"/>
              </w:rPr>
            </w:pPr>
            <w:r>
              <w:rPr>
                <w:rFonts w:ascii="Arial" w:cs="Arial" w:eastAsia="Arial" w:hAnsi="Arial"/>
                <w:sz w:val="15"/>
                <w:szCs w:val="15"/>
                <w:color w:val="auto"/>
              </w:rPr>
              <w:t>42.22</w:t>
            </w:r>
          </w:p>
        </w:tc>
        <w:tc>
          <w:tcPr>
            <w:tcW w:w="1480" w:type="dxa"/>
            <w:vAlign w:val="bottom"/>
          </w:tcPr>
          <w:p>
            <w:pPr>
              <w:jc w:val="right"/>
              <w:ind w:right="144"/>
              <w:spacing w:after="0"/>
              <w:rPr>
                <w:sz w:val="20"/>
                <w:szCs w:val="20"/>
                <w:color w:val="auto"/>
              </w:rPr>
            </w:pPr>
            <w:r>
              <w:rPr>
                <w:rFonts w:ascii="Arial" w:cs="Arial" w:eastAsia="Arial" w:hAnsi="Arial"/>
                <w:sz w:val="15"/>
                <w:szCs w:val="15"/>
                <w:color w:val="auto"/>
              </w:rPr>
              <w:t>82.27 %</w:t>
            </w:r>
          </w:p>
        </w:tc>
        <w:tc>
          <w:tcPr>
            <w:tcW w:w="1240" w:type="dxa"/>
            <w:vAlign w:val="bottom"/>
          </w:tcPr>
          <w:p>
            <w:pPr>
              <w:jc w:val="right"/>
              <w:ind w:right="304"/>
              <w:spacing w:after="0"/>
              <w:rPr>
                <w:sz w:val="20"/>
                <w:szCs w:val="20"/>
                <w:color w:val="auto"/>
              </w:rPr>
            </w:pPr>
            <w:r>
              <w:rPr>
                <w:rFonts w:ascii="Arial" w:cs="Arial" w:eastAsia="Arial" w:hAnsi="Arial"/>
                <w:sz w:val="15"/>
                <w:szCs w:val="15"/>
                <w:color w:val="auto"/>
              </w:rPr>
              <w:t>78.90 %</w:t>
            </w:r>
          </w:p>
        </w:tc>
        <w:tc>
          <w:tcPr>
            <w:tcW w:w="1380" w:type="dxa"/>
            <w:vAlign w:val="bottom"/>
          </w:tcPr>
          <w:p>
            <w:pPr>
              <w:jc w:val="right"/>
              <w:spacing w:after="0"/>
              <w:rPr>
                <w:sz w:val="20"/>
                <w:szCs w:val="20"/>
                <w:color w:val="auto"/>
              </w:rPr>
            </w:pPr>
            <w:r>
              <w:rPr>
                <w:rFonts w:ascii="Arial" w:cs="Arial" w:eastAsia="Arial" w:hAnsi="Arial"/>
                <w:sz w:val="15"/>
                <w:szCs w:val="15"/>
                <w:color w:val="auto"/>
              </w:rPr>
              <w:t>64.90 %</w:t>
            </w:r>
          </w:p>
        </w:tc>
      </w:tr>
      <w:tr>
        <w:trPr>
          <w:trHeight w:val="33"/>
        </w:trPr>
        <w:tc>
          <w:tcPr>
            <w:tcW w:w="3900" w:type="dxa"/>
            <w:vAlign w:val="bottom"/>
          </w:tcPr>
          <w:p>
            <w:pPr>
              <w:spacing w:after="0"/>
              <w:rPr>
                <w:sz w:val="2"/>
                <w:szCs w:val="2"/>
                <w:color w:val="auto"/>
              </w:rPr>
            </w:pPr>
          </w:p>
        </w:tc>
        <w:tc>
          <w:tcPr>
            <w:tcW w:w="1380" w:type="dxa"/>
            <w:vAlign w:val="bottom"/>
            <w:tcBorders>
              <w:bottom w:val="single" w:sz="8" w:color="929292"/>
            </w:tcBorders>
          </w:tcPr>
          <w:p>
            <w:pPr>
              <w:spacing w:after="0"/>
              <w:rPr>
                <w:sz w:val="2"/>
                <w:szCs w:val="2"/>
                <w:color w:val="auto"/>
              </w:rPr>
            </w:pPr>
          </w:p>
        </w:tc>
        <w:tc>
          <w:tcPr>
            <w:tcW w:w="1260" w:type="dxa"/>
            <w:vAlign w:val="bottom"/>
            <w:tcBorders>
              <w:bottom w:val="single" w:sz="8" w:color="929292"/>
            </w:tcBorders>
          </w:tcPr>
          <w:p>
            <w:pPr>
              <w:spacing w:after="0"/>
              <w:rPr>
                <w:sz w:val="2"/>
                <w:szCs w:val="2"/>
                <w:color w:val="auto"/>
              </w:rPr>
            </w:pPr>
          </w:p>
        </w:tc>
        <w:tc>
          <w:tcPr>
            <w:tcW w:w="1480" w:type="dxa"/>
            <w:vAlign w:val="bottom"/>
            <w:tcBorders>
              <w:bottom w:val="single" w:sz="8" w:color="929292"/>
            </w:tcBorders>
          </w:tcPr>
          <w:p>
            <w:pPr>
              <w:spacing w:after="0"/>
              <w:rPr>
                <w:sz w:val="2"/>
                <w:szCs w:val="2"/>
                <w:color w:val="auto"/>
              </w:rPr>
            </w:pPr>
          </w:p>
        </w:tc>
        <w:tc>
          <w:tcPr>
            <w:tcW w:w="1240" w:type="dxa"/>
            <w:vAlign w:val="bottom"/>
            <w:tcBorders>
              <w:bottom w:val="single" w:sz="8" w:color="929292"/>
            </w:tcBorders>
          </w:tcPr>
          <w:p>
            <w:pPr>
              <w:spacing w:after="0"/>
              <w:rPr>
                <w:sz w:val="2"/>
                <w:szCs w:val="2"/>
                <w:color w:val="auto"/>
              </w:rPr>
            </w:pPr>
          </w:p>
        </w:tc>
        <w:tc>
          <w:tcPr>
            <w:tcW w:w="1380" w:type="dxa"/>
            <w:vAlign w:val="bottom"/>
            <w:tcBorders>
              <w:bottom w:val="single" w:sz="8" w:color="929292"/>
            </w:tcBorders>
          </w:tcPr>
          <w:p>
            <w:pPr>
              <w:spacing w:after="0"/>
              <w:rPr>
                <w:sz w:val="2"/>
                <w:szCs w:val="2"/>
                <w:color w:val="auto"/>
              </w:rPr>
            </w:pPr>
          </w:p>
        </w:tc>
      </w:tr>
      <w:tr>
        <w:trPr>
          <w:trHeight w:val="204"/>
        </w:trPr>
        <w:tc>
          <w:tcPr>
            <w:tcW w:w="39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2018-2020</w:t>
            </w:r>
          </w:p>
        </w:tc>
        <w:tc>
          <w:tcPr>
            <w:tcW w:w="1260" w:type="dxa"/>
            <w:vAlign w:val="bottom"/>
          </w:tcPr>
          <w:p>
            <w:pPr>
              <w:jc w:val="center"/>
              <w:ind w:left="84"/>
              <w:spacing w:after="0"/>
              <w:rPr>
                <w:sz w:val="20"/>
                <w:szCs w:val="20"/>
                <w:color w:val="auto"/>
              </w:rPr>
            </w:pPr>
            <w:r>
              <w:rPr>
                <w:rFonts w:ascii="Arial" w:cs="Arial" w:eastAsia="Arial" w:hAnsi="Arial"/>
                <w:sz w:val="15"/>
                <w:szCs w:val="15"/>
                <w:color w:val="auto"/>
              </w:rPr>
              <w:t>42.22</w:t>
            </w:r>
          </w:p>
        </w:tc>
        <w:tc>
          <w:tcPr>
            <w:tcW w:w="1480" w:type="dxa"/>
            <w:vAlign w:val="bottom"/>
          </w:tcPr>
          <w:p>
            <w:pPr>
              <w:jc w:val="right"/>
              <w:ind w:right="144"/>
              <w:spacing w:after="0"/>
              <w:rPr>
                <w:sz w:val="20"/>
                <w:szCs w:val="20"/>
                <w:color w:val="auto"/>
              </w:rPr>
            </w:pPr>
            <w:r>
              <w:rPr>
                <w:rFonts w:ascii="Arial" w:cs="Arial" w:eastAsia="Arial" w:hAnsi="Arial"/>
                <w:sz w:val="15"/>
                <w:szCs w:val="15"/>
                <w:color w:val="auto"/>
              </w:rPr>
              <w:t>76.01 %</w:t>
            </w:r>
          </w:p>
        </w:tc>
        <w:tc>
          <w:tcPr>
            <w:tcW w:w="1240" w:type="dxa"/>
            <w:vAlign w:val="bottom"/>
          </w:tcPr>
          <w:p>
            <w:pPr>
              <w:jc w:val="right"/>
              <w:ind w:right="304"/>
              <w:spacing w:after="0"/>
              <w:rPr>
                <w:sz w:val="20"/>
                <w:szCs w:val="20"/>
                <w:color w:val="auto"/>
              </w:rPr>
            </w:pPr>
            <w:r>
              <w:rPr>
                <w:rFonts w:ascii="Arial" w:cs="Arial" w:eastAsia="Arial" w:hAnsi="Arial"/>
                <w:sz w:val="15"/>
                <w:szCs w:val="15"/>
                <w:color w:val="auto"/>
              </w:rPr>
              <w:t>83.74 %</w:t>
            </w:r>
          </w:p>
        </w:tc>
        <w:tc>
          <w:tcPr>
            <w:tcW w:w="1380" w:type="dxa"/>
            <w:vAlign w:val="bottom"/>
          </w:tcPr>
          <w:p>
            <w:pPr>
              <w:jc w:val="right"/>
              <w:spacing w:after="0"/>
              <w:rPr>
                <w:sz w:val="20"/>
                <w:szCs w:val="20"/>
                <w:color w:val="auto"/>
              </w:rPr>
            </w:pPr>
            <w:r>
              <w:rPr>
                <w:rFonts w:ascii="Arial" w:cs="Arial" w:eastAsia="Arial" w:hAnsi="Arial"/>
                <w:sz w:val="15"/>
                <w:szCs w:val="15"/>
                <w:color w:val="auto"/>
              </w:rPr>
              <w:t>63.70 %</w:t>
            </w:r>
          </w:p>
        </w:tc>
      </w:tr>
      <w:tr>
        <w:trPr>
          <w:trHeight w:val="33"/>
        </w:trPr>
        <w:tc>
          <w:tcPr>
            <w:tcW w:w="3900" w:type="dxa"/>
            <w:vAlign w:val="bottom"/>
            <w:tcBorders>
              <w:bottom w:val="single" w:sz="8" w:color="929292"/>
            </w:tcBorders>
          </w:tcPr>
          <w:p>
            <w:pPr>
              <w:spacing w:after="0"/>
              <w:rPr>
                <w:sz w:val="2"/>
                <w:szCs w:val="2"/>
                <w:color w:val="auto"/>
              </w:rPr>
            </w:pPr>
          </w:p>
        </w:tc>
        <w:tc>
          <w:tcPr>
            <w:tcW w:w="1380" w:type="dxa"/>
            <w:vAlign w:val="bottom"/>
            <w:tcBorders>
              <w:bottom w:val="single" w:sz="8" w:color="929292"/>
            </w:tcBorders>
          </w:tcPr>
          <w:p>
            <w:pPr>
              <w:spacing w:after="0"/>
              <w:rPr>
                <w:sz w:val="2"/>
                <w:szCs w:val="2"/>
                <w:color w:val="auto"/>
              </w:rPr>
            </w:pPr>
          </w:p>
        </w:tc>
        <w:tc>
          <w:tcPr>
            <w:tcW w:w="1260" w:type="dxa"/>
            <w:vAlign w:val="bottom"/>
            <w:tcBorders>
              <w:bottom w:val="single" w:sz="8" w:color="929292"/>
            </w:tcBorders>
          </w:tcPr>
          <w:p>
            <w:pPr>
              <w:spacing w:after="0"/>
              <w:rPr>
                <w:sz w:val="2"/>
                <w:szCs w:val="2"/>
                <w:color w:val="auto"/>
              </w:rPr>
            </w:pPr>
          </w:p>
        </w:tc>
        <w:tc>
          <w:tcPr>
            <w:tcW w:w="1480" w:type="dxa"/>
            <w:vAlign w:val="bottom"/>
            <w:tcBorders>
              <w:bottom w:val="single" w:sz="8" w:color="929292"/>
            </w:tcBorders>
          </w:tcPr>
          <w:p>
            <w:pPr>
              <w:spacing w:after="0"/>
              <w:rPr>
                <w:sz w:val="2"/>
                <w:szCs w:val="2"/>
                <w:color w:val="auto"/>
              </w:rPr>
            </w:pPr>
          </w:p>
        </w:tc>
        <w:tc>
          <w:tcPr>
            <w:tcW w:w="1240" w:type="dxa"/>
            <w:vAlign w:val="bottom"/>
            <w:tcBorders>
              <w:bottom w:val="single" w:sz="8" w:color="929292"/>
            </w:tcBorders>
          </w:tcPr>
          <w:p>
            <w:pPr>
              <w:spacing w:after="0"/>
              <w:rPr>
                <w:sz w:val="2"/>
                <w:szCs w:val="2"/>
                <w:color w:val="auto"/>
              </w:rPr>
            </w:pPr>
          </w:p>
        </w:tc>
        <w:tc>
          <w:tcPr>
            <w:tcW w:w="1380" w:type="dxa"/>
            <w:vAlign w:val="bottom"/>
            <w:tcBorders>
              <w:bottom w:val="single" w:sz="8" w:color="929292"/>
            </w:tcBorders>
          </w:tcPr>
          <w:p>
            <w:pPr>
              <w:spacing w:after="0"/>
              <w:rPr>
                <w:sz w:val="2"/>
                <w:szCs w:val="2"/>
                <w:color w:val="auto"/>
              </w:rPr>
            </w:pPr>
          </w:p>
        </w:tc>
      </w:tr>
      <w:tr>
        <w:trPr>
          <w:trHeight w:val="242"/>
        </w:trPr>
        <w:tc>
          <w:tcPr>
            <w:tcW w:w="3900" w:type="dxa"/>
            <w:vAlign w:val="bottom"/>
            <w:tcBorders>
              <w:bottom w:val="single" w:sz="8" w:color="E8E7EA"/>
            </w:tcBorders>
            <w:shd w:val="clear" w:color="auto" w:fill="E8E7EA"/>
          </w:tcPr>
          <w:p>
            <w:pPr>
              <w:spacing w:after="0"/>
              <w:rPr>
                <w:sz w:val="20"/>
                <w:szCs w:val="20"/>
                <w:color w:val="auto"/>
              </w:rPr>
            </w:pPr>
          </w:p>
        </w:tc>
        <w:tc>
          <w:tcPr>
            <w:tcW w:w="1380" w:type="dxa"/>
            <w:vAlign w:val="bottom"/>
            <w:tcBorders>
              <w:bottom w:val="single" w:sz="8" w:color="E8E7EA"/>
            </w:tcBorders>
            <w:shd w:val="clear" w:color="auto" w:fill="E8E7EA"/>
          </w:tcPr>
          <w:p>
            <w:pPr>
              <w:jc w:val="right"/>
              <w:spacing w:after="0"/>
              <w:rPr>
                <w:sz w:val="20"/>
                <w:szCs w:val="20"/>
                <w:color w:val="auto"/>
              </w:rPr>
            </w:pPr>
            <w:r>
              <w:rPr>
                <w:rFonts w:ascii="Arial" w:cs="Arial" w:eastAsia="Arial" w:hAnsi="Arial"/>
                <w:sz w:val="15"/>
                <w:szCs w:val="15"/>
                <w:color w:val="auto"/>
              </w:rPr>
              <w:t>2019-2021</w:t>
            </w:r>
          </w:p>
        </w:tc>
        <w:tc>
          <w:tcPr>
            <w:tcW w:w="1260" w:type="dxa"/>
            <w:vAlign w:val="bottom"/>
            <w:tcBorders>
              <w:bottom w:val="single" w:sz="8" w:color="E8E7EA"/>
            </w:tcBorders>
            <w:shd w:val="clear" w:color="auto" w:fill="E8E7EA"/>
          </w:tcPr>
          <w:p>
            <w:pPr>
              <w:jc w:val="center"/>
              <w:ind w:left="84"/>
              <w:spacing w:after="0"/>
              <w:rPr>
                <w:sz w:val="20"/>
                <w:szCs w:val="20"/>
                <w:color w:val="auto"/>
              </w:rPr>
            </w:pPr>
            <w:r>
              <w:rPr>
                <w:rFonts w:ascii="Arial" w:cs="Arial" w:eastAsia="Arial" w:hAnsi="Arial"/>
                <w:sz w:val="15"/>
                <w:szCs w:val="15"/>
                <w:color w:val="auto"/>
              </w:rPr>
              <w:t>45.59</w:t>
            </w:r>
          </w:p>
        </w:tc>
        <w:tc>
          <w:tcPr>
            <w:tcW w:w="1480" w:type="dxa"/>
            <w:vAlign w:val="bottom"/>
            <w:tcBorders>
              <w:bottom w:val="single" w:sz="8" w:color="E8E7EA"/>
            </w:tcBorders>
            <w:shd w:val="clear" w:color="auto" w:fill="E8E7EA"/>
          </w:tcPr>
          <w:p>
            <w:pPr>
              <w:jc w:val="right"/>
              <w:ind w:right="144"/>
              <w:spacing w:after="0"/>
              <w:rPr>
                <w:sz w:val="20"/>
                <w:szCs w:val="20"/>
                <w:color w:val="auto"/>
              </w:rPr>
            </w:pPr>
            <w:r>
              <w:rPr>
                <w:rFonts w:ascii="Arial" w:cs="Arial" w:eastAsia="Arial" w:hAnsi="Arial"/>
                <w:sz w:val="15"/>
                <w:szCs w:val="15"/>
                <w:color w:val="auto"/>
              </w:rPr>
              <w:t>96.30 %</w:t>
            </w:r>
          </w:p>
        </w:tc>
        <w:tc>
          <w:tcPr>
            <w:tcW w:w="1240" w:type="dxa"/>
            <w:vAlign w:val="bottom"/>
            <w:tcBorders>
              <w:bottom w:val="single" w:sz="8" w:color="E8E7EA"/>
            </w:tcBorders>
            <w:shd w:val="clear" w:color="auto" w:fill="E8E7EA"/>
          </w:tcPr>
          <w:p>
            <w:pPr>
              <w:jc w:val="right"/>
              <w:ind w:right="304"/>
              <w:spacing w:after="0"/>
              <w:rPr>
                <w:sz w:val="20"/>
                <w:szCs w:val="20"/>
                <w:color w:val="auto"/>
              </w:rPr>
            </w:pPr>
            <w:r>
              <w:rPr>
                <w:rFonts w:ascii="Arial" w:cs="Arial" w:eastAsia="Arial" w:hAnsi="Arial"/>
                <w:sz w:val="15"/>
                <w:szCs w:val="15"/>
                <w:color w:val="auto"/>
              </w:rPr>
              <w:t>76.30 %</w:t>
            </w:r>
          </w:p>
        </w:tc>
        <w:tc>
          <w:tcPr>
            <w:tcW w:w="1380" w:type="dxa"/>
            <w:vAlign w:val="bottom"/>
            <w:tcBorders>
              <w:bottom w:val="single" w:sz="8" w:color="E8E7EA"/>
            </w:tcBorders>
            <w:shd w:val="clear" w:color="auto" w:fill="E8E7EA"/>
          </w:tcPr>
          <w:p>
            <w:pPr>
              <w:jc w:val="right"/>
              <w:spacing w:after="0"/>
              <w:rPr>
                <w:sz w:val="20"/>
                <w:szCs w:val="20"/>
                <w:color w:val="auto"/>
              </w:rPr>
            </w:pPr>
            <w:r>
              <w:rPr>
                <w:rFonts w:ascii="Arial" w:cs="Arial" w:eastAsia="Arial" w:hAnsi="Arial"/>
                <w:sz w:val="15"/>
                <w:szCs w:val="15"/>
                <w:color w:val="auto"/>
              </w:rPr>
              <w:t>73.50 %</w:t>
            </w:r>
          </w:p>
        </w:tc>
      </w:tr>
      <w:tr>
        <w:trPr>
          <w:trHeight w:val="241"/>
        </w:trPr>
        <w:tc>
          <w:tcPr>
            <w:tcW w:w="3900" w:type="dxa"/>
            <w:vAlign w:val="bottom"/>
            <w:tcBorders>
              <w:top w:val="single" w:sz="8" w:color="E8E7EA"/>
              <w:bottom w:val="single" w:sz="8" w:color="E8E7EA"/>
            </w:tcBorders>
            <w:shd w:val="clear" w:color="auto" w:fill="E8E7EA"/>
          </w:tcPr>
          <w:p>
            <w:pPr>
              <w:ind w:left="20"/>
              <w:spacing w:after="0"/>
              <w:rPr>
                <w:sz w:val="20"/>
                <w:szCs w:val="20"/>
                <w:color w:val="auto"/>
              </w:rPr>
            </w:pPr>
            <w:r>
              <w:rPr>
                <w:rFonts w:ascii="Arial" w:cs="Arial" w:eastAsia="Arial" w:hAnsi="Arial"/>
                <w:sz w:val="15"/>
                <w:szCs w:val="15"/>
                <w:color w:val="auto"/>
              </w:rPr>
              <w:t>12/31/2019</w:t>
            </w:r>
          </w:p>
        </w:tc>
        <w:tc>
          <w:tcPr>
            <w:tcW w:w="1380" w:type="dxa"/>
            <w:vAlign w:val="bottom"/>
            <w:tcBorders>
              <w:top w:val="single" w:sz="8" w:color="929292"/>
              <w:bottom w:val="single" w:sz="8" w:color="E8E7EA"/>
            </w:tcBorders>
            <w:shd w:val="clear" w:color="auto" w:fill="E8E7EA"/>
          </w:tcPr>
          <w:p>
            <w:pPr>
              <w:jc w:val="right"/>
              <w:spacing w:after="0"/>
              <w:rPr>
                <w:sz w:val="20"/>
                <w:szCs w:val="20"/>
                <w:color w:val="auto"/>
              </w:rPr>
            </w:pPr>
            <w:r>
              <w:rPr>
                <w:rFonts w:ascii="Arial" w:cs="Arial" w:eastAsia="Arial" w:hAnsi="Arial"/>
                <w:sz w:val="15"/>
                <w:szCs w:val="15"/>
                <w:color w:val="auto"/>
              </w:rPr>
              <w:t>2018-2020</w:t>
            </w:r>
          </w:p>
        </w:tc>
        <w:tc>
          <w:tcPr>
            <w:tcW w:w="1260" w:type="dxa"/>
            <w:vAlign w:val="bottom"/>
            <w:tcBorders>
              <w:top w:val="single" w:sz="8" w:color="929292"/>
              <w:bottom w:val="single" w:sz="8" w:color="E8E7EA"/>
            </w:tcBorders>
            <w:shd w:val="clear" w:color="auto" w:fill="E8E7EA"/>
          </w:tcPr>
          <w:p>
            <w:pPr>
              <w:jc w:val="center"/>
              <w:ind w:left="84"/>
              <w:spacing w:after="0"/>
              <w:rPr>
                <w:sz w:val="20"/>
                <w:szCs w:val="20"/>
                <w:color w:val="auto"/>
              </w:rPr>
            </w:pPr>
            <w:r>
              <w:rPr>
                <w:rFonts w:ascii="Arial" w:cs="Arial" w:eastAsia="Arial" w:hAnsi="Arial"/>
                <w:sz w:val="15"/>
                <w:szCs w:val="15"/>
                <w:color w:val="auto"/>
              </w:rPr>
              <w:t>45.59</w:t>
            </w:r>
          </w:p>
        </w:tc>
        <w:tc>
          <w:tcPr>
            <w:tcW w:w="1480" w:type="dxa"/>
            <w:vAlign w:val="bottom"/>
            <w:tcBorders>
              <w:top w:val="single" w:sz="8" w:color="929292"/>
              <w:bottom w:val="single" w:sz="8" w:color="E8E7EA"/>
            </w:tcBorders>
            <w:shd w:val="clear" w:color="auto" w:fill="E8E7EA"/>
          </w:tcPr>
          <w:p>
            <w:pPr>
              <w:jc w:val="right"/>
              <w:ind w:right="144"/>
              <w:spacing w:after="0"/>
              <w:rPr>
                <w:sz w:val="20"/>
                <w:szCs w:val="20"/>
                <w:color w:val="auto"/>
              </w:rPr>
            </w:pPr>
            <w:r>
              <w:rPr>
                <w:rFonts w:ascii="Arial" w:cs="Arial" w:eastAsia="Arial" w:hAnsi="Arial"/>
                <w:sz w:val="15"/>
                <w:szCs w:val="15"/>
                <w:color w:val="auto"/>
              </w:rPr>
              <w:t>99.97 %</w:t>
            </w:r>
          </w:p>
        </w:tc>
        <w:tc>
          <w:tcPr>
            <w:tcW w:w="1240" w:type="dxa"/>
            <w:vAlign w:val="bottom"/>
            <w:tcBorders>
              <w:top w:val="single" w:sz="8" w:color="929292"/>
              <w:bottom w:val="single" w:sz="8" w:color="E8E7EA"/>
            </w:tcBorders>
            <w:shd w:val="clear" w:color="auto" w:fill="E8E7EA"/>
          </w:tcPr>
          <w:p>
            <w:pPr>
              <w:jc w:val="right"/>
              <w:ind w:right="304"/>
              <w:spacing w:after="0"/>
              <w:rPr>
                <w:sz w:val="20"/>
                <w:szCs w:val="20"/>
                <w:color w:val="auto"/>
              </w:rPr>
            </w:pPr>
            <w:r>
              <w:rPr>
                <w:rFonts w:ascii="Arial" w:cs="Arial" w:eastAsia="Arial" w:hAnsi="Arial"/>
                <w:sz w:val="15"/>
                <w:szCs w:val="15"/>
                <w:color w:val="auto"/>
              </w:rPr>
              <w:t>96.90 %</w:t>
            </w:r>
          </w:p>
        </w:tc>
        <w:tc>
          <w:tcPr>
            <w:tcW w:w="1380" w:type="dxa"/>
            <w:vAlign w:val="bottom"/>
            <w:tcBorders>
              <w:top w:val="single" w:sz="8" w:color="929292"/>
              <w:bottom w:val="single" w:sz="8" w:color="E8E7EA"/>
            </w:tcBorders>
            <w:shd w:val="clear" w:color="auto" w:fill="E8E7EA"/>
          </w:tcPr>
          <w:p>
            <w:pPr>
              <w:jc w:val="right"/>
              <w:spacing w:after="0"/>
              <w:rPr>
                <w:sz w:val="20"/>
                <w:szCs w:val="20"/>
                <w:color w:val="auto"/>
              </w:rPr>
            </w:pPr>
            <w:r>
              <w:rPr>
                <w:rFonts w:ascii="Arial" w:cs="Arial" w:eastAsia="Arial" w:hAnsi="Arial"/>
                <w:sz w:val="15"/>
                <w:szCs w:val="15"/>
                <w:color w:val="auto"/>
              </w:rPr>
              <w:t>96.90 %</w:t>
            </w:r>
          </w:p>
        </w:tc>
      </w:tr>
      <w:tr>
        <w:trPr>
          <w:trHeight w:val="216"/>
        </w:trPr>
        <w:tc>
          <w:tcPr>
            <w:tcW w:w="3900" w:type="dxa"/>
            <w:vAlign w:val="bottom"/>
            <w:tcBorders>
              <w:top w:val="single" w:sz="8" w:color="E8E7EA"/>
              <w:bottom w:val="single" w:sz="8" w:color="E8E7EA"/>
            </w:tcBorders>
            <w:shd w:val="clear" w:color="auto" w:fill="E8E7EA"/>
          </w:tcPr>
          <w:p>
            <w:pPr>
              <w:spacing w:after="0"/>
              <w:rPr>
                <w:sz w:val="18"/>
                <w:szCs w:val="18"/>
                <w:color w:val="auto"/>
              </w:rPr>
            </w:pPr>
          </w:p>
        </w:tc>
        <w:tc>
          <w:tcPr>
            <w:tcW w:w="1380" w:type="dxa"/>
            <w:vAlign w:val="bottom"/>
            <w:tcBorders>
              <w:top w:val="single" w:sz="8" w:color="929292"/>
              <w:bottom w:val="single" w:sz="8" w:color="E8E7EA"/>
            </w:tcBorders>
            <w:shd w:val="clear" w:color="auto" w:fill="E8E7EA"/>
          </w:tcPr>
          <w:p>
            <w:pPr>
              <w:jc w:val="right"/>
              <w:spacing w:after="0"/>
              <w:rPr>
                <w:sz w:val="20"/>
                <w:szCs w:val="20"/>
                <w:color w:val="auto"/>
              </w:rPr>
            </w:pPr>
            <w:r>
              <w:rPr>
                <w:rFonts w:ascii="Arial" w:cs="Arial" w:eastAsia="Arial" w:hAnsi="Arial"/>
                <w:sz w:val="15"/>
                <w:szCs w:val="15"/>
                <w:color w:val="auto"/>
              </w:rPr>
              <w:t>2017-2019</w:t>
            </w:r>
          </w:p>
        </w:tc>
        <w:tc>
          <w:tcPr>
            <w:tcW w:w="1260" w:type="dxa"/>
            <w:vAlign w:val="bottom"/>
            <w:tcBorders>
              <w:top w:val="single" w:sz="8" w:color="929292"/>
              <w:bottom w:val="single" w:sz="8" w:color="E8E7EA"/>
            </w:tcBorders>
            <w:shd w:val="clear" w:color="auto" w:fill="E8E7EA"/>
          </w:tcPr>
          <w:p>
            <w:pPr>
              <w:jc w:val="center"/>
              <w:ind w:left="84"/>
              <w:spacing w:after="0"/>
              <w:rPr>
                <w:sz w:val="20"/>
                <w:szCs w:val="20"/>
                <w:color w:val="auto"/>
              </w:rPr>
            </w:pPr>
            <w:r>
              <w:rPr>
                <w:rFonts w:ascii="Arial" w:cs="Arial" w:eastAsia="Arial" w:hAnsi="Arial"/>
                <w:sz w:val="15"/>
                <w:szCs w:val="15"/>
                <w:color w:val="auto"/>
              </w:rPr>
              <w:t>45.59</w:t>
            </w:r>
          </w:p>
        </w:tc>
        <w:tc>
          <w:tcPr>
            <w:tcW w:w="1480" w:type="dxa"/>
            <w:vAlign w:val="bottom"/>
            <w:tcBorders>
              <w:top w:val="single" w:sz="8" w:color="929292"/>
              <w:bottom w:val="single" w:sz="8" w:color="E8E7EA"/>
            </w:tcBorders>
            <w:shd w:val="clear" w:color="auto" w:fill="E8E7EA"/>
          </w:tcPr>
          <w:p>
            <w:pPr>
              <w:jc w:val="right"/>
              <w:ind w:right="144"/>
              <w:spacing w:after="0"/>
              <w:rPr>
                <w:sz w:val="20"/>
                <w:szCs w:val="20"/>
                <w:color w:val="auto"/>
              </w:rPr>
            </w:pPr>
            <w:r>
              <w:rPr>
                <w:rFonts w:ascii="Arial" w:cs="Arial" w:eastAsia="Arial" w:hAnsi="Arial"/>
                <w:sz w:val="15"/>
                <w:szCs w:val="15"/>
                <w:color w:val="auto"/>
              </w:rPr>
              <w:t>114.76 %</w:t>
            </w:r>
          </w:p>
        </w:tc>
        <w:tc>
          <w:tcPr>
            <w:tcW w:w="1240" w:type="dxa"/>
            <w:vAlign w:val="bottom"/>
            <w:tcBorders>
              <w:top w:val="single" w:sz="8" w:color="929292"/>
              <w:bottom w:val="single" w:sz="8" w:color="E8E7EA"/>
            </w:tcBorders>
            <w:shd w:val="clear" w:color="auto" w:fill="E8E7EA"/>
          </w:tcPr>
          <w:p>
            <w:pPr>
              <w:jc w:val="right"/>
              <w:ind w:right="304"/>
              <w:spacing w:after="0"/>
              <w:rPr>
                <w:sz w:val="20"/>
                <w:szCs w:val="20"/>
                <w:color w:val="auto"/>
              </w:rPr>
            </w:pPr>
            <w:r>
              <w:rPr>
                <w:rFonts w:ascii="Arial" w:cs="Arial" w:eastAsia="Arial" w:hAnsi="Arial"/>
                <w:sz w:val="15"/>
                <w:szCs w:val="15"/>
                <w:color w:val="auto"/>
              </w:rPr>
              <w:t>93.85 %</w:t>
            </w:r>
          </w:p>
        </w:tc>
        <w:tc>
          <w:tcPr>
            <w:tcW w:w="1380" w:type="dxa"/>
            <w:vAlign w:val="bottom"/>
            <w:tcBorders>
              <w:top w:val="single" w:sz="8" w:color="929292"/>
              <w:bottom w:val="single" w:sz="8" w:color="E8E7EA"/>
            </w:tcBorders>
            <w:shd w:val="clear" w:color="auto" w:fill="E8E7EA"/>
          </w:tcPr>
          <w:p>
            <w:pPr>
              <w:jc w:val="right"/>
              <w:spacing w:after="0"/>
              <w:rPr>
                <w:sz w:val="20"/>
                <w:szCs w:val="20"/>
                <w:color w:val="auto"/>
              </w:rPr>
            </w:pPr>
            <w:r>
              <w:rPr>
                <w:rFonts w:ascii="Arial" w:cs="Arial" w:eastAsia="Arial" w:hAnsi="Arial"/>
                <w:sz w:val="15"/>
                <w:szCs w:val="15"/>
                <w:color w:val="auto"/>
              </w:rPr>
              <w:t>107.70 %</w:t>
            </w:r>
          </w:p>
        </w:tc>
      </w:tr>
      <w:tr>
        <w:trPr>
          <w:trHeight w:val="20"/>
        </w:trPr>
        <w:tc>
          <w:tcPr>
            <w:tcW w:w="3900" w:type="dxa"/>
            <w:vAlign w:val="bottom"/>
            <w:shd w:val="clear" w:color="auto" w:fill="929292"/>
          </w:tcPr>
          <w:p>
            <w:pPr>
              <w:spacing w:after="0" w:line="20" w:lineRule="exact"/>
              <w:rPr>
                <w:sz w:val="1"/>
                <w:szCs w:val="1"/>
                <w:color w:val="auto"/>
              </w:rPr>
            </w:pPr>
          </w:p>
        </w:tc>
        <w:tc>
          <w:tcPr>
            <w:tcW w:w="1380" w:type="dxa"/>
            <w:vAlign w:val="bottom"/>
            <w:shd w:val="clear" w:color="auto" w:fill="929292"/>
          </w:tcPr>
          <w:p>
            <w:pPr>
              <w:spacing w:after="0" w:line="20" w:lineRule="exact"/>
              <w:rPr>
                <w:sz w:val="1"/>
                <w:szCs w:val="1"/>
                <w:color w:val="auto"/>
              </w:rPr>
            </w:pPr>
          </w:p>
        </w:tc>
        <w:tc>
          <w:tcPr>
            <w:tcW w:w="1260" w:type="dxa"/>
            <w:vAlign w:val="bottom"/>
            <w:shd w:val="clear" w:color="auto" w:fill="929292"/>
          </w:tcPr>
          <w:p>
            <w:pPr>
              <w:spacing w:after="0" w:line="20" w:lineRule="exact"/>
              <w:rPr>
                <w:sz w:val="1"/>
                <w:szCs w:val="1"/>
                <w:color w:val="auto"/>
              </w:rPr>
            </w:pPr>
          </w:p>
        </w:tc>
        <w:tc>
          <w:tcPr>
            <w:tcW w:w="1480" w:type="dxa"/>
            <w:vAlign w:val="bottom"/>
            <w:shd w:val="clear" w:color="auto" w:fill="929292"/>
          </w:tcPr>
          <w:p>
            <w:pPr>
              <w:spacing w:after="0" w:line="20" w:lineRule="exact"/>
              <w:rPr>
                <w:sz w:val="1"/>
                <w:szCs w:val="1"/>
                <w:color w:val="auto"/>
              </w:rPr>
            </w:pPr>
          </w:p>
        </w:tc>
        <w:tc>
          <w:tcPr>
            <w:tcW w:w="1240" w:type="dxa"/>
            <w:vAlign w:val="bottom"/>
            <w:shd w:val="clear" w:color="auto" w:fill="929292"/>
          </w:tcPr>
          <w:p>
            <w:pPr>
              <w:spacing w:after="0" w:line="20" w:lineRule="exact"/>
              <w:rPr>
                <w:sz w:val="1"/>
                <w:szCs w:val="1"/>
                <w:color w:val="auto"/>
              </w:rPr>
            </w:pPr>
          </w:p>
        </w:tc>
        <w:tc>
          <w:tcPr>
            <w:tcW w:w="1380" w:type="dxa"/>
            <w:vAlign w:val="bottom"/>
            <w:shd w:val="clear" w:color="auto" w:fill="929292"/>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480" w:hanging="454"/>
        <w:spacing w:after="0"/>
        <w:tabs>
          <w:tab w:leader="none" w:pos="480" w:val="left"/>
        </w:tabs>
        <w:numPr>
          <w:ilvl w:val="0"/>
          <w:numId w:val="14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76" w:name="page77"/>
    <w:bookmarkEnd w:id="76"/>
    <w:p>
      <w:pPr>
        <w:jc w:val="right"/>
        <w:spacing w:after="0"/>
        <w:rPr>
          <w:sz w:val="20"/>
          <w:szCs w:val="20"/>
          <w:color w:val="auto"/>
        </w:rPr>
      </w:pPr>
      <w:r>
        <w:rPr>
          <w:rFonts w:ascii="Arial" w:cs="Arial" w:eastAsia="Arial" w:hAnsi="Arial"/>
          <w:sz w:val="13"/>
          <w:szCs w:val="13"/>
          <w:b w:val="1"/>
          <w:bCs w:val="1"/>
          <w:color w:val="auto"/>
        </w:rPr>
        <w:t>Compensation Discussion &amp; Analysis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60" w:right="420"/>
        <w:spacing w:after="0" w:line="317" w:lineRule="auto"/>
        <w:rPr>
          <w:sz w:val="20"/>
          <w:szCs w:val="20"/>
          <w:color w:val="auto"/>
        </w:rPr>
      </w:pPr>
      <w:r>
        <w:rPr>
          <w:rFonts w:ascii="Arial" w:cs="Arial" w:eastAsia="Arial" w:hAnsi="Arial"/>
          <w:sz w:val="14"/>
          <w:szCs w:val="14"/>
          <w:color w:val="auto"/>
        </w:rPr>
        <w:t>In accordance with the requirements of Item 402(v) of Regulation S-K, the following adjustments were made to their total compensation for each year to determine the compensation actually paid:</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940" w:type="dxa"/>
            <w:vAlign w:val="bottom"/>
            <w:tcBorders>
              <w:bottom w:val="single" w:sz="8" w:color="170D67"/>
            </w:tcBorders>
          </w:tcPr>
          <w:p>
            <w:pPr>
              <w:spacing w:after="0"/>
              <w:rPr>
                <w:sz w:val="17"/>
                <w:szCs w:val="17"/>
                <w:color w:val="auto"/>
              </w:rPr>
            </w:pPr>
          </w:p>
        </w:tc>
        <w:tc>
          <w:tcPr>
            <w:tcW w:w="1540" w:type="dxa"/>
            <w:vAlign w:val="bottom"/>
            <w:tcBorders>
              <w:bottom w:val="single" w:sz="8" w:color="170D67"/>
            </w:tcBorders>
          </w:tcPr>
          <w:p>
            <w:pPr>
              <w:jc w:val="right"/>
              <w:spacing w:after="0"/>
              <w:rPr>
                <w:sz w:val="20"/>
                <w:szCs w:val="20"/>
                <w:color w:val="auto"/>
              </w:rPr>
            </w:pPr>
            <w:r>
              <w:rPr>
                <w:rFonts w:ascii="Arial" w:cs="Arial" w:eastAsia="Arial" w:hAnsi="Arial"/>
                <w:sz w:val="13"/>
                <w:szCs w:val="13"/>
                <w:b w:val="1"/>
                <w:bCs w:val="1"/>
                <w:color w:val="170D67"/>
              </w:rPr>
              <w:t>Adjustments</w:t>
            </w:r>
          </w:p>
        </w:tc>
        <w:tc>
          <w:tcPr>
            <w:tcW w:w="1380" w:type="dxa"/>
            <w:vAlign w:val="bottom"/>
            <w:tcBorders>
              <w:bottom w:val="single" w:sz="8" w:color="170D67"/>
            </w:tcBorders>
          </w:tcPr>
          <w:p>
            <w:pPr>
              <w:spacing w:after="0"/>
              <w:rPr>
                <w:sz w:val="17"/>
                <w:szCs w:val="17"/>
                <w:color w:val="auto"/>
              </w:rPr>
            </w:pPr>
          </w:p>
        </w:tc>
        <w:tc>
          <w:tcPr>
            <w:tcW w:w="1240" w:type="dxa"/>
            <w:vAlign w:val="bottom"/>
            <w:tcBorders>
              <w:bottom w:val="single" w:sz="8" w:color="170D67"/>
            </w:tcBorders>
          </w:tcPr>
          <w:p>
            <w:pPr>
              <w:spacing w:after="0"/>
              <w:rPr>
                <w:sz w:val="17"/>
                <w:szCs w:val="17"/>
                <w:color w:val="auto"/>
              </w:rPr>
            </w:pPr>
          </w:p>
        </w:tc>
        <w:tc>
          <w:tcPr>
            <w:tcW w:w="1460" w:type="dxa"/>
            <w:vAlign w:val="bottom"/>
          </w:tcPr>
          <w:p>
            <w:pPr>
              <w:spacing w:after="0"/>
              <w:rPr>
                <w:sz w:val="17"/>
                <w:szCs w:val="17"/>
                <w:color w:val="auto"/>
              </w:rPr>
            </w:pPr>
          </w:p>
        </w:tc>
      </w:tr>
      <w:tr>
        <w:trPr>
          <w:trHeight w:val="174"/>
        </w:trPr>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jc w:val="right"/>
              <w:ind w:right="153"/>
              <w:spacing w:after="0"/>
              <w:rPr>
                <w:sz w:val="20"/>
                <w:szCs w:val="20"/>
                <w:color w:val="auto"/>
              </w:rPr>
            </w:pPr>
            <w:r>
              <w:rPr>
                <w:rFonts w:ascii="Arial" w:cs="Arial" w:eastAsia="Arial" w:hAnsi="Arial"/>
                <w:sz w:val="13"/>
                <w:szCs w:val="13"/>
                <w:b w:val="1"/>
                <w:bCs w:val="1"/>
                <w:color w:val="170D67"/>
              </w:rPr>
              <w:t>Reported Change</w:t>
            </w: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62"/>
        </w:trPr>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80" w:type="dxa"/>
            <w:vAlign w:val="bottom"/>
          </w:tcPr>
          <w:p>
            <w:pPr>
              <w:jc w:val="right"/>
              <w:ind w:right="153"/>
              <w:spacing w:after="0"/>
              <w:rPr>
                <w:sz w:val="20"/>
                <w:szCs w:val="20"/>
                <w:color w:val="auto"/>
              </w:rPr>
            </w:pPr>
            <w:r>
              <w:rPr>
                <w:rFonts w:ascii="Arial" w:cs="Arial" w:eastAsia="Arial" w:hAnsi="Arial"/>
                <w:sz w:val="13"/>
                <w:szCs w:val="13"/>
                <w:b w:val="1"/>
                <w:bCs w:val="1"/>
                <w:color w:val="170D67"/>
              </w:rPr>
              <w:t>in the Actuarial</w:t>
            </w: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2"/>
        </w:trPr>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b w:val="1"/>
                <w:bCs w:val="1"/>
                <w:color w:val="170D67"/>
              </w:rPr>
              <w:t>Reported Summary</w:t>
            </w:r>
          </w:p>
        </w:tc>
        <w:tc>
          <w:tcPr>
            <w:tcW w:w="1940" w:type="dxa"/>
            <w:vAlign w:val="bottom"/>
          </w:tcPr>
          <w:p>
            <w:pPr>
              <w:jc w:val="right"/>
              <w:ind w:right="173"/>
              <w:spacing w:after="0"/>
              <w:rPr>
                <w:sz w:val="20"/>
                <w:szCs w:val="20"/>
                <w:color w:val="auto"/>
              </w:rPr>
            </w:pPr>
            <w:r>
              <w:rPr>
                <w:rFonts w:ascii="Arial" w:cs="Arial" w:eastAsia="Arial" w:hAnsi="Arial"/>
                <w:sz w:val="13"/>
                <w:szCs w:val="13"/>
                <w:b w:val="1"/>
                <w:bCs w:val="1"/>
                <w:color w:val="170D67"/>
              </w:rPr>
              <w:t>Reported Value of</w:t>
            </w:r>
          </w:p>
        </w:tc>
        <w:tc>
          <w:tcPr>
            <w:tcW w:w="1540" w:type="dxa"/>
            <w:vAlign w:val="bottom"/>
          </w:tcPr>
          <w:p>
            <w:pPr>
              <w:jc w:val="right"/>
              <w:ind w:right="413"/>
              <w:spacing w:after="0"/>
              <w:rPr>
                <w:sz w:val="20"/>
                <w:szCs w:val="20"/>
                <w:color w:val="auto"/>
              </w:rPr>
            </w:pPr>
            <w:r>
              <w:rPr>
                <w:rFonts w:ascii="Arial" w:cs="Arial" w:eastAsia="Arial" w:hAnsi="Arial"/>
                <w:sz w:val="13"/>
                <w:szCs w:val="13"/>
                <w:b w:val="1"/>
                <w:bCs w:val="1"/>
                <w:color w:val="170D67"/>
              </w:rPr>
              <w:t>Equity Award</w:t>
            </w:r>
          </w:p>
        </w:tc>
        <w:tc>
          <w:tcPr>
            <w:tcW w:w="1380" w:type="dxa"/>
            <w:vAlign w:val="bottom"/>
          </w:tcPr>
          <w:p>
            <w:pPr>
              <w:jc w:val="right"/>
              <w:ind w:right="153"/>
              <w:spacing w:after="0"/>
              <w:rPr>
                <w:sz w:val="20"/>
                <w:szCs w:val="20"/>
                <w:color w:val="auto"/>
              </w:rPr>
            </w:pPr>
            <w:r>
              <w:rPr>
                <w:rFonts w:ascii="Arial" w:cs="Arial" w:eastAsia="Arial" w:hAnsi="Arial"/>
                <w:sz w:val="13"/>
                <w:szCs w:val="13"/>
                <w:b w:val="1"/>
                <w:bCs w:val="1"/>
                <w:color w:val="170D67"/>
              </w:rPr>
              <w:t>Present Value of</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170D67"/>
              </w:rPr>
              <w:t>Pension Benefit</w:t>
            </w:r>
          </w:p>
        </w:tc>
        <w:tc>
          <w:tcPr>
            <w:tcW w:w="1460" w:type="dxa"/>
            <w:vAlign w:val="bottom"/>
          </w:tcPr>
          <w:p>
            <w:pPr>
              <w:jc w:val="right"/>
              <w:spacing w:after="0"/>
              <w:rPr>
                <w:sz w:val="20"/>
                <w:szCs w:val="20"/>
                <w:color w:val="auto"/>
              </w:rPr>
            </w:pPr>
            <w:r>
              <w:rPr>
                <w:rFonts w:ascii="Arial" w:cs="Arial" w:eastAsia="Arial" w:hAnsi="Arial"/>
                <w:sz w:val="13"/>
                <w:szCs w:val="13"/>
                <w:b w:val="1"/>
                <w:bCs w:val="1"/>
                <w:color w:val="170D67"/>
              </w:rPr>
              <w:t>Compensation</w:t>
            </w:r>
          </w:p>
        </w:tc>
      </w:tr>
      <w:tr>
        <w:trPr>
          <w:trHeight w:val="162"/>
        </w:trPr>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b w:val="1"/>
                <w:bCs w:val="1"/>
                <w:color w:val="170D67"/>
              </w:rPr>
              <w:t>Compensation Table</w:t>
            </w:r>
          </w:p>
        </w:tc>
        <w:tc>
          <w:tcPr>
            <w:tcW w:w="1940" w:type="dxa"/>
            <w:vAlign w:val="bottom"/>
          </w:tcPr>
          <w:p>
            <w:pPr>
              <w:jc w:val="right"/>
              <w:ind w:right="173"/>
              <w:spacing w:after="0"/>
              <w:rPr>
                <w:sz w:val="20"/>
                <w:szCs w:val="20"/>
                <w:color w:val="auto"/>
              </w:rPr>
            </w:pPr>
            <w:r>
              <w:rPr>
                <w:rFonts w:ascii="Arial" w:cs="Arial" w:eastAsia="Arial" w:hAnsi="Arial"/>
                <w:sz w:val="13"/>
                <w:szCs w:val="13"/>
                <w:b w:val="1"/>
                <w:bCs w:val="1"/>
                <w:color w:val="170D67"/>
              </w:rPr>
              <w:t>Equity Awards</w:t>
            </w:r>
          </w:p>
        </w:tc>
        <w:tc>
          <w:tcPr>
            <w:tcW w:w="1540" w:type="dxa"/>
            <w:vAlign w:val="bottom"/>
          </w:tcPr>
          <w:p>
            <w:pPr>
              <w:jc w:val="right"/>
              <w:ind w:right="373"/>
              <w:spacing w:after="0"/>
              <w:rPr>
                <w:sz w:val="20"/>
                <w:szCs w:val="20"/>
                <w:color w:val="auto"/>
              </w:rPr>
            </w:pPr>
            <w:r>
              <w:rPr>
                <w:rFonts w:ascii="Arial" w:cs="Arial" w:eastAsia="Arial" w:hAnsi="Arial"/>
                <w:sz w:val="13"/>
                <w:szCs w:val="13"/>
                <w:b w:val="1"/>
                <w:bCs w:val="1"/>
                <w:color w:val="170D67"/>
              </w:rPr>
              <w:t>Adjustments</w:t>
            </w:r>
          </w:p>
        </w:tc>
        <w:tc>
          <w:tcPr>
            <w:tcW w:w="1380" w:type="dxa"/>
            <w:vAlign w:val="bottom"/>
          </w:tcPr>
          <w:p>
            <w:pPr>
              <w:jc w:val="right"/>
              <w:ind w:right="153"/>
              <w:spacing w:after="0"/>
              <w:rPr>
                <w:sz w:val="20"/>
                <w:szCs w:val="20"/>
                <w:color w:val="auto"/>
              </w:rPr>
            </w:pPr>
            <w:r>
              <w:rPr>
                <w:rFonts w:ascii="Arial" w:cs="Arial" w:eastAsia="Arial" w:hAnsi="Arial"/>
                <w:sz w:val="13"/>
                <w:szCs w:val="13"/>
                <w:b w:val="1"/>
                <w:bCs w:val="1"/>
                <w:color w:val="170D67"/>
              </w:rPr>
              <w:t>Pension Benefits</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170D67"/>
              </w:rPr>
              <w:t>Adjustments</w:t>
            </w:r>
          </w:p>
        </w:tc>
        <w:tc>
          <w:tcPr>
            <w:tcW w:w="1460" w:type="dxa"/>
            <w:vAlign w:val="bottom"/>
          </w:tcPr>
          <w:p>
            <w:pPr>
              <w:jc w:val="right"/>
              <w:spacing w:after="0"/>
              <w:rPr>
                <w:sz w:val="20"/>
                <w:szCs w:val="20"/>
                <w:color w:val="auto"/>
              </w:rPr>
            </w:pPr>
            <w:r>
              <w:rPr>
                <w:rFonts w:ascii="Arial" w:cs="Arial" w:eastAsia="Arial" w:hAnsi="Arial"/>
                <w:sz w:val="13"/>
                <w:szCs w:val="13"/>
                <w:b w:val="1"/>
                <w:bCs w:val="1"/>
                <w:color w:val="170D67"/>
              </w:rPr>
              <w:t>Actually</w:t>
            </w:r>
          </w:p>
        </w:tc>
      </w:tr>
      <w:tr>
        <w:trPr>
          <w:trHeight w:val="162"/>
        </w:trPr>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b w:val="1"/>
                <w:bCs w:val="1"/>
                <w:color w:val="170D67"/>
              </w:rPr>
              <w:t>Total for PEO</w:t>
            </w:r>
          </w:p>
        </w:tc>
        <w:tc>
          <w:tcPr>
            <w:tcW w:w="1940" w:type="dxa"/>
            <w:vAlign w:val="bottom"/>
          </w:tcPr>
          <w:p>
            <w:pPr>
              <w:jc w:val="right"/>
              <w:ind w:right="173"/>
              <w:spacing w:after="0"/>
              <w:rPr>
                <w:sz w:val="20"/>
                <w:szCs w:val="20"/>
                <w:color w:val="auto"/>
              </w:rPr>
            </w:pPr>
            <w:r>
              <w:rPr>
                <w:rFonts w:ascii="Arial" w:cs="Arial" w:eastAsia="Arial" w:hAnsi="Arial"/>
                <w:sz w:val="13"/>
                <w:szCs w:val="13"/>
                <w:b w:val="1"/>
                <w:bCs w:val="1"/>
                <w:color w:val="170D67"/>
              </w:rPr>
              <w:t>(a)</w:t>
            </w:r>
          </w:p>
        </w:tc>
        <w:tc>
          <w:tcPr>
            <w:tcW w:w="1540" w:type="dxa"/>
            <w:vAlign w:val="bottom"/>
          </w:tcPr>
          <w:p>
            <w:pPr>
              <w:jc w:val="right"/>
              <w:ind w:right="413"/>
              <w:spacing w:after="0"/>
              <w:rPr>
                <w:sz w:val="20"/>
                <w:szCs w:val="20"/>
                <w:color w:val="auto"/>
              </w:rPr>
            </w:pPr>
            <w:r>
              <w:rPr>
                <w:rFonts w:ascii="Arial" w:cs="Arial" w:eastAsia="Arial" w:hAnsi="Arial"/>
                <w:sz w:val="13"/>
                <w:szCs w:val="13"/>
                <w:b w:val="1"/>
                <w:bCs w:val="1"/>
                <w:color w:val="170D67"/>
              </w:rPr>
              <w:t>(b)</w:t>
            </w:r>
          </w:p>
        </w:tc>
        <w:tc>
          <w:tcPr>
            <w:tcW w:w="1380" w:type="dxa"/>
            <w:vAlign w:val="bottom"/>
          </w:tcPr>
          <w:p>
            <w:pPr>
              <w:jc w:val="right"/>
              <w:ind w:right="153"/>
              <w:spacing w:after="0"/>
              <w:rPr>
                <w:sz w:val="20"/>
                <w:szCs w:val="20"/>
                <w:color w:val="auto"/>
              </w:rPr>
            </w:pPr>
            <w:r>
              <w:rPr>
                <w:rFonts w:ascii="Arial" w:cs="Arial" w:eastAsia="Arial" w:hAnsi="Arial"/>
                <w:sz w:val="13"/>
                <w:szCs w:val="13"/>
                <w:b w:val="1"/>
                <w:bCs w:val="1"/>
                <w:color w:val="170D67"/>
              </w:rPr>
              <w:t>(c)</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170D67"/>
              </w:rPr>
              <w:t>(d)</w:t>
            </w:r>
          </w:p>
        </w:tc>
        <w:tc>
          <w:tcPr>
            <w:tcW w:w="1460" w:type="dxa"/>
            <w:vAlign w:val="bottom"/>
          </w:tcPr>
          <w:p>
            <w:pPr>
              <w:jc w:val="right"/>
              <w:spacing w:after="0"/>
              <w:rPr>
                <w:sz w:val="20"/>
                <w:szCs w:val="20"/>
                <w:color w:val="auto"/>
              </w:rPr>
            </w:pPr>
            <w:r>
              <w:rPr>
                <w:rFonts w:ascii="Arial" w:cs="Arial" w:eastAsia="Arial" w:hAnsi="Arial"/>
                <w:sz w:val="13"/>
                <w:szCs w:val="13"/>
                <w:b w:val="1"/>
                <w:bCs w:val="1"/>
                <w:color w:val="170D67"/>
              </w:rPr>
              <w:t>Paid to PEO</w:t>
            </w:r>
          </w:p>
        </w:tc>
      </w:tr>
      <w:tr>
        <w:trPr>
          <w:trHeight w:val="197"/>
        </w:trPr>
        <w:tc>
          <w:tcPr>
            <w:tcW w:w="340" w:type="dxa"/>
            <w:vAlign w:val="bottom"/>
            <w:tcBorders>
              <w:bottom w:val="single" w:sz="8" w:color="170D67"/>
            </w:tcBorders>
          </w:tcPr>
          <w:p>
            <w:pPr>
              <w:ind w:left="20"/>
              <w:spacing w:after="0"/>
              <w:rPr>
                <w:sz w:val="20"/>
                <w:szCs w:val="20"/>
                <w:color w:val="auto"/>
              </w:rPr>
            </w:pPr>
            <w:r>
              <w:rPr>
                <w:rFonts w:ascii="Arial" w:cs="Arial" w:eastAsia="Arial" w:hAnsi="Arial"/>
                <w:sz w:val="13"/>
                <w:szCs w:val="13"/>
                <w:b w:val="1"/>
                <w:bCs w:val="1"/>
                <w:color w:val="170D67"/>
              </w:rPr>
              <w:t>Year</w:t>
            </w:r>
          </w:p>
        </w:tc>
        <w:tc>
          <w:tcPr>
            <w:tcW w:w="1320" w:type="dxa"/>
            <w:vAlign w:val="bottom"/>
            <w:tcBorders>
              <w:bottom w:val="single" w:sz="8" w:color="170D67"/>
            </w:tcBorders>
          </w:tcPr>
          <w:p>
            <w:pPr>
              <w:spacing w:after="0"/>
              <w:rPr>
                <w:sz w:val="17"/>
                <w:szCs w:val="17"/>
                <w:color w:val="auto"/>
              </w:rPr>
            </w:pPr>
          </w:p>
        </w:tc>
        <w:tc>
          <w:tcPr>
            <w:tcW w:w="1420" w:type="dxa"/>
            <w:vAlign w:val="bottom"/>
            <w:tcBorders>
              <w:bottom w:val="single" w:sz="8" w:color="170D67"/>
            </w:tcBorders>
          </w:tcPr>
          <w:p>
            <w:pPr>
              <w:jc w:val="right"/>
              <w:spacing w:after="0"/>
              <w:rPr>
                <w:sz w:val="20"/>
                <w:szCs w:val="20"/>
                <w:color w:val="auto"/>
              </w:rPr>
            </w:pPr>
            <w:r>
              <w:rPr>
                <w:rFonts w:ascii="Arial" w:cs="Arial" w:eastAsia="Arial" w:hAnsi="Arial"/>
                <w:sz w:val="13"/>
                <w:szCs w:val="13"/>
                <w:b w:val="1"/>
                <w:bCs w:val="1"/>
                <w:color w:val="170D67"/>
              </w:rPr>
              <w:t>($)</w:t>
            </w:r>
          </w:p>
        </w:tc>
        <w:tc>
          <w:tcPr>
            <w:tcW w:w="1940" w:type="dxa"/>
            <w:vAlign w:val="bottom"/>
            <w:tcBorders>
              <w:bottom w:val="single" w:sz="8" w:color="170D67"/>
            </w:tcBorders>
          </w:tcPr>
          <w:p>
            <w:pPr>
              <w:jc w:val="right"/>
              <w:ind w:right="153"/>
              <w:spacing w:after="0"/>
              <w:rPr>
                <w:sz w:val="20"/>
                <w:szCs w:val="20"/>
                <w:color w:val="auto"/>
              </w:rPr>
            </w:pPr>
            <w:r>
              <w:rPr>
                <w:rFonts w:ascii="Arial" w:cs="Arial" w:eastAsia="Arial" w:hAnsi="Arial"/>
                <w:sz w:val="13"/>
                <w:szCs w:val="13"/>
                <w:b w:val="1"/>
                <w:bCs w:val="1"/>
                <w:color w:val="170D67"/>
              </w:rPr>
              <w:t>($)</w:t>
            </w:r>
          </w:p>
        </w:tc>
        <w:tc>
          <w:tcPr>
            <w:tcW w:w="1540" w:type="dxa"/>
            <w:vAlign w:val="bottom"/>
            <w:tcBorders>
              <w:bottom w:val="single" w:sz="8" w:color="170D67"/>
            </w:tcBorders>
          </w:tcPr>
          <w:p>
            <w:pPr>
              <w:jc w:val="right"/>
              <w:ind w:right="373"/>
              <w:spacing w:after="0"/>
              <w:rPr>
                <w:sz w:val="20"/>
                <w:szCs w:val="20"/>
                <w:color w:val="auto"/>
              </w:rPr>
            </w:pPr>
            <w:r>
              <w:rPr>
                <w:rFonts w:ascii="Arial" w:cs="Arial" w:eastAsia="Arial" w:hAnsi="Arial"/>
                <w:sz w:val="13"/>
                <w:szCs w:val="13"/>
                <w:b w:val="1"/>
                <w:bCs w:val="1"/>
                <w:color w:val="170D67"/>
              </w:rPr>
              <w:t>($)</w:t>
            </w:r>
          </w:p>
        </w:tc>
        <w:tc>
          <w:tcPr>
            <w:tcW w:w="1380" w:type="dxa"/>
            <w:vAlign w:val="bottom"/>
            <w:tcBorders>
              <w:bottom w:val="single" w:sz="8" w:color="170D67"/>
            </w:tcBorders>
          </w:tcPr>
          <w:p>
            <w:pPr>
              <w:jc w:val="right"/>
              <w:ind w:right="113"/>
              <w:spacing w:after="0"/>
              <w:rPr>
                <w:sz w:val="20"/>
                <w:szCs w:val="20"/>
                <w:color w:val="auto"/>
              </w:rPr>
            </w:pPr>
            <w:r>
              <w:rPr>
                <w:rFonts w:ascii="Arial" w:cs="Arial" w:eastAsia="Arial" w:hAnsi="Arial"/>
                <w:sz w:val="13"/>
                <w:szCs w:val="13"/>
                <w:b w:val="1"/>
                <w:bCs w:val="1"/>
                <w:color w:val="170D67"/>
              </w:rPr>
              <w:t>($)</w:t>
            </w:r>
          </w:p>
        </w:tc>
        <w:tc>
          <w:tcPr>
            <w:tcW w:w="1240" w:type="dxa"/>
            <w:vAlign w:val="bottom"/>
            <w:tcBorders>
              <w:bottom w:val="single" w:sz="8" w:color="170D67"/>
            </w:tcBorders>
          </w:tcPr>
          <w:p>
            <w:pPr>
              <w:jc w:val="right"/>
              <w:spacing w:after="0"/>
              <w:rPr>
                <w:sz w:val="20"/>
                <w:szCs w:val="20"/>
                <w:color w:val="auto"/>
              </w:rPr>
            </w:pPr>
            <w:r>
              <w:rPr>
                <w:rFonts w:ascii="Arial" w:cs="Arial" w:eastAsia="Arial" w:hAnsi="Arial"/>
                <w:sz w:val="13"/>
                <w:szCs w:val="13"/>
                <w:b w:val="1"/>
                <w:bCs w:val="1"/>
                <w:color w:val="170D67"/>
              </w:rPr>
              <w:t>($)</w:t>
            </w:r>
          </w:p>
        </w:tc>
        <w:tc>
          <w:tcPr>
            <w:tcW w:w="1460" w:type="dxa"/>
            <w:vAlign w:val="bottom"/>
            <w:tcBorders>
              <w:bottom w:val="single" w:sz="8" w:color="170D67"/>
            </w:tcBorders>
          </w:tcPr>
          <w:p>
            <w:pPr>
              <w:jc w:val="right"/>
              <w:spacing w:after="0"/>
              <w:rPr>
                <w:sz w:val="20"/>
                <w:szCs w:val="20"/>
                <w:color w:val="auto"/>
              </w:rPr>
            </w:pPr>
            <w:r>
              <w:rPr>
                <w:rFonts w:ascii="Arial" w:cs="Arial" w:eastAsia="Arial" w:hAnsi="Arial"/>
                <w:sz w:val="13"/>
                <w:szCs w:val="13"/>
                <w:b w:val="1"/>
                <w:bCs w:val="1"/>
                <w:color w:val="170D67"/>
              </w:rPr>
              <w:t>($)</w:t>
            </w:r>
          </w:p>
        </w:tc>
      </w:tr>
      <w:tr>
        <w:trPr>
          <w:trHeight w:val="191"/>
        </w:trPr>
        <w:tc>
          <w:tcPr>
            <w:tcW w:w="340" w:type="dxa"/>
            <w:vAlign w:val="bottom"/>
          </w:tcPr>
          <w:p>
            <w:pPr>
              <w:ind w:left="20"/>
              <w:spacing w:after="0"/>
              <w:rPr>
                <w:sz w:val="20"/>
                <w:szCs w:val="20"/>
                <w:color w:val="auto"/>
              </w:rPr>
            </w:pPr>
            <w:r>
              <w:rPr>
                <w:rFonts w:ascii="Arial" w:cs="Arial" w:eastAsia="Arial" w:hAnsi="Arial"/>
                <w:sz w:val="13"/>
                <w:szCs w:val="13"/>
                <w:color w:val="auto"/>
              </w:rPr>
              <w:t>2024</w:t>
            </w:r>
          </w:p>
        </w:tc>
        <w:tc>
          <w:tcPr>
            <w:tcW w:w="1320" w:type="dxa"/>
            <w:vAlign w:val="bottom"/>
          </w:tcPr>
          <w:p>
            <w:pPr>
              <w:ind w:left="20"/>
              <w:spacing w:after="0"/>
              <w:rPr>
                <w:sz w:val="20"/>
                <w:szCs w:val="20"/>
                <w:color w:val="auto"/>
              </w:rPr>
            </w:pPr>
            <w:r>
              <w:rPr>
                <w:rFonts w:ascii="Arial" w:cs="Arial" w:eastAsia="Arial" w:hAnsi="Arial"/>
                <w:sz w:val="13"/>
                <w:szCs w:val="13"/>
                <w:color w:val="auto"/>
              </w:rPr>
              <w:t>- Butler</w:t>
            </w:r>
          </w:p>
        </w:tc>
        <w:tc>
          <w:tcPr>
            <w:tcW w:w="1420" w:type="dxa"/>
            <w:vAlign w:val="bottom"/>
          </w:tcPr>
          <w:p>
            <w:pPr>
              <w:jc w:val="right"/>
              <w:spacing w:after="0"/>
              <w:rPr>
                <w:sz w:val="20"/>
                <w:szCs w:val="20"/>
                <w:color w:val="auto"/>
              </w:rPr>
            </w:pPr>
            <w:r>
              <w:rPr>
                <w:rFonts w:ascii="Arial" w:cs="Arial" w:eastAsia="Arial" w:hAnsi="Arial"/>
                <w:sz w:val="13"/>
                <w:szCs w:val="13"/>
                <w:color w:val="auto"/>
              </w:rPr>
              <w:t>14,662,925</w:t>
            </w:r>
          </w:p>
        </w:tc>
        <w:tc>
          <w:tcPr>
            <w:tcW w:w="1940" w:type="dxa"/>
            <w:vAlign w:val="bottom"/>
          </w:tcPr>
          <w:p>
            <w:pPr>
              <w:jc w:val="right"/>
              <w:ind w:right="153"/>
              <w:spacing w:after="0"/>
              <w:rPr>
                <w:sz w:val="20"/>
                <w:szCs w:val="20"/>
                <w:color w:val="auto"/>
              </w:rPr>
            </w:pPr>
            <w:r>
              <w:rPr>
                <w:rFonts w:ascii="Arial" w:cs="Arial" w:eastAsia="Arial" w:hAnsi="Arial"/>
                <w:sz w:val="13"/>
                <w:szCs w:val="13"/>
                <w:color w:val="auto"/>
              </w:rPr>
              <w:t>(9,169,052)</w:t>
            </w:r>
          </w:p>
        </w:tc>
        <w:tc>
          <w:tcPr>
            <w:tcW w:w="1540" w:type="dxa"/>
            <w:vAlign w:val="bottom"/>
          </w:tcPr>
          <w:p>
            <w:pPr>
              <w:jc w:val="right"/>
              <w:ind w:right="413"/>
              <w:spacing w:after="0"/>
              <w:rPr>
                <w:sz w:val="20"/>
                <w:szCs w:val="20"/>
                <w:color w:val="auto"/>
              </w:rPr>
            </w:pPr>
            <w:r>
              <w:rPr>
                <w:rFonts w:ascii="Arial" w:cs="Arial" w:eastAsia="Arial" w:hAnsi="Arial"/>
                <w:sz w:val="13"/>
                <w:szCs w:val="13"/>
                <w:color w:val="auto"/>
              </w:rPr>
              <w:t>9,380,363</w:t>
            </w:r>
          </w:p>
        </w:tc>
        <w:tc>
          <w:tcPr>
            <w:tcW w:w="1380" w:type="dxa"/>
            <w:vAlign w:val="bottom"/>
          </w:tcPr>
          <w:p>
            <w:pPr>
              <w:jc w:val="right"/>
              <w:ind w:right="133"/>
              <w:spacing w:after="0"/>
              <w:rPr>
                <w:sz w:val="20"/>
                <w:szCs w:val="20"/>
                <w:color w:val="auto"/>
              </w:rPr>
            </w:pPr>
            <w:r>
              <w:rPr>
                <w:rFonts w:ascii="Arial" w:cs="Arial" w:eastAsia="Arial" w:hAnsi="Arial"/>
                <w:sz w:val="13"/>
                <w:szCs w:val="13"/>
                <w:color w:val="auto"/>
              </w:rPr>
              <w:t>(363,766)</w:t>
            </w:r>
          </w:p>
        </w:tc>
        <w:tc>
          <w:tcPr>
            <w:tcW w:w="1240" w:type="dxa"/>
            <w:vAlign w:val="bottom"/>
          </w:tcPr>
          <w:p>
            <w:pPr>
              <w:jc w:val="right"/>
              <w:spacing w:after="0"/>
              <w:rPr>
                <w:sz w:val="20"/>
                <w:szCs w:val="20"/>
                <w:color w:val="auto"/>
              </w:rPr>
            </w:pPr>
            <w:r>
              <w:rPr>
                <w:rFonts w:ascii="Arial" w:cs="Arial" w:eastAsia="Arial" w:hAnsi="Arial"/>
                <w:sz w:val="13"/>
                <w:szCs w:val="13"/>
                <w:color w:val="auto"/>
              </w:rPr>
              <w:t>128,522</w:t>
            </w:r>
          </w:p>
        </w:tc>
        <w:tc>
          <w:tcPr>
            <w:tcW w:w="1460" w:type="dxa"/>
            <w:vAlign w:val="bottom"/>
          </w:tcPr>
          <w:p>
            <w:pPr>
              <w:jc w:val="right"/>
              <w:ind w:right="13"/>
              <w:spacing w:after="0"/>
              <w:rPr>
                <w:sz w:val="20"/>
                <w:szCs w:val="20"/>
                <w:color w:val="auto"/>
              </w:rPr>
            </w:pPr>
            <w:r>
              <w:rPr>
                <w:rFonts w:ascii="Arial" w:cs="Arial" w:eastAsia="Arial" w:hAnsi="Arial"/>
                <w:sz w:val="13"/>
                <w:szCs w:val="13"/>
                <w:color w:val="auto"/>
              </w:rPr>
              <w:t>14,638,992</w:t>
            </w:r>
          </w:p>
        </w:tc>
      </w:tr>
      <w:tr>
        <w:trPr>
          <w:trHeight w:val="26"/>
        </w:trPr>
        <w:tc>
          <w:tcPr>
            <w:tcW w:w="340" w:type="dxa"/>
            <w:vAlign w:val="bottom"/>
            <w:tcBorders>
              <w:bottom w:val="single" w:sz="8" w:color="6D6D6D"/>
            </w:tcBorders>
          </w:tcPr>
          <w:p>
            <w:pPr>
              <w:spacing w:after="0"/>
              <w:rPr>
                <w:sz w:val="2"/>
                <w:szCs w:val="2"/>
                <w:color w:val="auto"/>
              </w:rPr>
            </w:pPr>
          </w:p>
        </w:tc>
        <w:tc>
          <w:tcPr>
            <w:tcW w:w="1320" w:type="dxa"/>
            <w:vAlign w:val="bottom"/>
            <w:tcBorders>
              <w:bottom w:val="single" w:sz="8" w:color="6D6D6D"/>
            </w:tcBorders>
          </w:tcPr>
          <w:p>
            <w:pPr>
              <w:spacing w:after="0"/>
              <w:rPr>
                <w:sz w:val="2"/>
                <w:szCs w:val="2"/>
                <w:color w:val="auto"/>
              </w:rPr>
            </w:pPr>
          </w:p>
        </w:tc>
        <w:tc>
          <w:tcPr>
            <w:tcW w:w="1420" w:type="dxa"/>
            <w:vAlign w:val="bottom"/>
            <w:tcBorders>
              <w:bottom w:val="single" w:sz="8" w:color="929292"/>
            </w:tcBorders>
          </w:tcPr>
          <w:p>
            <w:pPr>
              <w:spacing w:after="0"/>
              <w:rPr>
                <w:sz w:val="2"/>
                <w:szCs w:val="2"/>
                <w:color w:val="auto"/>
              </w:rPr>
            </w:pPr>
          </w:p>
        </w:tc>
        <w:tc>
          <w:tcPr>
            <w:tcW w:w="1940" w:type="dxa"/>
            <w:vAlign w:val="bottom"/>
            <w:tcBorders>
              <w:bottom w:val="single" w:sz="8" w:color="929292"/>
            </w:tcBorders>
          </w:tcPr>
          <w:p>
            <w:pPr>
              <w:spacing w:after="0"/>
              <w:rPr>
                <w:sz w:val="2"/>
                <w:szCs w:val="2"/>
                <w:color w:val="auto"/>
              </w:rPr>
            </w:pPr>
          </w:p>
        </w:tc>
        <w:tc>
          <w:tcPr>
            <w:tcW w:w="1540" w:type="dxa"/>
            <w:vAlign w:val="bottom"/>
            <w:tcBorders>
              <w:bottom w:val="single" w:sz="8" w:color="929292"/>
            </w:tcBorders>
          </w:tcPr>
          <w:p>
            <w:pPr>
              <w:spacing w:after="0"/>
              <w:rPr>
                <w:sz w:val="2"/>
                <w:szCs w:val="2"/>
                <w:color w:val="auto"/>
              </w:rPr>
            </w:pPr>
          </w:p>
        </w:tc>
        <w:tc>
          <w:tcPr>
            <w:tcW w:w="1380" w:type="dxa"/>
            <w:vAlign w:val="bottom"/>
            <w:tcBorders>
              <w:bottom w:val="single" w:sz="8" w:color="929292"/>
            </w:tcBorders>
          </w:tcPr>
          <w:p>
            <w:pPr>
              <w:spacing w:after="0"/>
              <w:rPr>
                <w:sz w:val="2"/>
                <w:szCs w:val="2"/>
                <w:color w:val="auto"/>
              </w:rPr>
            </w:pPr>
          </w:p>
        </w:tc>
        <w:tc>
          <w:tcPr>
            <w:tcW w:w="1240" w:type="dxa"/>
            <w:vAlign w:val="bottom"/>
            <w:tcBorders>
              <w:bottom w:val="single" w:sz="8" w:color="929292"/>
            </w:tcBorders>
          </w:tcPr>
          <w:p>
            <w:pPr>
              <w:spacing w:after="0"/>
              <w:rPr>
                <w:sz w:val="2"/>
                <w:szCs w:val="2"/>
                <w:color w:val="auto"/>
              </w:rPr>
            </w:pPr>
          </w:p>
        </w:tc>
        <w:tc>
          <w:tcPr>
            <w:tcW w:w="1460" w:type="dxa"/>
            <w:vAlign w:val="bottom"/>
            <w:tcBorders>
              <w:bottom w:val="single" w:sz="8" w:color="929292"/>
            </w:tcBorders>
          </w:tcPr>
          <w:p>
            <w:pPr>
              <w:spacing w:after="0"/>
              <w:rPr>
                <w:sz w:val="2"/>
                <w:szCs w:val="2"/>
                <w:color w:val="auto"/>
              </w:rPr>
            </w:pPr>
          </w:p>
        </w:tc>
      </w:tr>
      <w:tr>
        <w:trPr>
          <w:trHeight w:val="184"/>
        </w:trPr>
        <w:tc>
          <w:tcPr>
            <w:tcW w:w="340" w:type="dxa"/>
            <w:vAlign w:val="bottom"/>
          </w:tcPr>
          <w:p>
            <w:pPr>
              <w:ind w:left="20"/>
              <w:spacing w:after="0"/>
              <w:rPr>
                <w:sz w:val="20"/>
                <w:szCs w:val="20"/>
                <w:color w:val="auto"/>
              </w:rPr>
            </w:pPr>
            <w:r>
              <w:rPr>
                <w:rFonts w:ascii="Arial" w:cs="Arial" w:eastAsia="Arial" w:hAnsi="Arial"/>
                <w:sz w:val="13"/>
                <w:szCs w:val="13"/>
                <w:color w:val="auto"/>
              </w:rPr>
              <w:t>2023</w:t>
            </w:r>
          </w:p>
        </w:tc>
        <w:tc>
          <w:tcPr>
            <w:tcW w:w="1320" w:type="dxa"/>
            <w:vAlign w:val="bottom"/>
          </w:tcPr>
          <w:p>
            <w:pPr>
              <w:ind w:left="20"/>
              <w:spacing w:after="0"/>
              <w:rPr>
                <w:sz w:val="20"/>
                <w:szCs w:val="20"/>
                <w:color w:val="auto"/>
              </w:rPr>
            </w:pPr>
            <w:r>
              <w:rPr>
                <w:rFonts w:ascii="Arial" w:cs="Arial" w:eastAsia="Arial" w:hAnsi="Arial"/>
                <w:sz w:val="13"/>
                <w:szCs w:val="13"/>
                <w:color w:val="auto"/>
              </w:rPr>
              <w:t>- Butler</w:t>
            </w:r>
          </w:p>
        </w:tc>
        <w:tc>
          <w:tcPr>
            <w:tcW w:w="1420" w:type="dxa"/>
            <w:vAlign w:val="bottom"/>
          </w:tcPr>
          <w:p>
            <w:pPr>
              <w:jc w:val="right"/>
              <w:spacing w:after="0"/>
              <w:rPr>
                <w:sz w:val="20"/>
                <w:szCs w:val="20"/>
                <w:color w:val="auto"/>
              </w:rPr>
            </w:pPr>
            <w:r>
              <w:rPr>
                <w:rFonts w:ascii="Arial" w:cs="Arial" w:eastAsia="Arial" w:hAnsi="Arial"/>
                <w:sz w:val="13"/>
                <w:szCs w:val="13"/>
                <w:color w:val="auto"/>
              </w:rPr>
              <w:t>12,266,720</w:t>
            </w:r>
          </w:p>
        </w:tc>
        <w:tc>
          <w:tcPr>
            <w:tcW w:w="1940" w:type="dxa"/>
            <w:vAlign w:val="bottom"/>
          </w:tcPr>
          <w:p>
            <w:pPr>
              <w:jc w:val="right"/>
              <w:ind w:right="153"/>
              <w:spacing w:after="0"/>
              <w:rPr>
                <w:sz w:val="20"/>
                <w:szCs w:val="20"/>
                <w:color w:val="auto"/>
              </w:rPr>
            </w:pPr>
            <w:r>
              <w:rPr>
                <w:rFonts w:ascii="Arial" w:cs="Arial" w:eastAsia="Arial" w:hAnsi="Arial"/>
                <w:sz w:val="13"/>
                <w:szCs w:val="13"/>
                <w:color w:val="auto"/>
              </w:rPr>
              <w:t>(7,951,800)</w:t>
            </w:r>
          </w:p>
        </w:tc>
        <w:tc>
          <w:tcPr>
            <w:tcW w:w="1540" w:type="dxa"/>
            <w:vAlign w:val="bottom"/>
          </w:tcPr>
          <w:p>
            <w:pPr>
              <w:jc w:val="right"/>
              <w:ind w:right="413"/>
              <w:spacing w:after="0"/>
              <w:rPr>
                <w:sz w:val="20"/>
                <w:szCs w:val="20"/>
                <w:color w:val="auto"/>
              </w:rPr>
            </w:pPr>
            <w:r>
              <w:rPr>
                <w:rFonts w:ascii="Arial" w:cs="Arial" w:eastAsia="Arial" w:hAnsi="Arial"/>
                <w:sz w:val="13"/>
                <w:szCs w:val="13"/>
                <w:color w:val="auto"/>
              </w:rPr>
              <w:t>5,150,486</w:t>
            </w:r>
          </w:p>
        </w:tc>
        <w:tc>
          <w:tcPr>
            <w:tcW w:w="1380" w:type="dxa"/>
            <w:vAlign w:val="bottom"/>
          </w:tcPr>
          <w:p>
            <w:pPr>
              <w:jc w:val="right"/>
              <w:ind w:right="133"/>
              <w:spacing w:after="0"/>
              <w:rPr>
                <w:sz w:val="20"/>
                <w:szCs w:val="20"/>
                <w:color w:val="auto"/>
              </w:rPr>
            </w:pPr>
            <w:r>
              <w:rPr>
                <w:rFonts w:ascii="Arial" w:cs="Arial" w:eastAsia="Arial" w:hAnsi="Arial"/>
                <w:sz w:val="13"/>
                <w:szCs w:val="13"/>
                <w:color w:val="auto"/>
              </w:rPr>
              <w:t>(320,832)</w:t>
            </w:r>
          </w:p>
        </w:tc>
        <w:tc>
          <w:tcPr>
            <w:tcW w:w="1240" w:type="dxa"/>
            <w:vAlign w:val="bottom"/>
          </w:tcPr>
          <w:p>
            <w:pPr>
              <w:jc w:val="right"/>
              <w:spacing w:after="0"/>
              <w:rPr>
                <w:sz w:val="20"/>
                <w:szCs w:val="20"/>
                <w:color w:val="auto"/>
              </w:rPr>
            </w:pPr>
            <w:r>
              <w:rPr>
                <w:rFonts w:ascii="Arial" w:cs="Arial" w:eastAsia="Arial" w:hAnsi="Arial"/>
                <w:sz w:val="13"/>
                <w:szCs w:val="13"/>
                <w:color w:val="auto"/>
              </w:rPr>
              <w:t>117,017</w:t>
            </w:r>
          </w:p>
        </w:tc>
        <w:tc>
          <w:tcPr>
            <w:tcW w:w="1460" w:type="dxa"/>
            <w:vAlign w:val="bottom"/>
          </w:tcPr>
          <w:p>
            <w:pPr>
              <w:jc w:val="right"/>
              <w:ind w:right="13"/>
              <w:spacing w:after="0"/>
              <w:rPr>
                <w:sz w:val="20"/>
                <w:szCs w:val="20"/>
                <w:color w:val="auto"/>
              </w:rPr>
            </w:pPr>
            <w:r>
              <w:rPr>
                <w:rFonts w:ascii="Arial" w:cs="Arial" w:eastAsia="Arial" w:hAnsi="Arial"/>
                <w:sz w:val="13"/>
                <w:szCs w:val="13"/>
                <w:color w:val="auto"/>
              </w:rPr>
              <w:t>9,261,591</w:t>
            </w:r>
          </w:p>
        </w:tc>
      </w:tr>
      <w:tr>
        <w:trPr>
          <w:trHeight w:val="26"/>
        </w:trPr>
        <w:tc>
          <w:tcPr>
            <w:tcW w:w="340" w:type="dxa"/>
            <w:vAlign w:val="bottom"/>
            <w:tcBorders>
              <w:bottom w:val="single" w:sz="8" w:color="6D6D6D"/>
            </w:tcBorders>
          </w:tcPr>
          <w:p>
            <w:pPr>
              <w:spacing w:after="0"/>
              <w:rPr>
                <w:sz w:val="2"/>
                <w:szCs w:val="2"/>
                <w:color w:val="auto"/>
              </w:rPr>
            </w:pPr>
          </w:p>
        </w:tc>
        <w:tc>
          <w:tcPr>
            <w:tcW w:w="1320" w:type="dxa"/>
            <w:vAlign w:val="bottom"/>
            <w:tcBorders>
              <w:bottom w:val="single" w:sz="8" w:color="6D6D6D"/>
            </w:tcBorders>
          </w:tcPr>
          <w:p>
            <w:pPr>
              <w:spacing w:after="0"/>
              <w:rPr>
                <w:sz w:val="2"/>
                <w:szCs w:val="2"/>
                <w:color w:val="auto"/>
              </w:rPr>
            </w:pPr>
          </w:p>
        </w:tc>
        <w:tc>
          <w:tcPr>
            <w:tcW w:w="1420" w:type="dxa"/>
            <w:vAlign w:val="bottom"/>
            <w:tcBorders>
              <w:bottom w:val="single" w:sz="8" w:color="929292"/>
            </w:tcBorders>
          </w:tcPr>
          <w:p>
            <w:pPr>
              <w:spacing w:after="0"/>
              <w:rPr>
                <w:sz w:val="2"/>
                <w:szCs w:val="2"/>
                <w:color w:val="auto"/>
              </w:rPr>
            </w:pPr>
          </w:p>
        </w:tc>
        <w:tc>
          <w:tcPr>
            <w:tcW w:w="1940" w:type="dxa"/>
            <w:vAlign w:val="bottom"/>
            <w:tcBorders>
              <w:bottom w:val="single" w:sz="8" w:color="929292"/>
            </w:tcBorders>
          </w:tcPr>
          <w:p>
            <w:pPr>
              <w:spacing w:after="0"/>
              <w:rPr>
                <w:sz w:val="2"/>
                <w:szCs w:val="2"/>
                <w:color w:val="auto"/>
              </w:rPr>
            </w:pPr>
          </w:p>
        </w:tc>
        <w:tc>
          <w:tcPr>
            <w:tcW w:w="1540" w:type="dxa"/>
            <w:vAlign w:val="bottom"/>
            <w:tcBorders>
              <w:bottom w:val="single" w:sz="8" w:color="929292"/>
            </w:tcBorders>
          </w:tcPr>
          <w:p>
            <w:pPr>
              <w:spacing w:after="0"/>
              <w:rPr>
                <w:sz w:val="2"/>
                <w:szCs w:val="2"/>
                <w:color w:val="auto"/>
              </w:rPr>
            </w:pPr>
          </w:p>
        </w:tc>
        <w:tc>
          <w:tcPr>
            <w:tcW w:w="1380" w:type="dxa"/>
            <w:vAlign w:val="bottom"/>
            <w:tcBorders>
              <w:bottom w:val="single" w:sz="8" w:color="929292"/>
            </w:tcBorders>
          </w:tcPr>
          <w:p>
            <w:pPr>
              <w:spacing w:after="0"/>
              <w:rPr>
                <w:sz w:val="2"/>
                <w:szCs w:val="2"/>
                <w:color w:val="auto"/>
              </w:rPr>
            </w:pPr>
          </w:p>
        </w:tc>
        <w:tc>
          <w:tcPr>
            <w:tcW w:w="1240" w:type="dxa"/>
            <w:vAlign w:val="bottom"/>
            <w:tcBorders>
              <w:bottom w:val="single" w:sz="8" w:color="929292"/>
            </w:tcBorders>
          </w:tcPr>
          <w:p>
            <w:pPr>
              <w:spacing w:after="0"/>
              <w:rPr>
                <w:sz w:val="2"/>
                <w:szCs w:val="2"/>
                <w:color w:val="auto"/>
              </w:rPr>
            </w:pPr>
          </w:p>
        </w:tc>
        <w:tc>
          <w:tcPr>
            <w:tcW w:w="1460" w:type="dxa"/>
            <w:vAlign w:val="bottom"/>
            <w:tcBorders>
              <w:bottom w:val="single" w:sz="8" w:color="929292"/>
            </w:tcBorders>
          </w:tcPr>
          <w:p>
            <w:pPr>
              <w:spacing w:after="0"/>
              <w:rPr>
                <w:sz w:val="2"/>
                <w:szCs w:val="2"/>
                <w:color w:val="auto"/>
              </w:rPr>
            </w:pPr>
          </w:p>
        </w:tc>
      </w:tr>
      <w:tr>
        <w:trPr>
          <w:trHeight w:val="184"/>
        </w:trPr>
        <w:tc>
          <w:tcPr>
            <w:tcW w:w="340" w:type="dxa"/>
            <w:vAlign w:val="bottom"/>
          </w:tcPr>
          <w:p>
            <w:pPr>
              <w:ind w:left="20"/>
              <w:spacing w:after="0"/>
              <w:rPr>
                <w:sz w:val="20"/>
                <w:szCs w:val="20"/>
                <w:color w:val="auto"/>
              </w:rPr>
            </w:pPr>
            <w:r>
              <w:rPr>
                <w:rFonts w:ascii="Arial" w:cs="Arial" w:eastAsia="Arial" w:hAnsi="Arial"/>
                <w:sz w:val="13"/>
                <w:szCs w:val="13"/>
                <w:color w:val="auto"/>
              </w:rPr>
              <w:t>2022</w:t>
            </w:r>
          </w:p>
        </w:tc>
        <w:tc>
          <w:tcPr>
            <w:tcW w:w="1320" w:type="dxa"/>
            <w:vAlign w:val="bottom"/>
          </w:tcPr>
          <w:p>
            <w:pPr>
              <w:ind w:left="20"/>
              <w:spacing w:after="0"/>
              <w:rPr>
                <w:sz w:val="20"/>
                <w:szCs w:val="20"/>
                <w:color w:val="auto"/>
              </w:rPr>
            </w:pPr>
            <w:r>
              <w:rPr>
                <w:rFonts w:ascii="Arial" w:cs="Arial" w:eastAsia="Arial" w:hAnsi="Arial"/>
                <w:sz w:val="13"/>
                <w:szCs w:val="13"/>
                <w:color w:val="auto"/>
              </w:rPr>
              <w:t>- Butler</w:t>
            </w:r>
          </w:p>
        </w:tc>
        <w:tc>
          <w:tcPr>
            <w:tcW w:w="1420" w:type="dxa"/>
            <w:vAlign w:val="bottom"/>
          </w:tcPr>
          <w:p>
            <w:pPr>
              <w:jc w:val="right"/>
              <w:spacing w:after="0"/>
              <w:rPr>
                <w:sz w:val="20"/>
                <w:szCs w:val="20"/>
                <w:color w:val="auto"/>
              </w:rPr>
            </w:pPr>
            <w:r>
              <w:rPr>
                <w:rFonts w:ascii="Arial" w:cs="Arial" w:eastAsia="Arial" w:hAnsi="Arial"/>
                <w:sz w:val="13"/>
                <w:szCs w:val="13"/>
                <w:color w:val="auto"/>
              </w:rPr>
              <w:t>6,286,091</w:t>
            </w:r>
          </w:p>
        </w:tc>
        <w:tc>
          <w:tcPr>
            <w:tcW w:w="1940" w:type="dxa"/>
            <w:vAlign w:val="bottom"/>
          </w:tcPr>
          <w:p>
            <w:pPr>
              <w:jc w:val="right"/>
              <w:ind w:right="153"/>
              <w:spacing w:after="0"/>
              <w:rPr>
                <w:sz w:val="20"/>
                <w:szCs w:val="20"/>
                <w:color w:val="auto"/>
              </w:rPr>
            </w:pPr>
            <w:r>
              <w:rPr>
                <w:rFonts w:ascii="Arial" w:cs="Arial" w:eastAsia="Arial" w:hAnsi="Arial"/>
                <w:sz w:val="13"/>
                <w:szCs w:val="13"/>
                <w:color w:val="auto"/>
              </w:rPr>
              <w:t>(3,423,719)</w:t>
            </w:r>
          </w:p>
        </w:tc>
        <w:tc>
          <w:tcPr>
            <w:tcW w:w="1540" w:type="dxa"/>
            <w:vAlign w:val="bottom"/>
          </w:tcPr>
          <w:p>
            <w:pPr>
              <w:jc w:val="right"/>
              <w:ind w:right="413"/>
              <w:spacing w:after="0"/>
              <w:rPr>
                <w:sz w:val="20"/>
                <w:szCs w:val="20"/>
                <w:color w:val="auto"/>
              </w:rPr>
            </w:pPr>
            <w:r>
              <w:rPr>
                <w:rFonts w:ascii="Arial" w:cs="Arial" w:eastAsia="Arial" w:hAnsi="Arial"/>
                <w:sz w:val="13"/>
                <w:szCs w:val="13"/>
                <w:color w:val="auto"/>
              </w:rPr>
              <w:t>2,745,053</w:t>
            </w:r>
          </w:p>
        </w:tc>
        <w:tc>
          <w:tcPr>
            <w:tcW w:w="1380" w:type="dxa"/>
            <w:vAlign w:val="bottom"/>
          </w:tcPr>
          <w:p>
            <w:pPr>
              <w:jc w:val="right"/>
              <w:ind w:right="133"/>
              <w:spacing w:after="0"/>
              <w:rPr>
                <w:sz w:val="20"/>
                <w:szCs w:val="20"/>
                <w:color w:val="auto"/>
              </w:rPr>
            </w:pPr>
            <w:r>
              <w:rPr>
                <w:rFonts w:ascii="Arial" w:cs="Arial" w:eastAsia="Arial" w:hAnsi="Arial"/>
                <w:sz w:val="13"/>
                <w:szCs w:val="13"/>
                <w:color w:val="auto"/>
              </w:rPr>
              <w:t>(198,532)</w:t>
            </w:r>
          </w:p>
        </w:tc>
        <w:tc>
          <w:tcPr>
            <w:tcW w:w="1240" w:type="dxa"/>
            <w:vAlign w:val="bottom"/>
          </w:tcPr>
          <w:p>
            <w:pPr>
              <w:jc w:val="right"/>
              <w:spacing w:after="0"/>
              <w:rPr>
                <w:sz w:val="20"/>
                <w:szCs w:val="20"/>
                <w:color w:val="auto"/>
              </w:rPr>
            </w:pPr>
            <w:r>
              <w:rPr>
                <w:rFonts w:ascii="Arial" w:cs="Arial" w:eastAsia="Arial" w:hAnsi="Arial"/>
                <w:sz w:val="13"/>
                <w:szCs w:val="13"/>
                <w:color w:val="auto"/>
              </w:rPr>
              <w:t>100,853</w:t>
            </w:r>
          </w:p>
        </w:tc>
        <w:tc>
          <w:tcPr>
            <w:tcW w:w="1460" w:type="dxa"/>
            <w:vAlign w:val="bottom"/>
          </w:tcPr>
          <w:p>
            <w:pPr>
              <w:jc w:val="right"/>
              <w:ind w:right="13"/>
              <w:spacing w:after="0"/>
              <w:rPr>
                <w:sz w:val="20"/>
                <w:szCs w:val="20"/>
                <w:color w:val="auto"/>
              </w:rPr>
            </w:pPr>
            <w:r>
              <w:rPr>
                <w:rFonts w:ascii="Arial" w:cs="Arial" w:eastAsia="Arial" w:hAnsi="Arial"/>
                <w:sz w:val="13"/>
                <w:szCs w:val="13"/>
                <w:color w:val="auto"/>
              </w:rPr>
              <w:t>5,509,746</w:t>
            </w:r>
          </w:p>
        </w:tc>
      </w:tr>
      <w:tr>
        <w:trPr>
          <w:trHeight w:val="26"/>
        </w:trPr>
        <w:tc>
          <w:tcPr>
            <w:tcW w:w="340" w:type="dxa"/>
            <w:vAlign w:val="bottom"/>
            <w:tcBorders>
              <w:bottom w:val="single" w:sz="8" w:color="929292"/>
            </w:tcBorders>
          </w:tcPr>
          <w:p>
            <w:pPr>
              <w:spacing w:after="0"/>
              <w:rPr>
                <w:sz w:val="2"/>
                <w:szCs w:val="2"/>
                <w:color w:val="auto"/>
              </w:rPr>
            </w:pPr>
          </w:p>
        </w:tc>
        <w:tc>
          <w:tcPr>
            <w:tcW w:w="1320" w:type="dxa"/>
            <w:vAlign w:val="bottom"/>
            <w:tcBorders>
              <w:bottom w:val="single" w:sz="8" w:color="929292"/>
            </w:tcBorders>
          </w:tcPr>
          <w:p>
            <w:pPr>
              <w:spacing w:after="0"/>
              <w:rPr>
                <w:sz w:val="2"/>
                <w:szCs w:val="2"/>
                <w:color w:val="auto"/>
              </w:rPr>
            </w:pPr>
          </w:p>
        </w:tc>
        <w:tc>
          <w:tcPr>
            <w:tcW w:w="1420" w:type="dxa"/>
            <w:vAlign w:val="bottom"/>
            <w:tcBorders>
              <w:bottom w:val="single" w:sz="8" w:color="929292"/>
            </w:tcBorders>
          </w:tcPr>
          <w:p>
            <w:pPr>
              <w:spacing w:after="0"/>
              <w:rPr>
                <w:sz w:val="2"/>
                <w:szCs w:val="2"/>
                <w:color w:val="auto"/>
              </w:rPr>
            </w:pPr>
          </w:p>
        </w:tc>
        <w:tc>
          <w:tcPr>
            <w:tcW w:w="1940" w:type="dxa"/>
            <w:vAlign w:val="bottom"/>
            <w:tcBorders>
              <w:bottom w:val="single" w:sz="8" w:color="929292"/>
            </w:tcBorders>
          </w:tcPr>
          <w:p>
            <w:pPr>
              <w:spacing w:after="0"/>
              <w:rPr>
                <w:sz w:val="2"/>
                <w:szCs w:val="2"/>
                <w:color w:val="auto"/>
              </w:rPr>
            </w:pPr>
          </w:p>
        </w:tc>
        <w:tc>
          <w:tcPr>
            <w:tcW w:w="1540" w:type="dxa"/>
            <w:vAlign w:val="bottom"/>
            <w:tcBorders>
              <w:bottom w:val="single" w:sz="8" w:color="929292"/>
            </w:tcBorders>
          </w:tcPr>
          <w:p>
            <w:pPr>
              <w:spacing w:after="0"/>
              <w:rPr>
                <w:sz w:val="2"/>
                <w:szCs w:val="2"/>
                <w:color w:val="auto"/>
              </w:rPr>
            </w:pPr>
          </w:p>
        </w:tc>
        <w:tc>
          <w:tcPr>
            <w:tcW w:w="1380" w:type="dxa"/>
            <w:vAlign w:val="bottom"/>
            <w:tcBorders>
              <w:bottom w:val="single" w:sz="8" w:color="929292"/>
            </w:tcBorders>
          </w:tcPr>
          <w:p>
            <w:pPr>
              <w:spacing w:after="0"/>
              <w:rPr>
                <w:sz w:val="2"/>
                <w:szCs w:val="2"/>
                <w:color w:val="auto"/>
              </w:rPr>
            </w:pPr>
          </w:p>
        </w:tc>
        <w:tc>
          <w:tcPr>
            <w:tcW w:w="1240" w:type="dxa"/>
            <w:vAlign w:val="bottom"/>
            <w:tcBorders>
              <w:bottom w:val="single" w:sz="8" w:color="929292"/>
            </w:tcBorders>
          </w:tcPr>
          <w:p>
            <w:pPr>
              <w:spacing w:after="0"/>
              <w:rPr>
                <w:sz w:val="2"/>
                <w:szCs w:val="2"/>
                <w:color w:val="auto"/>
              </w:rPr>
            </w:pPr>
          </w:p>
        </w:tc>
        <w:tc>
          <w:tcPr>
            <w:tcW w:w="1460" w:type="dxa"/>
            <w:vAlign w:val="bottom"/>
            <w:tcBorders>
              <w:bottom w:val="single" w:sz="8" w:color="929292"/>
            </w:tcBorders>
          </w:tcPr>
          <w:p>
            <w:pPr>
              <w:spacing w:after="0"/>
              <w:rPr>
                <w:sz w:val="2"/>
                <w:szCs w:val="2"/>
                <w:color w:val="auto"/>
              </w:rPr>
            </w:pPr>
          </w:p>
        </w:tc>
      </w:tr>
      <w:tr>
        <w:trPr>
          <w:trHeight w:val="184"/>
        </w:trPr>
        <w:tc>
          <w:tcPr>
            <w:tcW w:w="340" w:type="dxa"/>
            <w:vAlign w:val="bottom"/>
          </w:tcPr>
          <w:p>
            <w:pPr>
              <w:ind w:left="20"/>
              <w:spacing w:after="0"/>
              <w:rPr>
                <w:sz w:val="20"/>
                <w:szCs w:val="20"/>
                <w:color w:val="auto"/>
              </w:rPr>
            </w:pPr>
            <w:r>
              <w:rPr>
                <w:rFonts w:ascii="Arial" w:cs="Arial" w:eastAsia="Arial" w:hAnsi="Arial"/>
                <w:sz w:val="13"/>
                <w:szCs w:val="13"/>
                <w:color w:val="auto"/>
              </w:rPr>
              <w:t>2022</w:t>
            </w:r>
          </w:p>
        </w:tc>
        <w:tc>
          <w:tcPr>
            <w:tcW w:w="1320" w:type="dxa"/>
            <w:vAlign w:val="bottom"/>
          </w:tcPr>
          <w:p>
            <w:pPr>
              <w:ind w:left="20"/>
              <w:spacing w:after="0"/>
              <w:rPr>
                <w:sz w:val="20"/>
                <w:szCs w:val="20"/>
                <w:color w:val="auto"/>
              </w:rPr>
            </w:pPr>
            <w:r>
              <w:rPr>
                <w:rFonts w:ascii="Arial" w:cs="Arial" w:eastAsia="Arial" w:hAnsi="Arial"/>
                <w:sz w:val="13"/>
                <w:szCs w:val="13"/>
                <w:color w:val="auto"/>
              </w:rPr>
              <w:t>- Crane</w:t>
            </w:r>
          </w:p>
        </w:tc>
        <w:tc>
          <w:tcPr>
            <w:tcW w:w="1420" w:type="dxa"/>
            <w:vAlign w:val="bottom"/>
          </w:tcPr>
          <w:p>
            <w:pPr>
              <w:jc w:val="right"/>
              <w:spacing w:after="0"/>
              <w:rPr>
                <w:sz w:val="20"/>
                <w:szCs w:val="20"/>
                <w:color w:val="auto"/>
              </w:rPr>
            </w:pPr>
            <w:r>
              <w:rPr>
                <w:rFonts w:ascii="Arial" w:cs="Arial" w:eastAsia="Arial" w:hAnsi="Arial"/>
                <w:sz w:val="13"/>
                <w:szCs w:val="13"/>
                <w:color w:val="auto"/>
              </w:rPr>
              <w:t>30,084,980</w:t>
            </w:r>
          </w:p>
        </w:tc>
        <w:tc>
          <w:tcPr>
            <w:tcW w:w="1940" w:type="dxa"/>
            <w:vAlign w:val="bottom"/>
          </w:tcPr>
          <w:p>
            <w:pPr>
              <w:jc w:val="right"/>
              <w:ind w:right="153"/>
              <w:spacing w:after="0"/>
              <w:rPr>
                <w:sz w:val="20"/>
                <w:szCs w:val="20"/>
                <w:color w:val="auto"/>
              </w:rPr>
            </w:pPr>
            <w:r>
              <w:rPr>
                <w:rFonts w:ascii="Arial" w:cs="Arial" w:eastAsia="Arial" w:hAnsi="Arial"/>
                <w:sz w:val="13"/>
                <w:szCs w:val="13"/>
                <w:color w:val="auto"/>
              </w:rPr>
              <w:t>(11,768,964)</w:t>
            </w:r>
          </w:p>
        </w:tc>
        <w:tc>
          <w:tcPr>
            <w:tcW w:w="1540" w:type="dxa"/>
            <w:vAlign w:val="bottom"/>
          </w:tcPr>
          <w:p>
            <w:pPr>
              <w:jc w:val="right"/>
              <w:ind w:right="413"/>
              <w:spacing w:after="0"/>
              <w:rPr>
                <w:sz w:val="20"/>
                <w:szCs w:val="20"/>
                <w:color w:val="auto"/>
              </w:rPr>
            </w:pPr>
            <w:r>
              <w:rPr>
                <w:rFonts w:ascii="Arial" w:cs="Arial" w:eastAsia="Arial" w:hAnsi="Arial"/>
                <w:sz w:val="13"/>
                <w:szCs w:val="13"/>
                <w:color w:val="auto"/>
              </w:rPr>
              <w:t>4,732,580</w:t>
            </w:r>
          </w:p>
        </w:tc>
        <w:tc>
          <w:tcPr>
            <w:tcW w:w="1380" w:type="dxa"/>
            <w:vAlign w:val="bottom"/>
          </w:tcPr>
          <w:p>
            <w:pPr>
              <w:jc w:val="right"/>
              <w:ind w:right="133"/>
              <w:spacing w:after="0"/>
              <w:rPr>
                <w:sz w:val="20"/>
                <w:szCs w:val="20"/>
                <w:color w:val="auto"/>
              </w:rPr>
            </w:pPr>
            <w:r>
              <w:rPr>
                <w:rFonts w:ascii="Arial" w:cs="Arial" w:eastAsia="Arial" w:hAnsi="Arial"/>
                <w:sz w:val="13"/>
                <w:szCs w:val="13"/>
                <w:color w:val="auto"/>
              </w:rPr>
              <w:t>(12,647,990)</w:t>
            </w:r>
          </w:p>
        </w:tc>
        <w:tc>
          <w:tcPr>
            <w:tcW w:w="1240" w:type="dxa"/>
            <w:vAlign w:val="bottom"/>
          </w:tcPr>
          <w:p>
            <w:pPr>
              <w:jc w:val="right"/>
              <w:spacing w:after="0"/>
              <w:rPr>
                <w:sz w:val="20"/>
                <w:szCs w:val="20"/>
                <w:color w:val="auto"/>
              </w:rPr>
            </w:pPr>
            <w:r>
              <w:rPr>
                <w:rFonts w:ascii="Arial" w:cs="Arial" w:eastAsia="Arial" w:hAnsi="Arial"/>
                <w:sz w:val="13"/>
                <w:szCs w:val="13"/>
                <w:color w:val="auto"/>
              </w:rPr>
              <w:t>474,669</w:t>
            </w:r>
          </w:p>
        </w:tc>
        <w:tc>
          <w:tcPr>
            <w:tcW w:w="1460" w:type="dxa"/>
            <w:vAlign w:val="bottom"/>
          </w:tcPr>
          <w:p>
            <w:pPr>
              <w:jc w:val="right"/>
              <w:ind w:right="13"/>
              <w:spacing w:after="0"/>
              <w:rPr>
                <w:sz w:val="20"/>
                <w:szCs w:val="20"/>
                <w:color w:val="auto"/>
              </w:rPr>
            </w:pPr>
            <w:r>
              <w:rPr>
                <w:rFonts w:ascii="Arial" w:cs="Arial" w:eastAsia="Arial" w:hAnsi="Arial"/>
                <w:sz w:val="13"/>
                <w:szCs w:val="13"/>
                <w:color w:val="auto"/>
              </w:rPr>
              <w:t>10,875,275</w:t>
            </w:r>
          </w:p>
        </w:tc>
      </w:tr>
      <w:tr>
        <w:trPr>
          <w:trHeight w:val="26"/>
        </w:trPr>
        <w:tc>
          <w:tcPr>
            <w:tcW w:w="340" w:type="dxa"/>
            <w:vAlign w:val="bottom"/>
            <w:tcBorders>
              <w:bottom w:val="single" w:sz="8" w:color="929292"/>
            </w:tcBorders>
          </w:tcPr>
          <w:p>
            <w:pPr>
              <w:spacing w:after="0"/>
              <w:rPr>
                <w:sz w:val="2"/>
                <w:szCs w:val="2"/>
                <w:color w:val="auto"/>
              </w:rPr>
            </w:pPr>
          </w:p>
        </w:tc>
        <w:tc>
          <w:tcPr>
            <w:tcW w:w="1320" w:type="dxa"/>
            <w:vAlign w:val="bottom"/>
            <w:tcBorders>
              <w:bottom w:val="single" w:sz="8" w:color="929292"/>
            </w:tcBorders>
          </w:tcPr>
          <w:p>
            <w:pPr>
              <w:spacing w:after="0"/>
              <w:rPr>
                <w:sz w:val="2"/>
                <w:szCs w:val="2"/>
                <w:color w:val="auto"/>
              </w:rPr>
            </w:pPr>
          </w:p>
        </w:tc>
        <w:tc>
          <w:tcPr>
            <w:tcW w:w="1420" w:type="dxa"/>
            <w:vAlign w:val="bottom"/>
            <w:tcBorders>
              <w:bottom w:val="single" w:sz="8" w:color="929292"/>
            </w:tcBorders>
          </w:tcPr>
          <w:p>
            <w:pPr>
              <w:spacing w:after="0"/>
              <w:rPr>
                <w:sz w:val="2"/>
                <w:szCs w:val="2"/>
                <w:color w:val="auto"/>
              </w:rPr>
            </w:pPr>
          </w:p>
        </w:tc>
        <w:tc>
          <w:tcPr>
            <w:tcW w:w="1940" w:type="dxa"/>
            <w:vAlign w:val="bottom"/>
            <w:tcBorders>
              <w:bottom w:val="single" w:sz="8" w:color="929292"/>
            </w:tcBorders>
          </w:tcPr>
          <w:p>
            <w:pPr>
              <w:spacing w:after="0"/>
              <w:rPr>
                <w:sz w:val="2"/>
                <w:szCs w:val="2"/>
                <w:color w:val="auto"/>
              </w:rPr>
            </w:pPr>
          </w:p>
        </w:tc>
        <w:tc>
          <w:tcPr>
            <w:tcW w:w="1540" w:type="dxa"/>
            <w:vAlign w:val="bottom"/>
            <w:tcBorders>
              <w:bottom w:val="single" w:sz="8" w:color="929292"/>
            </w:tcBorders>
          </w:tcPr>
          <w:p>
            <w:pPr>
              <w:spacing w:after="0"/>
              <w:rPr>
                <w:sz w:val="2"/>
                <w:szCs w:val="2"/>
                <w:color w:val="auto"/>
              </w:rPr>
            </w:pPr>
          </w:p>
        </w:tc>
        <w:tc>
          <w:tcPr>
            <w:tcW w:w="1380" w:type="dxa"/>
            <w:vAlign w:val="bottom"/>
            <w:tcBorders>
              <w:bottom w:val="single" w:sz="8" w:color="929292"/>
            </w:tcBorders>
          </w:tcPr>
          <w:p>
            <w:pPr>
              <w:spacing w:after="0"/>
              <w:rPr>
                <w:sz w:val="2"/>
                <w:szCs w:val="2"/>
                <w:color w:val="auto"/>
              </w:rPr>
            </w:pPr>
          </w:p>
        </w:tc>
        <w:tc>
          <w:tcPr>
            <w:tcW w:w="1240" w:type="dxa"/>
            <w:vAlign w:val="bottom"/>
            <w:tcBorders>
              <w:bottom w:val="single" w:sz="8" w:color="929292"/>
            </w:tcBorders>
          </w:tcPr>
          <w:p>
            <w:pPr>
              <w:spacing w:after="0"/>
              <w:rPr>
                <w:sz w:val="2"/>
                <w:szCs w:val="2"/>
                <w:color w:val="auto"/>
              </w:rPr>
            </w:pPr>
          </w:p>
        </w:tc>
        <w:tc>
          <w:tcPr>
            <w:tcW w:w="1460" w:type="dxa"/>
            <w:vAlign w:val="bottom"/>
            <w:tcBorders>
              <w:bottom w:val="single" w:sz="8" w:color="929292"/>
            </w:tcBorders>
          </w:tcPr>
          <w:p>
            <w:pPr>
              <w:spacing w:after="0"/>
              <w:rPr>
                <w:sz w:val="2"/>
                <w:szCs w:val="2"/>
                <w:color w:val="auto"/>
              </w:rPr>
            </w:pPr>
          </w:p>
        </w:tc>
      </w:tr>
      <w:tr>
        <w:trPr>
          <w:trHeight w:val="184"/>
        </w:trPr>
        <w:tc>
          <w:tcPr>
            <w:tcW w:w="340" w:type="dxa"/>
            <w:vAlign w:val="bottom"/>
          </w:tcPr>
          <w:p>
            <w:pPr>
              <w:ind w:left="20"/>
              <w:spacing w:after="0"/>
              <w:rPr>
                <w:sz w:val="20"/>
                <w:szCs w:val="20"/>
                <w:color w:val="auto"/>
              </w:rPr>
            </w:pPr>
            <w:r>
              <w:rPr>
                <w:rFonts w:ascii="Arial" w:cs="Arial" w:eastAsia="Arial" w:hAnsi="Arial"/>
                <w:sz w:val="13"/>
                <w:szCs w:val="13"/>
                <w:color w:val="auto"/>
              </w:rPr>
              <w:t>2021</w:t>
            </w:r>
          </w:p>
        </w:tc>
        <w:tc>
          <w:tcPr>
            <w:tcW w:w="1320" w:type="dxa"/>
            <w:vAlign w:val="bottom"/>
          </w:tcPr>
          <w:p>
            <w:pPr>
              <w:ind w:left="20"/>
              <w:spacing w:after="0"/>
              <w:rPr>
                <w:sz w:val="20"/>
                <w:szCs w:val="20"/>
                <w:color w:val="auto"/>
              </w:rPr>
            </w:pPr>
            <w:r>
              <w:rPr>
                <w:rFonts w:ascii="Arial" w:cs="Arial" w:eastAsia="Arial" w:hAnsi="Arial"/>
                <w:sz w:val="13"/>
                <w:szCs w:val="13"/>
                <w:color w:val="auto"/>
              </w:rPr>
              <w:t>- Crane</w:t>
            </w:r>
          </w:p>
        </w:tc>
        <w:tc>
          <w:tcPr>
            <w:tcW w:w="1420" w:type="dxa"/>
            <w:vAlign w:val="bottom"/>
          </w:tcPr>
          <w:p>
            <w:pPr>
              <w:jc w:val="right"/>
              <w:spacing w:after="0"/>
              <w:rPr>
                <w:sz w:val="20"/>
                <w:szCs w:val="20"/>
                <w:color w:val="auto"/>
              </w:rPr>
            </w:pPr>
            <w:r>
              <w:rPr>
                <w:rFonts w:ascii="Arial" w:cs="Arial" w:eastAsia="Arial" w:hAnsi="Arial"/>
                <w:sz w:val="13"/>
                <w:szCs w:val="13"/>
                <w:color w:val="auto"/>
              </w:rPr>
              <w:t>15,667,002</w:t>
            </w:r>
          </w:p>
        </w:tc>
        <w:tc>
          <w:tcPr>
            <w:tcW w:w="1940" w:type="dxa"/>
            <w:vAlign w:val="bottom"/>
          </w:tcPr>
          <w:p>
            <w:pPr>
              <w:jc w:val="right"/>
              <w:ind w:right="153"/>
              <w:spacing w:after="0"/>
              <w:rPr>
                <w:sz w:val="20"/>
                <w:szCs w:val="20"/>
                <w:color w:val="auto"/>
              </w:rPr>
            </w:pPr>
            <w:r>
              <w:rPr>
                <w:rFonts w:ascii="Arial" w:cs="Arial" w:eastAsia="Arial" w:hAnsi="Arial"/>
                <w:sz w:val="13"/>
                <w:szCs w:val="13"/>
                <w:color w:val="auto"/>
              </w:rPr>
              <w:t>(10,823,207)</w:t>
            </w:r>
          </w:p>
        </w:tc>
        <w:tc>
          <w:tcPr>
            <w:tcW w:w="1540" w:type="dxa"/>
            <w:vAlign w:val="bottom"/>
          </w:tcPr>
          <w:p>
            <w:pPr>
              <w:jc w:val="right"/>
              <w:ind w:right="413"/>
              <w:spacing w:after="0"/>
              <w:rPr>
                <w:sz w:val="20"/>
                <w:szCs w:val="20"/>
                <w:color w:val="auto"/>
              </w:rPr>
            </w:pPr>
            <w:r>
              <w:rPr>
                <w:rFonts w:ascii="Arial" w:cs="Arial" w:eastAsia="Arial" w:hAnsi="Arial"/>
                <w:sz w:val="13"/>
                <w:szCs w:val="13"/>
                <w:color w:val="auto"/>
              </w:rPr>
              <w:t>25,401,442</w:t>
            </w:r>
          </w:p>
        </w:tc>
        <w:tc>
          <w:tcPr>
            <w:tcW w:w="1380" w:type="dxa"/>
            <w:vAlign w:val="bottom"/>
          </w:tcPr>
          <w:p>
            <w:pPr>
              <w:jc w:val="right"/>
              <w:ind w:right="133"/>
              <w:spacing w:after="0"/>
              <w:rPr>
                <w:sz w:val="20"/>
                <w:szCs w:val="20"/>
                <w:color w:val="auto"/>
              </w:rPr>
            </w:pPr>
            <w:r>
              <w:rPr>
                <w:rFonts w:ascii="Arial" w:cs="Arial" w:eastAsia="Arial" w:hAnsi="Arial"/>
                <w:sz w:val="13"/>
                <w:szCs w:val="13"/>
                <w:color w:val="auto"/>
              </w:rPr>
              <w:t>(1,071,663)</w:t>
            </w:r>
          </w:p>
        </w:tc>
        <w:tc>
          <w:tcPr>
            <w:tcW w:w="1240" w:type="dxa"/>
            <w:vAlign w:val="bottom"/>
          </w:tcPr>
          <w:p>
            <w:pPr>
              <w:jc w:val="right"/>
              <w:spacing w:after="0"/>
              <w:rPr>
                <w:sz w:val="20"/>
                <w:szCs w:val="20"/>
                <w:color w:val="auto"/>
              </w:rPr>
            </w:pPr>
            <w:r>
              <w:rPr>
                <w:rFonts w:ascii="Arial" w:cs="Arial" w:eastAsia="Arial" w:hAnsi="Arial"/>
                <w:sz w:val="13"/>
                <w:szCs w:val="13"/>
                <w:color w:val="auto"/>
              </w:rPr>
              <w:t>547,951</w:t>
            </w:r>
          </w:p>
        </w:tc>
        <w:tc>
          <w:tcPr>
            <w:tcW w:w="1460" w:type="dxa"/>
            <w:vAlign w:val="bottom"/>
          </w:tcPr>
          <w:p>
            <w:pPr>
              <w:jc w:val="right"/>
              <w:ind w:right="13"/>
              <w:spacing w:after="0"/>
              <w:rPr>
                <w:sz w:val="20"/>
                <w:szCs w:val="20"/>
                <w:color w:val="auto"/>
              </w:rPr>
            </w:pPr>
            <w:r>
              <w:rPr>
                <w:rFonts w:ascii="Arial" w:cs="Arial" w:eastAsia="Arial" w:hAnsi="Arial"/>
                <w:sz w:val="13"/>
                <w:szCs w:val="13"/>
                <w:color w:val="auto"/>
              </w:rPr>
              <w:t>29,721,525</w:t>
            </w:r>
          </w:p>
        </w:tc>
      </w:tr>
      <w:tr>
        <w:trPr>
          <w:trHeight w:val="26"/>
        </w:trPr>
        <w:tc>
          <w:tcPr>
            <w:tcW w:w="340" w:type="dxa"/>
            <w:vAlign w:val="bottom"/>
            <w:tcBorders>
              <w:bottom w:val="single" w:sz="8" w:color="929292"/>
            </w:tcBorders>
          </w:tcPr>
          <w:p>
            <w:pPr>
              <w:spacing w:after="0"/>
              <w:rPr>
                <w:sz w:val="2"/>
                <w:szCs w:val="2"/>
                <w:color w:val="auto"/>
              </w:rPr>
            </w:pPr>
          </w:p>
        </w:tc>
        <w:tc>
          <w:tcPr>
            <w:tcW w:w="1320" w:type="dxa"/>
            <w:vAlign w:val="bottom"/>
            <w:tcBorders>
              <w:bottom w:val="single" w:sz="8" w:color="929292"/>
            </w:tcBorders>
          </w:tcPr>
          <w:p>
            <w:pPr>
              <w:spacing w:after="0"/>
              <w:rPr>
                <w:sz w:val="2"/>
                <w:szCs w:val="2"/>
                <w:color w:val="auto"/>
              </w:rPr>
            </w:pPr>
          </w:p>
        </w:tc>
        <w:tc>
          <w:tcPr>
            <w:tcW w:w="1420" w:type="dxa"/>
            <w:vAlign w:val="bottom"/>
            <w:tcBorders>
              <w:bottom w:val="single" w:sz="8" w:color="929292"/>
            </w:tcBorders>
          </w:tcPr>
          <w:p>
            <w:pPr>
              <w:spacing w:after="0"/>
              <w:rPr>
                <w:sz w:val="2"/>
                <w:szCs w:val="2"/>
                <w:color w:val="auto"/>
              </w:rPr>
            </w:pPr>
          </w:p>
        </w:tc>
        <w:tc>
          <w:tcPr>
            <w:tcW w:w="1940" w:type="dxa"/>
            <w:vAlign w:val="bottom"/>
            <w:tcBorders>
              <w:bottom w:val="single" w:sz="8" w:color="929292"/>
            </w:tcBorders>
          </w:tcPr>
          <w:p>
            <w:pPr>
              <w:spacing w:after="0"/>
              <w:rPr>
                <w:sz w:val="2"/>
                <w:szCs w:val="2"/>
                <w:color w:val="auto"/>
              </w:rPr>
            </w:pPr>
          </w:p>
        </w:tc>
        <w:tc>
          <w:tcPr>
            <w:tcW w:w="1540" w:type="dxa"/>
            <w:vAlign w:val="bottom"/>
            <w:tcBorders>
              <w:bottom w:val="single" w:sz="8" w:color="929292"/>
            </w:tcBorders>
          </w:tcPr>
          <w:p>
            <w:pPr>
              <w:spacing w:after="0"/>
              <w:rPr>
                <w:sz w:val="2"/>
                <w:szCs w:val="2"/>
                <w:color w:val="auto"/>
              </w:rPr>
            </w:pPr>
          </w:p>
        </w:tc>
        <w:tc>
          <w:tcPr>
            <w:tcW w:w="1380" w:type="dxa"/>
            <w:vAlign w:val="bottom"/>
            <w:tcBorders>
              <w:bottom w:val="single" w:sz="8" w:color="929292"/>
            </w:tcBorders>
          </w:tcPr>
          <w:p>
            <w:pPr>
              <w:spacing w:after="0"/>
              <w:rPr>
                <w:sz w:val="2"/>
                <w:szCs w:val="2"/>
                <w:color w:val="auto"/>
              </w:rPr>
            </w:pPr>
          </w:p>
        </w:tc>
        <w:tc>
          <w:tcPr>
            <w:tcW w:w="1240" w:type="dxa"/>
            <w:vAlign w:val="bottom"/>
            <w:tcBorders>
              <w:bottom w:val="single" w:sz="8" w:color="929292"/>
            </w:tcBorders>
          </w:tcPr>
          <w:p>
            <w:pPr>
              <w:spacing w:after="0"/>
              <w:rPr>
                <w:sz w:val="2"/>
                <w:szCs w:val="2"/>
                <w:color w:val="auto"/>
              </w:rPr>
            </w:pPr>
          </w:p>
        </w:tc>
        <w:tc>
          <w:tcPr>
            <w:tcW w:w="1460" w:type="dxa"/>
            <w:vAlign w:val="bottom"/>
            <w:tcBorders>
              <w:bottom w:val="single" w:sz="8" w:color="929292"/>
            </w:tcBorders>
          </w:tcPr>
          <w:p>
            <w:pPr>
              <w:spacing w:after="0"/>
              <w:rPr>
                <w:sz w:val="2"/>
                <w:szCs w:val="2"/>
                <w:color w:val="auto"/>
              </w:rPr>
            </w:pPr>
          </w:p>
        </w:tc>
      </w:tr>
      <w:tr>
        <w:trPr>
          <w:trHeight w:val="184"/>
        </w:trPr>
        <w:tc>
          <w:tcPr>
            <w:tcW w:w="340" w:type="dxa"/>
            <w:vAlign w:val="bottom"/>
          </w:tcPr>
          <w:p>
            <w:pPr>
              <w:ind w:left="20"/>
              <w:spacing w:after="0"/>
              <w:rPr>
                <w:sz w:val="20"/>
                <w:szCs w:val="20"/>
                <w:color w:val="auto"/>
              </w:rPr>
            </w:pPr>
            <w:r>
              <w:rPr>
                <w:rFonts w:ascii="Arial" w:cs="Arial" w:eastAsia="Arial" w:hAnsi="Arial"/>
                <w:sz w:val="13"/>
                <w:szCs w:val="13"/>
                <w:color w:val="auto"/>
              </w:rPr>
              <w:t>2020</w:t>
            </w:r>
          </w:p>
        </w:tc>
        <w:tc>
          <w:tcPr>
            <w:tcW w:w="1320" w:type="dxa"/>
            <w:vAlign w:val="bottom"/>
          </w:tcPr>
          <w:p>
            <w:pPr>
              <w:ind w:left="20"/>
              <w:spacing w:after="0"/>
              <w:rPr>
                <w:sz w:val="20"/>
                <w:szCs w:val="20"/>
                <w:color w:val="auto"/>
              </w:rPr>
            </w:pPr>
            <w:r>
              <w:rPr>
                <w:rFonts w:ascii="Arial" w:cs="Arial" w:eastAsia="Arial" w:hAnsi="Arial"/>
                <w:sz w:val="13"/>
                <w:szCs w:val="13"/>
                <w:color w:val="auto"/>
              </w:rPr>
              <w:t>- Crane</w:t>
            </w:r>
          </w:p>
        </w:tc>
        <w:tc>
          <w:tcPr>
            <w:tcW w:w="1420" w:type="dxa"/>
            <w:vAlign w:val="bottom"/>
          </w:tcPr>
          <w:p>
            <w:pPr>
              <w:jc w:val="right"/>
              <w:spacing w:after="0"/>
              <w:rPr>
                <w:sz w:val="20"/>
                <w:szCs w:val="20"/>
                <w:color w:val="auto"/>
              </w:rPr>
            </w:pPr>
            <w:r>
              <w:rPr>
                <w:rFonts w:ascii="Arial" w:cs="Arial" w:eastAsia="Arial" w:hAnsi="Arial"/>
                <w:sz w:val="13"/>
                <w:szCs w:val="13"/>
                <w:color w:val="auto"/>
              </w:rPr>
              <w:t>14,440,051</w:t>
            </w:r>
          </w:p>
        </w:tc>
        <w:tc>
          <w:tcPr>
            <w:tcW w:w="1940" w:type="dxa"/>
            <w:vAlign w:val="bottom"/>
          </w:tcPr>
          <w:p>
            <w:pPr>
              <w:jc w:val="right"/>
              <w:ind w:right="153"/>
              <w:spacing w:after="0"/>
              <w:rPr>
                <w:sz w:val="20"/>
                <w:szCs w:val="20"/>
                <w:color w:val="auto"/>
              </w:rPr>
            </w:pPr>
            <w:r>
              <w:rPr>
                <w:rFonts w:ascii="Arial" w:cs="Arial" w:eastAsia="Arial" w:hAnsi="Arial"/>
                <w:sz w:val="13"/>
                <w:szCs w:val="13"/>
                <w:color w:val="auto"/>
              </w:rPr>
              <w:t>(10,256,308)</w:t>
            </w:r>
          </w:p>
        </w:tc>
        <w:tc>
          <w:tcPr>
            <w:tcW w:w="1540" w:type="dxa"/>
            <w:vAlign w:val="bottom"/>
          </w:tcPr>
          <w:p>
            <w:pPr>
              <w:jc w:val="right"/>
              <w:ind w:right="413"/>
              <w:spacing w:after="0"/>
              <w:rPr>
                <w:sz w:val="20"/>
                <w:szCs w:val="20"/>
                <w:color w:val="auto"/>
              </w:rPr>
            </w:pPr>
            <w:r>
              <w:rPr>
                <w:rFonts w:ascii="Arial" w:cs="Arial" w:eastAsia="Arial" w:hAnsi="Arial"/>
                <w:sz w:val="13"/>
                <w:szCs w:val="13"/>
                <w:color w:val="auto"/>
              </w:rPr>
              <w:t>5,382,246</w:t>
            </w:r>
          </w:p>
        </w:tc>
        <w:tc>
          <w:tcPr>
            <w:tcW w:w="1380" w:type="dxa"/>
            <w:vAlign w:val="bottom"/>
          </w:tcPr>
          <w:p>
            <w:pPr>
              <w:jc w:val="right"/>
              <w:ind w:right="133"/>
              <w:spacing w:after="0"/>
              <w:rPr>
                <w:sz w:val="20"/>
                <w:szCs w:val="20"/>
                <w:color w:val="auto"/>
              </w:rPr>
            </w:pPr>
            <w:r>
              <w:rPr>
                <w:rFonts w:ascii="Arial" w:cs="Arial" w:eastAsia="Arial" w:hAnsi="Arial"/>
                <w:sz w:val="13"/>
                <w:szCs w:val="13"/>
                <w:color w:val="auto"/>
              </w:rPr>
              <w:t>(757,754)</w:t>
            </w:r>
          </w:p>
        </w:tc>
        <w:tc>
          <w:tcPr>
            <w:tcW w:w="1240" w:type="dxa"/>
            <w:vAlign w:val="bottom"/>
          </w:tcPr>
          <w:p>
            <w:pPr>
              <w:jc w:val="right"/>
              <w:spacing w:after="0"/>
              <w:rPr>
                <w:sz w:val="20"/>
                <w:szCs w:val="20"/>
                <w:color w:val="auto"/>
              </w:rPr>
            </w:pPr>
            <w:r>
              <w:rPr>
                <w:rFonts w:ascii="Arial" w:cs="Arial" w:eastAsia="Arial" w:hAnsi="Arial"/>
                <w:sz w:val="13"/>
                <w:szCs w:val="13"/>
                <w:color w:val="auto"/>
              </w:rPr>
              <w:t>556,368</w:t>
            </w:r>
          </w:p>
        </w:tc>
        <w:tc>
          <w:tcPr>
            <w:tcW w:w="1460" w:type="dxa"/>
            <w:vAlign w:val="bottom"/>
          </w:tcPr>
          <w:p>
            <w:pPr>
              <w:jc w:val="right"/>
              <w:ind w:right="13"/>
              <w:spacing w:after="0"/>
              <w:rPr>
                <w:sz w:val="20"/>
                <w:szCs w:val="20"/>
                <w:color w:val="auto"/>
              </w:rPr>
            </w:pPr>
            <w:r>
              <w:rPr>
                <w:rFonts w:ascii="Arial" w:cs="Arial" w:eastAsia="Arial" w:hAnsi="Arial"/>
                <w:sz w:val="13"/>
                <w:szCs w:val="13"/>
                <w:color w:val="auto"/>
              </w:rPr>
              <w:t>9,364,603</w:t>
            </w:r>
          </w:p>
        </w:tc>
      </w:tr>
      <w:tr>
        <w:trPr>
          <w:trHeight w:val="26"/>
        </w:trPr>
        <w:tc>
          <w:tcPr>
            <w:tcW w:w="340" w:type="dxa"/>
            <w:vAlign w:val="bottom"/>
            <w:tcBorders>
              <w:bottom w:val="single" w:sz="8" w:color="808080"/>
            </w:tcBorders>
          </w:tcPr>
          <w:p>
            <w:pPr>
              <w:spacing w:after="0"/>
              <w:rPr>
                <w:sz w:val="2"/>
                <w:szCs w:val="2"/>
                <w:color w:val="auto"/>
              </w:rPr>
            </w:pPr>
          </w:p>
        </w:tc>
        <w:tc>
          <w:tcPr>
            <w:tcW w:w="1320" w:type="dxa"/>
            <w:vAlign w:val="bottom"/>
            <w:tcBorders>
              <w:bottom w:val="single" w:sz="8" w:color="808080"/>
            </w:tcBorders>
          </w:tcPr>
          <w:p>
            <w:pPr>
              <w:spacing w:after="0"/>
              <w:rPr>
                <w:sz w:val="2"/>
                <w:szCs w:val="2"/>
                <w:color w:val="auto"/>
              </w:rPr>
            </w:pPr>
          </w:p>
        </w:tc>
        <w:tc>
          <w:tcPr>
            <w:tcW w:w="1420" w:type="dxa"/>
            <w:vAlign w:val="bottom"/>
            <w:tcBorders>
              <w:bottom w:val="single" w:sz="8" w:color="808080"/>
            </w:tcBorders>
          </w:tcPr>
          <w:p>
            <w:pPr>
              <w:spacing w:after="0"/>
              <w:rPr>
                <w:sz w:val="2"/>
                <w:szCs w:val="2"/>
                <w:color w:val="auto"/>
              </w:rPr>
            </w:pPr>
          </w:p>
        </w:tc>
        <w:tc>
          <w:tcPr>
            <w:tcW w:w="1940" w:type="dxa"/>
            <w:vAlign w:val="bottom"/>
            <w:tcBorders>
              <w:bottom w:val="single" w:sz="8" w:color="808080"/>
            </w:tcBorders>
          </w:tcPr>
          <w:p>
            <w:pPr>
              <w:spacing w:after="0"/>
              <w:rPr>
                <w:sz w:val="2"/>
                <w:szCs w:val="2"/>
                <w:color w:val="auto"/>
              </w:rPr>
            </w:pPr>
          </w:p>
        </w:tc>
        <w:tc>
          <w:tcPr>
            <w:tcW w:w="1540" w:type="dxa"/>
            <w:vAlign w:val="bottom"/>
            <w:tcBorders>
              <w:bottom w:val="single" w:sz="8" w:color="808080"/>
            </w:tcBorders>
          </w:tcPr>
          <w:p>
            <w:pPr>
              <w:spacing w:after="0"/>
              <w:rPr>
                <w:sz w:val="2"/>
                <w:szCs w:val="2"/>
                <w:color w:val="auto"/>
              </w:rPr>
            </w:pPr>
          </w:p>
        </w:tc>
        <w:tc>
          <w:tcPr>
            <w:tcW w:w="1380" w:type="dxa"/>
            <w:vAlign w:val="bottom"/>
            <w:tcBorders>
              <w:bottom w:val="single" w:sz="8" w:color="808080"/>
            </w:tcBorders>
          </w:tcPr>
          <w:p>
            <w:pPr>
              <w:spacing w:after="0"/>
              <w:rPr>
                <w:sz w:val="2"/>
                <w:szCs w:val="2"/>
                <w:color w:val="auto"/>
              </w:rPr>
            </w:pPr>
          </w:p>
        </w:tc>
        <w:tc>
          <w:tcPr>
            <w:tcW w:w="1240" w:type="dxa"/>
            <w:vAlign w:val="bottom"/>
            <w:tcBorders>
              <w:bottom w:val="single" w:sz="8" w:color="808080"/>
            </w:tcBorders>
          </w:tcPr>
          <w:p>
            <w:pPr>
              <w:spacing w:after="0"/>
              <w:rPr>
                <w:sz w:val="2"/>
                <w:szCs w:val="2"/>
                <w:color w:val="auto"/>
              </w:rPr>
            </w:pPr>
          </w:p>
        </w:tc>
        <w:tc>
          <w:tcPr>
            <w:tcW w:w="1460" w:type="dxa"/>
            <w:vAlign w:val="bottom"/>
            <w:tcBorders>
              <w:bottom w:val="single" w:sz="8" w:color="808080"/>
            </w:tcBorders>
          </w:tcPr>
          <w:p>
            <w:pPr>
              <w:spacing w:after="0"/>
              <w:rPr>
                <w:sz w:val="2"/>
                <w:szCs w:val="2"/>
                <w:color w:val="auto"/>
              </w:rPr>
            </w:pPr>
          </w:p>
        </w:tc>
      </w:tr>
    </w:tbl>
    <w:p>
      <w:pPr>
        <w:spacing w:after="0" w:line="153" w:lineRule="exact"/>
        <w:rPr>
          <w:sz w:val="20"/>
          <w:szCs w:val="20"/>
          <w:color w:val="auto"/>
        </w:rPr>
      </w:pPr>
    </w:p>
    <w:p>
      <w:pPr>
        <w:ind w:left="520" w:right="420" w:hanging="253"/>
        <w:spacing w:after="0" w:line="325" w:lineRule="auto"/>
        <w:tabs>
          <w:tab w:leader="none" w:pos="504"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 grant date fair value of equity awards represents the total of the amounts reported in the “Stock Awards” columns in the Summary Compensation Table for the applicable year.</w:t>
      </w:r>
    </w:p>
    <w:p>
      <w:pPr>
        <w:spacing w:after="0" w:line="9" w:lineRule="exact"/>
        <w:rPr>
          <w:rFonts w:ascii="Arial" w:cs="Arial" w:eastAsia="Arial" w:hAnsi="Arial"/>
          <w:sz w:val="14"/>
          <w:szCs w:val="14"/>
          <w:color w:val="auto"/>
        </w:rPr>
      </w:pPr>
    </w:p>
    <w:p>
      <w:pPr>
        <w:ind w:left="520" w:hanging="253"/>
        <w:spacing w:after="0"/>
        <w:tabs>
          <w:tab w:leader="none" w:pos="52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 amounts deducted or added in calculating the equity award adjustments are as follows:</w:t>
      </w:r>
    </w:p>
    <w:p>
      <w:pPr>
        <w:spacing w:after="0" w:line="185"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80" w:type="dxa"/>
            <w:vAlign w:val="bottom"/>
          </w:tcPr>
          <w:p>
            <w:pPr>
              <w:jc w:val="right"/>
              <w:ind w:right="113"/>
              <w:spacing w:after="0"/>
              <w:rPr>
                <w:sz w:val="20"/>
                <w:szCs w:val="20"/>
                <w:color w:val="auto"/>
              </w:rPr>
            </w:pPr>
            <w:r>
              <w:rPr>
                <w:rFonts w:ascii="Arial" w:cs="Arial" w:eastAsia="Arial" w:hAnsi="Arial"/>
                <w:sz w:val="13"/>
                <w:szCs w:val="13"/>
                <w:b w:val="1"/>
                <w:bCs w:val="1"/>
                <w:color w:val="170D67"/>
              </w:rPr>
              <w:t>Fair Value at the</w:t>
            </w:r>
          </w:p>
        </w:tc>
        <w:tc>
          <w:tcPr>
            <w:tcW w:w="1000" w:type="dxa"/>
            <w:vAlign w:val="bottom"/>
          </w:tcPr>
          <w:p>
            <w:pPr>
              <w:spacing w:after="0"/>
              <w:rPr>
                <w:sz w:val="14"/>
                <w:szCs w:val="14"/>
                <w:color w:val="auto"/>
              </w:rPr>
            </w:pPr>
          </w:p>
        </w:tc>
      </w:tr>
      <w:tr>
        <w:trPr>
          <w:trHeight w:val="162"/>
        </w:trPr>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jc w:val="right"/>
              <w:ind w:right="153"/>
              <w:spacing w:after="0"/>
              <w:rPr>
                <w:sz w:val="20"/>
                <w:szCs w:val="20"/>
                <w:color w:val="auto"/>
              </w:rPr>
            </w:pPr>
            <w:r>
              <w:rPr>
                <w:rFonts w:ascii="Arial" w:cs="Arial" w:eastAsia="Arial" w:hAnsi="Arial"/>
                <w:sz w:val="13"/>
                <w:szCs w:val="13"/>
                <w:b w:val="1"/>
                <w:bCs w:val="1"/>
                <w:color w:val="170D67"/>
              </w:rPr>
              <w:t>Year over Year</w:t>
            </w:r>
          </w:p>
        </w:tc>
        <w:tc>
          <w:tcPr>
            <w:tcW w:w="1520" w:type="dxa"/>
            <w:vAlign w:val="bottom"/>
          </w:tcPr>
          <w:p>
            <w:pPr>
              <w:spacing w:after="0"/>
              <w:rPr>
                <w:sz w:val="14"/>
                <w:szCs w:val="14"/>
                <w:color w:val="auto"/>
              </w:rPr>
            </w:pPr>
          </w:p>
        </w:tc>
        <w:tc>
          <w:tcPr>
            <w:tcW w:w="1580" w:type="dxa"/>
            <w:vAlign w:val="bottom"/>
          </w:tcPr>
          <w:p>
            <w:pPr>
              <w:jc w:val="right"/>
              <w:ind w:right="213"/>
              <w:spacing w:after="0"/>
              <w:rPr>
                <w:sz w:val="20"/>
                <w:szCs w:val="20"/>
                <w:color w:val="auto"/>
              </w:rPr>
            </w:pPr>
            <w:r>
              <w:rPr>
                <w:rFonts w:ascii="Arial" w:cs="Arial" w:eastAsia="Arial" w:hAnsi="Arial"/>
                <w:sz w:val="13"/>
                <w:szCs w:val="13"/>
                <w:b w:val="1"/>
                <w:bCs w:val="1"/>
                <w:color w:val="170D67"/>
              </w:rPr>
              <w:t>Year over Year</w:t>
            </w:r>
          </w:p>
        </w:tc>
        <w:tc>
          <w:tcPr>
            <w:tcW w:w="1580" w:type="dxa"/>
            <w:vAlign w:val="bottom"/>
          </w:tcPr>
          <w:p>
            <w:pPr>
              <w:jc w:val="right"/>
              <w:ind w:right="113"/>
              <w:spacing w:after="0"/>
              <w:rPr>
                <w:sz w:val="20"/>
                <w:szCs w:val="20"/>
                <w:color w:val="auto"/>
              </w:rPr>
            </w:pPr>
            <w:r>
              <w:rPr>
                <w:rFonts w:ascii="Arial" w:cs="Arial" w:eastAsia="Arial" w:hAnsi="Arial"/>
                <w:sz w:val="13"/>
                <w:szCs w:val="13"/>
                <w:b w:val="1"/>
                <w:bCs w:val="1"/>
                <w:color w:val="170D67"/>
              </w:rPr>
              <w:t>End of the Prior</w:t>
            </w:r>
          </w:p>
        </w:tc>
        <w:tc>
          <w:tcPr>
            <w:tcW w:w="1000" w:type="dxa"/>
            <w:vAlign w:val="bottom"/>
          </w:tcPr>
          <w:p>
            <w:pPr>
              <w:spacing w:after="0"/>
              <w:rPr>
                <w:sz w:val="14"/>
                <w:szCs w:val="14"/>
                <w:color w:val="auto"/>
              </w:rPr>
            </w:pPr>
          </w:p>
        </w:tc>
      </w:tr>
      <w:tr>
        <w:trPr>
          <w:trHeight w:val="162"/>
        </w:trPr>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jc w:val="right"/>
              <w:ind w:right="133"/>
              <w:spacing w:after="0"/>
              <w:rPr>
                <w:sz w:val="20"/>
                <w:szCs w:val="20"/>
                <w:color w:val="auto"/>
              </w:rPr>
            </w:pPr>
            <w:r>
              <w:rPr>
                <w:rFonts w:ascii="Arial" w:cs="Arial" w:eastAsia="Arial" w:hAnsi="Arial"/>
                <w:sz w:val="13"/>
                <w:szCs w:val="13"/>
                <w:b w:val="1"/>
                <w:bCs w:val="1"/>
                <w:color w:val="170D67"/>
              </w:rPr>
              <w:t>Change in</w:t>
            </w:r>
          </w:p>
        </w:tc>
        <w:tc>
          <w:tcPr>
            <w:tcW w:w="1520" w:type="dxa"/>
            <w:vAlign w:val="bottom"/>
          </w:tcPr>
          <w:p>
            <w:pPr>
              <w:jc w:val="right"/>
              <w:ind w:right="113"/>
              <w:spacing w:after="0"/>
              <w:rPr>
                <w:sz w:val="20"/>
                <w:szCs w:val="20"/>
                <w:color w:val="auto"/>
              </w:rPr>
            </w:pPr>
            <w:r>
              <w:rPr>
                <w:rFonts w:ascii="Arial" w:cs="Arial" w:eastAsia="Arial" w:hAnsi="Arial"/>
                <w:sz w:val="13"/>
                <w:szCs w:val="13"/>
                <w:b w:val="1"/>
                <w:bCs w:val="1"/>
                <w:color w:val="170D67"/>
              </w:rPr>
              <w:t>Fair Value as of</w:t>
            </w:r>
          </w:p>
        </w:tc>
        <w:tc>
          <w:tcPr>
            <w:tcW w:w="1580" w:type="dxa"/>
            <w:vAlign w:val="bottom"/>
          </w:tcPr>
          <w:p>
            <w:pPr>
              <w:jc w:val="right"/>
              <w:ind w:right="213"/>
              <w:spacing w:after="0"/>
              <w:rPr>
                <w:sz w:val="20"/>
                <w:szCs w:val="20"/>
                <w:color w:val="auto"/>
              </w:rPr>
            </w:pPr>
            <w:r>
              <w:rPr>
                <w:rFonts w:ascii="Arial" w:cs="Arial" w:eastAsia="Arial" w:hAnsi="Arial"/>
                <w:sz w:val="13"/>
                <w:szCs w:val="13"/>
                <w:b w:val="1"/>
                <w:bCs w:val="1"/>
                <w:color w:val="170D67"/>
              </w:rPr>
              <w:t>Change in Fair</w:t>
            </w:r>
          </w:p>
        </w:tc>
        <w:tc>
          <w:tcPr>
            <w:tcW w:w="1580" w:type="dxa"/>
            <w:vAlign w:val="bottom"/>
          </w:tcPr>
          <w:p>
            <w:pPr>
              <w:jc w:val="right"/>
              <w:ind w:right="113"/>
              <w:spacing w:after="0"/>
              <w:rPr>
                <w:sz w:val="20"/>
                <w:szCs w:val="20"/>
                <w:color w:val="auto"/>
              </w:rPr>
            </w:pPr>
            <w:r>
              <w:rPr>
                <w:rFonts w:ascii="Arial" w:cs="Arial" w:eastAsia="Arial" w:hAnsi="Arial"/>
                <w:sz w:val="13"/>
                <w:szCs w:val="13"/>
                <w:b w:val="1"/>
                <w:bCs w:val="1"/>
                <w:color w:val="170D67"/>
              </w:rPr>
              <w:t>Year of Equity</w:t>
            </w:r>
          </w:p>
        </w:tc>
        <w:tc>
          <w:tcPr>
            <w:tcW w:w="1000" w:type="dxa"/>
            <w:vAlign w:val="bottom"/>
          </w:tcPr>
          <w:p>
            <w:pPr>
              <w:spacing w:after="0"/>
              <w:rPr>
                <w:sz w:val="14"/>
                <w:szCs w:val="14"/>
                <w:color w:val="auto"/>
              </w:rPr>
            </w:pPr>
          </w:p>
        </w:tc>
      </w:tr>
      <w:tr>
        <w:trPr>
          <w:trHeight w:val="162"/>
        </w:trPr>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jc w:val="right"/>
              <w:ind w:right="133"/>
              <w:spacing w:after="0"/>
              <w:rPr>
                <w:sz w:val="20"/>
                <w:szCs w:val="20"/>
                <w:color w:val="auto"/>
              </w:rPr>
            </w:pPr>
            <w:r>
              <w:rPr>
                <w:rFonts w:ascii="Arial" w:cs="Arial" w:eastAsia="Arial" w:hAnsi="Arial"/>
                <w:sz w:val="13"/>
                <w:szCs w:val="13"/>
                <w:b w:val="1"/>
                <w:bCs w:val="1"/>
                <w:color w:val="170D67"/>
              </w:rPr>
              <w:t>Fair Value of</w:t>
            </w:r>
          </w:p>
        </w:tc>
        <w:tc>
          <w:tcPr>
            <w:tcW w:w="1520" w:type="dxa"/>
            <w:vAlign w:val="bottom"/>
          </w:tcPr>
          <w:p>
            <w:pPr>
              <w:jc w:val="right"/>
              <w:ind w:right="113"/>
              <w:spacing w:after="0"/>
              <w:rPr>
                <w:sz w:val="20"/>
                <w:szCs w:val="20"/>
                <w:color w:val="auto"/>
              </w:rPr>
            </w:pPr>
            <w:r>
              <w:rPr>
                <w:rFonts w:ascii="Arial" w:cs="Arial" w:eastAsia="Arial" w:hAnsi="Arial"/>
                <w:sz w:val="13"/>
                <w:szCs w:val="13"/>
                <w:b w:val="1"/>
                <w:bCs w:val="1"/>
                <w:color w:val="170D67"/>
              </w:rPr>
              <w:t>Vesting Date of</w:t>
            </w:r>
          </w:p>
        </w:tc>
        <w:tc>
          <w:tcPr>
            <w:tcW w:w="1580" w:type="dxa"/>
            <w:vAlign w:val="bottom"/>
          </w:tcPr>
          <w:p>
            <w:pPr>
              <w:jc w:val="right"/>
              <w:ind w:right="213"/>
              <w:spacing w:after="0"/>
              <w:rPr>
                <w:sz w:val="20"/>
                <w:szCs w:val="20"/>
                <w:color w:val="auto"/>
              </w:rPr>
            </w:pPr>
            <w:r>
              <w:rPr>
                <w:rFonts w:ascii="Arial" w:cs="Arial" w:eastAsia="Arial" w:hAnsi="Arial"/>
                <w:sz w:val="13"/>
                <w:szCs w:val="13"/>
                <w:b w:val="1"/>
                <w:bCs w:val="1"/>
                <w:color w:val="170D67"/>
              </w:rPr>
              <w:t>Value of Equity</w:t>
            </w:r>
          </w:p>
        </w:tc>
        <w:tc>
          <w:tcPr>
            <w:tcW w:w="1580" w:type="dxa"/>
            <w:vAlign w:val="bottom"/>
          </w:tcPr>
          <w:p>
            <w:pPr>
              <w:jc w:val="right"/>
              <w:ind w:right="73"/>
              <w:spacing w:after="0"/>
              <w:rPr>
                <w:sz w:val="20"/>
                <w:szCs w:val="20"/>
                <w:color w:val="auto"/>
              </w:rPr>
            </w:pPr>
            <w:r>
              <w:rPr>
                <w:rFonts w:ascii="Arial" w:cs="Arial" w:eastAsia="Arial" w:hAnsi="Arial"/>
                <w:sz w:val="13"/>
                <w:szCs w:val="13"/>
                <w:b w:val="1"/>
                <w:bCs w:val="1"/>
                <w:color w:val="170D67"/>
              </w:rPr>
              <w:t>Awards that Failed</w:t>
            </w:r>
          </w:p>
        </w:tc>
        <w:tc>
          <w:tcPr>
            <w:tcW w:w="1000" w:type="dxa"/>
            <w:vAlign w:val="bottom"/>
          </w:tcPr>
          <w:p>
            <w:pPr>
              <w:spacing w:after="0"/>
              <w:rPr>
                <w:sz w:val="14"/>
                <w:szCs w:val="14"/>
                <w:color w:val="auto"/>
              </w:rPr>
            </w:pPr>
          </w:p>
        </w:tc>
      </w:tr>
      <w:tr>
        <w:trPr>
          <w:trHeight w:val="162"/>
        </w:trPr>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jc w:val="right"/>
              <w:ind w:right="173"/>
              <w:spacing w:after="0"/>
              <w:rPr>
                <w:sz w:val="20"/>
                <w:szCs w:val="20"/>
                <w:color w:val="auto"/>
              </w:rPr>
            </w:pPr>
            <w:r>
              <w:rPr>
                <w:rFonts w:ascii="Arial" w:cs="Arial" w:eastAsia="Arial" w:hAnsi="Arial"/>
                <w:sz w:val="13"/>
                <w:szCs w:val="13"/>
                <w:b w:val="1"/>
                <w:bCs w:val="1"/>
                <w:color w:val="170D67"/>
              </w:rPr>
              <w:t>Year End</w:t>
            </w:r>
          </w:p>
        </w:tc>
        <w:tc>
          <w:tcPr>
            <w:tcW w:w="1340" w:type="dxa"/>
            <w:vAlign w:val="bottom"/>
          </w:tcPr>
          <w:p>
            <w:pPr>
              <w:jc w:val="right"/>
              <w:ind w:right="133"/>
              <w:spacing w:after="0"/>
              <w:rPr>
                <w:sz w:val="20"/>
                <w:szCs w:val="20"/>
                <w:color w:val="auto"/>
              </w:rPr>
            </w:pPr>
            <w:r>
              <w:rPr>
                <w:rFonts w:ascii="Arial" w:cs="Arial" w:eastAsia="Arial" w:hAnsi="Arial"/>
                <w:sz w:val="13"/>
                <w:szCs w:val="13"/>
                <w:b w:val="1"/>
                <w:bCs w:val="1"/>
                <w:color w:val="170D67"/>
              </w:rPr>
              <w:t>Outstanding</w:t>
            </w:r>
          </w:p>
        </w:tc>
        <w:tc>
          <w:tcPr>
            <w:tcW w:w="1520" w:type="dxa"/>
            <w:vAlign w:val="bottom"/>
          </w:tcPr>
          <w:p>
            <w:pPr>
              <w:jc w:val="right"/>
              <w:ind w:right="113"/>
              <w:spacing w:after="0"/>
              <w:rPr>
                <w:sz w:val="20"/>
                <w:szCs w:val="20"/>
                <w:color w:val="auto"/>
              </w:rPr>
            </w:pPr>
            <w:r>
              <w:rPr>
                <w:rFonts w:ascii="Arial" w:cs="Arial" w:eastAsia="Arial" w:hAnsi="Arial"/>
                <w:sz w:val="13"/>
                <w:szCs w:val="13"/>
                <w:b w:val="1"/>
                <w:bCs w:val="1"/>
                <w:color w:val="170D67"/>
              </w:rPr>
              <w:t>Equity Awards</w:t>
            </w:r>
          </w:p>
        </w:tc>
        <w:tc>
          <w:tcPr>
            <w:tcW w:w="1580" w:type="dxa"/>
            <w:vAlign w:val="bottom"/>
          </w:tcPr>
          <w:p>
            <w:pPr>
              <w:jc w:val="right"/>
              <w:ind w:right="213"/>
              <w:spacing w:after="0"/>
              <w:rPr>
                <w:sz w:val="20"/>
                <w:szCs w:val="20"/>
                <w:color w:val="auto"/>
              </w:rPr>
            </w:pPr>
            <w:r>
              <w:rPr>
                <w:rFonts w:ascii="Arial" w:cs="Arial" w:eastAsia="Arial" w:hAnsi="Arial"/>
                <w:sz w:val="13"/>
                <w:szCs w:val="13"/>
                <w:b w:val="1"/>
                <w:bCs w:val="1"/>
                <w:color w:val="170D67"/>
              </w:rPr>
              <w:t>Awards Granted</w:t>
            </w:r>
          </w:p>
        </w:tc>
        <w:tc>
          <w:tcPr>
            <w:tcW w:w="1580" w:type="dxa"/>
            <w:vAlign w:val="bottom"/>
          </w:tcPr>
          <w:p>
            <w:pPr>
              <w:jc w:val="right"/>
              <w:ind w:right="113"/>
              <w:spacing w:after="0"/>
              <w:rPr>
                <w:sz w:val="20"/>
                <w:szCs w:val="20"/>
                <w:color w:val="auto"/>
              </w:rPr>
            </w:pPr>
            <w:r>
              <w:rPr>
                <w:rFonts w:ascii="Arial" w:cs="Arial" w:eastAsia="Arial" w:hAnsi="Arial"/>
                <w:sz w:val="13"/>
                <w:szCs w:val="13"/>
                <w:b w:val="1"/>
                <w:bCs w:val="1"/>
                <w:color w:val="170D67"/>
              </w:rPr>
              <w:t>to Meet Vesting</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170D67"/>
              </w:rPr>
              <w:t>Total Equity</w:t>
            </w:r>
          </w:p>
        </w:tc>
      </w:tr>
      <w:tr>
        <w:trPr>
          <w:trHeight w:val="162"/>
        </w:trPr>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jc w:val="right"/>
              <w:ind w:right="173"/>
              <w:spacing w:after="0"/>
              <w:rPr>
                <w:sz w:val="20"/>
                <w:szCs w:val="20"/>
                <w:color w:val="auto"/>
              </w:rPr>
            </w:pPr>
            <w:r>
              <w:rPr>
                <w:rFonts w:ascii="Arial" w:cs="Arial" w:eastAsia="Arial" w:hAnsi="Arial"/>
                <w:sz w:val="13"/>
                <w:szCs w:val="13"/>
                <w:b w:val="1"/>
                <w:bCs w:val="1"/>
                <w:color w:val="170D67"/>
              </w:rPr>
              <w:t>Fair Value</w:t>
            </w:r>
          </w:p>
        </w:tc>
        <w:tc>
          <w:tcPr>
            <w:tcW w:w="1340" w:type="dxa"/>
            <w:vAlign w:val="bottom"/>
          </w:tcPr>
          <w:p>
            <w:pPr>
              <w:jc w:val="right"/>
              <w:ind w:right="153"/>
              <w:spacing w:after="0"/>
              <w:rPr>
                <w:sz w:val="20"/>
                <w:szCs w:val="20"/>
                <w:color w:val="auto"/>
              </w:rPr>
            </w:pPr>
            <w:r>
              <w:rPr>
                <w:rFonts w:ascii="Arial" w:cs="Arial" w:eastAsia="Arial" w:hAnsi="Arial"/>
                <w:sz w:val="13"/>
                <w:szCs w:val="13"/>
                <w:b w:val="1"/>
                <w:bCs w:val="1"/>
                <w:color w:val="170D67"/>
              </w:rPr>
              <w:t>and Unvested</w:t>
            </w:r>
          </w:p>
        </w:tc>
        <w:tc>
          <w:tcPr>
            <w:tcW w:w="1520" w:type="dxa"/>
            <w:vAlign w:val="bottom"/>
          </w:tcPr>
          <w:p>
            <w:pPr>
              <w:jc w:val="right"/>
              <w:ind w:right="113"/>
              <w:spacing w:after="0"/>
              <w:rPr>
                <w:sz w:val="20"/>
                <w:szCs w:val="20"/>
                <w:color w:val="auto"/>
              </w:rPr>
            </w:pPr>
            <w:r>
              <w:rPr>
                <w:rFonts w:ascii="Arial" w:cs="Arial" w:eastAsia="Arial" w:hAnsi="Arial"/>
                <w:sz w:val="13"/>
                <w:szCs w:val="13"/>
                <w:b w:val="1"/>
                <w:bCs w:val="1"/>
                <w:color w:val="170D67"/>
              </w:rPr>
              <w:t>Granted and</w:t>
            </w:r>
          </w:p>
        </w:tc>
        <w:tc>
          <w:tcPr>
            <w:tcW w:w="1580" w:type="dxa"/>
            <w:vAlign w:val="bottom"/>
          </w:tcPr>
          <w:p>
            <w:pPr>
              <w:jc w:val="right"/>
              <w:ind w:right="213"/>
              <w:spacing w:after="0"/>
              <w:rPr>
                <w:sz w:val="20"/>
                <w:szCs w:val="20"/>
                <w:color w:val="auto"/>
              </w:rPr>
            </w:pPr>
            <w:r>
              <w:rPr>
                <w:rFonts w:ascii="Arial" w:cs="Arial" w:eastAsia="Arial" w:hAnsi="Arial"/>
                <w:sz w:val="13"/>
                <w:szCs w:val="13"/>
                <w:b w:val="1"/>
                <w:bCs w:val="1"/>
                <w:color w:val="170D67"/>
              </w:rPr>
              <w:t>in Prior Years that</w:t>
            </w:r>
          </w:p>
        </w:tc>
        <w:tc>
          <w:tcPr>
            <w:tcW w:w="1580" w:type="dxa"/>
            <w:vAlign w:val="bottom"/>
          </w:tcPr>
          <w:p>
            <w:pPr>
              <w:jc w:val="right"/>
              <w:ind w:right="113"/>
              <w:spacing w:after="0"/>
              <w:rPr>
                <w:sz w:val="20"/>
                <w:szCs w:val="20"/>
                <w:color w:val="auto"/>
              </w:rPr>
            </w:pPr>
            <w:r>
              <w:rPr>
                <w:rFonts w:ascii="Arial" w:cs="Arial" w:eastAsia="Arial" w:hAnsi="Arial"/>
                <w:sz w:val="13"/>
                <w:szCs w:val="13"/>
                <w:b w:val="1"/>
                <w:bCs w:val="1"/>
                <w:color w:val="170D67"/>
              </w:rPr>
              <w:t>Conditions in</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170D67"/>
              </w:rPr>
              <w:t>Award</w:t>
            </w:r>
          </w:p>
        </w:tc>
      </w:tr>
      <w:tr>
        <w:trPr>
          <w:trHeight w:val="162"/>
        </w:trPr>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jc w:val="right"/>
              <w:ind w:right="173"/>
              <w:spacing w:after="0"/>
              <w:rPr>
                <w:sz w:val="20"/>
                <w:szCs w:val="20"/>
                <w:color w:val="auto"/>
              </w:rPr>
            </w:pPr>
            <w:r>
              <w:rPr>
                <w:rFonts w:ascii="Arial" w:cs="Arial" w:eastAsia="Arial" w:hAnsi="Arial"/>
                <w:sz w:val="13"/>
                <w:szCs w:val="13"/>
                <w:b w:val="1"/>
                <w:bCs w:val="1"/>
                <w:color w:val="170D67"/>
              </w:rPr>
              <w:t>of Equity Awards</w:t>
            </w:r>
          </w:p>
        </w:tc>
        <w:tc>
          <w:tcPr>
            <w:tcW w:w="1340" w:type="dxa"/>
            <w:vAlign w:val="bottom"/>
          </w:tcPr>
          <w:p>
            <w:pPr>
              <w:jc w:val="right"/>
              <w:ind w:right="133"/>
              <w:spacing w:after="0"/>
              <w:rPr>
                <w:sz w:val="20"/>
                <w:szCs w:val="20"/>
                <w:color w:val="auto"/>
              </w:rPr>
            </w:pPr>
            <w:r>
              <w:rPr>
                <w:rFonts w:ascii="Arial" w:cs="Arial" w:eastAsia="Arial" w:hAnsi="Arial"/>
                <w:sz w:val="13"/>
                <w:szCs w:val="13"/>
                <w:b w:val="1"/>
                <w:bCs w:val="1"/>
                <w:color w:val="170D67"/>
              </w:rPr>
              <w:t>Equity Awards</w:t>
            </w:r>
          </w:p>
        </w:tc>
        <w:tc>
          <w:tcPr>
            <w:tcW w:w="1520" w:type="dxa"/>
            <w:vAlign w:val="bottom"/>
          </w:tcPr>
          <w:p>
            <w:pPr>
              <w:jc w:val="right"/>
              <w:ind w:right="113"/>
              <w:spacing w:after="0"/>
              <w:rPr>
                <w:sz w:val="20"/>
                <w:szCs w:val="20"/>
                <w:color w:val="auto"/>
              </w:rPr>
            </w:pPr>
            <w:r>
              <w:rPr>
                <w:rFonts w:ascii="Arial" w:cs="Arial" w:eastAsia="Arial" w:hAnsi="Arial"/>
                <w:sz w:val="13"/>
                <w:szCs w:val="13"/>
                <w:b w:val="1"/>
                <w:bCs w:val="1"/>
                <w:color w:val="170D67"/>
              </w:rPr>
              <w:t>Vested in the Year</w:t>
            </w:r>
          </w:p>
        </w:tc>
        <w:tc>
          <w:tcPr>
            <w:tcW w:w="1580" w:type="dxa"/>
            <w:vAlign w:val="bottom"/>
          </w:tcPr>
          <w:p>
            <w:pPr>
              <w:jc w:val="right"/>
              <w:ind w:right="213"/>
              <w:spacing w:after="0"/>
              <w:rPr>
                <w:sz w:val="20"/>
                <w:szCs w:val="20"/>
                <w:color w:val="auto"/>
              </w:rPr>
            </w:pPr>
            <w:r>
              <w:rPr>
                <w:rFonts w:ascii="Arial" w:cs="Arial" w:eastAsia="Arial" w:hAnsi="Arial"/>
                <w:sz w:val="13"/>
                <w:szCs w:val="13"/>
                <w:b w:val="1"/>
                <w:bCs w:val="1"/>
                <w:color w:val="170D67"/>
              </w:rPr>
              <w:t>Vested in the Year</w:t>
            </w:r>
          </w:p>
        </w:tc>
        <w:tc>
          <w:tcPr>
            <w:tcW w:w="1580" w:type="dxa"/>
            <w:vAlign w:val="bottom"/>
          </w:tcPr>
          <w:p>
            <w:pPr>
              <w:jc w:val="right"/>
              <w:ind w:right="113"/>
              <w:spacing w:after="0"/>
              <w:rPr>
                <w:sz w:val="20"/>
                <w:szCs w:val="20"/>
                <w:color w:val="auto"/>
              </w:rPr>
            </w:pPr>
            <w:r>
              <w:rPr>
                <w:rFonts w:ascii="Arial" w:cs="Arial" w:eastAsia="Arial" w:hAnsi="Arial"/>
                <w:sz w:val="13"/>
                <w:szCs w:val="13"/>
                <w:b w:val="1"/>
                <w:bCs w:val="1"/>
                <w:color w:val="170D67"/>
              </w:rPr>
              <w:t>the Year</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170D67"/>
              </w:rPr>
              <w:t>Adjustments</w:t>
            </w:r>
          </w:p>
        </w:tc>
      </w:tr>
      <w:tr>
        <w:trPr>
          <w:trHeight w:val="197"/>
        </w:trPr>
        <w:tc>
          <w:tcPr>
            <w:tcW w:w="340" w:type="dxa"/>
            <w:vAlign w:val="bottom"/>
            <w:tcBorders>
              <w:bottom w:val="single" w:sz="8" w:color="170D67"/>
            </w:tcBorders>
          </w:tcPr>
          <w:p>
            <w:pPr>
              <w:spacing w:after="0"/>
              <w:rPr>
                <w:sz w:val="17"/>
                <w:szCs w:val="17"/>
                <w:color w:val="auto"/>
              </w:rPr>
            </w:pPr>
          </w:p>
        </w:tc>
        <w:tc>
          <w:tcPr>
            <w:tcW w:w="1220" w:type="dxa"/>
            <w:vAlign w:val="bottom"/>
            <w:tcBorders>
              <w:bottom w:val="single" w:sz="8" w:color="170D67"/>
            </w:tcBorders>
          </w:tcPr>
          <w:p>
            <w:pPr>
              <w:spacing w:after="0"/>
              <w:rPr>
                <w:sz w:val="17"/>
                <w:szCs w:val="17"/>
                <w:color w:val="auto"/>
              </w:rPr>
            </w:pPr>
          </w:p>
        </w:tc>
        <w:tc>
          <w:tcPr>
            <w:tcW w:w="1500" w:type="dxa"/>
            <w:vAlign w:val="bottom"/>
            <w:tcBorders>
              <w:bottom w:val="single" w:sz="8" w:color="170D67"/>
            </w:tcBorders>
          </w:tcPr>
          <w:p>
            <w:pPr>
              <w:jc w:val="right"/>
              <w:ind w:right="133"/>
              <w:spacing w:after="0"/>
              <w:rPr>
                <w:sz w:val="20"/>
                <w:szCs w:val="20"/>
                <w:color w:val="auto"/>
              </w:rPr>
            </w:pPr>
            <w:r>
              <w:rPr>
                <w:rFonts w:ascii="Arial" w:cs="Arial" w:eastAsia="Arial" w:hAnsi="Arial"/>
                <w:sz w:val="13"/>
                <w:szCs w:val="13"/>
                <w:b w:val="1"/>
                <w:bCs w:val="1"/>
                <w:color w:val="170D67"/>
              </w:rPr>
              <w:t>($)</w:t>
            </w:r>
          </w:p>
        </w:tc>
        <w:tc>
          <w:tcPr>
            <w:tcW w:w="1340" w:type="dxa"/>
            <w:vAlign w:val="bottom"/>
            <w:tcBorders>
              <w:bottom w:val="single" w:sz="8" w:color="170D67"/>
            </w:tcBorders>
          </w:tcPr>
          <w:p>
            <w:pPr>
              <w:jc w:val="right"/>
              <w:ind w:right="113"/>
              <w:spacing w:after="0"/>
              <w:rPr>
                <w:sz w:val="20"/>
                <w:szCs w:val="20"/>
                <w:color w:val="auto"/>
              </w:rPr>
            </w:pPr>
            <w:r>
              <w:rPr>
                <w:rFonts w:ascii="Arial" w:cs="Arial" w:eastAsia="Arial" w:hAnsi="Arial"/>
                <w:sz w:val="13"/>
                <w:szCs w:val="13"/>
                <w:b w:val="1"/>
                <w:bCs w:val="1"/>
                <w:color w:val="170D67"/>
              </w:rPr>
              <w:t>($)</w:t>
            </w:r>
          </w:p>
        </w:tc>
        <w:tc>
          <w:tcPr>
            <w:tcW w:w="1520" w:type="dxa"/>
            <w:vAlign w:val="bottom"/>
            <w:tcBorders>
              <w:bottom w:val="single" w:sz="8" w:color="170D67"/>
            </w:tcBorders>
          </w:tcPr>
          <w:p>
            <w:pPr>
              <w:jc w:val="right"/>
              <w:ind w:right="73"/>
              <w:spacing w:after="0"/>
              <w:rPr>
                <w:sz w:val="20"/>
                <w:szCs w:val="20"/>
                <w:color w:val="auto"/>
              </w:rPr>
            </w:pPr>
            <w:r>
              <w:rPr>
                <w:rFonts w:ascii="Arial" w:cs="Arial" w:eastAsia="Arial" w:hAnsi="Arial"/>
                <w:sz w:val="13"/>
                <w:szCs w:val="13"/>
                <w:b w:val="1"/>
                <w:bCs w:val="1"/>
                <w:color w:val="170D67"/>
              </w:rPr>
              <w:t>($)</w:t>
            </w:r>
          </w:p>
        </w:tc>
        <w:tc>
          <w:tcPr>
            <w:tcW w:w="1580" w:type="dxa"/>
            <w:vAlign w:val="bottom"/>
            <w:tcBorders>
              <w:bottom w:val="single" w:sz="8" w:color="170D67"/>
            </w:tcBorders>
          </w:tcPr>
          <w:p>
            <w:pPr>
              <w:jc w:val="right"/>
              <w:ind w:right="173"/>
              <w:spacing w:after="0"/>
              <w:rPr>
                <w:sz w:val="20"/>
                <w:szCs w:val="20"/>
                <w:color w:val="auto"/>
              </w:rPr>
            </w:pPr>
            <w:r>
              <w:rPr>
                <w:rFonts w:ascii="Arial" w:cs="Arial" w:eastAsia="Arial" w:hAnsi="Arial"/>
                <w:sz w:val="13"/>
                <w:szCs w:val="13"/>
                <w:b w:val="1"/>
                <w:bCs w:val="1"/>
                <w:color w:val="170D67"/>
              </w:rPr>
              <w:t>($)</w:t>
            </w:r>
          </w:p>
        </w:tc>
        <w:tc>
          <w:tcPr>
            <w:tcW w:w="1580" w:type="dxa"/>
            <w:vAlign w:val="bottom"/>
            <w:tcBorders>
              <w:bottom w:val="single" w:sz="8" w:color="170D67"/>
            </w:tcBorders>
          </w:tcPr>
          <w:p>
            <w:pPr>
              <w:jc w:val="right"/>
              <w:ind w:right="73"/>
              <w:spacing w:after="0"/>
              <w:rPr>
                <w:sz w:val="20"/>
                <w:szCs w:val="20"/>
                <w:color w:val="auto"/>
              </w:rPr>
            </w:pPr>
            <w:r>
              <w:rPr>
                <w:rFonts w:ascii="Arial" w:cs="Arial" w:eastAsia="Arial" w:hAnsi="Arial"/>
                <w:sz w:val="13"/>
                <w:szCs w:val="13"/>
                <w:b w:val="1"/>
                <w:bCs w:val="1"/>
                <w:color w:val="170D67"/>
              </w:rPr>
              <w:t>($)</w:t>
            </w:r>
          </w:p>
        </w:tc>
        <w:tc>
          <w:tcPr>
            <w:tcW w:w="1000" w:type="dxa"/>
            <w:vAlign w:val="bottom"/>
            <w:tcBorders>
              <w:bottom w:val="single" w:sz="8" w:color="170D67"/>
            </w:tcBorders>
          </w:tcPr>
          <w:p>
            <w:pPr>
              <w:jc w:val="right"/>
              <w:spacing w:after="0"/>
              <w:rPr>
                <w:sz w:val="20"/>
                <w:szCs w:val="20"/>
                <w:color w:val="auto"/>
              </w:rPr>
            </w:pPr>
            <w:r>
              <w:rPr>
                <w:rFonts w:ascii="Arial" w:cs="Arial" w:eastAsia="Arial" w:hAnsi="Arial"/>
                <w:sz w:val="13"/>
                <w:szCs w:val="13"/>
                <w:b w:val="1"/>
                <w:bCs w:val="1"/>
                <w:color w:val="170D67"/>
              </w:rPr>
              <w:t>($)</w:t>
            </w:r>
          </w:p>
        </w:tc>
      </w:tr>
      <w:tr>
        <w:trPr>
          <w:trHeight w:val="191"/>
        </w:trPr>
        <w:tc>
          <w:tcPr>
            <w:tcW w:w="340" w:type="dxa"/>
            <w:vAlign w:val="bottom"/>
          </w:tcPr>
          <w:p>
            <w:pPr>
              <w:jc w:val="right"/>
              <w:spacing w:after="0"/>
              <w:rPr>
                <w:sz w:val="20"/>
                <w:szCs w:val="20"/>
                <w:color w:val="auto"/>
              </w:rPr>
            </w:pPr>
            <w:r>
              <w:rPr>
                <w:rFonts w:ascii="Arial" w:cs="Arial" w:eastAsia="Arial" w:hAnsi="Arial"/>
                <w:sz w:val="13"/>
                <w:szCs w:val="13"/>
                <w:color w:val="auto"/>
              </w:rPr>
              <w:t>2024</w:t>
            </w:r>
          </w:p>
        </w:tc>
        <w:tc>
          <w:tcPr>
            <w:tcW w:w="1220" w:type="dxa"/>
            <w:vAlign w:val="bottom"/>
          </w:tcPr>
          <w:p>
            <w:pPr>
              <w:ind w:left="20"/>
              <w:spacing w:after="0"/>
              <w:rPr>
                <w:sz w:val="20"/>
                <w:szCs w:val="20"/>
                <w:color w:val="auto"/>
              </w:rPr>
            </w:pPr>
            <w:r>
              <w:rPr>
                <w:rFonts w:ascii="Arial" w:cs="Arial" w:eastAsia="Arial" w:hAnsi="Arial"/>
                <w:sz w:val="13"/>
                <w:szCs w:val="13"/>
                <w:color w:val="auto"/>
              </w:rPr>
              <w:t>- Butler</w:t>
            </w:r>
          </w:p>
        </w:tc>
        <w:tc>
          <w:tcPr>
            <w:tcW w:w="1500" w:type="dxa"/>
            <w:vAlign w:val="bottom"/>
          </w:tcPr>
          <w:p>
            <w:pPr>
              <w:jc w:val="right"/>
              <w:ind w:right="173"/>
              <w:spacing w:after="0"/>
              <w:rPr>
                <w:sz w:val="20"/>
                <w:szCs w:val="20"/>
                <w:color w:val="auto"/>
              </w:rPr>
            </w:pPr>
            <w:r>
              <w:rPr>
                <w:rFonts w:ascii="Arial" w:cs="Arial" w:eastAsia="Arial" w:hAnsi="Arial"/>
                <w:sz w:val="13"/>
                <w:szCs w:val="13"/>
                <w:color w:val="auto"/>
              </w:rPr>
              <w:t>9,500,246</w:t>
            </w:r>
          </w:p>
        </w:tc>
        <w:tc>
          <w:tcPr>
            <w:tcW w:w="1340" w:type="dxa"/>
            <w:vAlign w:val="bottom"/>
          </w:tcPr>
          <w:p>
            <w:pPr>
              <w:jc w:val="right"/>
              <w:ind w:right="113"/>
              <w:spacing w:after="0"/>
              <w:rPr>
                <w:sz w:val="20"/>
                <w:szCs w:val="20"/>
                <w:color w:val="auto"/>
              </w:rPr>
            </w:pPr>
            <w:r>
              <w:rPr>
                <w:rFonts w:ascii="Arial" w:cs="Arial" w:eastAsia="Arial" w:hAnsi="Arial"/>
                <w:sz w:val="13"/>
                <w:szCs w:val="13"/>
                <w:color w:val="auto"/>
              </w:rPr>
              <w:t>(149,209)</w:t>
            </w:r>
          </w:p>
        </w:tc>
        <w:tc>
          <w:tcPr>
            <w:tcW w:w="1520" w:type="dxa"/>
            <w:vAlign w:val="bottom"/>
          </w:tcPr>
          <w:p>
            <w:pPr>
              <w:jc w:val="right"/>
              <w:ind w:right="73"/>
              <w:spacing w:after="0"/>
              <w:rPr>
                <w:sz w:val="20"/>
                <w:szCs w:val="20"/>
                <w:color w:val="auto"/>
              </w:rPr>
            </w:pPr>
            <w:r>
              <w:rPr>
                <w:rFonts w:ascii="Arial" w:cs="Arial" w:eastAsia="Arial" w:hAnsi="Arial"/>
                <w:sz w:val="13"/>
                <w:szCs w:val="13"/>
                <w:color w:val="auto"/>
              </w:rPr>
              <w:t>0</w:t>
            </w:r>
          </w:p>
        </w:tc>
        <w:tc>
          <w:tcPr>
            <w:tcW w:w="1580" w:type="dxa"/>
            <w:vAlign w:val="bottom"/>
          </w:tcPr>
          <w:p>
            <w:pPr>
              <w:jc w:val="right"/>
              <w:ind w:right="213"/>
              <w:spacing w:after="0"/>
              <w:rPr>
                <w:sz w:val="20"/>
                <w:szCs w:val="20"/>
                <w:color w:val="auto"/>
              </w:rPr>
            </w:pPr>
            <w:r>
              <w:rPr>
                <w:rFonts w:ascii="Arial" w:cs="Arial" w:eastAsia="Arial" w:hAnsi="Arial"/>
                <w:sz w:val="13"/>
                <w:szCs w:val="13"/>
                <w:color w:val="auto"/>
              </w:rPr>
              <w:t>29,326</w:t>
            </w:r>
          </w:p>
        </w:tc>
        <w:tc>
          <w:tcPr>
            <w:tcW w:w="1580" w:type="dxa"/>
            <w:vAlign w:val="bottom"/>
          </w:tcPr>
          <w:p>
            <w:pPr>
              <w:jc w:val="right"/>
              <w:ind w:right="73"/>
              <w:spacing w:after="0"/>
              <w:rPr>
                <w:sz w:val="20"/>
                <w:szCs w:val="20"/>
                <w:color w:val="auto"/>
              </w:rPr>
            </w:pPr>
            <w:r>
              <w:rPr>
                <w:rFonts w:ascii="Arial" w:cs="Arial" w:eastAsia="Arial" w:hAnsi="Arial"/>
                <w:sz w:val="13"/>
                <w:szCs w:val="13"/>
                <w:color w:val="auto"/>
              </w:rPr>
              <w:t>0</w:t>
            </w:r>
          </w:p>
        </w:tc>
        <w:tc>
          <w:tcPr>
            <w:tcW w:w="1000" w:type="dxa"/>
            <w:vAlign w:val="bottom"/>
          </w:tcPr>
          <w:p>
            <w:pPr>
              <w:jc w:val="right"/>
              <w:spacing w:after="0"/>
              <w:rPr>
                <w:sz w:val="20"/>
                <w:szCs w:val="20"/>
                <w:color w:val="auto"/>
              </w:rPr>
            </w:pPr>
            <w:r>
              <w:rPr>
                <w:rFonts w:ascii="Arial" w:cs="Arial" w:eastAsia="Arial" w:hAnsi="Arial"/>
                <w:sz w:val="13"/>
                <w:szCs w:val="13"/>
                <w:color w:val="auto"/>
              </w:rPr>
              <w:t>9,380,363</w:t>
            </w:r>
          </w:p>
        </w:tc>
      </w:tr>
      <w:tr>
        <w:trPr>
          <w:trHeight w:val="25"/>
        </w:trPr>
        <w:tc>
          <w:tcPr>
            <w:tcW w:w="340" w:type="dxa"/>
            <w:vAlign w:val="bottom"/>
            <w:tcBorders>
              <w:bottom w:val="single" w:sz="8" w:color="6D6D6D"/>
            </w:tcBorders>
          </w:tcPr>
          <w:p>
            <w:pPr>
              <w:spacing w:after="0"/>
              <w:rPr>
                <w:sz w:val="2"/>
                <w:szCs w:val="2"/>
                <w:color w:val="auto"/>
              </w:rPr>
            </w:pPr>
          </w:p>
        </w:tc>
        <w:tc>
          <w:tcPr>
            <w:tcW w:w="1220" w:type="dxa"/>
            <w:vAlign w:val="bottom"/>
            <w:tcBorders>
              <w:bottom w:val="single" w:sz="8" w:color="6D6D6D"/>
            </w:tcBorders>
          </w:tcPr>
          <w:p>
            <w:pPr>
              <w:spacing w:after="0"/>
              <w:rPr>
                <w:sz w:val="2"/>
                <w:szCs w:val="2"/>
                <w:color w:val="auto"/>
              </w:rPr>
            </w:pPr>
          </w:p>
        </w:tc>
        <w:tc>
          <w:tcPr>
            <w:tcW w:w="1500" w:type="dxa"/>
            <w:vAlign w:val="bottom"/>
            <w:tcBorders>
              <w:bottom w:val="single" w:sz="8" w:color="929292"/>
            </w:tcBorders>
          </w:tcPr>
          <w:p>
            <w:pPr>
              <w:spacing w:after="0"/>
              <w:rPr>
                <w:sz w:val="2"/>
                <w:szCs w:val="2"/>
                <w:color w:val="auto"/>
              </w:rPr>
            </w:pPr>
          </w:p>
        </w:tc>
        <w:tc>
          <w:tcPr>
            <w:tcW w:w="1340" w:type="dxa"/>
            <w:vAlign w:val="bottom"/>
            <w:tcBorders>
              <w:bottom w:val="single" w:sz="8" w:color="929292"/>
            </w:tcBorders>
          </w:tcPr>
          <w:p>
            <w:pPr>
              <w:spacing w:after="0"/>
              <w:rPr>
                <w:sz w:val="2"/>
                <w:szCs w:val="2"/>
                <w:color w:val="auto"/>
              </w:rPr>
            </w:pPr>
          </w:p>
        </w:tc>
        <w:tc>
          <w:tcPr>
            <w:tcW w:w="1520" w:type="dxa"/>
            <w:vAlign w:val="bottom"/>
            <w:tcBorders>
              <w:bottom w:val="single" w:sz="8" w:color="929292"/>
            </w:tcBorders>
          </w:tcPr>
          <w:p>
            <w:pPr>
              <w:spacing w:after="0"/>
              <w:rPr>
                <w:sz w:val="2"/>
                <w:szCs w:val="2"/>
                <w:color w:val="auto"/>
              </w:rPr>
            </w:pPr>
          </w:p>
        </w:tc>
        <w:tc>
          <w:tcPr>
            <w:tcW w:w="1580" w:type="dxa"/>
            <w:vAlign w:val="bottom"/>
            <w:tcBorders>
              <w:bottom w:val="single" w:sz="8" w:color="929292"/>
            </w:tcBorders>
          </w:tcPr>
          <w:p>
            <w:pPr>
              <w:spacing w:after="0"/>
              <w:rPr>
                <w:sz w:val="2"/>
                <w:szCs w:val="2"/>
                <w:color w:val="auto"/>
              </w:rPr>
            </w:pPr>
          </w:p>
        </w:tc>
        <w:tc>
          <w:tcPr>
            <w:tcW w:w="1580" w:type="dxa"/>
            <w:vAlign w:val="bottom"/>
            <w:tcBorders>
              <w:bottom w:val="single" w:sz="8" w:color="929292"/>
            </w:tcBorders>
          </w:tcPr>
          <w:p>
            <w:pPr>
              <w:spacing w:after="0"/>
              <w:rPr>
                <w:sz w:val="2"/>
                <w:szCs w:val="2"/>
                <w:color w:val="auto"/>
              </w:rPr>
            </w:pPr>
          </w:p>
        </w:tc>
        <w:tc>
          <w:tcPr>
            <w:tcW w:w="1000" w:type="dxa"/>
            <w:vAlign w:val="bottom"/>
            <w:tcBorders>
              <w:bottom w:val="single" w:sz="8" w:color="929292"/>
            </w:tcBorders>
          </w:tcPr>
          <w:p>
            <w:pPr>
              <w:spacing w:after="0"/>
              <w:rPr>
                <w:sz w:val="2"/>
                <w:szCs w:val="2"/>
                <w:color w:val="auto"/>
              </w:rPr>
            </w:pPr>
          </w:p>
        </w:tc>
      </w:tr>
      <w:tr>
        <w:trPr>
          <w:trHeight w:val="184"/>
        </w:trPr>
        <w:tc>
          <w:tcPr>
            <w:tcW w:w="340" w:type="dxa"/>
            <w:vAlign w:val="bottom"/>
          </w:tcPr>
          <w:p>
            <w:pPr>
              <w:jc w:val="right"/>
              <w:spacing w:after="0"/>
              <w:rPr>
                <w:sz w:val="20"/>
                <w:szCs w:val="20"/>
                <w:color w:val="auto"/>
              </w:rPr>
            </w:pPr>
            <w:r>
              <w:rPr>
                <w:rFonts w:ascii="Arial" w:cs="Arial" w:eastAsia="Arial" w:hAnsi="Arial"/>
                <w:sz w:val="13"/>
                <w:szCs w:val="13"/>
                <w:color w:val="auto"/>
              </w:rPr>
              <w:t>2023</w:t>
            </w:r>
          </w:p>
        </w:tc>
        <w:tc>
          <w:tcPr>
            <w:tcW w:w="1220" w:type="dxa"/>
            <w:vAlign w:val="bottom"/>
          </w:tcPr>
          <w:p>
            <w:pPr>
              <w:ind w:left="20"/>
              <w:spacing w:after="0"/>
              <w:rPr>
                <w:sz w:val="20"/>
                <w:szCs w:val="20"/>
                <w:color w:val="auto"/>
              </w:rPr>
            </w:pPr>
            <w:r>
              <w:rPr>
                <w:rFonts w:ascii="Arial" w:cs="Arial" w:eastAsia="Arial" w:hAnsi="Arial"/>
                <w:sz w:val="13"/>
                <w:szCs w:val="13"/>
                <w:color w:val="auto"/>
              </w:rPr>
              <w:t>- Butler</w:t>
            </w:r>
          </w:p>
        </w:tc>
        <w:tc>
          <w:tcPr>
            <w:tcW w:w="1500" w:type="dxa"/>
            <w:vAlign w:val="bottom"/>
          </w:tcPr>
          <w:p>
            <w:pPr>
              <w:jc w:val="right"/>
              <w:ind w:right="173"/>
              <w:spacing w:after="0"/>
              <w:rPr>
                <w:sz w:val="20"/>
                <w:szCs w:val="20"/>
                <w:color w:val="auto"/>
              </w:rPr>
            </w:pPr>
            <w:r>
              <w:rPr>
                <w:rFonts w:ascii="Arial" w:cs="Arial" w:eastAsia="Arial" w:hAnsi="Arial"/>
                <w:sz w:val="13"/>
                <w:szCs w:val="13"/>
                <w:color w:val="auto"/>
              </w:rPr>
              <w:t>6,395,326</w:t>
            </w:r>
          </w:p>
        </w:tc>
        <w:tc>
          <w:tcPr>
            <w:tcW w:w="1340" w:type="dxa"/>
            <w:vAlign w:val="bottom"/>
          </w:tcPr>
          <w:p>
            <w:pPr>
              <w:jc w:val="right"/>
              <w:ind w:right="113"/>
              <w:spacing w:after="0"/>
              <w:rPr>
                <w:sz w:val="20"/>
                <w:szCs w:val="20"/>
                <w:color w:val="auto"/>
              </w:rPr>
            </w:pPr>
            <w:r>
              <w:rPr>
                <w:rFonts w:ascii="Arial" w:cs="Arial" w:eastAsia="Arial" w:hAnsi="Arial"/>
                <w:sz w:val="13"/>
                <w:szCs w:val="13"/>
                <w:color w:val="auto"/>
              </w:rPr>
              <w:t>(1,150,012)</w:t>
            </w:r>
          </w:p>
        </w:tc>
        <w:tc>
          <w:tcPr>
            <w:tcW w:w="1520" w:type="dxa"/>
            <w:vAlign w:val="bottom"/>
          </w:tcPr>
          <w:p>
            <w:pPr>
              <w:jc w:val="right"/>
              <w:ind w:right="73"/>
              <w:spacing w:after="0"/>
              <w:rPr>
                <w:sz w:val="20"/>
                <w:szCs w:val="20"/>
                <w:color w:val="auto"/>
              </w:rPr>
            </w:pPr>
            <w:r>
              <w:rPr>
                <w:rFonts w:ascii="Arial" w:cs="Arial" w:eastAsia="Arial" w:hAnsi="Arial"/>
                <w:sz w:val="13"/>
                <w:szCs w:val="13"/>
                <w:color w:val="auto"/>
              </w:rPr>
              <w:t>0</w:t>
            </w:r>
          </w:p>
        </w:tc>
        <w:tc>
          <w:tcPr>
            <w:tcW w:w="1580" w:type="dxa"/>
            <w:vAlign w:val="bottom"/>
          </w:tcPr>
          <w:p>
            <w:pPr>
              <w:jc w:val="right"/>
              <w:ind w:right="173"/>
              <w:spacing w:after="0"/>
              <w:rPr>
                <w:sz w:val="20"/>
                <w:szCs w:val="20"/>
                <w:color w:val="auto"/>
              </w:rPr>
            </w:pPr>
            <w:r>
              <w:rPr>
                <w:rFonts w:ascii="Arial" w:cs="Arial" w:eastAsia="Arial" w:hAnsi="Arial"/>
                <w:sz w:val="13"/>
                <w:szCs w:val="13"/>
                <w:color w:val="auto"/>
              </w:rPr>
              <w:t>(94,827)</w:t>
            </w:r>
          </w:p>
        </w:tc>
        <w:tc>
          <w:tcPr>
            <w:tcW w:w="1580" w:type="dxa"/>
            <w:vAlign w:val="bottom"/>
          </w:tcPr>
          <w:p>
            <w:pPr>
              <w:jc w:val="right"/>
              <w:ind w:right="73"/>
              <w:spacing w:after="0"/>
              <w:rPr>
                <w:sz w:val="20"/>
                <w:szCs w:val="20"/>
                <w:color w:val="auto"/>
              </w:rPr>
            </w:pPr>
            <w:r>
              <w:rPr>
                <w:rFonts w:ascii="Arial" w:cs="Arial" w:eastAsia="Arial" w:hAnsi="Arial"/>
                <w:sz w:val="13"/>
                <w:szCs w:val="13"/>
                <w:color w:val="auto"/>
              </w:rPr>
              <w:t>0</w:t>
            </w:r>
          </w:p>
        </w:tc>
        <w:tc>
          <w:tcPr>
            <w:tcW w:w="1000" w:type="dxa"/>
            <w:vAlign w:val="bottom"/>
          </w:tcPr>
          <w:p>
            <w:pPr>
              <w:jc w:val="right"/>
              <w:spacing w:after="0"/>
              <w:rPr>
                <w:sz w:val="20"/>
                <w:szCs w:val="20"/>
                <w:color w:val="auto"/>
              </w:rPr>
            </w:pPr>
            <w:r>
              <w:rPr>
                <w:rFonts w:ascii="Arial" w:cs="Arial" w:eastAsia="Arial" w:hAnsi="Arial"/>
                <w:sz w:val="13"/>
                <w:szCs w:val="13"/>
                <w:color w:val="auto"/>
              </w:rPr>
              <w:t>5,150,486</w:t>
            </w:r>
          </w:p>
        </w:tc>
      </w:tr>
      <w:tr>
        <w:trPr>
          <w:trHeight w:val="25"/>
        </w:trPr>
        <w:tc>
          <w:tcPr>
            <w:tcW w:w="340" w:type="dxa"/>
            <w:vAlign w:val="bottom"/>
            <w:tcBorders>
              <w:bottom w:val="single" w:sz="8" w:color="6D6D6D"/>
            </w:tcBorders>
          </w:tcPr>
          <w:p>
            <w:pPr>
              <w:spacing w:after="0"/>
              <w:rPr>
                <w:sz w:val="2"/>
                <w:szCs w:val="2"/>
                <w:color w:val="auto"/>
              </w:rPr>
            </w:pPr>
          </w:p>
        </w:tc>
        <w:tc>
          <w:tcPr>
            <w:tcW w:w="1220" w:type="dxa"/>
            <w:vAlign w:val="bottom"/>
            <w:tcBorders>
              <w:bottom w:val="single" w:sz="8" w:color="6D6D6D"/>
            </w:tcBorders>
          </w:tcPr>
          <w:p>
            <w:pPr>
              <w:spacing w:after="0"/>
              <w:rPr>
                <w:sz w:val="2"/>
                <w:szCs w:val="2"/>
                <w:color w:val="auto"/>
              </w:rPr>
            </w:pPr>
          </w:p>
        </w:tc>
        <w:tc>
          <w:tcPr>
            <w:tcW w:w="1500" w:type="dxa"/>
            <w:vAlign w:val="bottom"/>
            <w:tcBorders>
              <w:bottom w:val="single" w:sz="8" w:color="929292"/>
            </w:tcBorders>
          </w:tcPr>
          <w:p>
            <w:pPr>
              <w:spacing w:after="0"/>
              <w:rPr>
                <w:sz w:val="2"/>
                <w:szCs w:val="2"/>
                <w:color w:val="auto"/>
              </w:rPr>
            </w:pPr>
          </w:p>
        </w:tc>
        <w:tc>
          <w:tcPr>
            <w:tcW w:w="1340" w:type="dxa"/>
            <w:vAlign w:val="bottom"/>
            <w:tcBorders>
              <w:bottom w:val="single" w:sz="8" w:color="929292"/>
            </w:tcBorders>
          </w:tcPr>
          <w:p>
            <w:pPr>
              <w:spacing w:after="0"/>
              <w:rPr>
                <w:sz w:val="2"/>
                <w:szCs w:val="2"/>
                <w:color w:val="auto"/>
              </w:rPr>
            </w:pPr>
          </w:p>
        </w:tc>
        <w:tc>
          <w:tcPr>
            <w:tcW w:w="1520" w:type="dxa"/>
            <w:vAlign w:val="bottom"/>
            <w:tcBorders>
              <w:bottom w:val="single" w:sz="8" w:color="929292"/>
            </w:tcBorders>
          </w:tcPr>
          <w:p>
            <w:pPr>
              <w:spacing w:after="0"/>
              <w:rPr>
                <w:sz w:val="2"/>
                <w:szCs w:val="2"/>
                <w:color w:val="auto"/>
              </w:rPr>
            </w:pPr>
          </w:p>
        </w:tc>
        <w:tc>
          <w:tcPr>
            <w:tcW w:w="1580" w:type="dxa"/>
            <w:vAlign w:val="bottom"/>
            <w:tcBorders>
              <w:bottom w:val="single" w:sz="8" w:color="929292"/>
            </w:tcBorders>
          </w:tcPr>
          <w:p>
            <w:pPr>
              <w:spacing w:after="0"/>
              <w:rPr>
                <w:sz w:val="2"/>
                <w:szCs w:val="2"/>
                <w:color w:val="auto"/>
              </w:rPr>
            </w:pPr>
          </w:p>
        </w:tc>
        <w:tc>
          <w:tcPr>
            <w:tcW w:w="1580" w:type="dxa"/>
            <w:vAlign w:val="bottom"/>
            <w:tcBorders>
              <w:bottom w:val="single" w:sz="8" w:color="929292"/>
            </w:tcBorders>
          </w:tcPr>
          <w:p>
            <w:pPr>
              <w:spacing w:after="0"/>
              <w:rPr>
                <w:sz w:val="2"/>
                <w:szCs w:val="2"/>
                <w:color w:val="auto"/>
              </w:rPr>
            </w:pPr>
          </w:p>
        </w:tc>
        <w:tc>
          <w:tcPr>
            <w:tcW w:w="1000" w:type="dxa"/>
            <w:vAlign w:val="bottom"/>
            <w:tcBorders>
              <w:bottom w:val="single" w:sz="8" w:color="929292"/>
            </w:tcBorders>
          </w:tcPr>
          <w:p>
            <w:pPr>
              <w:spacing w:after="0"/>
              <w:rPr>
                <w:sz w:val="2"/>
                <w:szCs w:val="2"/>
                <w:color w:val="auto"/>
              </w:rPr>
            </w:pPr>
          </w:p>
        </w:tc>
      </w:tr>
      <w:tr>
        <w:trPr>
          <w:trHeight w:val="184"/>
        </w:trPr>
        <w:tc>
          <w:tcPr>
            <w:tcW w:w="340" w:type="dxa"/>
            <w:vAlign w:val="bottom"/>
          </w:tcPr>
          <w:p>
            <w:pPr>
              <w:jc w:val="right"/>
              <w:spacing w:after="0"/>
              <w:rPr>
                <w:sz w:val="20"/>
                <w:szCs w:val="20"/>
                <w:color w:val="auto"/>
              </w:rPr>
            </w:pPr>
            <w:r>
              <w:rPr>
                <w:rFonts w:ascii="Arial" w:cs="Arial" w:eastAsia="Arial" w:hAnsi="Arial"/>
                <w:sz w:val="13"/>
                <w:szCs w:val="13"/>
                <w:color w:val="auto"/>
              </w:rPr>
              <w:t>2022</w:t>
            </w:r>
          </w:p>
        </w:tc>
        <w:tc>
          <w:tcPr>
            <w:tcW w:w="1220" w:type="dxa"/>
            <w:vAlign w:val="bottom"/>
          </w:tcPr>
          <w:p>
            <w:pPr>
              <w:ind w:left="20"/>
              <w:spacing w:after="0"/>
              <w:rPr>
                <w:sz w:val="20"/>
                <w:szCs w:val="20"/>
                <w:color w:val="auto"/>
              </w:rPr>
            </w:pPr>
            <w:r>
              <w:rPr>
                <w:rFonts w:ascii="Arial" w:cs="Arial" w:eastAsia="Arial" w:hAnsi="Arial"/>
                <w:sz w:val="13"/>
                <w:szCs w:val="13"/>
                <w:color w:val="auto"/>
              </w:rPr>
              <w:t>- Butler</w:t>
            </w:r>
          </w:p>
        </w:tc>
        <w:tc>
          <w:tcPr>
            <w:tcW w:w="1500" w:type="dxa"/>
            <w:vAlign w:val="bottom"/>
          </w:tcPr>
          <w:p>
            <w:pPr>
              <w:jc w:val="right"/>
              <w:ind w:right="173"/>
              <w:spacing w:after="0"/>
              <w:rPr>
                <w:sz w:val="20"/>
                <w:szCs w:val="20"/>
                <w:color w:val="auto"/>
              </w:rPr>
            </w:pPr>
            <w:r>
              <w:rPr>
                <w:rFonts w:ascii="Arial" w:cs="Arial" w:eastAsia="Arial" w:hAnsi="Arial"/>
                <w:sz w:val="13"/>
                <w:szCs w:val="13"/>
                <w:color w:val="auto"/>
              </w:rPr>
              <w:t>3,175,677</w:t>
            </w:r>
          </w:p>
        </w:tc>
        <w:tc>
          <w:tcPr>
            <w:tcW w:w="1340" w:type="dxa"/>
            <w:vAlign w:val="bottom"/>
          </w:tcPr>
          <w:p>
            <w:pPr>
              <w:jc w:val="right"/>
              <w:ind w:right="113"/>
              <w:spacing w:after="0"/>
              <w:rPr>
                <w:sz w:val="20"/>
                <w:szCs w:val="20"/>
                <w:color w:val="auto"/>
              </w:rPr>
            </w:pPr>
            <w:r>
              <w:rPr>
                <w:rFonts w:ascii="Arial" w:cs="Arial" w:eastAsia="Arial" w:hAnsi="Arial"/>
                <w:sz w:val="13"/>
                <w:szCs w:val="13"/>
                <w:color w:val="auto"/>
              </w:rPr>
              <w:t>(371,367)</w:t>
            </w:r>
          </w:p>
        </w:tc>
        <w:tc>
          <w:tcPr>
            <w:tcW w:w="1520" w:type="dxa"/>
            <w:vAlign w:val="bottom"/>
          </w:tcPr>
          <w:p>
            <w:pPr>
              <w:jc w:val="right"/>
              <w:ind w:right="73"/>
              <w:spacing w:after="0"/>
              <w:rPr>
                <w:sz w:val="20"/>
                <w:szCs w:val="20"/>
                <w:color w:val="auto"/>
              </w:rPr>
            </w:pPr>
            <w:r>
              <w:rPr>
                <w:rFonts w:ascii="Arial" w:cs="Arial" w:eastAsia="Arial" w:hAnsi="Arial"/>
                <w:sz w:val="13"/>
                <w:szCs w:val="13"/>
                <w:color w:val="auto"/>
              </w:rPr>
              <w:t>0</w:t>
            </w:r>
          </w:p>
        </w:tc>
        <w:tc>
          <w:tcPr>
            <w:tcW w:w="1580" w:type="dxa"/>
            <w:vAlign w:val="bottom"/>
          </w:tcPr>
          <w:p>
            <w:pPr>
              <w:jc w:val="right"/>
              <w:ind w:right="173"/>
              <w:spacing w:after="0"/>
              <w:rPr>
                <w:sz w:val="20"/>
                <w:szCs w:val="20"/>
                <w:color w:val="auto"/>
              </w:rPr>
            </w:pPr>
            <w:r>
              <w:rPr>
                <w:rFonts w:ascii="Arial" w:cs="Arial" w:eastAsia="Arial" w:hAnsi="Arial"/>
                <w:sz w:val="13"/>
                <w:szCs w:val="13"/>
                <w:color w:val="auto"/>
              </w:rPr>
              <w:t>(59,257)</w:t>
            </w:r>
          </w:p>
        </w:tc>
        <w:tc>
          <w:tcPr>
            <w:tcW w:w="15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2,745,053</w:t>
            </w:r>
          </w:p>
        </w:tc>
      </w:tr>
      <w:tr>
        <w:trPr>
          <w:trHeight w:val="25"/>
        </w:trPr>
        <w:tc>
          <w:tcPr>
            <w:tcW w:w="340" w:type="dxa"/>
            <w:vAlign w:val="bottom"/>
            <w:tcBorders>
              <w:bottom w:val="single" w:sz="8" w:color="929292"/>
            </w:tcBorders>
          </w:tcPr>
          <w:p>
            <w:pPr>
              <w:spacing w:after="0"/>
              <w:rPr>
                <w:sz w:val="2"/>
                <w:szCs w:val="2"/>
                <w:color w:val="auto"/>
              </w:rPr>
            </w:pPr>
          </w:p>
        </w:tc>
        <w:tc>
          <w:tcPr>
            <w:tcW w:w="1220" w:type="dxa"/>
            <w:vAlign w:val="bottom"/>
            <w:tcBorders>
              <w:bottom w:val="single" w:sz="8" w:color="929292"/>
            </w:tcBorders>
          </w:tcPr>
          <w:p>
            <w:pPr>
              <w:spacing w:after="0"/>
              <w:rPr>
                <w:sz w:val="2"/>
                <w:szCs w:val="2"/>
                <w:color w:val="auto"/>
              </w:rPr>
            </w:pPr>
          </w:p>
        </w:tc>
        <w:tc>
          <w:tcPr>
            <w:tcW w:w="1500" w:type="dxa"/>
            <w:vAlign w:val="bottom"/>
            <w:tcBorders>
              <w:bottom w:val="single" w:sz="8" w:color="929292"/>
            </w:tcBorders>
          </w:tcPr>
          <w:p>
            <w:pPr>
              <w:spacing w:after="0"/>
              <w:rPr>
                <w:sz w:val="2"/>
                <w:szCs w:val="2"/>
                <w:color w:val="auto"/>
              </w:rPr>
            </w:pPr>
          </w:p>
        </w:tc>
        <w:tc>
          <w:tcPr>
            <w:tcW w:w="1340" w:type="dxa"/>
            <w:vAlign w:val="bottom"/>
            <w:tcBorders>
              <w:bottom w:val="single" w:sz="8" w:color="929292"/>
            </w:tcBorders>
          </w:tcPr>
          <w:p>
            <w:pPr>
              <w:spacing w:after="0"/>
              <w:rPr>
                <w:sz w:val="2"/>
                <w:szCs w:val="2"/>
                <w:color w:val="auto"/>
              </w:rPr>
            </w:pPr>
          </w:p>
        </w:tc>
        <w:tc>
          <w:tcPr>
            <w:tcW w:w="1520" w:type="dxa"/>
            <w:vAlign w:val="bottom"/>
            <w:tcBorders>
              <w:bottom w:val="single" w:sz="8" w:color="929292"/>
            </w:tcBorders>
          </w:tcPr>
          <w:p>
            <w:pPr>
              <w:spacing w:after="0"/>
              <w:rPr>
                <w:sz w:val="2"/>
                <w:szCs w:val="2"/>
                <w:color w:val="auto"/>
              </w:rPr>
            </w:pPr>
          </w:p>
        </w:tc>
        <w:tc>
          <w:tcPr>
            <w:tcW w:w="1580" w:type="dxa"/>
            <w:vAlign w:val="bottom"/>
            <w:tcBorders>
              <w:bottom w:val="single" w:sz="8" w:color="929292"/>
            </w:tcBorders>
          </w:tcPr>
          <w:p>
            <w:pPr>
              <w:spacing w:after="0"/>
              <w:rPr>
                <w:sz w:val="2"/>
                <w:szCs w:val="2"/>
                <w:color w:val="auto"/>
              </w:rPr>
            </w:pPr>
          </w:p>
        </w:tc>
        <w:tc>
          <w:tcPr>
            <w:tcW w:w="1580" w:type="dxa"/>
            <w:vAlign w:val="bottom"/>
            <w:tcBorders>
              <w:bottom w:val="single" w:sz="8" w:color="929292"/>
            </w:tcBorders>
          </w:tcPr>
          <w:p>
            <w:pPr>
              <w:spacing w:after="0"/>
              <w:rPr>
                <w:sz w:val="2"/>
                <w:szCs w:val="2"/>
                <w:color w:val="auto"/>
              </w:rPr>
            </w:pPr>
          </w:p>
        </w:tc>
        <w:tc>
          <w:tcPr>
            <w:tcW w:w="1000" w:type="dxa"/>
            <w:vAlign w:val="bottom"/>
            <w:tcBorders>
              <w:bottom w:val="single" w:sz="8" w:color="929292"/>
            </w:tcBorders>
          </w:tcPr>
          <w:p>
            <w:pPr>
              <w:spacing w:after="0"/>
              <w:rPr>
                <w:sz w:val="2"/>
                <w:szCs w:val="2"/>
                <w:color w:val="auto"/>
              </w:rPr>
            </w:pPr>
          </w:p>
        </w:tc>
      </w:tr>
      <w:tr>
        <w:trPr>
          <w:trHeight w:val="184"/>
        </w:trPr>
        <w:tc>
          <w:tcPr>
            <w:tcW w:w="340" w:type="dxa"/>
            <w:vAlign w:val="bottom"/>
          </w:tcPr>
          <w:p>
            <w:pPr>
              <w:jc w:val="right"/>
              <w:spacing w:after="0"/>
              <w:rPr>
                <w:sz w:val="20"/>
                <w:szCs w:val="20"/>
                <w:color w:val="auto"/>
              </w:rPr>
            </w:pPr>
            <w:r>
              <w:rPr>
                <w:rFonts w:ascii="Arial" w:cs="Arial" w:eastAsia="Arial" w:hAnsi="Arial"/>
                <w:sz w:val="13"/>
                <w:szCs w:val="13"/>
                <w:color w:val="auto"/>
              </w:rPr>
              <w:t>2022</w:t>
            </w:r>
          </w:p>
        </w:tc>
        <w:tc>
          <w:tcPr>
            <w:tcW w:w="1220" w:type="dxa"/>
            <w:vAlign w:val="bottom"/>
          </w:tcPr>
          <w:p>
            <w:pPr>
              <w:ind w:left="20"/>
              <w:spacing w:after="0"/>
              <w:rPr>
                <w:sz w:val="20"/>
                <w:szCs w:val="20"/>
                <w:color w:val="auto"/>
              </w:rPr>
            </w:pPr>
            <w:r>
              <w:rPr>
                <w:rFonts w:ascii="Arial" w:cs="Arial" w:eastAsia="Arial" w:hAnsi="Arial"/>
                <w:sz w:val="13"/>
                <w:szCs w:val="13"/>
                <w:color w:val="auto"/>
              </w:rPr>
              <w:t>- Crane</w:t>
            </w:r>
          </w:p>
        </w:tc>
        <w:tc>
          <w:tcPr>
            <w:tcW w:w="1500" w:type="dxa"/>
            <w:vAlign w:val="bottom"/>
          </w:tcPr>
          <w:p>
            <w:pPr>
              <w:jc w:val="right"/>
              <w:ind w:right="173"/>
              <w:spacing w:after="0"/>
              <w:rPr>
                <w:sz w:val="20"/>
                <w:szCs w:val="20"/>
                <w:color w:val="auto"/>
              </w:rPr>
            </w:pPr>
            <w:r>
              <w:rPr>
                <w:rFonts w:ascii="Arial" w:cs="Arial" w:eastAsia="Arial" w:hAnsi="Arial"/>
                <w:sz w:val="13"/>
                <w:szCs w:val="13"/>
                <w:color w:val="auto"/>
              </w:rPr>
              <w:t>10,916,328</w:t>
            </w:r>
          </w:p>
        </w:tc>
        <w:tc>
          <w:tcPr>
            <w:tcW w:w="1340" w:type="dxa"/>
            <w:vAlign w:val="bottom"/>
          </w:tcPr>
          <w:p>
            <w:pPr>
              <w:jc w:val="right"/>
              <w:ind w:right="113"/>
              <w:spacing w:after="0"/>
              <w:rPr>
                <w:sz w:val="20"/>
                <w:szCs w:val="20"/>
                <w:color w:val="auto"/>
              </w:rPr>
            </w:pPr>
            <w:r>
              <w:rPr>
                <w:rFonts w:ascii="Arial" w:cs="Arial" w:eastAsia="Arial" w:hAnsi="Arial"/>
                <w:sz w:val="13"/>
                <w:szCs w:val="13"/>
                <w:color w:val="auto"/>
              </w:rPr>
              <w:t>(1,221,723)</w:t>
            </w:r>
          </w:p>
        </w:tc>
        <w:tc>
          <w:tcPr>
            <w:tcW w:w="1520" w:type="dxa"/>
            <w:vAlign w:val="bottom"/>
          </w:tcPr>
          <w:p>
            <w:pPr>
              <w:jc w:val="right"/>
              <w:ind w:right="73"/>
              <w:spacing w:after="0"/>
              <w:rPr>
                <w:sz w:val="20"/>
                <w:szCs w:val="20"/>
                <w:color w:val="auto"/>
              </w:rPr>
            </w:pPr>
            <w:r>
              <w:rPr>
                <w:rFonts w:ascii="Arial" w:cs="Arial" w:eastAsia="Arial" w:hAnsi="Arial"/>
                <w:sz w:val="13"/>
                <w:szCs w:val="13"/>
                <w:color w:val="auto"/>
              </w:rPr>
              <w:t>0</w:t>
            </w:r>
          </w:p>
        </w:tc>
        <w:tc>
          <w:tcPr>
            <w:tcW w:w="1580" w:type="dxa"/>
            <w:vAlign w:val="bottom"/>
          </w:tcPr>
          <w:p>
            <w:pPr>
              <w:jc w:val="right"/>
              <w:ind w:right="173"/>
              <w:spacing w:after="0"/>
              <w:rPr>
                <w:sz w:val="20"/>
                <w:szCs w:val="20"/>
                <w:color w:val="auto"/>
              </w:rPr>
            </w:pPr>
            <w:r>
              <w:rPr>
                <w:rFonts w:ascii="Arial" w:cs="Arial" w:eastAsia="Arial" w:hAnsi="Arial"/>
                <w:sz w:val="13"/>
                <w:szCs w:val="13"/>
                <w:color w:val="auto"/>
              </w:rPr>
              <w:t>(134,318)</w:t>
            </w:r>
          </w:p>
        </w:tc>
        <w:tc>
          <w:tcPr>
            <w:tcW w:w="1580" w:type="dxa"/>
            <w:vAlign w:val="bottom"/>
          </w:tcPr>
          <w:p>
            <w:pPr>
              <w:jc w:val="right"/>
              <w:ind w:right="93"/>
              <w:spacing w:after="0"/>
              <w:rPr>
                <w:sz w:val="20"/>
                <w:szCs w:val="20"/>
                <w:color w:val="auto"/>
              </w:rPr>
            </w:pPr>
            <w:r>
              <w:rPr>
                <w:rFonts w:ascii="Arial" w:cs="Arial" w:eastAsia="Arial" w:hAnsi="Arial"/>
                <w:sz w:val="13"/>
                <w:szCs w:val="13"/>
                <w:color w:val="auto"/>
              </w:rPr>
              <w:t>(4,827,707)</w:t>
            </w:r>
          </w:p>
        </w:tc>
        <w:tc>
          <w:tcPr>
            <w:tcW w:w="1000" w:type="dxa"/>
            <w:vAlign w:val="bottom"/>
          </w:tcPr>
          <w:p>
            <w:pPr>
              <w:jc w:val="right"/>
              <w:spacing w:after="0"/>
              <w:rPr>
                <w:sz w:val="20"/>
                <w:szCs w:val="20"/>
                <w:color w:val="auto"/>
              </w:rPr>
            </w:pPr>
            <w:r>
              <w:rPr>
                <w:rFonts w:ascii="Arial" w:cs="Arial" w:eastAsia="Arial" w:hAnsi="Arial"/>
                <w:sz w:val="13"/>
                <w:szCs w:val="13"/>
                <w:color w:val="auto"/>
              </w:rPr>
              <w:t>4,732,580</w:t>
            </w:r>
          </w:p>
        </w:tc>
      </w:tr>
      <w:tr>
        <w:trPr>
          <w:trHeight w:val="25"/>
        </w:trPr>
        <w:tc>
          <w:tcPr>
            <w:tcW w:w="340" w:type="dxa"/>
            <w:vAlign w:val="bottom"/>
            <w:tcBorders>
              <w:bottom w:val="single" w:sz="8" w:color="929292"/>
            </w:tcBorders>
          </w:tcPr>
          <w:p>
            <w:pPr>
              <w:spacing w:after="0"/>
              <w:rPr>
                <w:sz w:val="2"/>
                <w:szCs w:val="2"/>
                <w:color w:val="auto"/>
              </w:rPr>
            </w:pPr>
          </w:p>
        </w:tc>
        <w:tc>
          <w:tcPr>
            <w:tcW w:w="1220" w:type="dxa"/>
            <w:vAlign w:val="bottom"/>
            <w:tcBorders>
              <w:bottom w:val="single" w:sz="8" w:color="929292"/>
            </w:tcBorders>
          </w:tcPr>
          <w:p>
            <w:pPr>
              <w:spacing w:after="0"/>
              <w:rPr>
                <w:sz w:val="2"/>
                <w:szCs w:val="2"/>
                <w:color w:val="auto"/>
              </w:rPr>
            </w:pPr>
          </w:p>
        </w:tc>
        <w:tc>
          <w:tcPr>
            <w:tcW w:w="1500" w:type="dxa"/>
            <w:vAlign w:val="bottom"/>
            <w:tcBorders>
              <w:bottom w:val="single" w:sz="8" w:color="929292"/>
            </w:tcBorders>
          </w:tcPr>
          <w:p>
            <w:pPr>
              <w:spacing w:after="0"/>
              <w:rPr>
                <w:sz w:val="2"/>
                <w:szCs w:val="2"/>
                <w:color w:val="auto"/>
              </w:rPr>
            </w:pPr>
          </w:p>
        </w:tc>
        <w:tc>
          <w:tcPr>
            <w:tcW w:w="1340" w:type="dxa"/>
            <w:vAlign w:val="bottom"/>
            <w:tcBorders>
              <w:bottom w:val="single" w:sz="8" w:color="929292"/>
            </w:tcBorders>
          </w:tcPr>
          <w:p>
            <w:pPr>
              <w:spacing w:after="0"/>
              <w:rPr>
                <w:sz w:val="2"/>
                <w:szCs w:val="2"/>
                <w:color w:val="auto"/>
              </w:rPr>
            </w:pPr>
          </w:p>
        </w:tc>
        <w:tc>
          <w:tcPr>
            <w:tcW w:w="1520" w:type="dxa"/>
            <w:vAlign w:val="bottom"/>
            <w:tcBorders>
              <w:bottom w:val="single" w:sz="8" w:color="929292"/>
            </w:tcBorders>
          </w:tcPr>
          <w:p>
            <w:pPr>
              <w:spacing w:after="0"/>
              <w:rPr>
                <w:sz w:val="2"/>
                <w:szCs w:val="2"/>
                <w:color w:val="auto"/>
              </w:rPr>
            </w:pPr>
          </w:p>
        </w:tc>
        <w:tc>
          <w:tcPr>
            <w:tcW w:w="1580" w:type="dxa"/>
            <w:vAlign w:val="bottom"/>
            <w:tcBorders>
              <w:bottom w:val="single" w:sz="8" w:color="929292"/>
            </w:tcBorders>
          </w:tcPr>
          <w:p>
            <w:pPr>
              <w:spacing w:after="0"/>
              <w:rPr>
                <w:sz w:val="2"/>
                <w:szCs w:val="2"/>
                <w:color w:val="auto"/>
              </w:rPr>
            </w:pPr>
          </w:p>
        </w:tc>
        <w:tc>
          <w:tcPr>
            <w:tcW w:w="1580" w:type="dxa"/>
            <w:vAlign w:val="bottom"/>
            <w:tcBorders>
              <w:bottom w:val="single" w:sz="8" w:color="929292"/>
            </w:tcBorders>
          </w:tcPr>
          <w:p>
            <w:pPr>
              <w:spacing w:after="0"/>
              <w:rPr>
                <w:sz w:val="2"/>
                <w:szCs w:val="2"/>
                <w:color w:val="auto"/>
              </w:rPr>
            </w:pPr>
          </w:p>
        </w:tc>
        <w:tc>
          <w:tcPr>
            <w:tcW w:w="1000" w:type="dxa"/>
            <w:vAlign w:val="bottom"/>
            <w:tcBorders>
              <w:bottom w:val="single" w:sz="8" w:color="929292"/>
            </w:tcBorders>
          </w:tcPr>
          <w:p>
            <w:pPr>
              <w:spacing w:after="0"/>
              <w:rPr>
                <w:sz w:val="2"/>
                <w:szCs w:val="2"/>
                <w:color w:val="auto"/>
              </w:rPr>
            </w:pPr>
          </w:p>
        </w:tc>
      </w:tr>
      <w:tr>
        <w:trPr>
          <w:trHeight w:val="184"/>
        </w:trPr>
        <w:tc>
          <w:tcPr>
            <w:tcW w:w="340" w:type="dxa"/>
            <w:vAlign w:val="bottom"/>
          </w:tcPr>
          <w:p>
            <w:pPr>
              <w:jc w:val="right"/>
              <w:spacing w:after="0"/>
              <w:rPr>
                <w:sz w:val="20"/>
                <w:szCs w:val="20"/>
                <w:color w:val="auto"/>
              </w:rPr>
            </w:pPr>
            <w:r>
              <w:rPr>
                <w:rFonts w:ascii="Arial" w:cs="Arial" w:eastAsia="Arial" w:hAnsi="Arial"/>
                <w:sz w:val="13"/>
                <w:szCs w:val="13"/>
                <w:color w:val="auto"/>
              </w:rPr>
              <w:t>2021</w:t>
            </w:r>
          </w:p>
        </w:tc>
        <w:tc>
          <w:tcPr>
            <w:tcW w:w="1220" w:type="dxa"/>
            <w:vAlign w:val="bottom"/>
          </w:tcPr>
          <w:p>
            <w:pPr>
              <w:ind w:left="20"/>
              <w:spacing w:after="0"/>
              <w:rPr>
                <w:sz w:val="20"/>
                <w:szCs w:val="20"/>
                <w:color w:val="auto"/>
              </w:rPr>
            </w:pPr>
            <w:r>
              <w:rPr>
                <w:rFonts w:ascii="Arial" w:cs="Arial" w:eastAsia="Arial" w:hAnsi="Arial"/>
                <w:sz w:val="13"/>
                <w:szCs w:val="13"/>
                <w:color w:val="auto"/>
              </w:rPr>
              <w:t>- Crane</w:t>
            </w:r>
          </w:p>
        </w:tc>
        <w:tc>
          <w:tcPr>
            <w:tcW w:w="1500" w:type="dxa"/>
            <w:vAlign w:val="bottom"/>
          </w:tcPr>
          <w:p>
            <w:pPr>
              <w:jc w:val="right"/>
              <w:ind w:right="173"/>
              <w:spacing w:after="0"/>
              <w:rPr>
                <w:sz w:val="20"/>
                <w:szCs w:val="20"/>
                <w:color w:val="auto"/>
              </w:rPr>
            </w:pPr>
            <w:r>
              <w:rPr>
                <w:rFonts w:ascii="Arial" w:cs="Arial" w:eastAsia="Arial" w:hAnsi="Arial"/>
                <w:sz w:val="13"/>
                <w:szCs w:val="13"/>
                <w:color w:val="auto"/>
              </w:rPr>
              <w:t>17,095,928</w:t>
            </w:r>
          </w:p>
        </w:tc>
        <w:tc>
          <w:tcPr>
            <w:tcW w:w="1340" w:type="dxa"/>
            <w:vAlign w:val="bottom"/>
          </w:tcPr>
          <w:p>
            <w:pPr>
              <w:jc w:val="right"/>
              <w:ind w:right="153"/>
              <w:spacing w:after="0"/>
              <w:rPr>
                <w:sz w:val="20"/>
                <w:szCs w:val="20"/>
                <w:color w:val="auto"/>
              </w:rPr>
            </w:pPr>
            <w:r>
              <w:rPr>
                <w:rFonts w:ascii="Arial" w:cs="Arial" w:eastAsia="Arial" w:hAnsi="Arial"/>
                <w:sz w:val="13"/>
                <w:szCs w:val="13"/>
                <w:color w:val="auto"/>
              </w:rPr>
              <w:t>8,081,315</w:t>
            </w:r>
          </w:p>
        </w:tc>
        <w:tc>
          <w:tcPr>
            <w:tcW w:w="1520" w:type="dxa"/>
            <w:vAlign w:val="bottom"/>
          </w:tcPr>
          <w:p>
            <w:pPr>
              <w:jc w:val="right"/>
              <w:ind w:right="73"/>
              <w:spacing w:after="0"/>
              <w:rPr>
                <w:sz w:val="20"/>
                <w:szCs w:val="20"/>
                <w:color w:val="auto"/>
              </w:rPr>
            </w:pPr>
            <w:r>
              <w:rPr>
                <w:rFonts w:ascii="Arial" w:cs="Arial" w:eastAsia="Arial" w:hAnsi="Arial"/>
                <w:sz w:val="13"/>
                <w:szCs w:val="13"/>
                <w:color w:val="auto"/>
              </w:rPr>
              <w:t>0</w:t>
            </w:r>
          </w:p>
        </w:tc>
        <w:tc>
          <w:tcPr>
            <w:tcW w:w="1580" w:type="dxa"/>
            <w:vAlign w:val="bottom"/>
          </w:tcPr>
          <w:p>
            <w:pPr>
              <w:jc w:val="right"/>
              <w:ind w:right="213"/>
              <w:spacing w:after="0"/>
              <w:rPr>
                <w:sz w:val="20"/>
                <w:szCs w:val="20"/>
                <w:color w:val="auto"/>
              </w:rPr>
            </w:pPr>
            <w:r>
              <w:rPr>
                <w:rFonts w:ascii="Arial" w:cs="Arial" w:eastAsia="Arial" w:hAnsi="Arial"/>
                <w:sz w:val="13"/>
                <w:szCs w:val="13"/>
                <w:color w:val="auto"/>
              </w:rPr>
              <w:t>224,199</w:t>
            </w:r>
          </w:p>
        </w:tc>
        <w:tc>
          <w:tcPr>
            <w:tcW w:w="1580" w:type="dxa"/>
            <w:vAlign w:val="bottom"/>
          </w:tcPr>
          <w:p>
            <w:pPr>
              <w:jc w:val="right"/>
              <w:ind w:right="73"/>
              <w:spacing w:after="0"/>
              <w:rPr>
                <w:sz w:val="20"/>
                <w:szCs w:val="20"/>
                <w:color w:val="auto"/>
              </w:rPr>
            </w:pPr>
            <w:r>
              <w:rPr>
                <w:rFonts w:ascii="Arial" w:cs="Arial" w:eastAsia="Arial" w:hAnsi="Arial"/>
                <w:sz w:val="13"/>
                <w:szCs w:val="13"/>
                <w:color w:val="auto"/>
              </w:rPr>
              <w:t>0</w:t>
            </w:r>
          </w:p>
        </w:tc>
        <w:tc>
          <w:tcPr>
            <w:tcW w:w="1000" w:type="dxa"/>
            <w:vAlign w:val="bottom"/>
          </w:tcPr>
          <w:p>
            <w:pPr>
              <w:jc w:val="right"/>
              <w:spacing w:after="0"/>
              <w:rPr>
                <w:sz w:val="20"/>
                <w:szCs w:val="20"/>
                <w:color w:val="auto"/>
              </w:rPr>
            </w:pPr>
            <w:r>
              <w:rPr>
                <w:rFonts w:ascii="Arial" w:cs="Arial" w:eastAsia="Arial" w:hAnsi="Arial"/>
                <w:sz w:val="13"/>
                <w:szCs w:val="13"/>
                <w:color w:val="auto"/>
              </w:rPr>
              <w:t>25,401,442</w:t>
            </w:r>
          </w:p>
        </w:tc>
      </w:tr>
      <w:tr>
        <w:trPr>
          <w:trHeight w:val="25"/>
        </w:trPr>
        <w:tc>
          <w:tcPr>
            <w:tcW w:w="340" w:type="dxa"/>
            <w:vAlign w:val="bottom"/>
            <w:tcBorders>
              <w:bottom w:val="single" w:sz="8" w:color="929292"/>
            </w:tcBorders>
          </w:tcPr>
          <w:p>
            <w:pPr>
              <w:spacing w:after="0"/>
              <w:rPr>
                <w:sz w:val="2"/>
                <w:szCs w:val="2"/>
                <w:color w:val="auto"/>
              </w:rPr>
            </w:pPr>
          </w:p>
        </w:tc>
        <w:tc>
          <w:tcPr>
            <w:tcW w:w="1220" w:type="dxa"/>
            <w:vAlign w:val="bottom"/>
            <w:tcBorders>
              <w:bottom w:val="single" w:sz="8" w:color="929292"/>
            </w:tcBorders>
          </w:tcPr>
          <w:p>
            <w:pPr>
              <w:spacing w:after="0"/>
              <w:rPr>
                <w:sz w:val="2"/>
                <w:szCs w:val="2"/>
                <w:color w:val="auto"/>
              </w:rPr>
            </w:pPr>
          </w:p>
        </w:tc>
        <w:tc>
          <w:tcPr>
            <w:tcW w:w="1500" w:type="dxa"/>
            <w:vAlign w:val="bottom"/>
            <w:tcBorders>
              <w:bottom w:val="single" w:sz="8" w:color="929292"/>
            </w:tcBorders>
          </w:tcPr>
          <w:p>
            <w:pPr>
              <w:spacing w:after="0"/>
              <w:rPr>
                <w:sz w:val="2"/>
                <w:szCs w:val="2"/>
                <w:color w:val="auto"/>
              </w:rPr>
            </w:pPr>
          </w:p>
        </w:tc>
        <w:tc>
          <w:tcPr>
            <w:tcW w:w="1340" w:type="dxa"/>
            <w:vAlign w:val="bottom"/>
            <w:tcBorders>
              <w:bottom w:val="single" w:sz="8" w:color="929292"/>
            </w:tcBorders>
          </w:tcPr>
          <w:p>
            <w:pPr>
              <w:spacing w:after="0"/>
              <w:rPr>
                <w:sz w:val="2"/>
                <w:szCs w:val="2"/>
                <w:color w:val="auto"/>
              </w:rPr>
            </w:pPr>
          </w:p>
        </w:tc>
        <w:tc>
          <w:tcPr>
            <w:tcW w:w="1520" w:type="dxa"/>
            <w:vAlign w:val="bottom"/>
            <w:tcBorders>
              <w:bottom w:val="single" w:sz="8" w:color="929292"/>
            </w:tcBorders>
          </w:tcPr>
          <w:p>
            <w:pPr>
              <w:spacing w:after="0"/>
              <w:rPr>
                <w:sz w:val="2"/>
                <w:szCs w:val="2"/>
                <w:color w:val="auto"/>
              </w:rPr>
            </w:pPr>
          </w:p>
        </w:tc>
        <w:tc>
          <w:tcPr>
            <w:tcW w:w="1580" w:type="dxa"/>
            <w:vAlign w:val="bottom"/>
            <w:tcBorders>
              <w:bottom w:val="single" w:sz="8" w:color="929292"/>
            </w:tcBorders>
          </w:tcPr>
          <w:p>
            <w:pPr>
              <w:spacing w:after="0"/>
              <w:rPr>
                <w:sz w:val="2"/>
                <w:szCs w:val="2"/>
                <w:color w:val="auto"/>
              </w:rPr>
            </w:pPr>
          </w:p>
        </w:tc>
        <w:tc>
          <w:tcPr>
            <w:tcW w:w="1580" w:type="dxa"/>
            <w:vAlign w:val="bottom"/>
            <w:tcBorders>
              <w:bottom w:val="single" w:sz="8" w:color="929292"/>
            </w:tcBorders>
          </w:tcPr>
          <w:p>
            <w:pPr>
              <w:spacing w:after="0"/>
              <w:rPr>
                <w:sz w:val="2"/>
                <w:szCs w:val="2"/>
                <w:color w:val="auto"/>
              </w:rPr>
            </w:pPr>
          </w:p>
        </w:tc>
        <w:tc>
          <w:tcPr>
            <w:tcW w:w="1000" w:type="dxa"/>
            <w:vAlign w:val="bottom"/>
            <w:tcBorders>
              <w:bottom w:val="single" w:sz="8" w:color="929292"/>
            </w:tcBorders>
          </w:tcPr>
          <w:p>
            <w:pPr>
              <w:spacing w:after="0"/>
              <w:rPr>
                <w:sz w:val="2"/>
                <w:szCs w:val="2"/>
                <w:color w:val="auto"/>
              </w:rPr>
            </w:pPr>
          </w:p>
        </w:tc>
      </w:tr>
      <w:tr>
        <w:trPr>
          <w:trHeight w:val="184"/>
        </w:trPr>
        <w:tc>
          <w:tcPr>
            <w:tcW w:w="340" w:type="dxa"/>
            <w:vAlign w:val="bottom"/>
          </w:tcPr>
          <w:p>
            <w:pPr>
              <w:jc w:val="right"/>
              <w:spacing w:after="0"/>
              <w:rPr>
                <w:sz w:val="20"/>
                <w:szCs w:val="20"/>
                <w:color w:val="auto"/>
              </w:rPr>
            </w:pPr>
            <w:r>
              <w:rPr>
                <w:rFonts w:ascii="Arial" w:cs="Arial" w:eastAsia="Arial" w:hAnsi="Arial"/>
                <w:sz w:val="13"/>
                <w:szCs w:val="13"/>
                <w:color w:val="auto"/>
              </w:rPr>
              <w:t>2020</w:t>
            </w:r>
          </w:p>
        </w:tc>
        <w:tc>
          <w:tcPr>
            <w:tcW w:w="1220" w:type="dxa"/>
            <w:vAlign w:val="bottom"/>
          </w:tcPr>
          <w:p>
            <w:pPr>
              <w:ind w:left="20"/>
              <w:spacing w:after="0"/>
              <w:rPr>
                <w:sz w:val="20"/>
                <w:szCs w:val="20"/>
                <w:color w:val="auto"/>
              </w:rPr>
            </w:pPr>
            <w:r>
              <w:rPr>
                <w:rFonts w:ascii="Arial" w:cs="Arial" w:eastAsia="Arial" w:hAnsi="Arial"/>
                <w:sz w:val="13"/>
                <w:szCs w:val="13"/>
                <w:color w:val="auto"/>
              </w:rPr>
              <w:t>- Crane</w:t>
            </w:r>
          </w:p>
        </w:tc>
        <w:tc>
          <w:tcPr>
            <w:tcW w:w="1500" w:type="dxa"/>
            <w:vAlign w:val="bottom"/>
          </w:tcPr>
          <w:p>
            <w:pPr>
              <w:jc w:val="right"/>
              <w:ind w:right="173"/>
              <w:spacing w:after="0"/>
              <w:rPr>
                <w:sz w:val="20"/>
                <w:szCs w:val="20"/>
                <w:color w:val="auto"/>
              </w:rPr>
            </w:pPr>
            <w:r>
              <w:rPr>
                <w:rFonts w:ascii="Arial" w:cs="Arial" w:eastAsia="Arial" w:hAnsi="Arial"/>
                <w:sz w:val="13"/>
                <w:szCs w:val="13"/>
                <w:color w:val="auto"/>
              </w:rPr>
              <w:t>9,023,213</w:t>
            </w:r>
          </w:p>
        </w:tc>
        <w:tc>
          <w:tcPr>
            <w:tcW w:w="1340" w:type="dxa"/>
            <w:vAlign w:val="bottom"/>
          </w:tcPr>
          <w:p>
            <w:pPr>
              <w:jc w:val="right"/>
              <w:ind w:right="113"/>
              <w:spacing w:after="0"/>
              <w:rPr>
                <w:sz w:val="20"/>
                <w:szCs w:val="20"/>
                <w:color w:val="auto"/>
              </w:rPr>
            </w:pPr>
            <w:r>
              <w:rPr>
                <w:rFonts w:ascii="Arial" w:cs="Arial" w:eastAsia="Arial" w:hAnsi="Arial"/>
                <w:sz w:val="13"/>
                <w:szCs w:val="13"/>
                <w:color w:val="auto"/>
              </w:rPr>
              <w:t>(4,145,220)</w:t>
            </w:r>
          </w:p>
        </w:tc>
        <w:tc>
          <w:tcPr>
            <w:tcW w:w="1520" w:type="dxa"/>
            <w:vAlign w:val="bottom"/>
          </w:tcPr>
          <w:p>
            <w:pPr>
              <w:jc w:val="right"/>
              <w:ind w:right="73"/>
              <w:spacing w:after="0"/>
              <w:rPr>
                <w:sz w:val="20"/>
                <w:szCs w:val="20"/>
                <w:color w:val="auto"/>
              </w:rPr>
            </w:pPr>
            <w:r>
              <w:rPr>
                <w:rFonts w:ascii="Arial" w:cs="Arial" w:eastAsia="Arial" w:hAnsi="Arial"/>
                <w:sz w:val="13"/>
                <w:szCs w:val="13"/>
                <w:color w:val="auto"/>
              </w:rPr>
              <w:t>0</w:t>
            </w:r>
          </w:p>
        </w:tc>
        <w:tc>
          <w:tcPr>
            <w:tcW w:w="1580" w:type="dxa"/>
            <w:vAlign w:val="bottom"/>
          </w:tcPr>
          <w:p>
            <w:pPr>
              <w:jc w:val="right"/>
              <w:ind w:right="213"/>
              <w:spacing w:after="0"/>
              <w:rPr>
                <w:sz w:val="20"/>
                <w:szCs w:val="20"/>
                <w:color w:val="auto"/>
              </w:rPr>
            </w:pPr>
            <w:r>
              <w:rPr>
                <w:rFonts w:ascii="Arial" w:cs="Arial" w:eastAsia="Arial" w:hAnsi="Arial"/>
                <w:sz w:val="13"/>
                <w:szCs w:val="13"/>
                <w:color w:val="auto"/>
              </w:rPr>
              <w:t>504,253</w:t>
            </w:r>
          </w:p>
        </w:tc>
        <w:tc>
          <w:tcPr>
            <w:tcW w:w="1580" w:type="dxa"/>
            <w:vAlign w:val="bottom"/>
          </w:tcPr>
          <w:p>
            <w:pPr>
              <w:jc w:val="right"/>
              <w:ind w:right="73"/>
              <w:spacing w:after="0"/>
              <w:rPr>
                <w:sz w:val="20"/>
                <w:szCs w:val="20"/>
                <w:color w:val="auto"/>
              </w:rPr>
            </w:pPr>
            <w:r>
              <w:rPr>
                <w:rFonts w:ascii="Arial" w:cs="Arial" w:eastAsia="Arial" w:hAnsi="Arial"/>
                <w:sz w:val="13"/>
                <w:szCs w:val="13"/>
                <w:color w:val="auto"/>
              </w:rPr>
              <w:t>0</w:t>
            </w:r>
          </w:p>
        </w:tc>
        <w:tc>
          <w:tcPr>
            <w:tcW w:w="1000" w:type="dxa"/>
            <w:vAlign w:val="bottom"/>
          </w:tcPr>
          <w:p>
            <w:pPr>
              <w:jc w:val="right"/>
              <w:spacing w:after="0"/>
              <w:rPr>
                <w:sz w:val="20"/>
                <w:szCs w:val="20"/>
                <w:color w:val="auto"/>
              </w:rPr>
            </w:pPr>
            <w:r>
              <w:rPr>
                <w:rFonts w:ascii="Arial" w:cs="Arial" w:eastAsia="Arial" w:hAnsi="Arial"/>
                <w:sz w:val="13"/>
                <w:szCs w:val="13"/>
                <w:color w:val="auto"/>
              </w:rPr>
              <w:t>5,382,246</w:t>
            </w:r>
          </w:p>
        </w:tc>
      </w:tr>
      <w:tr>
        <w:trPr>
          <w:trHeight w:val="25"/>
        </w:trPr>
        <w:tc>
          <w:tcPr>
            <w:tcW w:w="340" w:type="dxa"/>
            <w:vAlign w:val="bottom"/>
            <w:tcBorders>
              <w:bottom w:val="single" w:sz="8" w:color="808080"/>
            </w:tcBorders>
          </w:tcPr>
          <w:p>
            <w:pPr>
              <w:spacing w:after="0"/>
              <w:rPr>
                <w:sz w:val="2"/>
                <w:szCs w:val="2"/>
                <w:color w:val="auto"/>
              </w:rPr>
            </w:pPr>
          </w:p>
        </w:tc>
        <w:tc>
          <w:tcPr>
            <w:tcW w:w="1220" w:type="dxa"/>
            <w:vAlign w:val="bottom"/>
            <w:tcBorders>
              <w:bottom w:val="single" w:sz="8" w:color="808080"/>
            </w:tcBorders>
          </w:tcPr>
          <w:p>
            <w:pPr>
              <w:spacing w:after="0"/>
              <w:rPr>
                <w:sz w:val="2"/>
                <w:szCs w:val="2"/>
                <w:color w:val="auto"/>
              </w:rPr>
            </w:pPr>
          </w:p>
        </w:tc>
        <w:tc>
          <w:tcPr>
            <w:tcW w:w="1500" w:type="dxa"/>
            <w:vAlign w:val="bottom"/>
            <w:tcBorders>
              <w:bottom w:val="single" w:sz="8" w:color="808080"/>
            </w:tcBorders>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1520" w:type="dxa"/>
            <w:vAlign w:val="bottom"/>
            <w:tcBorders>
              <w:bottom w:val="single" w:sz="8" w:color="808080"/>
            </w:tcBorders>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r>
    </w:tbl>
    <w:p>
      <w:pPr>
        <w:spacing w:after="0" w:line="193" w:lineRule="exact"/>
        <w:rPr>
          <w:sz w:val="20"/>
          <w:szCs w:val="20"/>
          <w:color w:val="auto"/>
        </w:rPr>
      </w:pPr>
    </w:p>
    <w:p>
      <w:pPr>
        <w:ind w:left="520" w:right="940" w:hanging="253"/>
        <w:spacing w:after="0" w:line="305" w:lineRule="auto"/>
        <w:tabs>
          <w:tab w:leader="none" w:pos="51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The amounts included in this column are the amounts reported in “Change in Pension and Non-qualified Deferred Compensation” column of the Summary Compensation Table for each applicable year.</w:t>
      </w:r>
    </w:p>
    <w:p>
      <w:pPr>
        <w:spacing w:after="0" w:line="36" w:lineRule="exact"/>
        <w:rPr>
          <w:rFonts w:ascii="Arial" w:cs="Arial" w:eastAsia="Arial" w:hAnsi="Arial"/>
          <w:sz w:val="14"/>
          <w:szCs w:val="14"/>
          <w:color w:val="auto"/>
        </w:rPr>
      </w:pPr>
    </w:p>
    <w:p>
      <w:pPr>
        <w:ind w:left="520" w:right="20" w:hanging="253"/>
        <w:spacing w:after="0" w:line="289" w:lineRule="auto"/>
        <w:tabs>
          <w:tab w:leader="none" w:pos="504" w:val="left"/>
        </w:tabs>
        <w:numPr>
          <w:ilvl w:val="0"/>
          <w:numId w:val="149"/>
        </w:numPr>
        <w:rPr>
          <w:rFonts w:ascii="Arial" w:cs="Arial" w:eastAsia="Arial" w:hAnsi="Arial"/>
          <w:sz w:val="14"/>
          <w:szCs w:val="14"/>
          <w:color w:val="auto"/>
        </w:rPr>
      </w:pPr>
      <w:r>
        <w:rPr>
          <w:rFonts w:ascii="Arial" w:cs="Arial" w:eastAsia="Arial" w:hAnsi="Arial"/>
          <w:sz w:val="14"/>
          <w:szCs w:val="14"/>
          <w:color w:val="auto"/>
        </w:rPr>
        <w:t>The total pension benefit adjustments for each applicable year include the aggregate of two components: (i) the actuarially determined service cost for services rendered by Mr. Crane or Mr. Butler during the applicable year (the “service cost”); and (ii) the entire cost of benefits granted in a plan amendment (or initiation) during the applicable year that are attributed by the benefit formula to services rendered in periods prior to the plan amendment or initiation (the “prior service cost”), in each case, calculated in accordance with GAAP. The amounts deducted or added in calculating the pension benefit adjustments are as follows:</w:t>
      </w:r>
    </w:p>
    <w:p>
      <w:pPr>
        <w:spacing w:after="0" w:line="129" w:lineRule="exact"/>
        <w:rPr>
          <w:sz w:val="20"/>
          <w:szCs w:val="20"/>
          <w:color w:val="auto"/>
        </w:rPr>
      </w:pPr>
    </w:p>
    <w:tbl>
      <w:tblPr>
        <w:tblLayout w:type="fixed"/>
        <w:tblInd w:w="520" w:type="dxa"/>
        <w:tblCellMar>
          <w:top w:w="0" w:type="dxa"/>
          <w:left w:w="0" w:type="dxa"/>
          <w:bottom w:w="0" w:type="dxa"/>
          <w:right w:w="0" w:type="dxa"/>
        </w:tblCellMar>
      </w:tblPr>
      <w:tr>
        <w:trPr>
          <w:trHeight w:val="175"/>
        </w:trPr>
        <w:tc>
          <w:tcPr>
            <w:tcW w:w="3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170D67"/>
              </w:rPr>
              <w:t>Total Pension</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2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170D67"/>
              </w:rPr>
              <w:t>Service Cost</w:t>
            </w:r>
          </w:p>
        </w:tc>
        <w:tc>
          <w:tcPr>
            <w:tcW w:w="16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170D67"/>
              </w:rPr>
              <w:t>Prior Service Cost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170D67"/>
              </w:rPr>
              <w:t>Benefit</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170D67"/>
              </w:rPr>
              <w:t>Adjustments</w:t>
            </w:r>
          </w:p>
        </w:tc>
        <w:tc>
          <w:tcPr>
            <w:tcW w:w="0" w:type="dxa"/>
            <w:vAlign w:val="bottom"/>
          </w:tcPr>
          <w:p>
            <w:pPr>
              <w:spacing w:after="0"/>
              <w:rPr>
                <w:sz w:val="1"/>
                <w:szCs w:val="1"/>
                <w:color w:val="auto"/>
              </w:rPr>
            </w:pPr>
          </w:p>
        </w:tc>
      </w:tr>
      <w:tr>
        <w:trPr>
          <w:trHeight w:val="205"/>
        </w:trPr>
        <w:tc>
          <w:tcPr>
            <w:tcW w:w="360" w:type="dxa"/>
            <w:vAlign w:val="bottom"/>
            <w:tcBorders>
              <w:bottom w:val="single" w:sz="8" w:color="170D67"/>
            </w:tcBorders>
          </w:tcPr>
          <w:p>
            <w:pPr>
              <w:spacing w:after="0"/>
              <w:rPr>
                <w:sz w:val="17"/>
                <w:szCs w:val="17"/>
                <w:color w:val="auto"/>
              </w:rPr>
            </w:pPr>
          </w:p>
        </w:tc>
        <w:tc>
          <w:tcPr>
            <w:tcW w:w="5680" w:type="dxa"/>
            <w:vAlign w:val="bottom"/>
            <w:tcBorders>
              <w:bottom w:val="single" w:sz="8" w:color="170D67"/>
            </w:tcBorders>
          </w:tcPr>
          <w:p>
            <w:pPr>
              <w:spacing w:after="0"/>
              <w:rPr>
                <w:sz w:val="17"/>
                <w:szCs w:val="17"/>
                <w:color w:val="auto"/>
              </w:rPr>
            </w:pPr>
          </w:p>
        </w:tc>
        <w:tc>
          <w:tcPr>
            <w:tcW w:w="1200" w:type="dxa"/>
            <w:vAlign w:val="bottom"/>
            <w:tcBorders>
              <w:bottom w:val="single" w:sz="8" w:color="170D67"/>
            </w:tcBorders>
          </w:tcPr>
          <w:p>
            <w:pPr>
              <w:jc w:val="right"/>
              <w:ind w:right="28"/>
              <w:spacing w:after="0"/>
              <w:rPr>
                <w:sz w:val="20"/>
                <w:szCs w:val="20"/>
                <w:color w:val="auto"/>
              </w:rPr>
            </w:pPr>
            <w:r>
              <w:rPr>
                <w:rFonts w:ascii="Arial" w:cs="Arial" w:eastAsia="Arial" w:hAnsi="Arial"/>
                <w:sz w:val="14"/>
                <w:szCs w:val="14"/>
                <w:b w:val="1"/>
                <w:bCs w:val="1"/>
                <w:color w:val="170D67"/>
              </w:rPr>
              <w:t>($)</w:t>
            </w:r>
          </w:p>
        </w:tc>
        <w:tc>
          <w:tcPr>
            <w:tcW w:w="1660" w:type="dxa"/>
            <w:vAlign w:val="bottom"/>
            <w:tcBorders>
              <w:bottom w:val="single" w:sz="8" w:color="170D67"/>
            </w:tcBorders>
          </w:tcPr>
          <w:p>
            <w:pPr>
              <w:jc w:val="right"/>
              <w:ind w:right="168"/>
              <w:spacing w:after="0"/>
              <w:rPr>
                <w:sz w:val="20"/>
                <w:szCs w:val="20"/>
                <w:color w:val="auto"/>
              </w:rPr>
            </w:pPr>
            <w:r>
              <w:rPr>
                <w:rFonts w:ascii="Arial" w:cs="Arial" w:eastAsia="Arial" w:hAnsi="Arial"/>
                <w:sz w:val="14"/>
                <w:szCs w:val="14"/>
                <w:b w:val="1"/>
                <w:bCs w:val="1"/>
                <w:color w:val="170D67"/>
              </w:rPr>
              <w:t>($)</w:t>
            </w:r>
          </w:p>
        </w:tc>
        <w:tc>
          <w:tcPr>
            <w:tcW w:w="1180" w:type="dxa"/>
            <w:vAlign w:val="bottom"/>
            <w:tcBorders>
              <w:bottom w:val="single" w:sz="8" w:color="170D67"/>
            </w:tcBorders>
          </w:tcPr>
          <w:p>
            <w:pPr>
              <w:jc w:val="right"/>
              <w:spacing w:after="0"/>
              <w:rPr>
                <w:sz w:val="20"/>
                <w:szCs w:val="20"/>
                <w:color w:val="auto"/>
              </w:rPr>
            </w:pPr>
            <w:r>
              <w:rPr>
                <w:rFonts w:ascii="Arial" w:cs="Arial" w:eastAsia="Arial" w:hAnsi="Arial"/>
                <w:sz w:val="14"/>
                <w:szCs w:val="14"/>
                <w:b w:val="1"/>
                <w:bCs w:val="1"/>
                <w:color w:val="170D67"/>
              </w:rPr>
              <w:t>($)</w:t>
            </w:r>
          </w:p>
        </w:tc>
        <w:tc>
          <w:tcPr>
            <w:tcW w:w="0" w:type="dxa"/>
            <w:vAlign w:val="bottom"/>
          </w:tcPr>
          <w:p>
            <w:pPr>
              <w:spacing w:after="0"/>
              <w:rPr>
                <w:sz w:val="1"/>
                <w:szCs w:val="1"/>
                <w:color w:val="auto"/>
              </w:rPr>
            </w:pPr>
          </w:p>
        </w:tc>
      </w:tr>
      <w:tr>
        <w:trPr>
          <w:trHeight w:val="208"/>
        </w:trPr>
        <w:tc>
          <w:tcPr>
            <w:tcW w:w="360" w:type="dxa"/>
            <w:vAlign w:val="bottom"/>
          </w:tcPr>
          <w:p>
            <w:pPr>
              <w:jc w:val="right"/>
              <w:spacing w:after="0"/>
              <w:rPr>
                <w:sz w:val="20"/>
                <w:szCs w:val="20"/>
                <w:color w:val="auto"/>
              </w:rPr>
            </w:pPr>
            <w:r>
              <w:rPr>
                <w:rFonts w:ascii="Arial" w:cs="Arial" w:eastAsia="Arial" w:hAnsi="Arial"/>
                <w:sz w:val="14"/>
                <w:szCs w:val="14"/>
                <w:color w:val="auto"/>
              </w:rPr>
              <w:t>2024</w:t>
            </w:r>
          </w:p>
        </w:tc>
        <w:tc>
          <w:tcPr>
            <w:tcW w:w="5680" w:type="dxa"/>
            <w:vAlign w:val="bottom"/>
          </w:tcPr>
          <w:p>
            <w:pPr>
              <w:ind w:left="20"/>
              <w:spacing w:after="0"/>
              <w:rPr>
                <w:sz w:val="20"/>
                <w:szCs w:val="20"/>
                <w:color w:val="auto"/>
              </w:rPr>
            </w:pPr>
            <w:r>
              <w:rPr>
                <w:rFonts w:ascii="Arial" w:cs="Arial" w:eastAsia="Arial" w:hAnsi="Arial"/>
                <w:sz w:val="14"/>
                <w:szCs w:val="14"/>
                <w:color w:val="auto"/>
              </w:rPr>
              <w:t>- Butler</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128,522</w:t>
            </w:r>
          </w:p>
        </w:tc>
        <w:tc>
          <w:tcPr>
            <w:tcW w:w="1660" w:type="dxa"/>
            <w:vAlign w:val="bottom"/>
          </w:tcPr>
          <w:p>
            <w:pPr>
              <w:jc w:val="right"/>
              <w:ind w:right="168"/>
              <w:spacing w:after="0"/>
              <w:rPr>
                <w:sz w:val="20"/>
                <w:szCs w:val="20"/>
                <w:color w:val="auto"/>
              </w:rPr>
            </w:pPr>
            <w:r>
              <w:rPr>
                <w:rFonts w:ascii="Arial" w:cs="Arial" w:eastAsia="Arial" w:hAnsi="Arial"/>
                <w:sz w:val="14"/>
                <w:szCs w:val="14"/>
                <w:color w:val="auto"/>
              </w:rPr>
              <w:t>0</w:t>
            </w:r>
          </w:p>
        </w:tc>
        <w:tc>
          <w:tcPr>
            <w:tcW w:w="1180" w:type="dxa"/>
            <w:vAlign w:val="bottom"/>
          </w:tcPr>
          <w:p>
            <w:pPr>
              <w:jc w:val="right"/>
              <w:spacing w:after="0"/>
              <w:rPr>
                <w:sz w:val="20"/>
                <w:szCs w:val="20"/>
                <w:color w:val="auto"/>
              </w:rPr>
            </w:pPr>
            <w:r>
              <w:rPr>
                <w:rFonts w:ascii="Arial" w:cs="Arial" w:eastAsia="Arial" w:hAnsi="Arial"/>
                <w:sz w:val="14"/>
                <w:szCs w:val="14"/>
                <w:color w:val="auto"/>
              </w:rPr>
              <w:t>128,522</w:t>
            </w:r>
          </w:p>
        </w:tc>
        <w:tc>
          <w:tcPr>
            <w:tcW w:w="0" w:type="dxa"/>
            <w:vAlign w:val="bottom"/>
          </w:tcPr>
          <w:p>
            <w:pPr>
              <w:spacing w:after="0"/>
              <w:rPr>
                <w:sz w:val="1"/>
                <w:szCs w:val="1"/>
                <w:color w:val="auto"/>
              </w:rPr>
            </w:pPr>
          </w:p>
        </w:tc>
      </w:tr>
      <w:tr>
        <w:trPr>
          <w:trHeight w:val="22"/>
        </w:trPr>
        <w:tc>
          <w:tcPr>
            <w:tcW w:w="360" w:type="dxa"/>
            <w:vAlign w:val="bottom"/>
            <w:tcBorders>
              <w:bottom w:val="single" w:sz="8" w:color="6D6D6D"/>
            </w:tcBorders>
          </w:tcPr>
          <w:p>
            <w:pPr>
              <w:spacing w:after="0" w:line="20" w:lineRule="exact"/>
              <w:rPr>
                <w:sz w:val="1"/>
                <w:szCs w:val="1"/>
                <w:color w:val="auto"/>
              </w:rPr>
            </w:pPr>
          </w:p>
        </w:tc>
        <w:tc>
          <w:tcPr>
            <w:tcW w:w="5680" w:type="dxa"/>
            <w:vAlign w:val="bottom"/>
            <w:tcBorders>
              <w:bottom w:val="single" w:sz="8" w:color="6D6D6D"/>
            </w:tcBorders>
          </w:tcPr>
          <w:p>
            <w:pPr>
              <w:spacing w:after="0" w:line="20" w:lineRule="exact"/>
              <w:rPr>
                <w:sz w:val="1"/>
                <w:szCs w:val="1"/>
                <w:color w:val="auto"/>
              </w:rPr>
            </w:pPr>
          </w:p>
        </w:tc>
        <w:tc>
          <w:tcPr>
            <w:tcW w:w="1200" w:type="dxa"/>
            <w:vAlign w:val="bottom"/>
            <w:tcBorders>
              <w:bottom w:val="single" w:sz="8" w:color="929292"/>
            </w:tcBorders>
          </w:tcPr>
          <w:p>
            <w:pPr>
              <w:spacing w:after="0" w:line="20" w:lineRule="exact"/>
              <w:rPr>
                <w:sz w:val="1"/>
                <w:szCs w:val="1"/>
                <w:color w:val="auto"/>
              </w:rPr>
            </w:pPr>
          </w:p>
        </w:tc>
        <w:tc>
          <w:tcPr>
            <w:tcW w:w="1660" w:type="dxa"/>
            <w:vAlign w:val="bottom"/>
            <w:tcBorders>
              <w:bottom w:val="single" w:sz="8" w:color="929292"/>
            </w:tcBorders>
          </w:tcPr>
          <w:p>
            <w:pPr>
              <w:spacing w:after="0" w:line="20" w:lineRule="exact"/>
              <w:rPr>
                <w:sz w:val="1"/>
                <w:szCs w:val="1"/>
                <w:color w:val="auto"/>
              </w:rPr>
            </w:pPr>
          </w:p>
        </w:tc>
        <w:tc>
          <w:tcPr>
            <w:tcW w:w="118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360" w:type="dxa"/>
            <w:vAlign w:val="bottom"/>
          </w:tcPr>
          <w:p>
            <w:pPr>
              <w:jc w:val="right"/>
              <w:spacing w:after="0"/>
              <w:rPr>
                <w:sz w:val="20"/>
                <w:szCs w:val="20"/>
                <w:color w:val="auto"/>
              </w:rPr>
            </w:pPr>
            <w:r>
              <w:rPr>
                <w:rFonts w:ascii="Arial" w:cs="Arial" w:eastAsia="Arial" w:hAnsi="Arial"/>
                <w:sz w:val="14"/>
                <w:szCs w:val="14"/>
                <w:color w:val="auto"/>
              </w:rPr>
              <w:t>2023</w:t>
            </w:r>
          </w:p>
        </w:tc>
        <w:tc>
          <w:tcPr>
            <w:tcW w:w="5680" w:type="dxa"/>
            <w:vAlign w:val="bottom"/>
          </w:tcPr>
          <w:p>
            <w:pPr>
              <w:ind w:left="20"/>
              <w:spacing w:after="0"/>
              <w:rPr>
                <w:sz w:val="20"/>
                <w:szCs w:val="20"/>
                <w:color w:val="auto"/>
              </w:rPr>
            </w:pPr>
            <w:r>
              <w:rPr>
                <w:rFonts w:ascii="Arial" w:cs="Arial" w:eastAsia="Arial" w:hAnsi="Arial"/>
                <w:sz w:val="14"/>
                <w:szCs w:val="14"/>
                <w:color w:val="auto"/>
              </w:rPr>
              <w:t>- Butler</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117,017</w:t>
            </w:r>
          </w:p>
        </w:tc>
        <w:tc>
          <w:tcPr>
            <w:tcW w:w="1660" w:type="dxa"/>
            <w:vAlign w:val="bottom"/>
          </w:tcPr>
          <w:p>
            <w:pPr>
              <w:jc w:val="right"/>
              <w:ind w:right="168"/>
              <w:spacing w:after="0"/>
              <w:rPr>
                <w:sz w:val="20"/>
                <w:szCs w:val="20"/>
                <w:color w:val="auto"/>
              </w:rPr>
            </w:pPr>
            <w:r>
              <w:rPr>
                <w:rFonts w:ascii="Arial" w:cs="Arial" w:eastAsia="Arial" w:hAnsi="Arial"/>
                <w:sz w:val="14"/>
                <w:szCs w:val="14"/>
                <w:color w:val="auto"/>
              </w:rPr>
              <w:t>0</w:t>
            </w:r>
          </w:p>
        </w:tc>
        <w:tc>
          <w:tcPr>
            <w:tcW w:w="1180" w:type="dxa"/>
            <w:vAlign w:val="bottom"/>
          </w:tcPr>
          <w:p>
            <w:pPr>
              <w:jc w:val="right"/>
              <w:spacing w:after="0"/>
              <w:rPr>
                <w:sz w:val="20"/>
                <w:szCs w:val="20"/>
                <w:color w:val="auto"/>
              </w:rPr>
            </w:pPr>
            <w:r>
              <w:rPr>
                <w:rFonts w:ascii="Arial" w:cs="Arial" w:eastAsia="Arial" w:hAnsi="Arial"/>
                <w:sz w:val="14"/>
                <w:szCs w:val="14"/>
                <w:color w:val="auto"/>
              </w:rPr>
              <w:t>117,017</w:t>
            </w:r>
          </w:p>
        </w:tc>
        <w:tc>
          <w:tcPr>
            <w:tcW w:w="0" w:type="dxa"/>
            <w:vAlign w:val="bottom"/>
          </w:tcPr>
          <w:p>
            <w:pPr>
              <w:spacing w:after="0"/>
              <w:rPr>
                <w:sz w:val="1"/>
                <w:szCs w:val="1"/>
                <w:color w:val="auto"/>
              </w:rPr>
            </w:pPr>
          </w:p>
        </w:tc>
      </w:tr>
      <w:tr>
        <w:trPr>
          <w:trHeight w:val="22"/>
        </w:trPr>
        <w:tc>
          <w:tcPr>
            <w:tcW w:w="360" w:type="dxa"/>
            <w:vAlign w:val="bottom"/>
            <w:tcBorders>
              <w:bottom w:val="single" w:sz="8" w:color="6D6D6D"/>
            </w:tcBorders>
          </w:tcPr>
          <w:p>
            <w:pPr>
              <w:spacing w:after="0" w:line="20" w:lineRule="exact"/>
              <w:rPr>
                <w:sz w:val="1"/>
                <w:szCs w:val="1"/>
                <w:color w:val="auto"/>
              </w:rPr>
            </w:pPr>
          </w:p>
        </w:tc>
        <w:tc>
          <w:tcPr>
            <w:tcW w:w="5680" w:type="dxa"/>
            <w:vAlign w:val="bottom"/>
            <w:tcBorders>
              <w:bottom w:val="single" w:sz="8" w:color="6D6D6D"/>
            </w:tcBorders>
          </w:tcPr>
          <w:p>
            <w:pPr>
              <w:spacing w:after="0" w:line="20" w:lineRule="exact"/>
              <w:rPr>
                <w:sz w:val="1"/>
                <w:szCs w:val="1"/>
                <w:color w:val="auto"/>
              </w:rPr>
            </w:pPr>
          </w:p>
        </w:tc>
        <w:tc>
          <w:tcPr>
            <w:tcW w:w="1200" w:type="dxa"/>
            <w:vAlign w:val="bottom"/>
            <w:tcBorders>
              <w:bottom w:val="single" w:sz="8" w:color="929292"/>
            </w:tcBorders>
          </w:tcPr>
          <w:p>
            <w:pPr>
              <w:spacing w:after="0" w:line="20" w:lineRule="exact"/>
              <w:rPr>
                <w:sz w:val="1"/>
                <w:szCs w:val="1"/>
                <w:color w:val="auto"/>
              </w:rPr>
            </w:pPr>
          </w:p>
        </w:tc>
        <w:tc>
          <w:tcPr>
            <w:tcW w:w="1660" w:type="dxa"/>
            <w:vAlign w:val="bottom"/>
            <w:tcBorders>
              <w:bottom w:val="single" w:sz="8" w:color="929292"/>
            </w:tcBorders>
          </w:tcPr>
          <w:p>
            <w:pPr>
              <w:spacing w:after="0" w:line="20" w:lineRule="exact"/>
              <w:rPr>
                <w:sz w:val="1"/>
                <w:szCs w:val="1"/>
                <w:color w:val="auto"/>
              </w:rPr>
            </w:pPr>
          </w:p>
        </w:tc>
        <w:tc>
          <w:tcPr>
            <w:tcW w:w="118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360" w:type="dxa"/>
            <w:vAlign w:val="bottom"/>
          </w:tcPr>
          <w:p>
            <w:pPr>
              <w:jc w:val="right"/>
              <w:spacing w:after="0"/>
              <w:rPr>
                <w:sz w:val="20"/>
                <w:szCs w:val="20"/>
                <w:color w:val="auto"/>
              </w:rPr>
            </w:pPr>
            <w:r>
              <w:rPr>
                <w:rFonts w:ascii="Arial" w:cs="Arial" w:eastAsia="Arial" w:hAnsi="Arial"/>
                <w:sz w:val="14"/>
                <w:szCs w:val="14"/>
                <w:color w:val="auto"/>
              </w:rPr>
              <w:t>2022</w:t>
            </w:r>
          </w:p>
        </w:tc>
        <w:tc>
          <w:tcPr>
            <w:tcW w:w="5680" w:type="dxa"/>
            <w:vAlign w:val="bottom"/>
          </w:tcPr>
          <w:p>
            <w:pPr>
              <w:ind w:left="20"/>
              <w:spacing w:after="0"/>
              <w:rPr>
                <w:sz w:val="20"/>
                <w:szCs w:val="20"/>
                <w:color w:val="auto"/>
              </w:rPr>
            </w:pPr>
            <w:r>
              <w:rPr>
                <w:rFonts w:ascii="Arial" w:cs="Arial" w:eastAsia="Arial" w:hAnsi="Arial"/>
                <w:sz w:val="14"/>
                <w:szCs w:val="14"/>
                <w:color w:val="auto"/>
              </w:rPr>
              <w:t>- Butler</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100,853</w:t>
            </w:r>
          </w:p>
        </w:tc>
        <w:tc>
          <w:tcPr>
            <w:tcW w:w="1660" w:type="dxa"/>
            <w:vAlign w:val="bottom"/>
          </w:tcPr>
          <w:p>
            <w:pPr>
              <w:jc w:val="right"/>
              <w:ind w:right="168"/>
              <w:spacing w:after="0"/>
              <w:rPr>
                <w:sz w:val="20"/>
                <w:szCs w:val="20"/>
                <w:color w:val="auto"/>
              </w:rPr>
            </w:pPr>
            <w:r>
              <w:rPr>
                <w:rFonts w:ascii="Arial" w:cs="Arial" w:eastAsia="Arial" w:hAnsi="Arial"/>
                <w:sz w:val="14"/>
                <w:szCs w:val="14"/>
                <w:color w:val="auto"/>
              </w:rPr>
              <w:t>0</w:t>
            </w:r>
          </w:p>
        </w:tc>
        <w:tc>
          <w:tcPr>
            <w:tcW w:w="1180" w:type="dxa"/>
            <w:vAlign w:val="bottom"/>
          </w:tcPr>
          <w:p>
            <w:pPr>
              <w:jc w:val="right"/>
              <w:spacing w:after="0"/>
              <w:rPr>
                <w:sz w:val="20"/>
                <w:szCs w:val="20"/>
                <w:color w:val="auto"/>
              </w:rPr>
            </w:pPr>
            <w:r>
              <w:rPr>
                <w:rFonts w:ascii="Arial" w:cs="Arial" w:eastAsia="Arial" w:hAnsi="Arial"/>
                <w:sz w:val="14"/>
                <w:szCs w:val="14"/>
                <w:color w:val="auto"/>
              </w:rPr>
              <w:t>100,853</w:t>
            </w:r>
          </w:p>
        </w:tc>
        <w:tc>
          <w:tcPr>
            <w:tcW w:w="0" w:type="dxa"/>
            <w:vAlign w:val="bottom"/>
          </w:tcPr>
          <w:p>
            <w:pPr>
              <w:spacing w:after="0"/>
              <w:rPr>
                <w:sz w:val="1"/>
                <w:szCs w:val="1"/>
                <w:color w:val="auto"/>
              </w:rPr>
            </w:pPr>
          </w:p>
        </w:tc>
      </w:tr>
      <w:tr>
        <w:trPr>
          <w:trHeight w:val="22"/>
        </w:trPr>
        <w:tc>
          <w:tcPr>
            <w:tcW w:w="360" w:type="dxa"/>
            <w:vAlign w:val="bottom"/>
            <w:tcBorders>
              <w:bottom w:val="single" w:sz="8" w:color="929292"/>
            </w:tcBorders>
          </w:tcPr>
          <w:p>
            <w:pPr>
              <w:spacing w:after="0" w:line="20" w:lineRule="exact"/>
              <w:rPr>
                <w:sz w:val="1"/>
                <w:szCs w:val="1"/>
                <w:color w:val="auto"/>
              </w:rPr>
            </w:pPr>
          </w:p>
        </w:tc>
        <w:tc>
          <w:tcPr>
            <w:tcW w:w="5680" w:type="dxa"/>
            <w:vAlign w:val="bottom"/>
            <w:tcBorders>
              <w:bottom w:val="single" w:sz="8" w:color="929292"/>
            </w:tcBorders>
          </w:tcPr>
          <w:p>
            <w:pPr>
              <w:spacing w:after="0" w:line="20" w:lineRule="exact"/>
              <w:rPr>
                <w:sz w:val="1"/>
                <w:szCs w:val="1"/>
                <w:color w:val="auto"/>
              </w:rPr>
            </w:pPr>
          </w:p>
        </w:tc>
        <w:tc>
          <w:tcPr>
            <w:tcW w:w="1200" w:type="dxa"/>
            <w:vAlign w:val="bottom"/>
            <w:tcBorders>
              <w:bottom w:val="single" w:sz="8" w:color="929292"/>
            </w:tcBorders>
          </w:tcPr>
          <w:p>
            <w:pPr>
              <w:spacing w:after="0" w:line="20" w:lineRule="exact"/>
              <w:rPr>
                <w:sz w:val="1"/>
                <w:szCs w:val="1"/>
                <w:color w:val="auto"/>
              </w:rPr>
            </w:pPr>
          </w:p>
        </w:tc>
        <w:tc>
          <w:tcPr>
            <w:tcW w:w="1660" w:type="dxa"/>
            <w:vAlign w:val="bottom"/>
            <w:tcBorders>
              <w:bottom w:val="single" w:sz="8" w:color="929292"/>
            </w:tcBorders>
          </w:tcPr>
          <w:p>
            <w:pPr>
              <w:spacing w:after="0" w:line="20" w:lineRule="exact"/>
              <w:rPr>
                <w:sz w:val="1"/>
                <w:szCs w:val="1"/>
                <w:color w:val="auto"/>
              </w:rPr>
            </w:pPr>
          </w:p>
        </w:tc>
        <w:tc>
          <w:tcPr>
            <w:tcW w:w="118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360" w:type="dxa"/>
            <w:vAlign w:val="bottom"/>
          </w:tcPr>
          <w:p>
            <w:pPr>
              <w:jc w:val="right"/>
              <w:spacing w:after="0"/>
              <w:rPr>
                <w:sz w:val="20"/>
                <w:szCs w:val="20"/>
                <w:color w:val="auto"/>
              </w:rPr>
            </w:pPr>
            <w:r>
              <w:rPr>
                <w:rFonts w:ascii="Arial" w:cs="Arial" w:eastAsia="Arial" w:hAnsi="Arial"/>
                <w:sz w:val="14"/>
                <w:szCs w:val="14"/>
                <w:color w:val="auto"/>
              </w:rPr>
              <w:t>2022</w:t>
            </w:r>
          </w:p>
        </w:tc>
        <w:tc>
          <w:tcPr>
            <w:tcW w:w="5680" w:type="dxa"/>
            <w:vAlign w:val="bottom"/>
          </w:tcPr>
          <w:p>
            <w:pPr>
              <w:ind w:left="20"/>
              <w:spacing w:after="0"/>
              <w:rPr>
                <w:sz w:val="20"/>
                <w:szCs w:val="20"/>
                <w:color w:val="auto"/>
              </w:rPr>
            </w:pPr>
            <w:r>
              <w:rPr>
                <w:rFonts w:ascii="Arial" w:cs="Arial" w:eastAsia="Arial" w:hAnsi="Arial"/>
                <w:sz w:val="14"/>
                <w:szCs w:val="14"/>
                <w:color w:val="auto"/>
              </w:rPr>
              <w:t>- Crane</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474,669</w:t>
            </w:r>
          </w:p>
        </w:tc>
        <w:tc>
          <w:tcPr>
            <w:tcW w:w="1660" w:type="dxa"/>
            <w:vAlign w:val="bottom"/>
          </w:tcPr>
          <w:p>
            <w:pPr>
              <w:jc w:val="right"/>
              <w:ind w:right="168"/>
              <w:spacing w:after="0"/>
              <w:rPr>
                <w:sz w:val="20"/>
                <w:szCs w:val="20"/>
                <w:color w:val="auto"/>
              </w:rPr>
            </w:pPr>
            <w:r>
              <w:rPr>
                <w:rFonts w:ascii="Arial" w:cs="Arial" w:eastAsia="Arial" w:hAnsi="Arial"/>
                <w:sz w:val="14"/>
                <w:szCs w:val="14"/>
                <w:color w:val="auto"/>
              </w:rPr>
              <w:t>0</w:t>
            </w:r>
          </w:p>
        </w:tc>
        <w:tc>
          <w:tcPr>
            <w:tcW w:w="1180" w:type="dxa"/>
            <w:vAlign w:val="bottom"/>
          </w:tcPr>
          <w:p>
            <w:pPr>
              <w:jc w:val="right"/>
              <w:spacing w:after="0"/>
              <w:rPr>
                <w:sz w:val="20"/>
                <w:szCs w:val="20"/>
                <w:color w:val="auto"/>
              </w:rPr>
            </w:pPr>
            <w:r>
              <w:rPr>
                <w:rFonts w:ascii="Arial" w:cs="Arial" w:eastAsia="Arial" w:hAnsi="Arial"/>
                <w:sz w:val="14"/>
                <w:szCs w:val="14"/>
                <w:color w:val="auto"/>
              </w:rPr>
              <w:t>474,669</w:t>
            </w:r>
          </w:p>
        </w:tc>
        <w:tc>
          <w:tcPr>
            <w:tcW w:w="0" w:type="dxa"/>
            <w:vAlign w:val="bottom"/>
          </w:tcPr>
          <w:p>
            <w:pPr>
              <w:spacing w:after="0"/>
              <w:rPr>
                <w:sz w:val="1"/>
                <w:szCs w:val="1"/>
                <w:color w:val="auto"/>
              </w:rPr>
            </w:pPr>
          </w:p>
        </w:tc>
      </w:tr>
      <w:tr>
        <w:trPr>
          <w:trHeight w:val="22"/>
        </w:trPr>
        <w:tc>
          <w:tcPr>
            <w:tcW w:w="360" w:type="dxa"/>
            <w:vAlign w:val="bottom"/>
            <w:tcBorders>
              <w:bottom w:val="single" w:sz="8" w:color="929292"/>
            </w:tcBorders>
          </w:tcPr>
          <w:p>
            <w:pPr>
              <w:spacing w:after="0" w:line="20" w:lineRule="exact"/>
              <w:rPr>
                <w:sz w:val="1"/>
                <w:szCs w:val="1"/>
                <w:color w:val="auto"/>
              </w:rPr>
            </w:pPr>
          </w:p>
        </w:tc>
        <w:tc>
          <w:tcPr>
            <w:tcW w:w="5680" w:type="dxa"/>
            <w:vAlign w:val="bottom"/>
            <w:tcBorders>
              <w:bottom w:val="single" w:sz="8" w:color="929292"/>
            </w:tcBorders>
          </w:tcPr>
          <w:p>
            <w:pPr>
              <w:spacing w:after="0" w:line="20" w:lineRule="exact"/>
              <w:rPr>
                <w:sz w:val="1"/>
                <w:szCs w:val="1"/>
                <w:color w:val="auto"/>
              </w:rPr>
            </w:pPr>
          </w:p>
        </w:tc>
        <w:tc>
          <w:tcPr>
            <w:tcW w:w="1200" w:type="dxa"/>
            <w:vAlign w:val="bottom"/>
            <w:tcBorders>
              <w:bottom w:val="single" w:sz="8" w:color="929292"/>
            </w:tcBorders>
          </w:tcPr>
          <w:p>
            <w:pPr>
              <w:spacing w:after="0" w:line="20" w:lineRule="exact"/>
              <w:rPr>
                <w:sz w:val="1"/>
                <w:szCs w:val="1"/>
                <w:color w:val="auto"/>
              </w:rPr>
            </w:pPr>
          </w:p>
        </w:tc>
        <w:tc>
          <w:tcPr>
            <w:tcW w:w="1660" w:type="dxa"/>
            <w:vAlign w:val="bottom"/>
            <w:tcBorders>
              <w:bottom w:val="single" w:sz="8" w:color="929292"/>
            </w:tcBorders>
          </w:tcPr>
          <w:p>
            <w:pPr>
              <w:spacing w:after="0" w:line="20" w:lineRule="exact"/>
              <w:rPr>
                <w:sz w:val="1"/>
                <w:szCs w:val="1"/>
                <w:color w:val="auto"/>
              </w:rPr>
            </w:pPr>
          </w:p>
        </w:tc>
        <w:tc>
          <w:tcPr>
            <w:tcW w:w="118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360" w:type="dxa"/>
            <w:vAlign w:val="bottom"/>
          </w:tcPr>
          <w:p>
            <w:pPr>
              <w:jc w:val="right"/>
              <w:spacing w:after="0"/>
              <w:rPr>
                <w:sz w:val="20"/>
                <w:szCs w:val="20"/>
                <w:color w:val="auto"/>
              </w:rPr>
            </w:pPr>
            <w:r>
              <w:rPr>
                <w:rFonts w:ascii="Arial" w:cs="Arial" w:eastAsia="Arial" w:hAnsi="Arial"/>
                <w:sz w:val="14"/>
                <w:szCs w:val="14"/>
                <w:color w:val="auto"/>
              </w:rPr>
              <w:t>2021</w:t>
            </w:r>
          </w:p>
        </w:tc>
        <w:tc>
          <w:tcPr>
            <w:tcW w:w="5680" w:type="dxa"/>
            <w:vAlign w:val="bottom"/>
          </w:tcPr>
          <w:p>
            <w:pPr>
              <w:ind w:left="20"/>
              <w:spacing w:after="0"/>
              <w:rPr>
                <w:sz w:val="20"/>
                <w:szCs w:val="20"/>
                <w:color w:val="auto"/>
              </w:rPr>
            </w:pPr>
            <w:r>
              <w:rPr>
                <w:rFonts w:ascii="Arial" w:cs="Arial" w:eastAsia="Arial" w:hAnsi="Arial"/>
                <w:sz w:val="14"/>
                <w:szCs w:val="14"/>
                <w:color w:val="auto"/>
              </w:rPr>
              <w:t>- Crane</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547,951</w:t>
            </w:r>
          </w:p>
        </w:tc>
        <w:tc>
          <w:tcPr>
            <w:tcW w:w="1660" w:type="dxa"/>
            <w:vAlign w:val="bottom"/>
          </w:tcPr>
          <w:p>
            <w:pPr>
              <w:jc w:val="right"/>
              <w:ind w:right="168"/>
              <w:spacing w:after="0"/>
              <w:rPr>
                <w:sz w:val="20"/>
                <w:szCs w:val="20"/>
                <w:color w:val="auto"/>
              </w:rPr>
            </w:pPr>
            <w:r>
              <w:rPr>
                <w:rFonts w:ascii="Arial" w:cs="Arial" w:eastAsia="Arial" w:hAnsi="Arial"/>
                <w:sz w:val="14"/>
                <w:szCs w:val="14"/>
                <w:color w:val="auto"/>
              </w:rPr>
              <w:t>0</w:t>
            </w:r>
          </w:p>
        </w:tc>
        <w:tc>
          <w:tcPr>
            <w:tcW w:w="1180" w:type="dxa"/>
            <w:vAlign w:val="bottom"/>
          </w:tcPr>
          <w:p>
            <w:pPr>
              <w:jc w:val="right"/>
              <w:spacing w:after="0"/>
              <w:rPr>
                <w:sz w:val="20"/>
                <w:szCs w:val="20"/>
                <w:color w:val="auto"/>
              </w:rPr>
            </w:pPr>
            <w:r>
              <w:rPr>
                <w:rFonts w:ascii="Arial" w:cs="Arial" w:eastAsia="Arial" w:hAnsi="Arial"/>
                <w:sz w:val="14"/>
                <w:szCs w:val="14"/>
                <w:color w:val="auto"/>
              </w:rPr>
              <w:t>547,951</w:t>
            </w:r>
          </w:p>
        </w:tc>
        <w:tc>
          <w:tcPr>
            <w:tcW w:w="0" w:type="dxa"/>
            <w:vAlign w:val="bottom"/>
          </w:tcPr>
          <w:p>
            <w:pPr>
              <w:spacing w:after="0"/>
              <w:rPr>
                <w:sz w:val="1"/>
                <w:szCs w:val="1"/>
                <w:color w:val="auto"/>
              </w:rPr>
            </w:pPr>
          </w:p>
        </w:tc>
      </w:tr>
      <w:tr>
        <w:trPr>
          <w:trHeight w:val="22"/>
        </w:trPr>
        <w:tc>
          <w:tcPr>
            <w:tcW w:w="360" w:type="dxa"/>
            <w:vAlign w:val="bottom"/>
            <w:tcBorders>
              <w:bottom w:val="single" w:sz="8" w:color="929292"/>
            </w:tcBorders>
          </w:tcPr>
          <w:p>
            <w:pPr>
              <w:spacing w:after="0" w:line="20" w:lineRule="exact"/>
              <w:rPr>
                <w:sz w:val="1"/>
                <w:szCs w:val="1"/>
                <w:color w:val="auto"/>
              </w:rPr>
            </w:pPr>
          </w:p>
        </w:tc>
        <w:tc>
          <w:tcPr>
            <w:tcW w:w="5680" w:type="dxa"/>
            <w:vAlign w:val="bottom"/>
            <w:tcBorders>
              <w:bottom w:val="single" w:sz="8" w:color="929292"/>
            </w:tcBorders>
          </w:tcPr>
          <w:p>
            <w:pPr>
              <w:spacing w:after="0" w:line="20" w:lineRule="exact"/>
              <w:rPr>
                <w:sz w:val="1"/>
                <w:szCs w:val="1"/>
                <w:color w:val="auto"/>
              </w:rPr>
            </w:pPr>
          </w:p>
        </w:tc>
        <w:tc>
          <w:tcPr>
            <w:tcW w:w="1200" w:type="dxa"/>
            <w:vAlign w:val="bottom"/>
            <w:tcBorders>
              <w:bottom w:val="single" w:sz="8" w:color="929292"/>
            </w:tcBorders>
          </w:tcPr>
          <w:p>
            <w:pPr>
              <w:spacing w:after="0" w:line="20" w:lineRule="exact"/>
              <w:rPr>
                <w:sz w:val="1"/>
                <w:szCs w:val="1"/>
                <w:color w:val="auto"/>
              </w:rPr>
            </w:pPr>
          </w:p>
        </w:tc>
        <w:tc>
          <w:tcPr>
            <w:tcW w:w="1660" w:type="dxa"/>
            <w:vAlign w:val="bottom"/>
            <w:tcBorders>
              <w:bottom w:val="single" w:sz="8" w:color="929292"/>
            </w:tcBorders>
          </w:tcPr>
          <w:p>
            <w:pPr>
              <w:spacing w:after="0" w:line="20" w:lineRule="exact"/>
              <w:rPr>
                <w:sz w:val="1"/>
                <w:szCs w:val="1"/>
                <w:color w:val="auto"/>
              </w:rPr>
            </w:pPr>
          </w:p>
        </w:tc>
        <w:tc>
          <w:tcPr>
            <w:tcW w:w="118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360" w:type="dxa"/>
            <w:vAlign w:val="bottom"/>
          </w:tcPr>
          <w:p>
            <w:pPr>
              <w:jc w:val="right"/>
              <w:spacing w:after="0"/>
              <w:rPr>
                <w:sz w:val="20"/>
                <w:szCs w:val="20"/>
                <w:color w:val="auto"/>
              </w:rPr>
            </w:pPr>
            <w:r>
              <w:rPr>
                <w:rFonts w:ascii="Arial" w:cs="Arial" w:eastAsia="Arial" w:hAnsi="Arial"/>
                <w:sz w:val="14"/>
                <w:szCs w:val="14"/>
                <w:color w:val="auto"/>
              </w:rPr>
              <w:t>2020</w:t>
            </w:r>
          </w:p>
        </w:tc>
        <w:tc>
          <w:tcPr>
            <w:tcW w:w="5680" w:type="dxa"/>
            <w:vAlign w:val="bottom"/>
          </w:tcPr>
          <w:p>
            <w:pPr>
              <w:ind w:left="20"/>
              <w:spacing w:after="0"/>
              <w:rPr>
                <w:sz w:val="20"/>
                <w:szCs w:val="20"/>
                <w:color w:val="auto"/>
              </w:rPr>
            </w:pPr>
            <w:r>
              <w:rPr>
                <w:rFonts w:ascii="Arial" w:cs="Arial" w:eastAsia="Arial" w:hAnsi="Arial"/>
                <w:sz w:val="14"/>
                <w:szCs w:val="14"/>
                <w:color w:val="auto"/>
              </w:rPr>
              <w:t>- Crane</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556,368</w:t>
            </w:r>
          </w:p>
        </w:tc>
        <w:tc>
          <w:tcPr>
            <w:tcW w:w="1660" w:type="dxa"/>
            <w:vAlign w:val="bottom"/>
          </w:tcPr>
          <w:p>
            <w:pPr>
              <w:jc w:val="right"/>
              <w:ind w:right="168"/>
              <w:spacing w:after="0"/>
              <w:rPr>
                <w:sz w:val="20"/>
                <w:szCs w:val="20"/>
                <w:color w:val="auto"/>
              </w:rPr>
            </w:pPr>
            <w:r>
              <w:rPr>
                <w:rFonts w:ascii="Arial" w:cs="Arial" w:eastAsia="Arial" w:hAnsi="Arial"/>
                <w:sz w:val="14"/>
                <w:szCs w:val="14"/>
                <w:color w:val="auto"/>
              </w:rPr>
              <w:t>0</w:t>
            </w:r>
          </w:p>
        </w:tc>
        <w:tc>
          <w:tcPr>
            <w:tcW w:w="1180" w:type="dxa"/>
            <w:vAlign w:val="bottom"/>
          </w:tcPr>
          <w:p>
            <w:pPr>
              <w:jc w:val="right"/>
              <w:spacing w:after="0"/>
              <w:rPr>
                <w:sz w:val="20"/>
                <w:szCs w:val="20"/>
                <w:color w:val="auto"/>
              </w:rPr>
            </w:pPr>
            <w:r>
              <w:rPr>
                <w:rFonts w:ascii="Arial" w:cs="Arial" w:eastAsia="Arial" w:hAnsi="Arial"/>
                <w:sz w:val="14"/>
                <w:szCs w:val="14"/>
                <w:color w:val="auto"/>
              </w:rPr>
              <w:t>556,368</w:t>
            </w:r>
          </w:p>
        </w:tc>
        <w:tc>
          <w:tcPr>
            <w:tcW w:w="0" w:type="dxa"/>
            <w:vAlign w:val="bottom"/>
          </w:tcPr>
          <w:p>
            <w:pPr>
              <w:spacing w:after="0"/>
              <w:rPr>
                <w:sz w:val="1"/>
                <w:szCs w:val="1"/>
                <w:color w:val="auto"/>
              </w:rPr>
            </w:pPr>
          </w:p>
        </w:tc>
      </w:tr>
      <w:tr>
        <w:trPr>
          <w:trHeight w:val="22"/>
        </w:trPr>
        <w:tc>
          <w:tcPr>
            <w:tcW w:w="360" w:type="dxa"/>
            <w:vAlign w:val="bottom"/>
            <w:tcBorders>
              <w:bottom w:val="single" w:sz="8" w:color="808080"/>
            </w:tcBorders>
          </w:tcPr>
          <w:p>
            <w:pPr>
              <w:spacing w:after="0" w:line="20" w:lineRule="exact"/>
              <w:rPr>
                <w:sz w:val="1"/>
                <w:szCs w:val="1"/>
                <w:color w:val="auto"/>
              </w:rPr>
            </w:pPr>
          </w:p>
        </w:tc>
        <w:tc>
          <w:tcPr>
            <w:tcW w:w="5680" w:type="dxa"/>
            <w:vAlign w:val="bottom"/>
            <w:tcBorders>
              <w:bottom w:val="single" w:sz="8" w:color="808080"/>
            </w:tcBorders>
          </w:tcPr>
          <w:p>
            <w:pPr>
              <w:spacing w:after="0" w:line="20" w:lineRule="exact"/>
              <w:rPr>
                <w:sz w:val="1"/>
                <w:szCs w:val="1"/>
                <w:color w:val="auto"/>
              </w:rPr>
            </w:pPr>
          </w:p>
        </w:tc>
        <w:tc>
          <w:tcPr>
            <w:tcW w:w="1200" w:type="dxa"/>
            <w:vAlign w:val="bottom"/>
            <w:tcBorders>
              <w:bottom w:val="single" w:sz="8" w:color="808080"/>
            </w:tcBorders>
          </w:tcPr>
          <w:p>
            <w:pPr>
              <w:spacing w:after="0" w:line="20" w:lineRule="exact"/>
              <w:rPr>
                <w:sz w:val="1"/>
                <w:szCs w:val="1"/>
                <w:color w:val="auto"/>
              </w:rPr>
            </w:pPr>
          </w:p>
        </w:tc>
        <w:tc>
          <w:tcPr>
            <w:tcW w:w="1660" w:type="dxa"/>
            <w:vAlign w:val="bottom"/>
            <w:tcBorders>
              <w:bottom w:val="single" w:sz="8" w:color="808080"/>
            </w:tcBorders>
          </w:tcPr>
          <w:p>
            <w:pPr>
              <w:spacing w:after="0" w:line="20" w:lineRule="exact"/>
              <w:rPr>
                <w:sz w:val="1"/>
                <w:szCs w:val="1"/>
                <w:color w:val="auto"/>
              </w:rPr>
            </w:pPr>
          </w:p>
        </w:tc>
        <w:tc>
          <w:tcPr>
            <w:tcW w:w="118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hanging="252"/>
        <w:spacing w:after="0" w:line="277" w:lineRule="auto"/>
        <w:tabs>
          <w:tab w:leader="none" w:pos="249" w:val="left"/>
        </w:tabs>
        <w:numPr>
          <w:ilvl w:val="0"/>
          <w:numId w:val="150"/>
        </w:numPr>
        <w:rPr>
          <w:rFonts w:ascii="Arial" w:cs="Arial" w:eastAsia="Arial" w:hAnsi="Arial"/>
          <w:sz w:val="16"/>
          <w:szCs w:val="16"/>
          <w:color w:val="auto"/>
          <w:vertAlign w:val="superscript"/>
        </w:rPr>
      </w:pPr>
      <w:r>
        <w:rPr>
          <w:rFonts w:ascii="Arial" w:cs="Arial" w:eastAsia="Arial" w:hAnsi="Arial"/>
          <w:sz w:val="14"/>
          <w:szCs w:val="14"/>
          <w:color w:val="auto"/>
        </w:rPr>
        <w:t>The dollar amounts reported in column (d) represent the average of the amounts reported for the Company’s named executive officers (NEOs) as a group (excluding the PEO(s)) in the “Total” column of the Summary Compensation Table in each applicable year. The names of each of the NEOs (excluding the PEO(s)) included for purposes of calculating the average amounts in each applicable year are as follows: (i) for 2023, Mses. Jones and Littleton, and Messrs. Glockner and Quiniones; (ii) for 2022, Mses. Jones and Littleton and Messrs. Glockner and Quiniones, and Joseph Nigro; (iii) for 2021, Messrs. Butler, Nigro, Bryan Hanson, James McHugh, Kenneth Cornew, and William Von Hoene, Jr.; and (iv) for 2020, Messrs. Butler, Nigro, Cornew, and Von Hoene.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780"/>
        <w:spacing w:after="0"/>
        <w:tabs>
          <w:tab w:leader="none" w:pos="11040" w:val="left"/>
        </w:tabs>
        <w:rPr>
          <w:sz w:val="20"/>
          <w:szCs w:val="20"/>
          <w:color w:val="auto"/>
        </w:rPr>
      </w:pPr>
      <w:r>
        <w:rPr>
          <w:rFonts w:ascii="Arial" w:cs="Arial" w:eastAsia="Arial" w:hAnsi="Arial"/>
          <w:sz w:val="14"/>
          <w:szCs w:val="14"/>
          <w:color w:val="auto"/>
        </w:rPr>
        <w:t>2025 ׀ Exelon Proxy Statement</w:t>
      </w:r>
      <w:r>
        <w:rPr>
          <w:sz w:val="20"/>
          <w:szCs w:val="20"/>
          <w:color w:val="auto"/>
        </w:rPr>
        <w:tab/>
      </w:r>
      <w:r>
        <w:rPr>
          <w:rFonts w:ascii="Arial" w:cs="Arial" w:eastAsia="Arial" w:hAnsi="Arial"/>
          <w:sz w:val="14"/>
          <w:szCs w:val="14"/>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3"/>
          <w:szCs w:val="13"/>
          <w:b w:val="1"/>
          <w:bCs w:val="1"/>
          <w:color w:val="auto"/>
        </w:rPr>
        <w:t>Compensation Discussion &amp; Analysis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60" w:right="140" w:hanging="252"/>
        <w:spacing w:after="0" w:line="292" w:lineRule="auto"/>
        <w:tabs>
          <w:tab w:leader="none" w:pos="249" w:val="left"/>
        </w:tabs>
        <w:numPr>
          <w:ilvl w:val="0"/>
          <w:numId w:val="151"/>
        </w:numPr>
        <w:rPr>
          <w:rFonts w:ascii="Arial" w:cs="Arial" w:eastAsia="Arial" w:hAnsi="Arial"/>
          <w:sz w:val="8"/>
          <w:szCs w:val="8"/>
          <w:color w:val="auto"/>
        </w:rPr>
      </w:pPr>
      <w:r>
        <w:rPr>
          <w:rFonts w:ascii="Arial" w:cs="Arial" w:eastAsia="Arial" w:hAnsi="Arial"/>
          <w:sz w:val="14"/>
          <w:szCs w:val="14"/>
          <w:color w:val="auto"/>
        </w:rPr>
        <w:t>The dollar amounts reported in column (e) represent the average amount of “compensation actually paid” to the NEOs as a group (excluding the PEO(s)), as computed in accordance with Item 402(v) of Regulation S-K. The dollar amounts do not reflect the actual average amount of compensation earned by or paid to the NEOs as a group (excluding the PEO(s)) during the applicable year. In accordance with the requirements of Item 402(v) of Regulation S-K, the following adjustments were made to average total compensation for the NEOs as a group (excluding the PEO(s)) for each year to determine the compensation actually paid, using the same methodology described above in Note 3:</w:t>
      </w:r>
    </w:p>
    <w:p>
      <w:pPr>
        <w:spacing w:after="0" w:line="128"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1880" w:type="dxa"/>
            <w:vAlign w:val="bottom"/>
          </w:tcPr>
          <w:p>
            <w:pPr>
              <w:jc w:val="right"/>
              <w:ind w:right="68"/>
              <w:spacing w:after="0"/>
              <w:rPr>
                <w:sz w:val="20"/>
                <w:szCs w:val="20"/>
                <w:color w:val="auto"/>
              </w:rPr>
            </w:pPr>
            <w:r>
              <w:rPr>
                <w:rFonts w:ascii="Arial" w:cs="Arial" w:eastAsia="Arial" w:hAnsi="Arial"/>
                <w:sz w:val="14"/>
                <w:szCs w:val="14"/>
                <w:b w:val="1"/>
                <w:bCs w:val="1"/>
                <w:color w:val="170D67"/>
              </w:rPr>
              <w:t>Average Reported</w:t>
            </w:r>
          </w:p>
        </w:tc>
        <w:tc>
          <w:tcPr>
            <w:tcW w:w="1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80" w:type="dxa"/>
            <w:vAlign w:val="bottom"/>
          </w:tcPr>
          <w:p>
            <w:pPr>
              <w:jc w:val="right"/>
              <w:ind w:right="128"/>
              <w:spacing w:after="0"/>
              <w:rPr>
                <w:sz w:val="20"/>
                <w:szCs w:val="20"/>
                <w:color w:val="auto"/>
              </w:rPr>
            </w:pPr>
            <w:r>
              <w:rPr>
                <w:rFonts w:ascii="Arial" w:cs="Arial" w:eastAsia="Arial" w:hAnsi="Arial"/>
                <w:sz w:val="14"/>
                <w:szCs w:val="14"/>
                <w:b w:val="1"/>
                <w:bCs w:val="1"/>
                <w:color w:val="170D67"/>
              </w:rPr>
              <w:t>Average Reported</w:t>
            </w:r>
          </w:p>
        </w:tc>
        <w:tc>
          <w:tcPr>
            <w:tcW w:w="18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170D67"/>
              </w:rPr>
              <w:t>Average</w:t>
            </w:r>
          </w:p>
        </w:tc>
      </w:tr>
      <w:tr>
        <w:trPr>
          <w:trHeight w:val="176"/>
        </w:trPr>
        <w:tc>
          <w:tcPr>
            <w:tcW w:w="860" w:type="dxa"/>
            <w:vAlign w:val="bottom"/>
          </w:tcPr>
          <w:p>
            <w:pPr>
              <w:spacing w:after="0"/>
              <w:rPr>
                <w:sz w:val="15"/>
                <w:szCs w:val="15"/>
                <w:color w:val="auto"/>
              </w:rPr>
            </w:pPr>
          </w:p>
        </w:tc>
        <w:tc>
          <w:tcPr>
            <w:tcW w:w="1880" w:type="dxa"/>
            <w:vAlign w:val="bottom"/>
          </w:tcPr>
          <w:p>
            <w:pPr>
              <w:jc w:val="right"/>
              <w:ind w:right="68"/>
              <w:spacing w:after="0"/>
              <w:rPr>
                <w:sz w:val="20"/>
                <w:szCs w:val="20"/>
                <w:color w:val="auto"/>
              </w:rPr>
            </w:pPr>
            <w:r>
              <w:rPr>
                <w:rFonts w:ascii="Arial" w:cs="Arial" w:eastAsia="Arial" w:hAnsi="Arial"/>
                <w:sz w:val="14"/>
                <w:szCs w:val="14"/>
                <w:b w:val="1"/>
                <w:bCs w:val="1"/>
                <w:color w:val="170D67"/>
              </w:rPr>
              <w:t>Summary</w:t>
            </w:r>
          </w:p>
        </w:tc>
        <w:tc>
          <w:tcPr>
            <w:tcW w:w="14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580" w:type="dxa"/>
            <w:vAlign w:val="bottom"/>
          </w:tcPr>
          <w:p>
            <w:pPr>
              <w:jc w:val="right"/>
              <w:ind w:right="128"/>
              <w:spacing w:after="0"/>
              <w:rPr>
                <w:sz w:val="20"/>
                <w:szCs w:val="20"/>
                <w:color w:val="auto"/>
              </w:rPr>
            </w:pPr>
            <w:r>
              <w:rPr>
                <w:rFonts w:ascii="Arial" w:cs="Arial" w:eastAsia="Arial" w:hAnsi="Arial"/>
                <w:sz w:val="14"/>
                <w:szCs w:val="14"/>
                <w:b w:val="1"/>
                <w:bCs w:val="1"/>
                <w:color w:val="170D67"/>
              </w:rPr>
              <w:t>Change in the</w:t>
            </w:r>
          </w:p>
        </w:tc>
        <w:tc>
          <w:tcPr>
            <w:tcW w:w="18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170D67"/>
              </w:rPr>
              <w:t>Compensation</w:t>
            </w:r>
          </w:p>
        </w:tc>
      </w:tr>
      <w:tr>
        <w:trPr>
          <w:trHeight w:val="175"/>
        </w:trPr>
        <w:tc>
          <w:tcPr>
            <w:tcW w:w="860" w:type="dxa"/>
            <w:vAlign w:val="bottom"/>
          </w:tcPr>
          <w:p>
            <w:pPr>
              <w:spacing w:after="0"/>
              <w:rPr>
                <w:sz w:val="15"/>
                <w:szCs w:val="15"/>
                <w:color w:val="auto"/>
              </w:rPr>
            </w:pPr>
          </w:p>
        </w:tc>
        <w:tc>
          <w:tcPr>
            <w:tcW w:w="1880" w:type="dxa"/>
            <w:vAlign w:val="bottom"/>
          </w:tcPr>
          <w:p>
            <w:pPr>
              <w:jc w:val="right"/>
              <w:ind w:right="68"/>
              <w:spacing w:after="0"/>
              <w:rPr>
                <w:sz w:val="20"/>
                <w:szCs w:val="20"/>
                <w:color w:val="auto"/>
              </w:rPr>
            </w:pPr>
            <w:r>
              <w:rPr>
                <w:rFonts w:ascii="Arial" w:cs="Arial" w:eastAsia="Arial" w:hAnsi="Arial"/>
                <w:sz w:val="14"/>
                <w:szCs w:val="14"/>
                <w:b w:val="1"/>
                <w:bCs w:val="1"/>
                <w:color w:val="170D67"/>
              </w:rPr>
              <w:t>Compensation</w:t>
            </w:r>
          </w:p>
        </w:tc>
        <w:tc>
          <w:tcPr>
            <w:tcW w:w="1460" w:type="dxa"/>
            <w:vAlign w:val="bottom"/>
          </w:tcPr>
          <w:p>
            <w:pPr>
              <w:jc w:val="right"/>
              <w:ind w:right="108"/>
              <w:spacing w:after="0"/>
              <w:rPr>
                <w:sz w:val="20"/>
                <w:szCs w:val="20"/>
                <w:color w:val="auto"/>
              </w:rPr>
            </w:pPr>
            <w:r>
              <w:rPr>
                <w:rFonts w:ascii="Arial" w:cs="Arial" w:eastAsia="Arial" w:hAnsi="Arial"/>
                <w:sz w:val="14"/>
                <w:szCs w:val="14"/>
                <w:b w:val="1"/>
                <w:bCs w:val="1"/>
                <w:color w:val="170D67"/>
              </w:rPr>
              <w:t>Average</w:t>
            </w:r>
          </w:p>
        </w:tc>
        <w:tc>
          <w:tcPr>
            <w:tcW w:w="1680" w:type="dxa"/>
            <w:vAlign w:val="bottom"/>
          </w:tcPr>
          <w:p>
            <w:pPr>
              <w:jc w:val="right"/>
              <w:ind w:right="108"/>
              <w:spacing w:after="0"/>
              <w:rPr>
                <w:sz w:val="20"/>
                <w:szCs w:val="20"/>
                <w:color w:val="auto"/>
              </w:rPr>
            </w:pPr>
            <w:r>
              <w:rPr>
                <w:rFonts w:ascii="Arial" w:cs="Arial" w:eastAsia="Arial" w:hAnsi="Arial"/>
                <w:sz w:val="14"/>
                <w:szCs w:val="14"/>
                <w:b w:val="1"/>
                <w:bCs w:val="1"/>
                <w:color w:val="170D67"/>
              </w:rPr>
              <w:t>Average Equity</w:t>
            </w:r>
          </w:p>
        </w:tc>
        <w:tc>
          <w:tcPr>
            <w:tcW w:w="1580" w:type="dxa"/>
            <w:vAlign w:val="bottom"/>
          </w:tcPr>
          <w:p>
            <w:pPr>
              <w:jc w:val="right"/>
              <w:ind w:right="128"/>
              <w:spacing w:after="0"/>
              <w:rPr>
                <w:sz w:val="20"/>
                <w:szCs w:val="20"/>
                <w:color w:val="auto"/>
              </w:rPr>
            </w:pPr>
            <w:r>
              <w:rPr>
                <w:rFonts w:ascii="Arial" w:cs="Arial" w:eastAsia="Arial" w:hAnsi="Arial"/>
                <w:sz w:val="14"/>
                <w:szCs w:val="14"/>
                <w:b w:val="1"/>
                <w:bCs w:val="1"/>
                <w:color w:val="170D67"/>
              </w:rPr>
              <w:t>Actuarial Present</w:t>
            </w:r>
          </w:p>
        </w:tc>
        <w:tc>
          <w:tcPr>
            <w:tcW w:w="1840" w:type="dxa"/>
            <w:vAlign w:val="bottom"/>
          </w:tcPr>
          <w:p>
            <w:pPr>
              <w:jc w:val="right"/>
              <w:ind w:right="188"/>
              <w:spacing w:after="0"/>
              <w:rPr>
                <w:sz w:val="20"/>
                <w:szCs w:val="20"/>
                <w:color w:val="auto"/>
              </w:rPr>
            </w:pPr>
            <w:r>
              <w:rPr>
                <w:rFonts w:ascii="Arial" w:cs="Arial" w:eastAsia="Arial" w:hAnsi="Arial"/>
                <w:sz w:val="14"/>
                <w:szCs w:val="14"/>
                <w:b w:val="1"/>
                <w:bCs w:val="1"/>
                <w:color w:val="170D67"/>
              </w:rPr>
              <w:t>Average Pension</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170D67"/>
              </w:rPr>
              <w:t>Actually Paid to</w:t>
            </w:r>
          </w:p>
        </w:tc>
      </w:tr>
      <w:tr>
        <w:trPr>
          <w:trHeight w:val="176"/>
        </w:trPr>
        <w:tc>
          <w:tcPr>
            <w:tcW w:w="860" w:type="dxa"/>
            <w:vAlign w:val="bottom"/>
          </w:tcPr>
          <w:p>
            <w:pPr>
              <w:spacing w:after="0"/>
              <w:rPr>
                <w:sz w:val="15"/>
                <w:szCs w:val="15"/>
                <w:color w:val="auto"/>
              </w:rPr>
            </w:pPr>
          </w:p>
        </w:tc>
        <w:tc>
          <w:tcPr>
            <w:tcW w:w="1880" w:type="dxa"/>
            <w:vAlign w:val="bottom"/>
          </w:tcPr>
          <w:p>
            <w:pPr>
              <w:jc w:val="right"/>
              <w:ind w:right="68"/>
              <w:spacing w:after="0"/>
              <w:rPr>
                <w:sz w:val="20"/>
                <w:szCs w:val="20"/>
                <w:color w:val="auto"/>
              </w:rPr>
            </w:pPr>
            <w:r>
              <w:rPr>
                <w:rFonts w:ascii="Arial" w:cs="Arial" w:eastAsia="Arial" w:hAnsi="Arial"/>
                <w:sz w:val="14"/>
                <w:szCs w:val="14"/>
                <w:b w:val="1"/>
                <w:bCs w:val="1"/>
                <w:color w:val="170D67"/>
              </w:rPr>
              <w:t>Table Total for</w:t>
            </w:r>
          </w:p>
        </w:tc>
        <w:tc>
          <w:tcPr>
            <w:tcW w:w="1460" w:type="dxa"/>
            <w:vAlign w:val="bottom"/>
          </w:tcPr>
          <w:p>
            <w:pPr>
              <w:jc w:val="right"/>
              <w:ind w:right="108"/>
              <w:spacing w:after="0"/>
              <w:rPr>
                <w:sz w:val="20"/>
                <w:szCs w:val="20"/>
                <w:color w:val="auto"/>
              </w:rPr>
            </w:pPr>
            <w:r>
              <w:rPr>
                <w:rFonts w:ascii="Arial" w:cs="Arial" w:eastAsia="Arial" w:hAnsi="Arial"/>
                <w:sz w:val="14"/>
                <w:szCs w:val="14"/>
                <w:b w:val="1"/>
                <w:bCs w:val="1"/>
                <w:color w:val="170D67"/>
              </w:rPr>
              <w:t>Reported Value</w:t>
            </w:r>
          </w:p>
        </w:tc>
        <w:tc>
          <w:tcPr>
            <w:tcW w:w="1680" w:type="dxa"/>
            <w:vAlign w:val="bottom"/>
          </w:tcPr>
          <w:p>
            <w:pPr>
              <w:jc w:val="right"/>
              <w:ind w:right="108"/>
              <w:spacing w:after="0"/>
              <w:rPr>
                <w:sz w:val="20"/>
                <w:szCs w:val="20"/>
                <w:color w:val="auto"/>
              </w:rPr>
            </w:pPr>
            <w:r>
              <w:rPr>
                <w:rFonts w:ascii="Arial" w:cs="Arial" w:eastAsia="Arial" w:hAnsi="Arial"/>
                <w:sz w:val="14"/>
                <w:szCs w:val="14"/>
                <w:b w:val="1"/>
                <w:bCs w:val="1"/>
                <w:color w:val="170D67"/>
              </w:rPr>
              <w:t>Award Adjustments</w:t>
            </w:r>
          </w:p>
        </w:tc>
        <w:tc>
          <w:tcPr>
            <w:tcW w:w="1580" w:type="dxa"/>
            <w:vAlign w:val="bottom"/>
          </w:tcPr>
          <w:p>
            <w:pPr>
              <w:jc w:val="right"/>
              <w:ind w:right="128"/>
              <w:spacing w:after="0"/>
              <w:rPr>
                <w:sz w:val="20"/>
                <w:szCs w:val="20"/>
                <w:color w:val="auto"/>
              </w:rPr>
            </w:pPr>
            <w:r>
              <w:rPr>
                <w:rFonts w:ascii="Arial" w:cs="Arial" w:eastAsia="Arial" w:hAnsi="Arial"/>
                <w:sz w:val="14"/>
                <w:szCs w:val="14"/>
                <w:b w:val="1"/>
                <w:bCs w:val="1"/>
                <w:color w:val="170D67"/>
              </w:rPr>
              <w:t>Value of Pension</w:t>
            </w:r>
          </w:p>
        </w:tc>
        <w:tc>
          <w:tcPr>
            <w:tcW w:w="1840" w:type="dxa"/>
            <w:vAlign w:val="bottom"/>
          </w:tcPr>
          <w:p>
            <w:pPr>
              <w:jc w:val="right"/>
              <w:ind w:right="188"/>
              <w:spacing w:after="0"/>
              <w:rPr>
                <w:sz w:val="20"/>
                <w:szCs w:val="20"/>
                <w:color w:val="auto"/>
              </w:rPr>
            </w:pPr>
            <w:r>
              <w:rPr>
                <w:rFonts w:ascii="Arial" w:cs="Arial" w:eastAsia="Arial" w:hAnsi="Arial"/>
                <w:sz w:val="14"/>
                <w:szCs w:val="14"/>
                <w:b w:val="1"/>
                <w:bCs w:val="1"/>
                <w:color w:val="170D67"/>
              </w:rPr>
              <w:t>Benefit Adjustments</w:t>
            </w:r>
          </w:p>
        </w:tc>
        <w:tc>
          <w:tcPr>
            <w:tcW w:w="1340" w:type="dxa"/>
            <w:vAlign w:val="bottom"/>
          </w:tcPr>
          <w:p>
            <w:pPr>
              <w:ind w:left="660"/>
              <w:spacing w:after="0"/>
              <w:rPr>
                <w:sz w:val="20"/>
                <w:szCs w:val="20"/>
                <w:color w:val="auto"/>
              </w:rPr>
            </w:pPr>
            <w:r>
              <w:rPr>
                <w:rFonts w:ascii="Arial" w:cs="Arial" w:eastAsia="Arial" w:hAnsi="Arial"/>
                <w:sz w:val="14"/>
                <w:szCs w:val="14"/>
                <w:b w:val="1"/>
                <w:bCs w:val="1"/>
                <w:color w:val="170D67"/>
              </w:rPr>
              <w:t>Non-PEO</w:t>
            </w:r>
          </w:p>
        </w:tc>
      </w:tr>
      <w:tr>
        <w:trPr>
          <w:trHeight w:val="176"/>
        </w:trPr>
        <w:tc>
          <w:tcPr>
            <w:tcW w:w="860" w:type="dxa"/>
            <w:vAlign w:val="bottom"/>
          </w:tcPr>
          <w:p>
            <w:pPr>
              <w:spacing w:after="0"/>
              <w:rPr>
                <w:sz w:val="15"/>
                <w:szCs w:val="15"/>
                <w:color w:val="auto"/>
              </w:rPr>
            </w:pPr>
          </w:p>
        </w:tc>
        <w:tc>
          <w:tcPr>
            <w:tcW w:w="1880" w:type="dxa"/>
            <w:vAlign w:val="bottom"/>
          </w:tcPr>
          <w:p>
            <w:pPr>
              <w:jc w:val="right"/>
              <w:ind w:right="68"/>
              <w:spacing w:after="0"/>
              <w:rPr>
                <w:sz w:val="20"/>
                <w:szCs w:val="20"/>
                <w:color w:val="auto"/>
              </w:rPr>
            </w:pPr>
            <w:r>
              <w:rPr>
                <w:rFonts w:ascii="Arial" w:cs="Arial" w:eastAsia="Arial" w:hAnsi="Arial"/>
                <w:sz w:val="14"/>
                <w:szCs w:val="14"/>
                <w:b w:val="1"/>
                <w:bCs w:val="1"/>
                <w:color w:val="170D67"/>
              </w:rPr>
              <w:t>Non-PEO NEOs</w:t>
            </w:r>
          </w:p>
        </w:tc>
        <w:tc>
          <w:tcPr>
            <w:tcW w:w="1460" w:type="dxa"/>
            <w:vAlign w:val="bottom"/>
          </w:tcPr>
          <w:p>
            <w:pPr>
              <w:jc w:val="right"/>
              <w:ind w:right="108"/>
              <w:spacing w:after="0"/>
              <w:rPr>
                <w:sz w:val="20"/>
                <w:szCs w:val="20"/>
                <w:color w:val="auto"/>
              </w:rPr>
            </w:pPr>
            <w:r>
              <w:rPr>
                <w:rFonts w:ascii="Arial" w:cs="Arial" w:eastAsia="Arial" w:hAnsi="Arial"/>
                <w:sz w:val="14"/>
                <w:szCs w:val="14"/>
                <w:b w:val="1"/>
                <w:bCs w:val="1"/>
                <w:color w:val="170D67"/>
              </w:rPr>
              <w:t>of Equity Awards</w:t>
            </w:r>
          </w:p>
        </w:tc>
        <w:tc>
          <w:tcPr>
            <w:tcW w:w="1680" w:type="dxa"/>
            <w:vAlign w:val="bottom"/>
          </w:tcPr>
          <w:p>
            <w:pPr>
              <w:jc w:val="right"/>
              <w:ind w:right="108"/>
              <w:spacing w:after="0"/>
              <w:rPr>
                <w:sz w:val="20"/>
                <w:szCs w:val="20"/>
                <w:color w:val="auto"/>
              </w:rPr>
            </w:pPr>
            <w:r>
              <w:rPr>
                <w:rFonts w:ascii="Arial" w:cs="Arial" w:eastAsia="Arial" w:hAnsi="Arial"/>
                <w:sz w:val="14"/>
                <w:szCs w:val="14"/>
                <w:b w:val="1"/>
                <w:bCs w:val="1"/>
                <w:color w:val="170D67"/>
              </w:rPr>
              <w:t>(a)</w:t>
            </w:r>
          </w:p>
        </w:tc>
        <w:tc>
          <w:tcPr>
            <w:tcW w:w="1580" w:type="dxa"/>
            <w:vAlign w:val="bottom"/>
          </w:tcPr>
          <w:p>
            <w:pPr>
              <w:jc w:val="right"/>
              <w:ind w:right="128"/>
              <w:spacing w:after="0"/>
              <w:rPr>
                <w:sz w:val="20"/>
                <w:szCs w:val="20"/>
                <w:color w:val="auto"/>
              </w:rPr>
            </w:pPr>
            <w:r>
              <w:rPr>
                <w:rFonts w:ascii="Arial" w:cs="Arial" w:eastAsia="Arial" w:hAnsi="Arial"/>
                <w:sz w:val="14"/>
                <w:szCs w:val="14"/>
                <w:b w:val="1"/>
                <w:bCs w:val="1"/>
                <w:color w:val="170D67"/>
              </w:rPr>
              <w:t>Benefits</w:t>
            </w:r>
          </w:p>
        </w:tc>
        <w:tc>
          <w:tcPr>
            <w:tcW w:w="1840" w:type="dxa"/>
            <w:vAlign w:val="bottom"/>
          </w:tcPr>
          <w:p>
            <w:pPr>
              <w:jc w:val="right"/>
              <w:ind w:right="188"/>
              <w:spacing w:after="0"/>
              <w:rPr>
                <w:sz w:val="20"/>
                <w:szCs w:val="20"/>
                <w:color w:val="auto"/>
              </w:rPr>
            </w:pPr>
            <w:r>
              <w:rPr>
                <w:rFonts w:ascii="Arial" w:cs="Arial" w:eastAsia="Arial" w:hAnsi="Arial"/>
                <w:sz w:val="14"/>
                <w:szCs w:val="14"/>
                <w:b w:val="1"/>
                <w:bCs w:val="1"/>
                <w:color w:val="170D67"/>
              </w:rPr>
              <w:t>(b)</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170D67"/>
              </w:rPr>
              <w:t>NEOs</w:t>
            </w:r>
          </w:p>
        </w:tc>
      </w:tr>
      <w:tr>
        <w:trPr>
          <w:trHeight w:val="205"/>
        </w:trPr>
        <w:tc>
          <w:tcPr>
            <w:tcW w:w="860" w:type="dxa"/>
            <w:vAlign w:val="bottom"/>
            <w:tcBorders>
              <w:bottom w:val="single" w:sz="8" w:color="170D67"/>
            </w:tcBorders>
          </w:tcPr>
          <w:p>
            <w:pPr>
              <w:spacing w:after="0"/>
              <w:rPr>
                <w:sz w:val="17"/>
                <w:szCs w:val="17"/>
                <w:color w:val="auto"/>
              </w:rPr>
            </w:pPr>
          </w:p>
        </w:tc>
        <w:tc>
          <w:tcPr>
            <w:tcW w:w="1880" w:type="dxa"/>
            <w:vAlign w:val="bottom"/>
            <w:tcBorders>
              <w:bottom w:val="single" w:sz="8" w:color="170D67"/>
            </w:tcBorders>
          </w:tcPr>
          <w:p>
            <w:pPr>
              <w:jc w:val="right"/>
              <w:ind w:right="28"/>
              <w:spacing w:after="0"/>
              <w:rPr>
                <w:sz w:val="20"/>
                <w:szCs w:val="20"/>
                <w:color w:val="auto"/>
              </w:rPr>
            </w:pPr>
            <w:r>
              <w:rPr>
                <w:rFonts w:ascii="Arial" w:cs="Arial" w:eastAsia="Arial" w:hAnsi="Arial"/>
                <w:sz w:val="14"/>
                <w:szCs w:val="14"/>
                <w:b w:val="1"/>
                <w:bCs w:val="1"/>
                <w:color w:val="170D67"/>
              </w:rPr>
              <w:t>($)</w:t>
            </w:r>
          </w:p>
        </w:tc>
        <w:tc>
          <w:tcPr>
            <w:tcW w:w="1460" w:type="dxa"/>
            <w:vAlign w:val="bottom"/>
            <w:tcBorders>
              <w:bottom w:val="single" w:sz="8" w:color="170D67"/>
            </w:tcBorders>
          </w:tcPr>
          <w:p>
            <w:pPr>
              <w:jc w:val="right"/>
              <w:ind w:right="68"/>
              <w:spacing w:after="0"/>
              <w:rPr>
                <w:sz w:val="20"/>
                <w:szCs w:val="20"/>
                <w:color w:val="auto"/>
              </w:rPr>
            </w:pPr>
            <w:r>
              <w:rPr>
                <w:rFonts w:ascii="Arial" w:cs="Arial" w:eastAsia="Arial" w:hAnsi="Arial"/>
                <w:sz w:val="14"/>
                <w:szCs w:val="14"/>
                <w:b w:val="1"/>
                <w:bCs w:val="1"/>
                <w:color w:val="170D67"/>
              </w:rPr>
              <w:t>($)</w:t>
            </w:r>
          </w:p>
        </w:tc>
        <w:tc>
          <w:tcPr>
            <w:tcW w:w="1680" w:type="dxa"/>
            <w:vAlign w:val="bottom"/>
            <w:tcBorders>
              <w:bottom w:val="single" w:sz="8" w:color="170D67"/>
            </w:tcBorders>
          </w:tcPr>
          <w:p>
            <w:pPr>
              <w:jc w:val="right"/>
              <w:ind w:right="68"/>
              <w:spacing w:after="0"/>
              <w:rPr>
                <w:sz w:val="20"/>
                <w:szCs w:val="20"/>
                <w:color w:val="auto"/>
              </w:rPr>
            </w:pPr>
            <w:r>
              <w:rPr>
                <w:rFonts w:ascii="Arial" w:cs="Arial" w:eastAsia="Arial" w:hAnsi="Arial"/>
                <w:sz w:val="14"/>
                <w:szCs w:val="14"/>
                <w:b w:val="1"/>
                <w:bCs w:val="1"/>
                <w:color w:val="170D67"/>
              </w:rPr>
              <w:t>($)</w:t>
            </w:r>
          </w:p>
        </w:tc>
        <w:tc>
          <w:tcPr>
            <w:tcW w:w="1580" w:type="dxa"/>
            <w:vAlign w:val="bottom"/>
            <w:tcBorders>
              <w:bottom w:val="single" w:sz="8" w:color="170D67"/>
            </w:tcBorders>
          </w:tcPr>
          <w:p>
            <w:pPr>
              <w:jc w:val="right"/>
              <w:ind w:right="88"/>
              <w:spacing w:after="0"/>
              <w:rPr>
                <w:sz w:val="20"/>
                <w:szCs w:val="20"/>
                <w:color w:val="auto"/>
              </w:rPr>
            </w:pPr>
            <w:r>
              <w:rPr>
                <w:rFonts w:ascii="Arial" w:cs="Arial" w:eastAsia="Arial" w:hAnsi="Arial"/>
                <w:sz w:val="14"/>
                <w:szCs w:val="14"/>
                <w:b w:val="1"/>
                <w:bCs w:val="1"/>
                <w:color w:val="170D67"/>
              </w:rPr>
              <w:t>($)</w:t>
            </w:r>
          </w:p>
        </w:tc>
        <w:tc>
          <w:tcPr>
            <w:tcW w:w="1840" w:type="dxa"/>
            <w:vAlign w:val="bottom"/>
            <w:tcBorders>
              <w:bottom w:val="single" w:sz="8" w:color="170D67"/>
            </w:tcBorders>
          </w:tcPr>
          <w:p>
            <w:pPr>
              <w:jc w:val="right"/>
              <w:ind w:right="148"/>
              <w:spacing w:after="0"/>
              <w:rPr>
                <w:sz w:val="20"/>
                <w:szCs w:val="20"/>
                <w:color w:val="auto"/>
              </w:rPr>
            </w:pPr>
            <w:r>
              <w:rPr>
                <w:rFonts w:ascii="Arial" w:cs="Arial" w:eastAsia="Arial" w:hAnsi="Arial"/>
                <w:sz w:val="14"/>
                <w:szCs w:val="14"/>
                <w:b w:val="1"/>
                <w:bCs w:val="1"/>
                <w:color w:val="170D67"/>
              </w:rPr>
              <w:t>($)</w:t>
            </w:r>
          </w:p>
        </w:tc>
        <w:tc>
          <w:tcPr>
            <w:tcW w:w="1340" w:type="dxa"/>
            <w:vAlign w:val="bottom"/>
            <w:tcBorders>
              <w:bottom w:val="single" w:sz="8" w:color="170D67"/>
            </w:tcBorders>
          </w:tcPr>
          <w:p>
            <w:pPr>
              <w:jc w:val="right"/>
              <w:spacing w:after="0"/>
              <w:rPr>
                <w:sz w:val="20"/>
                <w:szCs w:val="20"/>
                <w:color w:val="auto"/>
              </w:rPr>
            </w:pPr>
            <w:r>
              <w:rPr>
                <w:rFonts w:ascii="Arial" w:cs="Arial" w:eastAsia="Arial" w:hAnsi="Arial"/>
                <w:sz w:val="14"/>
                <w:szCs w:val="14"/>
                <w:b w:val="1"/>
                <w:bCs w:val="1"/>
                <w:color w:val="170D67"/>
              </w:rPr>
              <w:t>($)</w:t>
            </w:r>
          </w:p>
        </w:tc>
      </w:tr>
      <w:tr>
        <w:trPr>
          <w:trHeight w:val="208"/>
        </w:trPr>
        <w:tc>
          <w:tcPr>
            <w:tcW w:w="860" w:type="dxa"/>
            <w:vAlign w:val="bottom"/>
          </w:tcPr>
          <w:p>
            <w:pPr>
              <w:jc w:val="right"/>
              <w:ind w:right="448"/>
              <w:spacing w:after="0"/>
              <w:rPr>
                <w:sz w:val="20"/>
                <w:szCs w:val="20"/>
                <w:color w:val="auto"/>
              </w:rPr>
            </w:pPr>
            <w:r>
              <w:rPr>
                <w:rFonts w:ascii="Arial" w:cs="Arial" w:eastAsia="Arial" w:hAnsi="Arial"/>
                <w:sz w:val="14"/>
                <w:szCs w:val="14"/>
                <w:color w:val="auto"/>
              </w:rPr>
              <w:t>2024</w:t>
            </w:r>
          </w:p>
        </w:tc>
        <w:tc>
          <w:tcPr>
            <w:tcW w:w="1880" w:type="dxa"/>
            <w:vAlign w:val="bottom"/>
          </w:tcPr>
          <w:p>
            <w:pPr>
              <w:jc w:val="right"/>
              <w:ind w:right="88"/>
              <w:spacing w:after="0"/>
              <w:rPr>
                <w:sz w:val="20"/>
                <w:szCs w:val="20"/>
                <w:color w:val="auto"/>
              </w:rPr>
            </w:pPr>
            <w:r>
              <w:rPr>
                <w:rFonts w:ascii="Arial" w:cs="Arial" w:eastAsia="Arial" w:hAnsi="Arial"/>
                <w:sz w:val="14"/>
                <w:szCs w:val="14"/>
                <w:color w:val="auto"/>
              </w:rPr>
              <w:t>3,542,148</w:t>
            </w: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(1,659,156)</w:t>
            </w:r>
          </w:p>
        </w:tc>
        <w:tc>
          <w:tcPr>
            <w:tcW w:w="1680" w:type="dxa"/>
            <w:vAlign w:val="bottom"/>
          </w:tcPr>
          <w:p>
            <w:pPr>
              <w:jc w:val="right"/>
              <w:ind w:right="108"/>
              <w:spacing w:after="0"/>
              <w:rPr>
                <w:sz w:val="20"/>
                <w:szCs w:val="20"/>
                <w:color w:val="auto"/>
              </w:rPr>
            </w:pPr>
            <w:r>
              <w:rPr>
                <w:rFonts w:ascii="Arial" w:cs="Arial" w:eastAsia="Arial" w:hAnsi="Arial"/>
                <w:sz w:val="14"/>
                <w:szCs w:val="14"/>
                <w:color w:val="auto"/>
              </w:rPr>
              <w:t>1,654,652</w:t>
            </w:r>
          </w:p>
        </w:tc>
        <w:tc>
          <w:tcPr>
            <w:tcW w:w="1580" w:type="dxa"/>
            <w:vAlign w:val="bottom"/>
          </w:tcPr>
          <w:p>
            <w:pPr>
              <w:jc w:val="right"/>
              <w:ind w:right="108"/>
              <w:spacing w:after="0"/>
              <w:rPr>
                <w:sz w:val="20"/>
                <w:szCs w:val="20"/>
                <w:color w:val="auto"/>
              </w:rPr>
            </w:pPr>
            <w:r>
              <w:rPr>
                <w:rFonts w:ascii="Arial" w:cs="Arial" w:eastAsia="Arial" w:hAnsi="Arial"/>
                <w:sz w:val="14"/>
                <w:szCs w:val="14"/>
                <w:color w:val="auto"/>
              </w:rPr>
              <w:t>(103,561)</w:t>
            </w:r>
          </w:p>
        </w:tc>
        <w:tc>
          <w:tcPr>
            <w:tcW w:w="1840" w:type="dxa"/>
            <w:vAlign w:val="bottom"/>
          </w:tcPr>
          <w:p>
            <w:pPr>
              <w:jc w:val="right"/>
              <w:ind w:right="208"/>
              <w:spacing w:after="0"/>
              <w:rPr>
                <w:sz w:val="20"/>
                <w:szCs w:val="20"/>
                <w:color w:val="auto"/>
              </w:rPr>
            </w:pPr>
            <w:r>
              <w:rPr>
                <w:rFonts w:ascii="Arial" w:cs="Arial" w:eastAsia="Arial" w:hAnsi="Arial"/>
                <w:sz w:val="14"/>
                <w:szCs w:val="14"/>
                <w:color w:val="auto"/>
              </w:rPr>
              <w:t>33,724</w:t>
            </w:r>
          </w:p>
        </w:tc>
        <w:tc>
          <w:tcPr>
            <w:tcW w:w="1340" w:type="dxa"/>
            <w:vAlign w:val="bottom"/>
          </w:tcPr>
          <w:p>
            <w:pPr>
              <w:ind w:left="640"/>
              <w:spacing w:after="0"/>
              <w:rPr>
                <w:sz w:val="20"/>
                <w:szCs w:val="20"/>
                <w:color w:val="auto"/>
              </w:rPr>
            </w:pPr>
            <w:r>
              <w:rPr>
                <w:rFonts w:ascii="Arial" w:cs="Arial" w:eastAsia="Arial" w:hAnsi="Arial"/>
                <w:sz w:val="14"/>
                <w:szCs w:val="14"/>
                <w:color w:val="auto"/>
              </w:rPr>
              <w:t>3,467,807</w:t>
            </w:r>
          </w:p>
        </w:tc>
      </w:tr>
      <w:tr>
        <w:trPr>
          <w:trHeight w:val="22"/>
        </w:trPr>
        <w:tc>
          <w:tcPr>
            <w:tcW w:w="860" w:type="dxa"/>
            <w:vAlign w:val="bottom"/>
            <w:tcBorders>
              <w:bottom w:val="single" w:sz="8" w:color="929292"/>
            </w:tcBorders>
          </w:tcPr>
          <w:p>
            <w:pPr>
              <w:spacing w:after="0" w:line="20" w:lineRule="exact"/>
              <w:rPr>
                <w:sz w:val="1"/>
                <w:szCs w:val="1"/>
                <w:color w:val="auto"/>
              </w:rPr>
            </w:pPr>
          </w:p>
        </w:tc>
        <w:tc>
          <w:tcPr>
            <w:tcW w:w="1880" w:type="dxa"/>
            <w:vAlign w:val="bottom"/>
            <w:tcBorders>
              <w:bottom w:val="single" w:sz="8" w:color="929292"/>
            </w:tcBorders>
          </w:tcPr>
          <w:p>
            <w:pPr>
              <w:spacing w:after="0" w:line="20" w:lineRule="exact"/>
              <w:rPr>
                <w:sz w:val="1"/>
                <w:szCs w:val="1"/>
                <w:color w:val="auto"/>
              </w:rPr>
            </w:pPr>
          </w:p>
        </w:tc>
        <w:tc>
          <w:tcPr>
            <w:tcW w:w="1460" w:type="dxa"/>
            <w:vAlign w:val="bottom"/>
            <w:tcBorders>
              <w:bottom w:val="single" w:sz="8" w:color="929292"/>
            </w:tcBorders>
          </w:tcPr>
          <w:p>
            <w:pPr>
              <w:spacing w:after="0" w:line="20" w:lineRule="exact"/>
              <w:rPr>
                <w:sz w:val="1"/>
                <w:szCs w:val="1"/>
                <w:color w:val="auto"/>
              </w:rPr>
            </w:pPr>
          </w:p>
        </w:tc>
        <w:tc>
          <w:tcPr>
            <w:tcW w:w="1680" w:type="dxa"/>
            <w:vAlign w:val="bottom"/>
            <w:tcBorders>
              <w:bottom w:val="single" w:sz="8" w:color="929292"/>
            </w:tcBorders>
          </w:tcPr>
          <w:p>
            <w:pPr>
              <w:spacing w:after="0" w:line="20" w:lineRule="exact"/>
              <w:rPr>
                <w:sz w:val="1"/>
                <w:szCs w:val="1"/>
                <w:color w:val="auto"/>
              </w:rPr>
            </w:pPr>
          </w:p>
        </w:tc>
        <w:tc>
          <w:tcPr>
            <w:tcW w:w="1580" w:type="dxa"/>
            <w:vAlign w:val="bottom"/>
            <w:tcBorders>
              <w:bottom w:val="single" w:sz="8" w:color="929292"/>
            </w:tcBorders>
          </w:tcPr>
          <w:p>
            <w:pPr>
              <w:spacing w:after="0" w:line="20" w:lineRule="exact"/>
              <w:rPr>
                <w:sz w:val="1"/>
                <w:szCs w:val="1"/>
                <w:color w:val="auto"/>
              </w:rPr>
            </w:pPr>
          </w:p>
        </w:tc>
        <w:tc>
          <w:tcPr>
            <w:tcW w:w="1840" w:type="dxa"/>
            <w:vAlign w:val="bottom"/>
            <w:tcBorders>
              <w:bottom w:val="single" w:sz="8" w:color="929292"/>
            </w:tcBorders>
          </w:tcPr>
          <w:p>
            <w:pPr>
              <w:spacing w:after="0" w:line="20" w:lineRule="exact"/>
              <w:rPr>
                <w:sz w:val="1"/>
                <w:szCs w:val="1"/>
                <w:color w:val="auto"/>
              </w:rPr>
            </w:pPr>
          </w:p>
        </w:tc>
        <w:tc>
          <w:tcPr>
            <w:tcW w:w="1340" w:type="dxa"/>
            <w:vAlign w:val="bottom"/>
            <w:tcBorders>
              <w:bottom w:val="single" w:sz="8" w:color="929292"/>
            </w:tcBorders>
          </w:tcPr>
          <w:p>
            <w:pPr>
              <w:spacing w:after="0" w:line="20" w:lineRule="exact"/>
              <w:rPr>
                <w:sz w:val="1"/>
                <w:szCs w:val="1"/>
                <w:color w:val="auto"/>
              </w:rPr>
            </w:pPr>
          </w:p>
        </w:tc>
      </w:tr>
      <w:tr>
        <w:trPr>
          <w:trHeight w:val="202"/>
        </w:trPr>
        <w:tc>
          <w:tcPr>
            <w:tcW w:w="860" w:type="dxa"/>
            <w:vAlign w:val="bottom"/>
          </w:tcPr>
          <w:p>
            <w:pPr>
              <w:jc w:val="right"/>
              <w:ind w:right="448"/>
              <w:spacing w:after="0"/>
              <w:rPr>
                <w:sz w:val="20"/>
                <w:szCs w:val="20"/>
                <w:color w:val="auto"/>
              </w:rPr>
            </w:pPr>
            <w:r>
              <w:rPr>
                <w:rFonts w:ascii="Arial" w:cs="Arial" w:eastAsia="Arial" w:hAnsi="Arial"/>
                <w:sz w:val="14"/>
                <w:szCs w:val="14"/>
                <w:color w:val="auto"/>
              </w:rPr>
              <w:t>2023</w:t>
            </w:r>
          </w:p>
        </w:tc>
        <w:tc>
          <w:tcPr>
            <w:tcW w:w="1880" w:type="dxa"/>
            <w:vAlign w:val="bottom"/>
          </w:tcPr>
          <w:p>
            <w:pPr>
              <w:jc w:val="right"/>
              <w:ind w:right="88"/>
              <w:spacing w:after="0"/>
              <w:rPr>
                <w:sz w:val="20"/>
                <w:szCs w:val="20"/>
                <w:color w:val="auto"/>
              </w:rPr>
            </w:pPr>
            <w:r>
              <w:rPr>
                <w:rFonts w:ascii="Arial" w:cs="Arial" w:eastAsia="Arial" w:hAnsi="Arial"/>
                <w:sz w:val="14"/>
                <w:szCs w:val="14"/>
                <w:color w:val="auto"/>
              </w:rPr>
              <w:t>3,247,012</w:t>
            </w: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(1,525,550)</w:t>
            </w:r>
          </w:p>
        </w:tc>
        <w:tc>
          <w:tcPr>
            <w:tcW w:w="1680" w:type="dxa"/>
            <w:vAlign w:val="bottom"/>
          </w:tcPr>
          <w:p>
            <w:pPr>
              <w:jc w:val="right"/>
              <w:ind w:right="108"/>
              <w:spacing w:after="0"/>
              <w:rPr>
                <w:sz w:val="20"/>
                <w:szCs w:val="20"/>
                <w:color w:val="auto"/>
              </w:rPr>
            </w:pPr>
            <w:r>
              <w:rPr>
                <w:rFonts w:ascii="Arial" w:cs="Arial" w:eastAsia="Arial" w:hAnsi="Arial"/>
                <w:sz w:val="14"/>
                <w:szCs w:val="14"/>
                <w:color w:val="auto"/>
              </w:rPr>
              <w:t>857,766</w:t>
            </w:r>
          </w:p>
        </w:tc>
        <w:tc>
          <w:tcPr>
            <w:tcW w:w="1580" w:type="dxa"/>
            <w:vAlign w:val="bottom"/>
          </w:tcPr>
          <w:p>
            <w:pPr>
              <w:jc w:val="right"/>
              <w:ind w:right="108"/>
              <w:spacing w:after="0"/>
              <w:rPr>
                <w:sz w:val="20"/>
                <w:szCs w:val="20"/>
                <w:color w:val="auto"/>
              </w:rPr>
            </w:pPr>
            <w:r>
              <w:rPr>
                <w:rFonts w:ascii="Arial" w:cs="Arial" w:eastAsia="Arial" w:hAnsi="Arial"/>
                <w:sz w:val="14"/>
                <w:szCs w:val="14"/>
                <w:color w:val="auto"/>
              </w:rPr>
              <w:t>(35,079)</w:t>
            </w:r>
          </w:p>
        </w:tc>
        <w:tc>
          <w:tcPr>
            <w:tcW w:w="1840" w:type="dxa"/>
            <w:vAlign w:val="bottom"/>
          </w:tcPr>
          <w:p>
            <w:pPr>
              <w:jc w:val="right"/>
              <w:ind w:right="208"/>
              <w:spacing w:after="0"/>
              <w:rPr>
                <w:sz w:val="20"/>
                <w:szCs w:val="20"/>
                <w:color w:val="auto"/>
              </w:rPr>
            </w:pPr>
            <w:r>
              <w:rPr>
                <w:rFonts w:ascii="Arial" w:cs="Arial" w:eastAsia="Arial" w:hAnsi="Arial"/>
                <w:sz w:val="14"/>
                <w:szCs w:val="14"/>
                <w:color w:val="auto"/>
              </w:rPr>
              <w:t>13,546</w:t>
            </w:r>
          </w:p>
        </w:tc>
        <w:tc>
          <w:tcPr>
            <w:tcW w:w="1340" w:type="dxa"/>
            <w:vAlign w:val="bottom"/>
          </w:tcPr>
          <w:p>
            <w:pPr>
              <w:ind w:left="640"/>
              <w:spacing w:after="0"/>
              <w:rPr>
                <w:sz w:val="20"/>
                <w:szCs w:val="20"/>
                <w:color w:val="auto"/>
              </w:rPr>
            </w:pPr>
            <w:r>
              <w:rPr>
                <w:rFonts w:ascii="Arial" w:cs="Arial" w:eastAsia="Arial" w:hAnsi="Arial"/>
                <w:sz w:val="14"/>
                <w:szCs w:val="14"/>
                <w:color w:val="auto"/>
              </w:rPr>
              <w:t>2,557,696</w:t>
            </w:r>
          </w:p>
        </w:tc>
      </w:tr>
      <w:tr>
        <w:trPr>
          <w:trHeight w:val="22"/>
        </w:trPr>
        <w:tc>
          <w:tcPr>
            <w:tcW w:w="860" w:type="dxa"/>
            <w:vAlign w:val="bottom"/>
            <w:tcBorders>
              <w:bottom w:val="single" w:sz="8" w:color="929292"/>
            </w:tcBorders>
          </w:tcPr>
          <w:p>
            <w:pPr>
              <w:spacing w:after="0" w:line="20" w:lineRule="exact"/>
              <w:rPr>
                <w:sz w:val="1"/>
                <w:szCs w:val="1"/>
                <w:color w:val="auto"/>
              </w:rPr>
            </w:pPr>
          </w:p>
        </w:tc>
        <w:tc>
          <w:tcPr>
            <w:tcW w:w="1880" w:type="dxa"/>
            <w:vAlign w:val="bottom"/>
            <w:tcBorders>
              <w:bottom w:val="single" w:sz="8" w:color="929292"/>
            </w:tcBorders>
          </w:tcPr>
          <w:p>
            <w:pPr>
              <w:spacing w:after="0" w:line="20" w:lineRule="exact"/>
              <w:rPr>
                <w:sz w:val="1"/>
                <w:szCs w:val="1"/>
                <w:color w:val="auto"/>
              </w:rPr>
            </w:pPr>
          </w:p>
        </w:tc>
        <w:tc>
          <w:tcPr>
            <w:tcW w:w="1460" w:type="dxa"/>
            <w:vAlign w:val="bottom"/>
            <w:tcBorders>
              <w:bottom w:val="single" w:sz="8" w:color="929292"/>
            </w:tcBorders>
          </w:tcPr>
          <w:p>
            <w:pPr>
              <w:spacing w:after="0" w:line="20" w:lineRule="exact"/>
              <w:rPr>
                <w:sz w:val="1"/>
                <w:szCs w:val="1"/>
                <w:color w:val="auto"/>
              </w:rPr>
            </w:pPr>
          </w:p>
        </w:tc>
        <w:tc>
          <w:tcPr>
            <w:tcW w:w="1680" w:type="dxa"/>
            <w:vAlign w:val="bottom"/>
            <w:tcBorders>
              <w:bottom w:val="single" w:sz="8" w:color="929292"/>
            </w:tcBorders>
          </w:tcPr>
          <w:p>
            <w:pPr>
              <w:spacing w:after="0" w:line="20" w:lineRule="exact"/>
              <w:rPr>
                <w:sz w:val="1"/>
                <w:szCs w:val="1"/>
                <w:color w:val="auto"/>
              </w:rPr>
            </w:pPr>
          </w:p>
        </w:tc>
        <w:tc>
          <w:tcPr>
            <w:tcW w:w="1580" w:type="dxa"/>
            <w:vAlign w:val="bottom"/>
            <w:tcBorders>
              <w:bottom w:val="single" w:sz="8" w:color="929292"/>
            </w:tcBorders>
          </w:tcPr>
          <w:p>
            <w:pPr>
              <w:spacing w:after="0" w:line="20" w:lineRule="exact"/>
              <w:rPr>
                <w:sz w:val="1"/>
                <w:szCs w:val="1"/>
                <w:color w:val="auto"/>
              </w:rPr>
            </w:pPr>
          </w:p>
        </w:tc>
        <w:tc>
          <w:tcPr>
            <w:tcW w:w="1840" w:type="dxa"/>
            <w:vAlign w:val="bottom"/>
            <w:tcBorders>
              <w:bottom w:val="single" w:sz="8" w:color="929292"/>
            </w:tcBorders>
          </w:tcPr>
          <w:p>
            <w:pPr>
              <w:spacing w:after="0" w:line="20" w:lineRule="exact"/>
              <w:rPr>
                <w:sz w:val="1"/>
                <w:szCs w:val="1"/>
                <w:color w:val="auto"/>
              </w:rPr>
            </w:pPr>
          </w:p>
        </w:tc>
        <w:tc>
          <w:tcPr>
            <w:tcW w:w="1340" w:type="dxa"/>
            <w:vAlign w:val="bottom"/>
            <w:tcBorders>
              <w:bottom w:val="single" w:sz="8" w:color="929292"/>
            </w:tcBorders>
          </w:tcPr>
          <w:p>
            <w:pPr>
              <w:spacing w:after="0" w:line="20" w:lineRule="exact"/>
              <w:rPr>
                <w:sz w:val="1"/>
                <w:szCs w:val="1"/>
                <w:color w:val="auto"/>
              </w:rPr>
            </w:pPr>
          </w:p>
        </w:tc>
      </w:tr>
      <w:tr>
        <w:trPr>
          <w:trHeight w:val="202"/>
        </w:trPr>
        <w:tc>
          <w:tcPr>
            <w:tcW w:w="860" w:type="dxa"/>
            <w:vAlign w:val="bottom"/>
          </w:tcPr>
          <w:p>
            <w:pPr>
              <w:jc w:val="right"/>
              <w:ind w:right="448"/>
              <w:spacing w:after="0"/>
              <w:rPr>
                <w:sz w:val="20"/>
                <w:szCs w:val="20"/>
                <w:color w:val="auto"/>
              </w:rPr>
            </w:pPr>
            <w:r>
              <w:rPr>
                <w:rFonts w:ascii="Arial" w:cs="Arial" w:eastAsia="Arial" w:hAnsi="Arial"/>
                <w:sz w:val="14"/>
                <w:szCs w:val="14"/>
                <w:color w:val="auto"/>
              </w:rPr>
              <w:t>2022</w:t>
            </w:r>
          </w:p>
        </w:tc>
        <w:tc>
          <w:tcPr>
            <w:tcW w:w="1880" w:type="dxa"/>
            <w:vAlign w:val="bottom"/>
          </w:tcPr>
          <w:p>
            <w:pPr>
              <w:jc w:val="right"/>
              <w:ind w:right="88"/>
              <w:spacing w:after="0"/>
              <w:rPr>
                <w:sz w:val="20"/>
                <w:szCs w:val="20"/>
                <w:color w:val="auto"/>
              </w:rPr>
            </w:pPr>
            <w:r>
              <w:rPr>
                <w:rFonts w:ascii="Arial" w:cs="Arial" w:eastAsia="Arial" w:hAnsi="Arial"/>
                <w:sz w:val="14"/>
                <w:szCs w:val="14"/>
                <w:color w:val="auto"/>
              </w:rPr>
              <w:t>3,223,949</w:t>
            </w: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(1,596,116)</w:t>
            </w:r>
          </w:p>
        </w:tc>
        <w:tc>
          <w:tcPr>
            <w:tcW w:w="1680" w:type="dxa"/>
            <w:vAlign w:val="bottom"/>
          </w:tcPr>
          <w:p>
            <w:pPr>
              <w:jc w:val="right"/>
              <w:ind w:right="108"/>
              <w:spacing w:after="0"/>
              <w:rPr>
                <w:sz w:val="20"/>
                <w:szCs w:val="20"/>
                <w:color w:val="auto"/>
              </w:rPr>
            </w:pPr>
            <w:r>
              <w:rPr>
                <w:rFonts w:ascii="Arial" w:cs="Arial" w:eastAsia="Arial" w:hAnsi="Arial"/>
                <w:sz w:val="14"/>
                <w:szCs w:val="14"/>
                <w:color w:val="auto"/>
              </w:rPr>
              <w:t>1,300,459</w:t>
            </w:r>
          </w:p>
        </w:tc>
        <w:tc>
          <w:tcPr>
            <w:tcW w:w="1580" w:type="dxa"/>
            <w:vAlign w:val="bottom"/>
          </w:tcPr>
          <w:p>
            <w:pPr>
              <w:jc w:val="right"/>
              <w:ind w:right="108"/>
              <w:spacing w:after="0"/>
              <w:rPr>
                <w:sz w:val="20"/>
                <w:szCs w:val="20"/>
                <w:color w:val="auto"/>
              </w:rPr>
            </w:pPr>
            <w:r>
              <w:rPr>
                <w:rFonts w:ascii="Arial" w:cs="Arial" w:eastAsia="Arial" w:hAnsi="Arial"/>
                <w:sz w:val="14"/>
                <w:szCs w:val="14"/>
                <w:color w:val="auto"/>
              </w:rPr>
              <w:t>(69,879)</w:t>
            </w:r>
          </w:p>
        </w:tc>
        <w:tc>
          <w:tcPr>
            <w:tcW w:w="1840" w:type="dxa"/>
            <w:vAlign w:val="bottom"/>
          </w:tcPr>
          <w:p>
            <w:pPr>
              <w:jc w:val="right"/>
              <w:ind w:right="208"/>
              <w:spacing w:after="0"/>
              <w:rPr>
                <w:sz w:val="20"/>
                <w:szCs w:val="20"/>
                <w:color w:val="auto"/>
              </w:rPr>
            </w:pPr>
            <w:r>
              <w:rPr>
                <w:rFonts w:ascii="Arial" w:cs="Arial" w:eastAsia="Arial" w:hAnsi="Arial"/>
                <w:sz w:val="14"/>
                <w:szCs w:val="14"/>
                <w:color w:val="auto"/>
              </w:rPr>
              <w:t>37,024</w:t>
            </w:r>
          </w:p>
        </w:tc>
        <w:tc>
          <w:tcPr>
            <w:tcW w:w="1340" w:type="dxa"/>
            <w:vAlign w:val="bottom"/>
          </w:tcPr>
          <w:p>
            <w:pPr>
              <w:ind w:left="640"/>
              <w:spacing w:after="0"/>
              <w:rPr>
                <w:sz w:val="20"/>
                <w:szCs w:val="20"/>
                <w:color w:val="auto"/>
              </w:rPr>
            </w:pPr>
            <w:r>
              <w:rPr>
                <w:rFonts w:ascii="Arial" w:cs="Arial" w:eastAsia="Arial" w:hAnsi="Arial"/>
                <w:sz w:val="14"/>
                <w:szCs w:val="14"/>
                <w:color w:val="auto"/>
              </w:rPr>
              <w:t>2,895,438</w:t>
            </w:r>
          </w:p>
        </w:tc>
      </w:tr>
      <w:tr>
        <w:trPr>
          <w:trHeight w:val="22"/>
        </w:trPr>
        <w:tc>
          <w:tcPr>
            <w:tcW w:w="860" w:type="dxa"/>
            <w:vAlign w:val="bottom"/>
            <w:tcBorders>
              <w:bottom w:val="single" w:sz="8" w:color="929292"/>
            </w:tcBorders>
          </w:tcPr>
          <w:p>
            <w:pPr>
              <w:spacing w:after="0" w:line="20" w:lineRule="exact"/>
              <w:rPr>
                <w:sz w:val="1"/>
                <w:szCs w:val="1"/>
                <w:color w:val="auto"/>
              </w:rPr>
            </w:pPr>
          </w:p>
        </w:tc>
        <w:tc>
          <w:tcPr>
            <w:tcW w:w="1880" w:type="dxa"/>
            <w:vAlign w:val="bottom"/>
            <w:tcBorders>
              <w:bottom w:val="single" w:sz="8" w:color="929292"/>
            </w:tcBorders>
          </w:tcPr>
          <w:p>
            <w:pPr>
              <w:spacing w:after="0" w:line="20" w:lineRule="exact"/>
              <w:rPr>
                <w:sz w:val="1"/>
                <w:szCs w:val="1"/>
                <w:color w:val="auto"/>
              </w:rPr>
            </w:pPr>
          </w:p>
        </w:tc>
        <w:tc>
          <w:tcPr>
            <w:tcW w:w="1460" w:type="dxa"/>
            <w:vAlign w:val="bottom"/>
            <w:tcBorders>
              <w:bottom w:val="single" w:sz="8" w:color="929292"/>
            </w:tcBorders>
          </w:tcPr>
          <w:p>
            <w:pPr>
              <w:spacing w:after="0" w:line="20" w:lineRule="exact"/>
              <w:rPr>
                <w:sz w:val="1"/>
                <w:szCs w:val="1"/>
                <w:color w:val="auto"/>
              </w:rPr>
            </w:pPr>
          </w:p>
        </w:tc>
        <w:tc>
          <w:tcPr>
            <w:tcW w:w="1680" w:type="dxa"/>
            <w:vAlign w:val="bottom"/>
            <w:tcBorders>
              <w:bottom w:val="single" w:sz="8" w:color="929292"/>
            </w:tcBorders>
          </w:tcPr>
          <w:p>
            <w:pPr>
              <w:spacing w:after="0" w:line="20" w:lineRule="exact"/>
              <w:rPr>
                <w:sz w:val="1"/>
                <w:szCs w:val="1"/>
                <w:color w:val="auto"/>
              </w:rPr>
            </w:pPr>
          </w:p>
        </w:tc>
        <w:tc>
          <w:tcPr>
            <w:tcW w:w="1580" w:type="dxa"/>
            <w:vAlign w:val="bottom"/>
            <w:tcBorders>
              <w:bottom w:val="single" w:sz="8" w:color="929292"/>
            </w:tcBorders>
          </w:tcPr>
          <w:p>
            <w:pPr>
              <w:spacing w:after="0" w:line="20" w:lineRule="exact"/>
              <w:rPr>
                <w:sz w:val="1"/>
                <w:szCs w:val="1"/>
                <w:color w:val="auto"/>
              </w:rPr>
            </w:pPr>
          </w:p>
        </w:tc>
        <w:tc>
          <w:tcPr>
            <w:tcW w:w="1840" w:type="dxa"/>
            <w:vAlign w:val="bottom"/>
            <w:tcBorders>
              <w:bottom w:val="single" w:sz="8" w:color="929292"/>
            </w:tcBorders>
          </w:tcPr>
          <w:p>
            <w:pPr>
              <w:spacing w:after="0" w:line="20" w:lineRule="exact"/>
              <w:rPr>
                <w:sz w:val="1"/>
                <w:szCs w:val="1"/>
                <w:color w:val="auto"/>
              </w:rPr>
            </w:pPr>
          </w:p>
        </w:tc>
        <w:tc>
          <w:tcPr>
            <w:tcW w:w="1340" w:type="dxa"/>
            <w:vAlign w:val="bottom"/>
            <w:tcBorders>
              <w:bottom w:val="single" w:sz="8" w:color="929292"/>
            </w:tcBorders>
          </w:tcPr>
          <w:p>
            <w:pPr>
              <w:spacing w:after="0" w:line="20" w:lineRule="exact"/>
              <w:rPr>
                <w:sz w:val="1"/>
                <w:szCs w:val="1"/>
                <w:color w:val="auto"/>
              </w:rPr>
            </w:pPr>
          </w:p>
        </w:tc>
      </w:tr>
      <w:tr>
        <w:trPr>
          <w:trHeight w:val="201"/>
        </w:trPr>
        <w:tc>
          <w:tcPr>
            <w:tcW w:w="860" w:type="dxa"/>
            <w:vAlign w:val="bottom"/>
          </w:tcPr>
          <w:p>
            <w:pPr>
              <w:jc w:val="right"/>
              <w:ind w:right="448"/>
              <w:spacing w:after="0"/>
              <w:rPr>
                <w:sz w:val="20"/>
                <w:szCs w:val="20"/>
                <w:color w:val="auto"/>
              </w:rPr>
            </w:pPr>
            <w:r>
              <w:rPr>
                <w:rFonts w:ascii="Arial" w:cs="Arial" w:eastAsia="Arial" w:hAnsi="Arial"/>
                <w:sz w:val="14"/>
                <w:szCs w:val="14"/>
                <w:color w:val="auto"/>
              </w:rPr>
              <w:t>2021</w:t>
            </w:r>
          </w:p>
        </w:tc>
        <w:tc>
          <w:tcPr>
            <w:tcW w:w="1880" w:type="dxa"/>
            <w:vAlign w:val="bottom"/>
          </w:tcPr>
          <w:p>
            <w:pPr>
              <w:jc w:val="right"/>
              <w:ind w:right="88"/>
              <w:spacing w:after="0"/>
              <w:rPr>
                <w:sz w:val="20"/>
                <w:szCs w:val="20"/>
                <w:color w:val="auto"/>
              </w:rPr>
            </w:pPr>
            <w:r>
              <w:rPr>
                <w:rFonts w:ascii="Arial" w:cs="Arial" w:eastAsia="Arial" w:hAnsi="Arial"/>
                <w:sz w:val="14"/>
                <w:szCs w:val="14"/>
                <w:color w:val="auto"/>
              </w:rPr>
              <w:t>5,459,913</w:t>
            </w: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(2,482,776)</w:t>
            </w:r>
          </w:p>
        </w:tc>
        <w:tc>
          <w:tcPr>
            <w:tcW w:w="1680" w:type="dxa"/>
            <w:vAlign w:val="bottom"/>
          </w:tcPr>
          <w:p>
            <w:pPr>
              <w:jc w:val="right"/>
              <w:ind w:right="108"/>
              <w:spacing w:after="0"/>
              <w:rPr>
                <w:sz w:val="20"/>
                <w:szCs w:val="20"/>
                <w:color w:val="auto"/>
              </w:rPr>
            </w:pPr>
            <w:r>
              <w:rPr>
                <w:rFonts w:ascii="Arial" w:cs="Arial" w:eastAsia="Arial" w:hAnsi="Arial"/>
                <w:sz w:val="14"/>
                <w:szCs w:val="14"/>
                <w:color w:val="auto"/>
              </w:rPr>
              <w:t>4,497,496</w:t>
            </w:r>
          </w:p>
        </w:tc>
        <w:tc>
          <w:tcPr>
            <w:tcW w:w="1580" w:type="dxa"/>
            <w:vAlign w:val="bottom"/>
          </w:tcPr>
          <w:p>
            <w:pPr>
              <w:jc w:val="right"/>
              <w:ind w:right="108"/>
              <w:spacing w:after="0"/>
              <w:rPr>
                <w:sz w:val="20"/>
                <w:szCs w:val="20"/>
                <w:color w:val="auto"/>
              </w:rPr>
            </w:pPr>
            <w:r>
              <w:rPr>
                <w:rFonts w:ascii="Arial" w:cs="Arial" w:eastAsia="Arial" w:hAnsi="Arial"/>
                <w:sz w:val="14"/>
                <w:szCs w:val="14"/>
                <w:color w:val="auto"/>
              </w:rPr>
              <w:t>(210,792)</w:t>
            </w:r>
          </w:p>
        </w:tc>
        <w:tc>
          <w:tcPr>
            <w:tcW w:w="1840" w:type="dxa"/>
            <w:vAlign w:val="bottom"/>
          </w:tcPr>
          <w:p>
            <w:pPr>
              <w:jc w:val="right"/>
              <w:ind w:right="208"/>
              <w:spacing w:after="0"/>
              <w:rPr>
                <w:sz w:val="20"/>
                <w:szCs w:val="20"/>
                <w:color w:val="auto"/>
              </w:rPr>
            </w:pPr>
            <w:r>
              <w:rPr>
                <w:rFonts w:ascii="Arial" w:cs="Arial" w:eastAsia="Arial" w:hAnsi="Arial"/>
                <w:sz w:val="14"/>
                <w:szCs w:val="14"/>
                <w:color w:val="auto"/>
              </w:rPr>
              <w:t>139,643</w:t>
            </w:r>
          </w:p>
        </w:tc>
        <w:tc>
          <w:tcPr>
            <w:tcW w:w="1340" w:type="dxa"/>
            <w:vAlign w:val="bottom"/>
          </w:tcPr>
          <w:p>
            <w:pPr>
              <w:ind w:left="640"/>
              <w:spacing w:after="0"/>
              <w:rPr>
                <w:sz w:val="20"/>
                <w:szCs w:val="20"/>
                <w:color w:val="auto"/>
              </w:rPr>
            </w:pPr>
            <w:r>
              <w:rPr>
                <w:rFonts w:ascii="Arial" w:cs="Arial" w:eastAsia="Arial" w:hAnsi="Arial"/>
                <w:sz w:val="14"/>
                <w:szCs w:val="14"/>
                <w:color w:val="auto"/>
              </w:rPr>
              <w:t>7,403,484</w:t>
            </w:r>
          </w:p>
        </w:tc>
      </w:tr>
      <w:tr>
        <w:trPr>
          <w:trHeight w:val="22"/>
        </w:trPr>
        <w:tc>
          <w:tcPr>
            <w:tcW w:w="860" w:type="dxa"/>
            <w:vAlign w:val="bottom"/>
            <w:tcBorders>
              <w:bottom w:val="single" w:sz="8" w:color="929292"/>
            </w:tcBorders>
          </w:tcPr>
          <w:p>
            <w:pPr>
              <w:spacing w:after="0" w:line="20" w:lineRule="exact"/>
              <w:rPr>
                <w:sz w:val="1"/>
                <w:szCs w:val="1"/>
                <w:color w:val="auto"/>
              </w:rPr>
            </w:pPr>
          </w:p>
        </w:tc>
        <w:tc>
          <w:tcPr>
            <w:tcW w:w="1880" w:type="dxa"/>
            <w:vAlign w:val="bottom"/>
            <w:tcBorders>
              <w:bottom w:val="single" w:sz="8" w:color="929292"/>
            </w:tcBorders>
          </w:tcPr>
          <w:p>
            <w:pPr>
              <w:spacing w:after="0" w:line="20" w:lineRule="exact"/>
              <w:rPr>
                <w:sz w:val="1"/>
                <w:szCs w:val="1"/>
                <w:color w:val="auto"/>
              </w:rPr>
            </w:pPr>
          </w:p>
        </w:tc>
        <w:tc>
          <w:tcPr>
            <w:tcW w:w="1460" w:type="dxa"/>
            <w:vAlign w:val="bottom"/>
            <w:tcBorders>
              <w:bottom w:val="single" w:sz="8" w:color="929292"/>
            </w:tcBorders>
          </w:tcPr>
          <w:p>
            <w:pPr>
              <w:spacing w:after="0" w:line="20" w:lineRule="exact"/>
              <w:rPr>
                <w:sz w:val="1"/>
                <w:szCs w:val="1"/>
                <w:color w:val="auto"/>
              </w:rPr>
            </w:pPr>
          </w:p>
        </w:tc>
        <w:tc>
          <w:tcPr>
            <w:tcW w:w="1680" w:type="dxa"/>
            <w:vAlign w:val="bottom"/>
            <w:tcBorders>
              <w:bottom w:val="single" w:sz="8" w:color="929292"/>
            </w:tcBorders>
          </w:tcPr>
          <w:p>
            <w:pPr>
              <w:spacing w:after="0" w:line="20" w:lineRule="exact"/>
              <w:rPr>
                <w:sz w:val="1"/>
                <w:szCs w:val="1"/>
                <w:color w:val="auto"/>
              </w:rPr>
            </w:pPr>
          </w:p>
        </w:tc>
        <w:tc>
          <w:tcPr>
            <w:tcW w:w="1580" w:type="dxa"/>
            <w:vAlign w:val="bottom"/>
            <w:tcBorders>
              <w:bottom w:val="single" w:sz="8" w:color="929292"/>
            </w:tcBorders>
          </w:tcPr>
          <w:p>
            <w:pPr>
              <w:spacing w:after="0" w:line="20" w:lineRule="exact"/>
              <w:rPr>
                <w:sz w:val="1"/>
                <w:szCs w:val="1"/>
                <w:color w:val="auto"/>
              </w:rPr>
            </w:pPr>
          </w:p>
        </w:tc>
        <w:tc>
          <w:tcPr>
            <w:tcW w:w="1840" w:type="dxa"/>
            <w:vAlign w:val="bottom"/>
            <w:tcBorders>
              <w:bottom w:val="single" w:sz="8" w:color="929292"/>
            </w:tcBorders>
          </w:tcPr>
          <w:p>
            <w:pPr>
              <w:spacing w:after="0" w:line="20" w:lineRule="exact"/>
              <w:rPr>
                <w:sz w:val="1"/>
                <w:szCs w:val="1"/>
                <w:color w:val="auto"/>
              </w:rPr>
            </w:pPr>
          </w:p>
        </w:tc>
        <w:tc>
          <w:tcPr>
            <w:tcW w:w="1340" w:type="dxa"/>
            <w:vAlign w:val="bottom"/>
            <w:tcBorders>
              <w:bottom w:val="single" w:sz="8" w:color="929292"/>
            </w:tcBorders>
          </w:tcPr>
          <w:p>
            <w:pPr>
              <w:spacing w:after="0" w:line="20" w:lineRule="exact"/>
              <w:rPr>
                <w:sz w:val="1"/>
                <w:szCs w:val="1"/>
                <w:color w:val="auto"/>
              </w:rPr>
            </w:pPr>
          </w:p>
        </w:tc>
      </w:tr>
      <w:tr>
        <w:trPr>
          <w:trHeight w:val="202"/>
        </w:trPr>
        <w:tc>
          <w:tcPr>
            <w:tcW w:w="860" w:type="dxa"/>
            <w:vAlign w:val="bottom"/>
          </w:tcPr>
          <w:p>
            <w:pPr>
              <w:jc w:val="right"/>
              <w:ind w:right="448"/>
              <w:spacing w:after="0"/>
              <w:rPr>
                <w:sz w:val="20"/>
                <w:szCs w:val="20"/>
                <w:color w:val="auto"/>
              </w:rPr>
            </w:pPr>
            <w:r>
              <w:rPr>
                <w:rFonts w:ascii="Arial" w:cs="Arial" w:eastAsia="Arial" w:hAnsi="Arial"/>
                <w:sz w:val="14"/>
                <w:szCs w:val="14"/>
                <w:color w:val="auto"/>
              </w:rPr>
              <w:t>2020</w:t>
            </w:r>
          </w:p>
        </w:tc>
        <w:tc>
          <w:tcPr>
            <w:tcW w:w="1880" w:type="dxa"/>
            <w:vAlign w:val="bottom"/>
          </w:tcPr>
          <w:p>
            <w:pPr>
              <w:jc w:val="right"/>
              <w:ind w:right="88"/>
              <w:spacing w:after="0"/>
              <w:rPr>
                <w:sz w:val="20"/>
                <w:szCs w:val="20"/>
                <w:color w:val="auto"/>
              </w:rPr>
            </w:pPr>
            <w:r>
              <w:rPr>
                <w:rFonts w:ascii="Arial" w:cs="Arial" w:eastAsia="Arial" w:hAnsi="Arial"/>
                <w:sz w:val="14"/>
                <w:szCs w:val="14"/>
                <w:color w:val="auto"/>
              </w:rPr>
              <w:t>4,611,546</w:t>
            </w: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(2,423,879)</w:t>
            </w:r>
          </w:p>
        </w:tc>
        <w:tc>
          <w:tcPr>
            <w:tcW w:w="1680" w:type="dxa"/>
            <w:vAlign w:val="bottom"/>
          </w:tcPr>
          <w:p>
            <w:pPr>
              <w:jc w:val="right"/>
              <w:ind w:right="108"/>
              <w:spacing w:after="0"/>
              <w:rPr>
                <w:sz w:val="20"/>
                <w:szCs w:val="20"/>
                <w:color w:val="auto"/>
              </w:rPr>
            </w:pPr>
            <w:r>
              <w:rPr>
                <w:rFonts w:ascii="Arial" w:cs="Arial" w:eastAsia="Arial" w:hAnsi="Arial"/>
                <w:sz w:val="14"/>
                <w:szCs w:val="14"/>
                <w:color w:val="auto"/>
              </w:rPr>
              <w:t>1,244,418</w:t>
            </w:r>
          </w:p>
        </w:tc>
        <w:tc>
          <w:tcPr>
            <w:tcW w:w="1580" w:type="dxa"/>
            <w:vAlign w:val="bottom"/>
          </w:tcPr>
          <w:p>
            <w:pPr>
              <w:jc w:val="right"/>
              <w:ind w:right="108"/>
              <w:spacing w:after="0"/>
              <w:rPr>
                <w:sz w:val="20"/>
                <w:szCs w:val="20"/>
                <w:color w:val="auto"/>
              </w:rPr>
            </w:pPr>
            <w:r>
              <w:rPr>
                <w:rFonts w:ascii="Arial" w:cs="Arial" w:eastAsia="Arial" w:hAnsi="Arial"/>
                <w:sz w:val="14"/>
                <w:szCs w:val="14"/>
                <w:color w:val="auto"/>
              </w:rPr>
              <w:t>(228,141)</w:t>
            </w:r>
          </w:p>
        </w:tc>
        <w:tc>
          <w:tcPr>
            <w:tcW w:w="1840" w:type="dxa"/>
            <w:vAlign w:val="bottom"/>
          </w:tcPr>
          <w:p>
            <w:pPr>
              <w:jc w:val="right"/>
              <w:ind w:right="208"/>
              <w:spacing w:after="0"/>
              <w:rPr>
                <w:sz w:val="20"/>
                <w:szCs w:val="20"/>
                <w:color w:val="auto"/>
              </w:rPr>
            </w:pPr>
            <w:r>
              <w:rPr>
                <w:rFonts w:ascii="Arial" w:cs="Arial" w:eastAsia="Arial" w:hAnsi="Arial"/>
                <w:sz w:val="14"/>
                <w:szCs w:val="14"/>
                <w:color w:val="auto"/>
              </w:rPr>
              <w:t>130,458</w:t>
            </w:r>
          </w:p>
        </w:tc>
        <w:tc>
          <w:tcPr>
            <w:tcW w:w="1340" w:type="dxa"/>
            <w:vAlign w:val="bottom"/>
          </w:tcPr>
          <w:p>
            <w:pPr>
              <w:ind w:left="640"/>
              <w:spacing w:after="0"/>
              <w:rPr>
                <w:sz w:val="20"/>
                <w:szCs w:val="20"/>
                <w:color w:val="auto"/>
              </w:rPr>
            </w:pPr>
            <w:r>
              <w:rPr>
                <w:rFonts w:ascii="Arial" w:cs="Arial" w:eastAsia="Arial" w:hAnsi="Arial"/>
                <w:sz w:val="14"/>
                <w:szCs w:val="14"/>
                <w:color w:val="auto"/>
              </w:rPr>
              <w:t>3,334,402</w:t>
            </w:r>
          </w:p>
        </w:tc>
      </w:tr>
      <w:tr>
        <w:trPr>
          <w:trHeight w:val="22"/>
        </w:trPr>
        <w:tc>
          <w:tcPr>
            <w:tcW w:w="860" w:type="dxa"/>
            <w:vAlign w:val="bottom"/>
            <w:tcBorders>
              <w:bottom w:val="single" w:sz="8" w:color="808080"/>
            </w:tcBorders>
          </w:tcPr>
          <w:p>
            <w:pPr>
              <w:spacing w:after="0" w:line="20" w:lineRule="exact"/>
              <w:rPr>
                <w:sz w:val="1"/>
                <w:szCs w:val="1"/>
                <w:color w:val="auto"/>
              </w:rPr>
            </w:pPr>
          </w:p>
        </w:tc>
        <w:tc>
          <w:tcPr>
            <w:tcW w:w="1880" w:type="dxa"/>
            <w:vAlign w:val="bottom"/>
            <w:tcBorders>
              <w:bottom w:val="single" w:sz="8" w:color="808080"/>
            </w:tcBorders>
          </w:tcPr>
          <w:p>
            <w:pPr>
              <w:spacing w:after="0" w:line="20" w:lineRule="exact"/>
              <w:rPr>
                <w:sz w:val="1"/>
                <w:szCs w:val="1"/>
                <w:color w:val="auto"/>
              </w:rPr>
            </w:pPr>
          </w:p>
        </w:tc>
        <w:tc>
          <w:tcPr>
            <w:tcW w:w="1460" w:type="dxa"/>
            <w:vAlign w:val="bottom"/>
            <w:tcBorders>
              <w:bottom w:val="single" w:sz="8" w:color="808080"/>
            </w:tcBorders>
          </w:tcPr>
          <w:p>
            <w:pPr>
              <w:spacing w:after="0" w:line="20" w:lineRule="exact"/>
              <w:rPr>
                <w:sz w:val="1"/>
                <w:szCs w:val="1"/>
                <w:color w:val="auto"/>
              </w:rPr>
            </w:pPr>
          </w:p>
        </w:tc>
        <w:tc>
          <w:tcPr>
            <w:tcW w:w="1680" w:type="dxa"/>
            <w:vAlign w:val="bottom"/>
            <w:tcBorders>
              <w:bottom w:val="single" w:sz="8" w:color="808080"/>
            </w:tcBorders>
          </w:tcPr>
          <w:p>
            <w:pPr>
              <w:spacing w:after="0" w:line="20" w:lineRule="exact"/>
              <w:rPr>
                <w:sz w:val="1"/>
                <w:szCs w:val="1"/>
                <w:color w:val="auto"/>
              </w:rPr>
            </w:pPr>
          </w:p>
        </w:tc>
        <w:tc>
          <w:tcPr>
            <w:tcW w:w="1580" w:type="dxa"/>
            <w:vAlign w:val="bottom"/>
            <w:tcBorders>
              <w:bottom w:val="single" w:sz="8" w:color="808080"/>
            </w:tcBorders>
          </w:tcPr>
          <w:p>
            <w:pPr>
              <w:spacing w:after="0" w:line="20" w:lineRule="exact"/>
              <w:rPr>
                <w:sz w:val="1"/>
                <w:szCs w:val="1"/>
                <w:color w:val="auto"/>
              </w:rPr>
            </w:pPr>
          </w:p>
        </w:tc>
        <w:tc>
          <w:tcPr>
            <w:tcW w:w="1840" w:type="dxa"/>
            <w:vAlign w:val="bottom"/>
            <w:tcBorders>
              <w:bottom w:val="single" w:sz="8" w:color="808080"/>
            </w:tcBorders>
          </w:tcPr>
          <w:p>
            <w:pPr>
              <w:spacing w:after="0" w:line="20" w:lineRule="exact"/>
              <w:rPr>
                <w:sz w:val="1"/>
                <w:szCs w:val="1"/>
                <w:color w:val="auto"/>
              </w:rPr>
            </w:pPr>
          </w:p>
        </w:tc>
        <w:tc>
          <w:tcPr>
            <w:tcW w:w="1340" w:type="dxa"/>
            <w:vAlign w:val="bottom"/>
            <w:tcBorders>
              <w:bottom w:val="single" w:sz="8" w:color="808080"/>
            </w:tcBorders>
          </w:tcPr>
          <w:p>
            <w:pPr>
              <w:spacing w:after="0" w:line="20" w:lineRule="exact"/>
              <w:rPr>
                <w:sz w:val="1"/>
                <w:szCs w:val="1"/>
                <w:color w:val="auto"/>
              </w:rPr>
            </w:pPr>
          </w:p>
        </w:tc>
      </w:tr>
    </w:tbl>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 The amounts deducted or added in calculating the total average equity award adjustments are as follows:</w:t>
      </w:r>
    </w:p>
    <w:p>
      <w:pPr>
        <w:spacing w:after="0" w:line="177" w:lineRule="exact"/>
        <w:rPr>
          <w:sz w:val="20"/>
          <w:szCs w:val="20"/>
          <w:color w:val="auto"/>
        </w:rPr>
      </w:pPr>
    </w:p>
    <w:tbl>
      <w:tblPr>
        <w:tblLayout w:type="fixed"/>
        <w:tblInd w:w="260" w:type="dxa"/>
        <w:tblCellMar>
          <w:top w:w="0" w:type="dxa"/>
          <w:left w:w="0" w:type="dxa"/>
          <w:bottom w:w="0" w:type="dxa"/>
          <w:right w:w="0" w:type="dxa"/>
        </w:tblCellMar>
      </w:tblPr>
      <w:tr>
        <w:trPr>
          <w:trHeight w:val="176"/>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170D67"/>
              </w:rPr>
              <w:t>Average Value</w:t>
            </w: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170D67"/>
              </w:rPr>
              <w:t>Average Fair</w:t>
            </w:r>
          </w:p>
        </w:tc>
        <w:tc>
          <w:tcPr>
            <w:tcW w:w="136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170D67"/>
              </w:rPr>
              <w:t>of Dividends or</w:t>
            </w: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170D67"/>
              </w:rPr>
              <w:t>Value at the</w:t>
            </w:r>
          </w:p>
        </w:tc>
        <w:tc>
          <w:tcPr>
            <w:tcW w:w="136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170D67"/>
              </w:rPr>
              <w:t>other Earnings</w:t>
            </w: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170D67"/>
              </w:rPr>
              <w:t>Average Fair</w:t>
            </w:r>
          </w:p>
        </w:tc>
        <w:tc>
          <w:tcPr>
            <w:tcW w:w="1360" w:type="dxa"/>
            <w:vAlign w:val="bottom"/>
          </w:tcPr>
          <w:p>
            <w:pPr>
              <w:jc w:val="right"/>
              <w:ind w:right="88"/>
              <w:spacing w:after="0"/>
              <w:rPr>
                <w:sz w:val="20"/>
                <w:szCs w:val="20"/>
                <w:color w:val="auto"/>
              </w:rPr>
            </w:pPr>
            <w:r>
              <w:rPr>
                <w:rFonts w:ascii="Arial" w:cs="Arial" w:eastAsia="Arial" w:hAnsi="Arial"/>
                <w:sz w:val="14"/>
                <w:szCs w:val="14"/>
                <w:b w:val="1"/>
                <w:bCs w:val="1"/>
                <w:color w:val="170D67"/>
              </w:rPr>
              <w:t>Year over</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170D67"/>
              </w:rPr>
              <w:t>End of the</w:t>
            </w:r>
          </w:p>
        </w:tc>
        <w:tc>
          <w:tcPr>
            <w:tcW w:w="136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170D67"/>
              </w:rPr>
              <w:t>Paid on Stock</w:t>
            </w: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2"/>
        </w:trPr>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170D67"/>
              </w:rPr>
              <w:t>Value as of</w:t>
            </w:r>
          </w:p>
        </w:tc>
        <w:tc>
          <w:tcPr>
            <w:tcW w:w="1360" w:type="dxa"/>
            <w:vAlign w:val="bottom"/>
          </w:tcPr>
          <w:p>
            <w:pPr>
              <w:jc w:val="right"/>
              <w:ind w:right="88"/>
              <w:spacing w:after="0"/>
              <w:rPr>
                <w:sz w:val="20"/>
                <w:szCs w:val="20"/>
                <w:color w:val="auto"/>
              </w:rPr>
            </w:pPr>
            <w:r>
              <w:rPr>
                <w:rFonts w:ascii="Arial" w:cs="Arial" w:eastAsia="Arial" w:hAnsi="Arial"/>
                <w:sz w:val="14"/>
                <w:szCs w:val="14"/>
                <w:b w:val="1"/>
                <w:bCs w:val="1"/>
                <w:color w:val="170D67"/>
              </w:rPr>
              <w:t>Year Average</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170D67"/>
              </w:rPr>
              <w:t>Prior Year</w:t>
            </w:r>
          </w:p>
        </w:tc>
        <w:tc>
          <w:tcPr>
            <w:tcW w:w="28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170D67"/>
              </w:rPr>
              <w:t>or Option</w:t>
            </w: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80" w:type="dxa"/>
            <w:vAlign w:val="bottom"/>
          </w:tcPr>
          <w:p>
            <w:pPr>
              <w:jc w:val="right"/>
              <w:ind w:right="168"/>
              <w:spacing w:after="0"/>
              <w:rPr>
                <w:sz w:val="20"/>
                <w:szCs w:val="20"/>
                <w:color w:val="auto"/>
              </w:rPr>
            </w:pPr>
            <w:r>
              <w:rPr>
                <w:rFonts w:ascii="Arial" w:cs="Arial" w:eastAsia="Arial" w:hAnsi="Arial"/>
                <w:sz w:val="14"/>
                <w:szCs w:val="14"/>
                <w:b w:val="1"/>
                <w:bCs w:val="1"/>
                <w:color w:val="170D67"/>
              </w:rPr>
              <w:t>Year over Year</w:t>
            </w: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170D67"/>
              </w:rPr>
              <w:t>Vesting Date</w:t>
            </w:r>
          </w:p>
        </w:tc>
        <w:tc>
          <w:tcPr>
            <w:tcW w:w="1360" w:type="dxa"/>
            <w:vAlign w:val="bottom"/>
          </w:tcPr>
          <w:p>
            <w:pPr>
              <w:jc w:val="right"/>
              <w:ind w:right="88"/>
              <w:spacing w:after="0"/>
              <w:rPr>
                <w:sz w:val="20"/>
                <w:szCs w:val="20"/>
                <w:color w:val="auto"/>
              </w:rPr>
            </w:pPr>
            <w:r>
              <w:rPr>
                <w:rFonts w:ascii="Arial" w:cs="Arial" w:eastAsia="Arial" w:hAnsi="Arial"/>
                <w:sz w:val="14"/>
                <w:szCs w:val="14"/>
                <w:b w:val="1"/>
                <w:bCs w:val="1"/>
                <w:color w:val="170D67"/>
              </w:rPr>
              <w:t>Change in Fair</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170D67"/>
              </w:rPr>
              <w:t>of Equity</w:t>
            </w:r>
          </w:p>
        </w:tc>
        <w:tc>
          <w:tcPr>
            <w:tcW w:w="28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170D67"/>
              </w:rPr>
              <w:t>Awards not</w:t>
            </w: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80" w:type="dxa"/>
            <w:vAlign w:val="bottom"/>
          </w:tcPr>
          <w:p>
            <w:pPr>
              <w:jc w:val="right"/>
              <w:ind w:right="168"/>
              <w:spacing w:after="0"/>
              <w:rPr>
                <w:sz w:val="20"/>
                <w:szCs w:val="20"/>
                <w:color w:val="auto"/>
              </w:rPr>
            </w:pPr>
            <w:r>
              <w:rPr>
                <w:rFonts w:ascii="Arial" w:cs="Arial" w:eastAsia="Arial" w:hAnsi="Arial"/>
                <w:sz w:val="14"/>
                <w:szCs w:val="14"/>
                <w:b w:val="1"/>
                <w:bCs w:val="1"/>
                <w:color w:val="170D67"/>
              </w:rPr>
              <w:t>Average Change</w:t>
            </w: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170D67"/>
              </w:rPr>
              <w:t>of Equity</w:t>
            </w:r>
          </w:p>
        </w:tc>
        <w:tc>
          <w:tcPr>
            <w:tcW w:w="1360" w:type="dxa"/>
            <w:vAlign w:val="bottom"/>
          </w:tcPr>
          <w:p>
            <w:pPr>
              <w:jc w:val="right"/>
              <w:ind w:right="88"/>
              <w:spacing w:after="0"/>
              <w:rPr>
                <w:sz w:val="20"/>
                <w:szCs w:val="20"/>
                <w:color w:val="auto"/>
              </w:rPr>
            </w:pPr>
            <w:r>
              <w:rPr>
                <w:rFonts w:ascii="Arial" w:cs="Arial" w:eastAsia="Arial" w:hAnsi="Arial"/>
                <w:sz w:val="14"/>
                <w:szCs w:val="14"/>
                <w:b w:val="1"/>
                <w:bCs w:val="1"/>
                <w:color w:val="170D67"/>
              </w:rPr>
              <w:t>Value of Equity</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170D67"/>
              </w:rPr>
              <w:t>Awards that</w:t>
            </w:r>
          </w:p>
        </w:tc>
        <w:tc>
          <w:tcPr>
            <w:tcW w:w="28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170D67"/>
              </w:rPr>
              <w:t>Otherwise</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170D67"/>
              </w:rPr>
              <w:t>Total</w:t>
            </w:r>
          </w:p>
        </w:tc>
      </w:tr>
      <w:tr>
        <w:trPr>
          <w:trHeight w:val="175"/>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jc w:val="right"/>
              <w:ind w:right="88"/>
              <w:spacing w:after="0"/>
              <w:rPr>
                <w:sz w:val="20"/>
                <w:szCs w:val="20"/>
                <w:color w:val="auto"/>
              </w:rPr>
            </w:pPr>
            <w:r>
              <w:rPr>
                <w:rFonts w:ascii="Arial" w:cs="Arial" w:eastAsia="Arial" w:hAnsi="Arial"/>
                <w:sz w:val="14"/>
                <w:szCs w:val="14"/>
                <w:b w:val="1"/>
                <w:bCs w:val="1"/>
                <w:color w:val="170D67"/>
              </w:rPr>
              <w:t>Average</w:t>
            </w:r>
          </w:p>
        </w:tc>
        <w:tc>
          <w:tcPr>
            <w:tcW w:w="1480" w:type="dxa"/>
            <w:vAlign w:val="bottom"/>
          </w:tcPr>
          <w:p>
            <w:pPr>
              <w:jc w:val="right"/>
              <w:ind w:right="168"/>
              <w:spacing w:after="0"/>
              <w:rPr>
                <w:sz w:val="20"/>
                <w:szCs w:val="20"/>
                <w:color w:val="auto"/>
              </w:rPr>
            </w:pPr>
            <w:r>
              <w:rPr>
                <w:rFonts w:ascii="Arial" w:cs="Arial" w:eastAsia="Arial" w:hAnsi="Arial"/>
                <w:sz w:val="14"/>
                <w:szCs w:val="14"/>
                <w:b w:val="1"/>
                <w:bCs w:val="1"/>
                <w:color w:val="170D67"/>
              </w:rPr>
              <w:t>in Fair Value of</w:t>
            </w: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170D67"/>
              </w:rPr>
              <w:t>Awards</w:t>
            </w:r>
          </w:p>
        </w:tc>
        <w:tc>
          <w:tcPr>
            <w:tcW w:w="1360" w:type="dxa"/>
            <w:vAlign w:val="bottom"/>
          </w:tcPr>
          <w:p>
            <w:pPr>
              <w:jc w:val="right"/>
              <w:ind w:right="88"/>
              <w:spacing w:after="0"/>
              <w:rPr>
                <w:sz w:val="20"/>
                <w:szCs w:val="20"/>
                <w:color w:val="auto"/>
              </w:rPr>
            </w:pPr>
            <w:r>
              <w:rPr>
                <w:rFonts w:ascii="Arial" w:cs="Arial" w:eastAsia="Arial" w:hAnsi="Arial"/>
                <w:sz w:val="14"/>
                <w:szCs w:val="14"/>
                <w:b w:val="1"/>
                <w:bCs w:val="1"/>
                <w:color w:val="170D67"/>
              </w:rPr>
              <w:t>Awards Granted</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170D67"/>
              </w:rPr>
              <w:t>Failed to</w:t>
            </w:r>
          </w:p>
        </w:tc>
        <w:tc>
          <w:tcPr>
            <w:tcW w:w="28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170D67"/>
              </w:rPr>
              <w:t>Reflected in</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170D67"/>
              </w:rPr>
              <w:t>Average</w:t>
            </w:r>
          </w:p>
        </w:tc>
      </w:tr>
      <w:tr>
        <w:trPr>
          <w:trHeight w:val="175"/>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jc w:val="right"/>
              <w:ind w:right="88"/>
              <w:spacing w:after="0"/>
              <w:rPr>
                <w:sz w:val="20"/>
                <w:szCs w:val="20"/>
                <w:color w:val="auto"/>
              </w:rPr>
            </w:pPr>
            <w:r>
              <w:rPr>
                <w:rFonts w:ascii="Arial" w:cs="Arial" w:eastAsia="Arial" w:hAnsi="Arial"/>
                <w:sz w:val="14"/>
                <w:szCs w:val="14"/>
                <w:b w:val="1"/>
                <w:bCs w:val="1"/>
                <w:color w:val="170D67"/>
              </w:rPr>
              <w:t>Year End</w:t>
            </w:r>
          </w:p>
        </w:tc>
        <w:tc>
          <w:tcPr>
            <w:tcW w:w="1480" w:type="dxa"/>
            <w:vAlign w:val="bottom"/>
          </w:tcPr>
          <w:p>
            <w:pPr>
              <w:jc w:val="right"/>
              <w:ind w:right="168"/>
              <w:spacing w:after="0"/>
              <w:rPr>
                <w:sz w:val="20"/>
                <w:szCs w:val="20"/>
                <w:color w:val="auto"/>
              </w:rPr>
            </w:pPr>
            <w:r>
              <w:rPr>
                <w:rFonts w:ascii="Arial" w:cs="Arial" w:eastAsia="Arial" w:hAnsi="Arial"/>
                <w:sz w:val="14"/>
                <w:szCs w:val="14"/>
                <w:b w:val="1"/>
                <w:bCs w:val="1"/>
                <w:color w:val="170D67"/>
              </w:rPr>
              <w:t>Outstanding</w:t>
            </w: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170D67"/>
              </w:rPr>
              <w:t>Granted and</w:t>
            </w:r>
          </w:p>
        </w:tc>
        <w:tc>
          <w:tcPr>
            <w:tcW w:w="1360" w:type="dxa"/>
            <w:vAlign w:val="bottom"/>
          </w:tcPr>
          <w:p>
            <w:pPr>
              <w:jc w:val="right"/>
              <w:ind w:right="88"/>
              <w:spacing w:after="0"/>
              <w:rPr>
                <w:sz w:val="20"/>
                <w:szCs w:val="20"/>
                <w:color w:val="auto"/>
              </w:rPr>
            </w:pPr>
            <w:r>
              <w:rPr>
                <w:rFonts w:ascii="Arial" w:cs="Arial" w:eastAsia="Arial" w:hAnsi="Arial"/>
                <w:sz w:val="14"/>
                <w:szCs w:val="14"/>
                <w:b w:val="1"/>
                <w:bCs w:val="1"/>
                <w:color w:val="170D67"/>
              </w:rPr>
              <w:t>in Prior Years</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170D67"/>
              </w:rPr>
              <w:t>Meet Vesting</w:t>
            </w:r>
          </w:p>
        </w:tc>
        <w:tc>
          <w:tcPr>
            <w:tcW w:w="28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170D67"/>
              </w:rPr>
              <w:t>Fair Value</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170D67"/>
              </w:rPr>
              <w:t>Equity</w:t>
            </w:r>
          </w:p>
        </w:tc>
      </w:tr>
      <w:tr>
        <w:trPr>
          <w:trHeight w:val="162"/>
        </w:trPr>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40" w:type="dxa"/>
            <w:vAlign w:val="bottom"/>
          </w:tcPr>
          <w:p>
            <w:pPr>
              <w:jc w:val="right"/>
              <w:ind w:right="88"/>
              <w:spacing w:after="0"/>
              <w:rPr>
                <w:sz w:val="20"/>
                <w:szCs w:val="20"/>
                <w:color w:val="auto"/>
              </w:rPr>
            </w:pPr>
            <w:r>
              <w:rPr>
                <w:rFonts w:ascii="Arial" w:cs="Arial" w:eastAsia="Arial" w:hAnsi="Arial"/>
                <w:sz w:val="14"/>
                <w:szCs w:val="14"/>
                <w:b w:val="1"/>
                <w:bCs w:val="1"/>
                <w:color w:val="170D67"/>
              </w:rPr>
              <w:t>Fair Value of</w:t>
            </w:r>
          </w:p>
        </w:tc>
        <w:tc>
          <w:tcPr>
            <w:tcW w:w="1480" w:type="dxa"/>
            <w:vAlign w:val="bottom"/>
          </w:tcPr>
          <w:p>
            <w:pPr>
              <w:jc w:val="right"/>
              <w:ind w:right="168"/>
              <w:spacing w:after="0"/>
              <w:rPr>
                <w:sz w:val="20"/>
                <w:szCs w:val="20"/>
                <w:color w:val="auto"/>
              </w:rPr>
            </w:pPr>
            <w:r>
              <w:rPr>
                <w:rFonts w:ascii="Arial" w:cs="Arial" w:eastAsia="Arial" w:hAnsi="Arial"/>
                <w:sz w:val="14"/>
                <w:szCs w:val="14"/>
                <w:b w:val="1"/>
                <w:bCs w:val="1"/>
                <w:color w:val="170D67"/>
              </w:rPr>
              <w:t>and Unvested</w:t>
            </w: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170D67"/>
              </w:rPr>
              <w:t>Vested in</w:t>
            </w:r>
          </w:p>
        </w:tc>
        <w:tc>
          <w:tcPr>
            <w:tcW w:w="1360" w:type="dxa"/>
            <w:vAlign w:val="bottom"/>
          </w:tcPr>
          <w:p>
            <w:pPr>
              <w:jc w:val="right"/>
              <w:ind w:right="88"/>
              <w:spacing w:after="0"/>
              <w:rPr>
                <w:sz w:val="20"/>
                <w:szCs w:val="20"/>
                <w:color w:val="auto"/>
              </w:rPr>
            </w:pPr>
            <w:r>
              <w:rPr>
                <w:rFonts w:ascii="Arial" w:cs="Arial" w:eastAsia="Arial" w:hAnsi="Arial"/>
                <w:sz w:val="14"/>
                <w:szCs w:val="14"/>
                <w:b w:val="1"/>
                <w:bCs w:val="1"/>
                <w:color w:val="170D67"/>
              </w:rPr>
              <w:t>that Vested in</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170D67"/>
              </w:rPr>
              <w:t>Conditions in</w:t>
            </w:r>
          </w:p>
        </w:tc>
        <w:tc>
          <w:tcPr>
            <w:tcW w:w="28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170D67"/>
              </w:rPr>
              <w:t>or Total</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170D67"/>
              </w:rPr>
              <w:t>Award</w:t>
            </w:r>
          </w:p>
        </w:tc>
      </w:tr>
      <w:tr>
        <w:trPr>
          <w:trHeight w:val="175"/>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jc w:val="right"/>
              <w:ind w:right="88"/>
              <w:spacing w:after="0"/>
              <w:rPr>
                <w:sz w:val="20"/>
                <w:szCs w:val="20"/>
                <w:color w:val="auto"/>
              </w:rPr>
            </w:pPr>
            <w:r>
              <w:rPr>
                <w:rFonts w:ascii="Arial" w:cs="Arial" w:eastAsia="Arial" w:hAnsi="Arial"/>
                <w:sz w:val="14"/>
                <w:szCs w:val="14"/>
                <w:b w:val="1"/>
                <w:bCs w:val="1"/>
                <w:color w:val="170D67"/>
              </w:rPr>
              <w:t>Equity Awards</w:t>
            </w:r>
          </w:p>
        </w:tc>
        <w:tc>
          <w:tcPr>
            <w:tcW w:w="1480" w:type="dxa"/>
            <w:vAlign w:val="bottom"/>
          </w:tcPr>
          <w:p>
            <w:pPr>
              <w:jc w:val="right"/>
              <w:ind w:right="168"/>
              <w:spacing w:after="0"/>
              <w:rPr>
                <w:sz w:val="20"/>
                <w:szCs w:val="20"/>
                <w:color w:val="auto"/>
              </w:rPr>
            </w:pPr>
            <w:r>
              <w:rPr>
                <w:rFonts w:ascii="Arial" w:cs="Arial" w:eastAsia="Arial" w:hAnsi="Arial"/>
                <w:sz w:val="14"/>
                <w:szCs w:val="14"/>
                <w:b w:val="1"/>
                <w:bCs w:val="1"/>
                <w:color w:val="170D67"/>
              </w:rPr>
              <w:t>Equity Awards</w:t>
            </w: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170D67"/>
              </w:rPr>
              <w:t>the Year</w:t>
            </w:r>
          </w:p>
        </w:tc>
        <w:tc>
          <w:tcPr>
            <w:tcW w:w="1360" w:type="dxa"/>
            <w:vAlign w:val="bottom"/>
          </w:tcPr>
          <w:p>
            <w:pPr>
              <w:jc w:val="right"/>
              <w:ind w:right="88"/>
              <w:spacing w:after="0"/>
              <w:rPr>
                <w:sz w:val="20"/>
                <w:szCs w:val="20"/>
                <w:color w:val="auto"/>
              </w:rPr>
            </w:pPr>
            <w:r>
              <w:rPr>
                <w:rFonts w:ascii="Arial" w:cs="Arial" w:eastAsia="Arial" w:hAnsi="Arial"/>
                <w:sz w:val="14"/>
                <w:szCs w:val="14"/>
                <w:b w:val="1"/>
                <w:bCs w:val="1"/>
                <w:color w:val="170D67"/>
              </w:rPr>
              <w:t>the Year</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170D67"/>
              </w:rPr>
              <w:t>the Year</w:t>
            </w:r>
          </w:p>
        </w:tc>
        <w:tc>
          <w:tcPr>
            <w:tcW w:w="136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170D67"/>
              </w:rPr>
              <w:t>Compensation</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170D67"/>
              </w:rPr>
              <w:t>Adjustments</w:t>
            </w:r>
          </w:p>
        </w:tc>
      </w:tr>
      <w:tr>
        <w:trPr>
          <w:trHeight w:val="211"/>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bottom w:val="single" w:sz="8" w:color="170D67"/>
            </w:tcBorders>
          </w:tcPr>
          <w:p>
            <w:pPr>
              <w:spacing w:after="0"/>
              <w:rPr>
                <w:sz w:val="18"/>
                <w:szCs w:val="18"/>
                <w:color w:val="auto"/>
              </w:rPr>
            </w:pPr>
          </w:p>
        </w:tc>
        <w:tc>
          <w:tcPr>
            <w:tcW w:w="1640" w:type="dxa"/>
            <w:vAlign w:val="bottom"/>
            <w:tcBorders>
              <w:bottom w:val="single" w:sz="8" w:color="170D67"/>
            </w:tcBorders>
          </w:tcPr>
          <w:p>
            <w:pPr>
              <w:jc w:val="right"/>
              <w:ind w:right="48"/>
              <w:spacing w:after="0"/>
              <w:rPr>
                <w:sz w:val="20"/>
                <w:szCs w:val="20"/>
                <w:color w:val="auto"/>
              </w:rPr>
            </w:pPr>
            <w:r>
              <w:rPr>
                <w:rFonts w:ascii="Arial" w:cs="Arial" w:eastAsia="Arial" w:hAnsi="Arial"/>
                <w:sz w:val="14"/>
                <w:szCs w:val="14"/>
                <w:b w:val="1"/>
                <w:bCs w:val="1"/>
                <w:color w:val="170D67"/>
              </w:rPr>
              <w:t>($)</w:t>
            </w:r>
          </w:p>
        </w:tc>
        <w:tc>
          <w:tcPr>
            <w:tcW w:w="1480" w:type="dxa"/>
            <w:vAlign w:val="bottom"/>
            <w:tcBorders>
              <w:bottom w:val="single" w:sz="8" w:color="170D67"/>
            </w:tcBorders>
          </w:tcPr>
          <w:p>
            <w:pPr>
              <w:jc w:val="right"/>
              <w:ind w:right="128"/>
              <w:spacing w:after="0"/>
              <w:rPr>
                <w:sz w:val="20"/>
                <w:szCs w:val="20"/>
                <w:color w:val="auto"/>
              </w:rPr>
            </w:pPr>
            <w:r>
              <w:rPr>
                <w:rFonts w:ascii="Arial" w:cs="Arial" w:eastAsia="Arial" w:hAnsi="Arial"/>
                <w:sz w:val="14"/>
                <w:szCs w:val="14"/>
                <w:b w:val="1"/>
                <w:bCs w:val="1"/>
                <w:color w:val="170D67"/>
              </w:rPr>
              <w:t>($)</w:t>
            </w:r>
          </w:p>
        </w:tc>
        <w:tc>
          <w:tcPr>
            <w:tcW w:w="1200" w:type="dxa"/>
            <w:vAlign w:val="bottom"/>
            <w:tcBorders>
              <w:bottom w:val="single" w:sz="8" w:color="170D67"/>
            </w:tcBorders>
          </w:tcPr>
          <w:p>
            <w:pPr>
              <w:jc w:val="right"/>
              <w:ind w:right="8"/>
              <w:spacing w:after="0"/>
              <w:rPr>
                <w:sz w:val="20"/>
                <w:szCs w:val="20"/>
                <w:color w:val="auto"/>
              </w:rPr>
            </w:pPr>
            <w:r>
              <w:rPr>
                <w:rFonts w:ascii="Arial" w:cs="Arial" w:eastAsia="Arial" w:hAnsi="Arial"/>
                <w:sz w:val="14"/>
                <w:szCs w:val="14"/>
                <w:b w:val="1"/>
                <w:bCs w:val="1"/>
                <w:color w:val="170D67"/>
              </w:rPr>
              <w:t>($)</w:t>
            </w:r>
          </w:p>
        </w:tc>
        <w:tc>
          <w:tcPr>
            <w:tcW w:w="1360" w:type="dxa"/>
            <w:vAlign w:val="bottom"/>
            <w:tcBorders>
              <w:bottom w:val="single" w:sz="8" w:color="170D67"/>
            </w:tcBorders>
          </w:tcPr>
          <w:p>
            <w:pPr>
              <w:jc w:val="right"/>
              <w:ind w:right="48"/>
              <w:spacing w:after="0"/>
              <w:rPr>
                <w:sz w:val="20"/>
                <w:szCs w:val="20"/>
                <w:color w:val="auto"/>
              </w:rPr>
            </w:pPr>
            <w:r>
              <w:rPr>
                <w:rFonts w:ascii="Arial" w:cs="Arial" w:eastAsia="Arial" w:hAnsi="Arial"/>
                <w:sz w:val="14"/>
                <w:szCs w:val="14"/>
                <w:b w:val="1"/>
                <w:bCs w:val="1"/>
                <w:color w:val="170D67"/>
              </w:rPr>
              <w:t>($)</w:t>
            </w:r>
          </w:p>
        </w:tc>
        <w:tc>
          <w:tcPr>
            <w:tcW w:w="1180" w:type="dxa"/>
            <w:vAlign w:val="bottom"/>
            <w:tcBorders>
              <w:bottom w:val="single" w:sz="8" w:color="170D67"/>
            </w:tcBorders>
          </w:tcPr>
          <w:p>
            <w:pPr>
              <w:jc w:val="right"/>
              <w:ind w:right="8"/>
              <w:spacing w:after="0"/>
              <w:rPr>
                <w:sz w:val="20"/>
                <w:szCs w:val="20"/>
                <w:color w:val="auto"/>
              </w:rPr>
            </w:pPr>
            <w:r>
              <w:rPr>
                <w:rFonts w:ascii="Arial" w:cs="Arial" w:eastAsia="Arial" w:hAnsi="Arial"/>
                <w:sz w:val="14"/>
                <w:szCs w:val="14"/>
                <w:b w:val="1"/>
                <w:bCs w:val="1"/>
                <w:color w:val="170D67"/>
              </w:rPr>
              <w:t>($)</w:t>
            </w:r>
          </w:p>
        </w:tc>
        <w:tc>
          <w:tcPr>
            <w:tcW w:w="280" w:type="dxa"/>
            <w:vAlign w:val="bottom"/>
            <w:tcBorders>
              <w:bottom w:val="single" w:sz="8" w:color="170D67"/>
            </w:tcBorders>
          </w:tcPr>
          <w:p>
            <w:pPr>
              <w:spacing w:after="0"/>
              <w:rPr>
                <w:sz w:val="18"/>
                <w:szCs w:val="18"/>
                <w:color w:val="auto"/>
              </w:rPr>
            </w:pPr>
          </w:p>
        </w:tc>
        <w:tc>
          <w:tcPr>
            <w:tcW w:w="1080" w:type="dxa"/>
            <w:vAlign w:val="bottom"/>
            <w:tcBorders>
              <w:bottom w:val="single" w:sz="8" w:color="170D67"/>
            </w:tcBorders>
          </w:tcPr>
          <w:p>
            <w:pPr>
              <w:jc w:val="right"/>
              <w:ind w:right="68"/>
              <w:spacing w:after="0"/>
              <w:rPr>
                <w:sz w:val="20"/>
                <w:szCs w:val="20"/>
                <w:color w:val="auto"/>
              </w:rPr>
            </w:pPr>
            <w:r>
              <w:rPr>
                <w:rFonts w:ascii="Arial" w:cs="Arial" w:eastAsia="Arial" w:hAnsi="Arial"/>
                <w:sz w:val="14"/>
                <w:szCs w:val="14"/>
                <w:b w:val="1"/>
                <w:bCs w:val="1"/>
                <w:color w:val="170D67"/>
              </w:rPr>
              <w:t>($)</w:t>
            </w:r>
          </w:p>
        </w:tc>
        <w:tc>
          <w:tcPr>
            <w:tcW w:w="1040" w:type="dxa"/>
            <w:vAlign w:val="bottom"/>
            <w:tcBorders>
              <w:bottom w:val="single" w:sz="8" w:color="170D67"/>
            </w:tcBorders>
          </w:tcPr>
          <w:p>
            <w:pPr>
              <w:jc w:val="right"/>
              <w:spacing w:after="0"/>
              <w:rPr>
                <w:sz w:val="20"/>
                <w:szCs w:val="20"/>
                <w:color w:val="auto"/>
              </w:rPr>
            </w:pPr>
            <w:r>
              <w:rPr>
                <w:rFonts w:ascii="Arial" w:cs="Arial" w:eastAsia="Arial" w:hAnsi="Arial"/>
                <w:sz w:val="14"/>
                <w:szCs w:val="14"/>
                <w:b w:val="1"/>
                <w:bCs w:val="1"/>
                <w:color w:val="170D67"/>
              </w:rPr>
              <w:t>($)</w:t>
            </w:r>
          </w:p>
        </w:tc>
        <w:tc>
          <w:tcPr>
            <w:tcW w:w="60" w:type="dxa"/>
            <w:vAlign w:val="bottom"/>
          </w:tcPr>
          <w:p>
            <w:pPr>
              <w:spacing w:after="0"/>
              <w:rPr>
                <w:sz w:val="18"/>
                <w:szCs w:val="18"/>
                <w:color w:val="auto"/>
              </w:rPr>
            </w:pPr>
          </w:p>
        </w:tc>
      </w:tr>
      <w:tr>
        <w:trPr>
          <w:trHeight w:val="203"/>
        </w:trPr>
        <w:tc>
          <w:tcPr>
            <w:tcW w:w="1080" w:type="dxa"/>
            <w:vAlign w:val="bottom"/>
            <w:gridSpan w:val="3"/>
          </w:tcPr>
          <w:p>
            <w:pPr>
              <w:ind w:left="280"/>
              <w:spacing w:after="0"/>
              <w:rPr>
                <w:sz w:val="20"/>
                <w:szCs w:val="20"/>
                <w:color w:val="auto"/>
              </w:rPr>
            </w:pPr>
            <w:r>
              <w:rPr>
                <w:rFonts w:ascii="Arial" w:cs="Arial" w:eastAsia="Arial" w:hAnsi="Arial"/>
                <w:sz w:val="14"/>
                <w:szCs w:val="14"/>
                <w:color w:val="auto"/>
              </w:rPr>
              <w:t>2024</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1,706,008</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(30,082)</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(21,274)</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1,654,652</w:t>
            </w:r>
          </w:p>
        </w:tc>
        <w:tc>
          <w:tcPr>
            <w:tcW w:w="60" w:type="dxa"/>
            <w:vAlign w:val="bottom"/>
          </w:tcPr>
          <w:p>
            <w:pPr>
              <w:spacing w:after="0"/>
              <w:rPr>
                <w:sz w:val="17"/>
                <w:szCs w:val="17"/>
                <w:color w:val="auto"/>
              </w:rPr>
            </w:pPr>
          </w:p>
        </w:tc>
      </w:tr>
      <w:tr>
        <w:trPr>
          <w:trHeight w:val="22"/>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929292"/>
            </w:tcBorders>
          </w:tcPr>
          <w:p>
            <w:pPr>
              <w:spacing w:after="0" w:line="20" w:lineRule="exact"/>
              <w:rPr>
                <w:sz w:val="1"/>
                <w:szCs w:val="1"/>
                <w:color w:val="auto"/>
              </w:rPr>
            </w:pPr>
          </w:p>
        </w:tc>
        <w:tc>
          <w:tcPr>
            <w:tcW w:w="1640" w:type="dxa"/>
            <w:vAlign w:val="bottom"/>
            <w:tcBorders>
              <w:bottom w:val="single" w:sz="8" w:color="929292"/>
            </w:tcBorders>
          </w:tcPr>
          <w:p>
            <w:pPr>
              <w:spacing w:after="0" w:line="20" w:lineRule="exact"/>
              <w:rPr>
                <w:sz w:val="1"/>
                <w:szCs w:val="1"/>
                <w:color w:val="auto"/>
              </w:rPr>
            </w:pPr>
          </w:p>
        </w:tc>
        <w:tc>
          <w:tcPr>
            <w:tcW w:w="1480" w:type="dxa"/>
            <w:vAlign w:val="bottom"/>
            <w:tcBorders>
              <w:bottom w:val="single" w:sz="8" w:color="929292"/>
            </w:tcBorders>
          </w:tcPr>
          <w:p>
            <w:pPr>
              <w:spacing w:after="0" w:line="20" w:lineRule="exact"/>
              <w:rPr>
                <w:sz w:val="1"/>
                <w:szCs w:val="1"/>
                <w:color w:val="auto"/>
              </w:rPr>
            </w:pPr>
          </w:p>
        </w:tc>
        <w:tc>
          <w:tcPr>
            <w:tcW w:w="1200" w:type="dxa"/>
            <w:vAlign w:val="bottom"/>
            <w:tcBorders>
              <w:bottom w:val="single" w:sz="8" w:color="929292"/>
            </w:tcBorders>
          </w:tcPr>
          <w:p>
            <w:pPr>
              <w:spacing w:after="0" w:line="20" w:lineRule="exact"/>
              <w:rPr>
                <w:sz w:val="1"/>
                <w:szCs w:val="1"/>
                <w:color w:val="auto"/>
              </w:rPr>
            </w:pPr>
          </w:p>
        </w:tc>
        <w:tc>
          <w:tcPr>
            <w:tcW w:w="1360" w:type="dxa"/>
            <w:vAlign w:val="bottom"/>
            <w:tcBorders>
              <w:bottom w:val="single" w:sz="8" w:color="929292"/>
            </w:tcBorders>
          </w:tcPr>
          <w:p>
            <w:pPr>
              <w:spacing w:after="0" w:line="20" w:lineRule="exact"/>
              <w:rPr>
                <w:sz w:val="1"/>
                <w:szCs w:val="1"/>
                <w:color w:val="auto"/>
              </w:rPr>
            </w:pPr>
          </w:p>
        </w:tc>
        <w:tc>
          <w:tcPr>
            <w:tcW w:w="1180" w:type="dxa"/>
            <w:vAlign w:val="bottom"/>
            <w:tcBorders>
              <w:bottom w:val="single" w:sz="8" w:color="929292"/>
            </w:tcBorders>
          </w:tcPr>
          <w:p>
            <w:pPr>
              <w:spacing w:after="0" w:line="20" w:lineRule="exact"/>
              <w:rPr>
                <w:sz w:val="1"/>
                <w:szCs w:val="1"/>
                <w:color w:val="auto"/>
              </w:rPr>
            </w:pPr>
          </w:p>
        </w:tc>
        <w:tc>
          <w:tcPr>
            <w:tcW w:w="280" w:type="dxa"/>
            <w:vAlign w:val="bottom"/>
            <w:tcBorders>
              <w:bottom w:val="single" w:sz="8" w:color="929292"/>
            </w:tcBorders>
          </w:tcPr>
          <w:p>
            <w:pPr>
              <w:spacing w:after="0" w:line="20" w:lineRule="exact"/>
              <w:rPr>
                <w:sz w:val="1"/>
                <w:szCs w:val="1"/>
                <w:color w:val="auto"/>
              </w:rPr>
            </w:pPr>
          </w:p>
        </w:tc>
        <w:tc>
          <w:tcPr>
            <w:tcW w:w="1080" w:type="dxa"/>
            <w:vAlign w:val="bottom"/>
            <w:tcBorders>
              <w:bottom w:val="single" w:sz="8" w:color="929292"/>
            </w:tcBorders>
          </w:tcPr>
          <w:p>
            <w:pPr>
              <w:spacing w:after="0" w:line="20" w:lineRule="exact"/>
              <w:rPr>
                <w:sz w:val="1"/>
                <w:szCs w:val="1"/>
                <w:color w:val="auto"/>
              </w:rPr>
            </w:pPr>
          </w:p>
        </w:tc>
        <w:tc>
          <w:tcPr>
            <w:tcW w:w="1040" w:type="dxa"/>
            <w:vAlign w:val="bottom"/>
            <w:tcBorders>
              <w:bottom w:val="single" w:sz="8" w:color="92929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1"/>
        </w:trPr>
        <w:tc>
          <w:tcPr>
            <w:tcW w:w="1080" w:type="dxa"/>
            <w:vAlign w:val="bottom"/>
            <w:gridSpan w:val="3"/>
          </w:tcPr>
          <w:p>
            <w:pPr>
              <w:ind w:left="280"/>
              <w:spacing w:after="0"/>
              <w:rPr>
                <w:sz w:val="20"/>
                <w:szCs w:val="20"/>
                <w:color w:val="auto"/>
              </w:rPr>
            </w:pPr>
            <w:r>
              <w:rPr>
                <w:rFonts w:ascii="Arial" w:cs="Arial" w:eastAsia="Arial" w:hAnsi="Arial"/>
                <w:sz w:val="14"/>
                <w:szCs w:val="14"/>
                <w:color w:val="auto"/>
              </w:rPr>
              <w:t>2023</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1,226,942</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(290,123)</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(79,052)</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857,767</w:t>
            </w:r>
          </w:p>
        </w:tc>
        <w:tc>
          <w:tcPr>
            <w:tcW w:w="60" w:type="dxa"/>
            <w:vAlign w:val="bottom"/>
          </w:tcPr>
          <w:p>
            <w:pPr>
              <w:spacing w:after="0"/>
              <w:rPr>
                <w:sz w:val="17"/>
                <w:szCs w:val="17"/>
                <w:color w:val="auto"/>
              </w:rPr>
            </w:pPr>
          </w:p>
        </w:tc>
      </w:tr>
      <w:tr>
        <w:trPr>
          <w:trHeight w:val="22"/>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929292"/>
            </w:tcBorders>
          </w:tcPr>
          <w:p>
            <w:pPr>
              <w:spacing w:after="0" w:line="20" w:lineRule="exact"/>
              <w:rPr>
                <w:sz w:val="1"/>
                <w:szCs w:val="1"/>
                <w:color w:val="auto"/>
              </w:rPr>
            </w:pPr>
          </w:p>
        </w:tc>
        <w:tc>
          <w:tcPr>
            <w:tcW w:w="1640" w:type="dxa"/>
            <w:vAlign w:val="bottom"/>
            <w:tcBorders>
              <w:bottom w:val="single" w:sz="8" w:color="929292"/>
            </w:tcBorders>
          </w:tcPr>
          <w:p>
            <w:pPr>
              <w:spacing w:after="0" w:line="20" w:lineRule="exact"/>
              <w:rPr>
                <w:sz w:val="1"/>
                <w:szCs w:val="1"/>
                <w:color w:val="auto"/>
              </w:rPr>
            </w:pPr>
          </w:p>
        </w:tc>
        <w:tc>
          <w:tcPr>
            <w:tcW w:w="1480" w:type="dxa"/>
            <w:vAlign w:val="bottom"/>
            <w:tcBorders>
              <w:bottom w:val="single" w:sz="8" w:color="929292"/>
            </w:tcBorders>
          </w:tcPr>
          <w:p>
            <w:pPr>
              <w:spacing w:after="0" w:line="20" w:lineRule="exact"/>
              <w:rPr>
                <w:sz w:val="1"/>
                <w:szCs w:val="1"/>
                <w:color w:val="auto"/>
              </w:rPr>
            </w:pPr>
          </w:p>
        </w:tc>
        <w:tc>
          <w:tcPr>
            <w:tcW w:w="1200" w:type="dxa"/>
            <w:vAlign w:val="bottom"/>
            <w:tcBorders>
              <w:bottom w:val="single" w:sz="8" w:color="929292"/>
            </w:tcBorders>
          </w:tcPr>
          <w:p>
            <w:pPr>
              <w:spacing w:after="0" w:line="20" w:lineRule="exact"/>
              <w:rPr>
                <w:sz w:val="1"/>
                <w:szCs w:val="1"/>
                <w:color w:val="auto"/>
              </w:rPr>
            </w:pPr>
          </w:p>
        </w:tc>
        <w:tc>
          <w:tcPr>
            <w:tcW w:w="1360" w:type="dxa"/>
            <w:vAlign w:val="bottom"/>
            <w:tcBorders>
              <w:bottom w:val="single" w:sz="8" w:color="929292"/>
            </w:tcBorders>
          </w:tcPr>
          <w:p>
            <w:pPr>
              <w:spacing w:after="0" w:line="20" w:lineRule="exact"/>
              <w:rPr>
                <w:sz w:val="1"/>
                <w:szCs w:val="1"/>
                <w:color w:val="auto"/>
              </w:rPr>
            </w:pPr>
          </w:p>
        </w:tc>
        <w:tc>
          <w:tcPr>
            <w:tcW w:w="1180" w:type="dxa"/>
            <w:vAlign w:val="bottom"/>
            <w:tcBorders>
              <w:bottom w:val="single" w:sz="8" w:color="929292"/>
            </w:tcBorders>
          </w:tcPr>
          <w:p>
            <w:pPr>
              <w:spacing w:after="0" w:line="20" w:lineRule="exact"/>
              <w:rPr>
                <w:sz w:val="1"/>
                <w:szCs w:val="1"/>
                <w:color w:val="auto"/>
              </w:rPr>
            </w:pPr>
          </w:p>
        </w:tc>
        <w:tc>
          <w:tcPr>
            <w:tcW w:w="280" w:type="dxa"/>
            <w:vAlign w:val="bottom"/>
            <w:tcBorders>
              <w:bottom w:val="single" w:sz="8" w:color="929292"/>
            </w:tcBorders>
          </w:tcPr>
          <w:p>
            <w:pPr>
              <w:spacing w:after="0" w:line="20" w:lineRule="exact"/>
              <w:rPr>
                <w:sz w:val="1"/>
                <w:szCs w:val="1"/>
                <w:color w:val="auto"/>
              </w:rPr>
            </w:pPr>
          </w:p>
        </w:tc>
        <w:tc>
          <w:tcPr>
            <w:tcW w:w="1080" w:type="dxa"/>
            <w:vAlign w:val="bottom"/>
            <w:tcBorders>
              <w:bottom w:val="single" w:sz="8" w:color="929292"/>
            </w:tcBorders>
          </w:tcPr>
          <w:p>
            <w:pPr>
              <w:spacing w:after="0" w:line="20" w:lineRule="exact"/>
              <w:rPr>
                <w:sz w:val="1"/>
                <w:szCs w:val="1"/>
                <w:color w:val="auto"/>
              </w:rPr>
            </w:pPr>
          </w:p>
        </w:tc>
        <w:tc>
          <w:tcPr>
            <w:tcW w:w="1040" w:type="dxa"/>
            <w:vAlign w:val="bottom"/>
            <w:tcBorders>
              <w:bottom w:val="single" w:sz="8" w:color="92929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1"/>
        </w:trPr>
        <w:tc>
          <w:tcPr>
            <w:tcW w:w="1080" w:type="dxa"/>
            <w:vAlign w:val="bottom"/>
            <w:gridSpan w:val="3"/>
          </w:tcPr>
          <w:p>
            <w:pPr>
              <w:ind w:left="280"/>
              <w:spacing w:after="0"/>
              <w:rPr>
                <w:sz w:val="20"/>
                <w:szCs w:val="20"/>
                <w:color w:val="auto"/>
              </w:rPr>
            </w:pPr>
            <w:r>
              <w:rPr>
                <w:rFonts w:ascii="Arial" w:cs="Arial" w:eastAsia="Arial" w:hAnsi="Arial"/>
                <w:sz w:val="14"/>
                <w:szCs w:val="14"/>
                <w:color w:val="auto"/>
              </w:rPr>
              <w:t>2022</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1,480,481</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(162,202)</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(17,819)</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1,300,460</w:t>
            </w:r>
          </w:p>
        </w:tc>
        <w:tc>
          <w:tcPr>
            <w:tcW w:w="60" w:type="dxa"/>
            <w:vAlign w:val="bottom"/>
          </w:tcPr>
          <w:p>
            <w:pPr>
              <w:spacing w:after="0"/>
              <w:rPr>
                <w:sz w:val="17"/>
                <w:szCs w:val="17"/>
                <w:color w:val="auto"/>
              </w:rPr>
            </w:pPr>
          </w:p>
        </w:tc>
      </w:tr>
      <w:tr>
        <w:trPr>
          <w:trHeight w:val="22"/>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929292"/>
            </w:tcBorders>
          </w:tcPr>
          <w:p>
            <w:pPr>
              <w:spacing w:after="0" w:line="20" w:lineRule="exact"/>
              <w:rPr>
                <w:sz w:val="1"/>
                <w:szCs w:val="1"/>
                <w:color w:val="auto"/>
              </w:rPr>
            </w:pPr>
          </w:p>
        </w:tc>
        <w:tc>
          <w:tcPr>
            <w:tcW w:w="1640" w:type="dxa"/>
            <w:vAlign w:val="bottom"/>
            <w:tcBorders>
              <w:bottom w:val="single" w:sz="8" w:color="929292"/>
            </w:tcBorders>
          </w:tcPr>
          <w:p>
            <w:pPr>
              <w:spacing w:after="0" w:line="20" w:lineRule="exact"/>
              <w:rPr>
                <w:sz w:val="1"/>
                <w:szCs w:val="1"/>
                <w:color w:val="auto"/>
              </w:rPr>
            </w:pPr>
          </w:p>
        </w:tc>
        <w:tc>
          <w:tcPr>
            <w:tcW w:w="1480" w:type="dxa"/>
            <w:vAlign w:val="bottom"/>
            <w:tcBorders>
              <w:bottom w:val="single" w:sz="8" w:color="929292"/>
            </w:tcBorders>
          </w:tcPr>
          <w:p>
            <w:pPr>
              <w:spacing w:after="0" w:line="20" w:lineRule="exact"/>
              <w:rPr>
                <w:sz w:val="1"/>
                <w:szCs w:val="1"/>
                <w:color w:val="auto"/>
              </w:rPr>
            </w:pPr>
          </w:p>
        </w:tc>
        <w:tc>
          <w:tcPr>
            <w:tcW w:w="1200" w:type="dxa"/>
            <w:vAlign w:val="bottom"/>
            <w:tcBorders>
              <w:bottom w:val="single" w:sz="8" w:color="929292"/>
            </w:tcBorders>
          </w:tcPr>
          <w:p>
            <w:pPr>
              <w:spacing w:after="0" w:line="20" w:lineRule="exact"/>
              <w:rPr>
                <w:sz w:val="1"/>
                <w:szCs w:val="1"/>
                <w:color w:val="auto"/>
              </w:rPr>
            </w:pPr>
          </w:p>
        </w:tc>
        <w:tc>
          <w:tcPr>
            <w:tcW w:w="1360" w:type="dxa"/>
            <w:vAlign w:val="bottom"/>
            <w:tcBorders>
              <w:bottom w:val="single" w:sz="8" w:color="929292"/>
            </w:tcBorders>
          </w:tcPr>
          <w:p>
            <w:pPr>
              <w:spacing w:after="0" w:line="20" w:lineRule="exact"/>
              <w:rPr>
                <w:sz w:val="1"/>
                <w:szCs w:val="1"/>
                <w:color w:val="auto"/>
              </w:rPr>
            </w:pPr>
          </w:p>
        </w:tc>
        <w:tc>
          <w:tcPr>
            <w:tcW w:w="1180" w:type="dxa"/>
            <w:vAlign w:val="bottom"/>
            <w:tcBorders>
              <w:bottom w:val="single" w:sz="8" w:color="929292"/>
            </w:tcBorders>
          </w:tcPr>
          <w:p>
            <w:pPr>
              <w:spacing w:after="0" w:line="20" w:lineRule="exact"/>
              <w:rPr>
                <w:sz w:val="1"/>
                <w:szCs w:val="1"/>
                <w:color w:val="auto"/>
              </w:rPr>
            </w:pPr>
          </w:p>
        </w:tc>
        <w:tc>
          <w:tcPr>
            <w:tcW w:w="280" w:type="dxa"/>
            <w:vAlign w:val="bottom"/>
            <w:tcBorders>
              <w:bottom w:val="single" w:sz="8" w:color="929292"/>
            </w:tcBorders>
          </w:tcPr>
          <w:p>
            <w:pPr>
              <w:spacing w:after="0" w:line="20" w:lineRule="exact"/>
              <w:rPr>
                <w:sz w:val="1"/>
                <w:szCs w:val="1"/>
                <w:color w:val="auto"/>
              </w:rPr>
            </w:pPr>
          </w:p>
        </w:tc>
        <w:tc>
          <w:tcPr>
            <w:tcW w:w="1080" w:type="dxa"/>
            <w:vAlign w:val="bottom"/>
            <w:tcBorders>
              <w:bottom w:val="single" w:sz="8" w:color="929292"/>
            </w:tcBorders>
          </w:tcPr>
          <w:p>
            <w:pPr>
              <w:spacing w:after="0" w:line="20" w:lineRule="exact"/>
              <w:rPr>
                <w:sz w:val="1"/>
                <w:szCs w:val="1"/>
                <w:color w:val="auto"/>
              </w:rPr>
            </w:pPr>
          </w:p>
        </w:tc>
        <w:tc>
          <w:tcPr>
            <w:tcW w:w="1040" w:type="dxa"/>
            <w:vAlign w:val="bottom"/>
            <w:tcBorders>
              <w:bottom w:val="single" w:sz="8" w:color="92929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1"/>
        </w:trPr>
        <w:tc>
          <w:tcPr>
            <w:tcW w:w="1080" w:type="dxa"/>
            <w:vAlign w:val="bottom"/>
            <w:gridSpan w:val="3"/>
          </w:tcPr>
          <w:p>
            <w:pPr>
              <w:ind w:left="280"/>
              <w:spacing w:after="0"/>
              <w:rPr>
                <w:sz w:val="20"/>
                <w:szCs w:val="20"/>
                <w:color w:val="auto"/>
              </w:rPr>
            </w:pPr>
            <w:r>
              <w:rPr>
                <w:rFonts w:ascii="Arial" w:cs="Arial" w:eastAsia="Arial" w:hAnsi="Arial"/>
                <w:sz w:val="14"/>
                <w:szCs w:val="14"/>
                <w:color w:val="auto"/>
              </w:rPr>
              <w:t>2021</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2,889,493</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1,563,343</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44,660</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4,497,496</w:t>
            </w:r>
          </w:p>
        </w:tc>
        <w:tc>
          <w:tcPr>
            <w:tcW w:w="60" w:type="dxa"/>
            <w:vAlign w:val="bottom"/>
          </w:tcPr>
          <w:p>
            <w:pPr>
              <w:spacing w:after="0"/>
              <w:rPr>
                <w:sz w:val="17"/>
                <w:szCs w:val="17"/>
                <w:color w:val="auto"/>
              </w:rPr>
            </w:pPr>
          </w:p>
        </w:tc>
      </w:tr>
      <w:tr>
        <w:trPr>
          <w:trHeight w:val="22"/>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929292"/>
            </w:tcBorders>
          </w:tcPr>
          <w:p>
            <w:pPr>
              <w:spacing w:after="0" w:line="20" w:lineRule="exact"/>
              <w:rPr>
                <w:sz w:val="1"/>
                <w:szCs w:val="1"/>
                <w:color w:val="auto"/>
              </w:rPr>
            </w:pPr>
          </w:p>
        </w:tc>
        <w:tc>
          <w:tcPr>
            <w:tcW w:w="1640" w:type="dxa"/>
            <w:vAlign w:val="bottom"/>
            <w:tcBorders>
              <w:bottom w:val="single" w:sz="8" w:color="929292"/>
            </w:tcBorders>
          </w:tcPr>
          <w:p>
            <w:pPr>
              <w:spacing w:after="0" w:line="20" w:lineRule="exact"/>
              <w:rPr>
                <w:sz w:val="1"/>
                <w:szCs w:val="1"/>
                <w:color w:val="auto"/>
              </w:rPr>
            </w:pPr>
          </w:p>
        </w:tc>
        <w:tc>
          <w:tcPr>
            <w:tcW w:w="1480" w:type="dxa"/>
            <w:vAlign w:val="bottom"/>
            <w:tcBorders>
              <w:bottom w:val="single" w:sz="8" w:color="929292"/>
            </w:tcBorders>
          </w:tcPr>
          <w:p>
            <w:pPr>
              <w:spacing w:after="0" w:line="20" w:lineRule="exact"/>
              <w:rPr>
                <w:sz w:val="1"/>
                <w:szCs w:val="1"/>
                <w:color w:val="auto"/>
              </w:rPr>
            </w:pPr>
          </w:p>
        </w:tc>
        <w:tc>
          <w:tcPr>
            <w:tcW w:w="1200" w:type="dxa"/>
            <w:vAlign w:val="bottom"/>
            <w:tcBorders>
              <w:bottom w:val="single" w:sz="8" w:color="929292"/>
            </w:tcBorders>
          </w:tcPr>
          <w:p>
            <w:pPr>
              <w:spacing w:after="0" w:line="20" w:lineRule="exact"/>
              <w:rPr>
                <w:sz w:val="1"/>
                <w:szCs w:val="1"/>
                <w:color w:val="auto"/>
              </w:rPr>
            </w:pPr>
          </w:p>
        </w:tc>
        <w:tc>
          <w:tcPr>
            <w:tcW w:w="1360" w:type="dxa"/>
            <w:vAlign w:val="bottom"/>
            <w:tcBorders>
              <w:bottom w:val="single" w:sz="8" w:color="929292"/>
            </w:tcBorders>
          </w:tcPr>
          <w:p>
            <w:pPr>
              <w:spacing w:after="0" w:line="20" w:lineRule="exact"/>
              <w:rPr>
                <w:sz w:val="1"/>
                <w:szCs w:val="1"/>
                <w:color w:val="auto"/>
              </w:rPr>
            </w:pPr>
          </w:p>
        </w:tc>
        <w:tc>
          <w:tcPr>
            <w:tcW w:w="1180" w:type="dxa"/>
            <w:vAlign w:val="bottom"/>
            <w:tcBorders>
              <w:bottom w:val="single" w:sz="8" w:color="929292"/>
            </w:tcBorders>
          </w:tcPr>
          <w:p>
            <w:pPr>
              <w:spacing w:after="0" w:line="20" w:lineRule="exact"/>
              <w:rPr>
                <w:sz w:val="1"/>
                <w:szCs w:val="1"/>
                <w:color w:val="auto"/>
              </w:rPr>
            </w:pPr>
          </w:p>
        </w:tc>
        <w:tc>
          <w:tcPr>
            <w:tcW w:w="280" w:type="dxa"/>
            <w:vAlign w:val="bottom"/>
            <w:tcBorders>
              <w:bottom w:val="single" w:sz="8" w:color="929292"/>
            </w:tcBorders>
          </w:tcPr>
          <w:p>
            <w:pPr>
              <w:spacing w:after="0" w:line="20" w:lineRule="exact"/>
              <w:rPr>
                <w:sz w:val="1"/>
                <w:szCs w:val="1"/>
                <w:color w:val="auto"/>
              </w:rPr>
            </w:pPr>
          </w:p>
        </w:tc>
        <w:tc>
          <w:tcPr>
            <w:tcW w:w="1080" w:type="dxa"/>
            <w:vAlign w:val="bottom"/>
            <w:tcBorders>
              <w:bottom w:val="single" w:sz="8" w:color="929292"/>
            </w:tcBorders>
          </w:tcPr>
          <w:p>
            <w:pPr>
              <w:spacing w:after="0" w:line="20" w:lineRule="exact"/>
              <w:rPr>
                <w:sz w:val="1"/>
                <w:szCs w:val="1"/>
                <w:color w:val="auto"/>
              </w:rPr>
            </w:pPr>
          </w:p>
        </w:tc>
        <w:tc>
          <w:tcPr>
            <w:tcW w:w="1040" w:type="dxa"/>
            <w:vAlign w:val="bottom"/>
            <w:tcBorders>
              <w:bottom w:val="single" w:sz="8" w:color="92929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1"/>
        </w:trPr>
        <w:tc>
          <w:tcPr>
            <w:tcW w:w="1080" w:type="dxa"/>
            <w:vAlign w:val="bottom"/>
            <w:gridSpan w:val="3"/>
          </w:tcPr>
          <w:p>
            <w:pPr>
              <w:ind w:left="280"/>
              <w:spacing w:after="0"/>
              <w:rPr>
                <w:sz w:val="20"/>
                <w:szCs w:val="20"/>
                <w:color w:val="auto"/>
              </w:rPr>
            </w:pPr>
            <w:r>
              <w:rPr>
                <w:rFonts w:ascii="Arial" w:cs="Arial" w:eastAsia="Arial" w:hAnsi="Arial"/>
                <w:sz w:val="14"/>
                <w:szCs w:val="14"/>
                <w:color w:val="auto"/>
              </w:rPr>
              <w:t>2020</w:t>
            </w: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2,132,461</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(998,587)</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110,543</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1,244,417</w:t>
            </w:r>
          </w:p>
        </w:tc>
        <w:tc>
          <w:tcPr>
            <w:tcW w:w="60" w:type="dxa"/>
            <w:vAlign w:val="bottom"/>
          </w:tcPr>
          <w:p>
            <w:pPr>
              <w:spacing w:after="0"/>
              <w:rPr>
                <w:sz w:val="17"/>
                <w:szCs w:val="17"/>
                <w:color w:val="auto"/>
              </w:rPr>
            </w:pPr>
          </w:p>
        </w:tc>
      </w:tr>
      <w:tr>
        <w:trPr>
          <w:trHeight w:val="22"/>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00" w:type="dxa"/>
            <w:vAlign w:val="bottom"/>
            <w:tcBorders>
              <w:bottom w:val="single" w:sz="8" w:color="808080"/>
            </w:tcBorders>
            <w:gridSpan w:val="5"/>
          </w:tcPr>
          <w:p>
            <w:pPr>
              <w:spacing w:after="0" w:line="20" w:lineRule="exact"/>
              <w:rPr>
                <w:sz w:val="1"/>
                <w:szCs w:val="1"/>
                <w:color w:val="auto"/>
              </w:rPr>
            </w:pPr>
          </w:p>
        </w:tc>
        <w:tc>
          <w:tcPr>
            <w:tcW w:w="1180" w:type="dxa"/>
            <w:vAlign w:val="bottom"/>
            <w:tcBorders>
              <w:bottom w:val="single" w:sz="8" w:color="808080"/>
            </w:tcBorders>
          </w:tcPr>
          <w:p>
            <w:pPr>
              <w:spacing w:after="0" w:line="20" w:lineRule="exact"/>
              <w:rPr>
                <w:sz w:val="1"/>
                <w:szCs w:val="1"/>
                <w:color w:val="auto"/>
              </w:rPr>
            </w:pPr>
          </w:p>
        </w:tc>
        <w:tc>
          <w:tcPr>
            <w:tcW w:w="280" w:type="dxa"/>
            <w:vAlign w:val="bottom"/>
            <w:tcBorders>
              <w:bottom w:val="single" w:sz="8" w:color="808080"/>
            </w:tcBorders>
          </w:tcPr>
          <w:p>
            <w:pPr>
              <w:spacing w:after="0" w:line="20" w:lineRule="exact"/>
              <w:rPr>
                <w:sz w:val="1"/>
                <w:szCs w:val="1"/>
                <w:color w:val="auto"/>
              </w:rPr>
            </w:pPr>
          </w:p>
        </w:tc>
        <w:tc>
          <w:tcPr>
            <w:tcW w:w="1080" w:type="dxa"/>
            <w:vAlign w:val="bottom"/>
            <w:tcBorders>
              <w:bottom w:val="single" w:sz="8" w:color="808080"/>
            </w:tcBorders>
          </w:tcPr>
          <w:p>
            <w:pPr>
              <w:spacing w:after="0" w:line="20" w:lineRule="exact"/>
              <w:rPr>
                <w:sz w:val="1"/>
                <w:szCs w:val="1"/>
                <w:color w:val="auto"/>
              </w:rPr>
            </w:pPr>
          </w:p>
        </w:tc>
        <w:tc>
          <w:tcPr>
            <w:tcW w:w="1040" w:type="dxa"/>
            <w:vAlign w:val="bottom"/>
            <w:tcBorders>
              <w:bottom w:val="single" w:sz="8" w:color="80808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7"/>
        </w:trPr>
        <w:tc>
          <w:tcPr>
            <w:tcW w:w="6760" w:type="dxa"/>
            <w:vAlign w:val="bottom"/>
            <w:gridSpan w:val="7"/>
          </w:tcPr>
          <w:p>
            <w:pPr>
              <w:jc w:val="right"/>
              <w:ind w:right="148"/>
              <w:spacing w:after="0"/>
              <w:rPr>
                <w:sz w:val="20"/>
                <w:szCs w:val="20"/>
                <w:color w:val="auto"/>
              </w:rPr>
            </w:pPr>
            <w:r>
              <w:rPr>
                <w:rFonts w:ascii="Arial" w:cs="Arial" w:eastAsia="Arial" w:hAnsi="Arial"/>
                <w:sz w:val="14"/>
                <w:szCs w:val="14"/>
                <w:color w:val="auto"/>
              </w:rPr>
              <w:t>(b) The amounts deducted or added in calculating the total pension benefit adjustments are as follows:</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6"/>
        </w:trPr>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170D67"/>
              </w:rPr>
              <w:t>Total Average</w:t>
            </w:r>
          </w:p>
        </w:tc>
      </w:tr>
      <w:tr>
        <w:trPr>
          <w:trHeight w:val="175"/>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b w:val="1"/>
                <w:bCs w:val="1"/>
                <w:color w:val="170D67"/>
              </w:rPr>
              <w:t>Average</w:t>
            </w:r>
          </w:p>
        </w:tc>
        <w:tc>
          <w:tcPr>
            <w:tcW w:w="21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170D67"/>
              </w:rPr>
              <w:t>Average Prior Pension Benefit</w:t>
            </w:r>
          </w:p>
        </w:tc>
      </w:tr>
      <w:tr>
        <w:trPr>
          <w:trHeight w:val="176"/>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170D67"/>
              </w:rPr>
              <w:t>Service Cost</w:t>
            </w: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170D67"/>
              </w:rPr>
              <w:t>Service Cost</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170D67"/>
              </w:rPr>
              <w:t>Adjustments</w:t>
            </w:r>
          </w:p>
        </w:tc>
      </w:tr>
      <w:tr>
        <w:trPr>
          <w:trHeight w:val="197"/>
        </w:trPr>
        <w:tc>
          <w:tcPr>
            <w:tcW w:w="240" w:type="dxa"/>
            <w:vAlign w:val="bottom"/>
          </w:tcPr>
          <w:p>
            <w:pPr>
              <w:spacing w:after="0"/>
              <w:rPr>
                <w:sz w:val="17"/>
                <w:szCs w:val="17"/>
                <w:color w:val="auto"/>
              </w:rPr>
            </w:pPr>
          </w:p>
        </w:tc>
        <w:tc>
          <w:tcPr>
            <w:tcW w:w="20" w:type="dxa"/>
            <w:vAlign w:val="bottom"/>
            <w:tcBorders>
              <w:bottom w:val="single" w:sz="8" w:color="170D67"/>
            </w:tcBorders>
          </w:tcPr>
          <w:p>
            <w:pPr>
              <w:spacing w:after="0"/>
              <w:rPr>
                <w:sz w:val="17"/>
                <w:szCs w:val="17"/>
                <w:color w:val="auto"/>
              </w:rPr>
            </w:pPr>
          </w:p>
        </w:tc>
        <w:tc>
          <w:tcPr>
            <w:tcW w:w="820" w:type="dxa"/>
            <w:vAlign w:val="bottom"/>
            <w:tcBorders>
              <w:bottom w:val="single" w:sz="8" w:color="170D67"/>
            </w:tcBorders>
          </w:tcPr>
          <w:p>
            <w:pPr>
              <w:spacing w:after="0"/>
              <w:rPr>
                <w:sz w:val="17"/>
                <w:szCs w:val="17"/>
                <w:color w:val="auto"/>
              </w:rPr>
            </w:pPr>
          </w:p>
        </w:tc>
        <w:tc>
          <w:tcPr>
            <w:tcW w:w="1640" w:type="dxa"/>
            <w:vAlign w:val="bottom"/>
            <w:tcBorders>
              <w:bottom w:val="single" w:sz="8" w:color="170D67"/>
            </w:tcBorders>
          </w:tcPr>
          <w:p>
            <w:pPr>
              <w:spacing w:after="0"/>
              <w:rPr>
                <w:sz w:val="17"/>
                <w:szCs w:val="17"/>
                <w:color w:val="auto"/>
              </w:rPr>
            </w:pPr>
          </w:p>
        </w:tc>
        <w:tc>
          <w:tcPr>
            <w:tcW w:w="1480" w:type="dxa"/>
            <w:vAlign w:val="bottom"/>
            <w:tcBorders>
              <w:bottom w:val="single" w:sz="8" w:color="170D67"/>
            </w:tcBorders>
          </w:tcPr>
          <w:p>
            <w:pPr>
              <w:spacing w:after="0"/>
              <w:rPr>
                <w:sz w:val="17"/>
                <w:szCs w:val="17"/>
                <w:color w:val="auto"/>
              </w:rPr>
            </w:pPr>
          </w:p>
        </w:tc>
        <w:tc>
          <w:tcPr>
            <w:tcW w:w="1200" w:type="dxa"/>
            <w:vAlign w:val="bottom"/>
            <w:tcBorders>
              <w:bottom w:val="single" w:sz="8" w:color="170D67"/>
            </w:tcBorders>
          </w:tcPr>
          <w:p>
            <w:pPr>
              <w:spacing w:after="0"/>
              <w:rPr>
                <w:sz w:val="17"/>
                <w:szCs w:val="17"/>
                <w:color w:val="auto"/>
              </w:rPr>
            </w:pPr>
          </w:p>
        </w:tc>
        <w:tc>
          <w:tcPr>
            <w:tcW w:w="1360" w:type="dxa"/>
            <w:vAlign w:val="bottom"/>
            <w:tcBorders>
              <w:bottom w:val="single" w:sz="8" w:color="170D67"/>
            </w:tcBorders>
          </w:tcPr>
          <w:p>
            <w:pPr>
              <w:spacing w:after="0"/>
              <w:rPr>
                <w:sz w:val="17"/>
                <w:szCs w:val="17"/>
                <w:color w:val="auto"/>
              </w:rPr>
            </w:pPr>
          </w:p>
        </w:tc>
        <w:tc>
          <w:tcPr>
            <w:tcW w:w="1180" w:type="dxa"/>
            <w:vAlign w:val="bottom"/>
            <w:tcBorders>
              <w:bottom w:val="single" w:sz="8" w:color="170D67"/>
            </w:tcBorders>
          </w:tcPr>
          <w:p>
            <w:pPr>
              <w:spacing w:after="0"/>
              <w:rPr>
                <w:sz w:val="17"/>
                <w:szCs w:val="17"/>
                <w:color w:val="auto"/>
              </w:rPr>
            </w:pPr>
          </w:p>
        </w:tc>
        <w:tc>
          <w:tcPr>
            <w:tcW w:w="280" w:type="dxa"/>
            <w:vAlign w:val="bottom"/>
            <w:tcBorders>
              <w:bottom w:val="single" w:sz="8" w:color="170D67"/>
            </w:tcBorders>
          </w:tcPr>
          <w:p>
            <w:pPr>
              <w:jc w:val="right"/>
              <w:spacing w:after="0"/>
              <w:rPr>
                <w:sz w:val="20"/>
                <w:szCs w:val="20"/>
                <w:color w:val="auto"/>
              </w:rPr>
            </w:pPr>
            <w:r>
              <w:rPr>
                <w:rFonts w:ascii="Arial" w:cs="Arial" w:eastAsia="Arial" w:hAnsi="Arial"/>
                <w:sz w:val="14"/>
                <w:szCs w:val="14"/>
                <w:b w:val="1"/>
                <w:bCs w:val="1"/>
                <w:color w:val="170D67"/>
              </w:rPr>
              <w:t>($)</w:t>
            </w:r>
          </w:p>
        </w:tc>
        <w:tc>
          <w:tcPr>
            <w:tcW w:w="1080" w:type="dxa"/>
            <w:vAlign w:val="bottom"/>
            <w:tcBorders>
              <w:bottom w:val="single" w:sz="8" w:color="170D67"/>
            </w:tcBorders>
          </w:tcPr>
          <w:p>
            <w:pPr>
              <w:jc w:val="right"/>
              <w:ind w:right="48"/>
              <w:spacing w:after="0"/>
              <w:rPr>
                <w:sz w:val="20"/>
                <w:szCs w:val="20"/>
                <w:color w:val="auto"/>
              </w:rPr>
            </w:pPr>
            <w:r>
              <w:rPr>
                <w:rFonts w:ascii="Arial" w:cs="Arial" w:eastAsia="Arial" w:hAnsi="Arial"/>
                <w:sz w:val="14"/>
                <w:szCs w:val="14"/>
                <w:b w:val="1"/>
                <w:bCs w:val="1"/>
                <w:color w:val="170D67"/>
              </w:rPr>
              <w:t>($)</w:t>
            </w:r>
          </w:p>
        </w:tc>
        <w:tc>
          <w:tcPr>
            <w:tcW w:w="1100" w:type="dxa"/>
            <w:vAlign w:val="bottom"/>
            <w:tcBorders>
              <w:bottom w:val="single" w:sz="8" w:color="170D67"/>
            </w:tcBorders>
            <w:gridSpan w:val="2"/>
          </w:tcPr>
          <w:p>
            <w:pPr>
              <w:jc w:val="right"/>
              <w:ind w:right="20"/>
              <w:spacing w:after="0"/>
              <w:rPr>
                <w:sz w:val="20"/>
                <w:szCs w:val="20"/>
                <w:color w:val="auto"/>
              </w:rPr>
            </w:pPr>
            <w:r>
              <w:rPr>
                <w:rFonts w:ascii="Arial" w:cs="Arial" w:eastAsia="Arial" w:hAnsi="Arial"/>
                <w:sz w:val="14"/>
                <w:szCs w:val="14"/>
                <w:b w:val="1"/>
                <w:bCs w:val="1"/>
                <w:color w:val="170D67"/>
              </w:rPr>
              <w:t>($)</w:t>
            </w:r>
          </w:p>
        </w:tc>
      </w:tr>
      <w:tr>
        <w:trPr>
          <w:trHeight w:val="203"/>
        </w:trPr>
        <w:tc>
          <w:tcPr>
            <w:tcW w:w="1080" w:type="dxa"/>
            <w:vAlign w:val="bottom"/>
            <w:gridSpan w:val="3"/>
          </w:tcPr>
          <w:p>
            <w:pPr>
              <w:ind w:left="260"/>
              <w:spacing w:after="0"/>
              <w:rPr>
                <w:sz w:val="20"/>
                <w:szCs w:val="20"/>
                <w:color w:val="auto"/>
              </w:rPr>
            </w:pPr>
            <w:r>
              <w:rPr>
                <w:rFonts w:ascii="Arial" w:cs="Arial" w:eastAsia="Arial" w:hAnsi="Arial"/>
                <w:sz w:val="14"/>
                <w:szCs w:val="14"/>
                <w:color w:val="auto"/>
              </w:rPr>
              <w:t>2024</w:t>
            </w:r>
          </w:p>
        </w:tc>
        <w:tc>
          <w:tcPr>
            <w:tcW w:w="1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33,724</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040" w:type="dxa"/>
            <w:vAlign w:val="bottom"/>
          </w:tcPr>
          <w:p>
            <w:pPr>
              <w:jc w:val="right"/>
              <w:spacing w:after="0"/>
              <w:rPr>
                <w:sz w:val="20"/>
                <w:szCs w:val="20"/>
                <w:color w:val="auto"/>
              </w:rPr>
            </w:pPr>
            <w:r>
              <w:rPr>
                <w:rFonts w:ascii="Arial" w:cs="Arial" w:eastAsia="Arial" w:hAnsi="Arial"/>
                <w:sz w:val="14"/>
                <w:szCs w:val="14"/>
                <w:color w:val="auto"/>
              </w:rPr>
              <w:t>33,724</w:t>
            </w:r>
          </w:p>
        </w:tc>
        <w:tc>
          <w:tcPr>
            <w:tcW w:w="60" w:type="dxa"/>
            <w:vAlign w:val="bottom"/>
          </w:tcPr>
          <w:p>
            <w:pPr>
              <w:spacing w:after="0"/>
              <w:rPr>
                <w:sz w:val="17"/>
                <w:szCs w:val="17"/>
                <w:color w:val="auto"/>
              </w:rPr>
            </w:pPr>
          </w:p>
        </w:tc>
      </w:tr>
      <w:tr>
        <w:trPr>
          <w:trHeight w:val="22"/>
        </w:trPr>
        <w:tc>
          <w:tcPr>
            <w:tcW w:w="240" w:type="dxa"/>
            <w:vAlign w:val="bottom"/>
          </w:tcPr>
          <w:p>
            <w:pPr>
              <w:spacing w:after="0" w:line="20" w:lineRule="exact"/>
              <w:rPr>
                <w:sz w:val="1"/>
                <w:szCs w:val="1"/>
                <w:color w:val="auto"/>
              </w:rPr>
            </w:pPr>
          </w:p>
        </w:tc>
        <w:tc>
          <w:tcPr>
            <w:tcW w:w="840" w:type="dxa"/>
            <w:vAlign w:val="bottom"/>
            <w:tcBorders>
              <w:bottom w:val="single" w:sz="8" w:color="929292"/>
            </w:tcBorders>
            <w:gridSpan w:val="2"/>
          </w:tcPr>
          <w:p>
            <w:pPr>
              <w:spacing w:after="0" w:line="20" w:lineRule="exact"/>
              <w:rPr>
                <w:sz w:val="1"/>
                <w:szCs w:val="1"/>
                <w:color w:val="auto"/>
              </w:rPr>
            </w:pPr>
          </w:p>
        </w:tc>
        <w:tc>
          <w:tcPr>
            <w:tcW w:w="1640" w:type="dxa"/>
            <w:vAlign w:val="bottom"/>
            <w:tcBorders>
              <w:bottom w:val="single" w:sz="8" w:color="929292"/>
            </w:tcBorders>
          </w:tcPr>
          <w:p>
            <w:pPr>
              <w:spacing w:after="0" w:line="20" w:lineRule="exact"/>
              <w:rPr>
                <w:sz w:val="1"/>
                <w:szCs w:val="1"/>
                <w:color w:val="auto"/>
              </w:rPr>
            </w:pPr>
          </w:p>
        </w:tc>
        <w:tc>
          <w:tcPr>
            <w:tcW w:w="1480" w:type="dxa"/>
            <w:vAlign w:val="bottom"/>
            <w:tcBorders>
              <w:bottom w:val="single" w:sz="8" w:color="929292"/>
            </w:tcBorders>
          </w:tcPr>
          <w:p>
            <w:pPr>
              <w:spacing w:after="0" w:line="20" w:lineRule="exact"/>
              <w:rPr>
                <w:sz w:val="1"/>
                <w:szCs w:val="1"/>
                <w:color w:val="auto"/>
              </w:rPr>
            </w:pPr>
          </w:p>
        </w:tc>
        <w:tc>
          <w:tcPr>
            <w:tcW w:w="1200" w:type="dxa"/>
            <w:vAlign w:val="bottom"/>
            <w:tcBorders>
              <w:bottom w:val="single" w:sz="8" w:color="929292"/>
            </w:tcBorders>
          </w:tcPr>
          <w:p>
            <w:pPr>
              <w:spacing w:after="0" w:line="20" w:lineRule="exact"/>
              <w:rPr>
                <w:sz w:val="1"/>
                <w:szCs w:val="1"/>
                <w:color w:val="auto"/>
              </w:rPr>
            </w:pPr>
          </w:p>
        </w:tc>
        <w:tc>
          <w:tcPr>
            <w:tcW w:w="1360" w:type="dxa"/>
            <w:vAlign w:val="bottom"/>
            <w:tcBorders>
              <w:bottom w:val="single" w:sz="8" w:color="929292"/>
            </w:tcBorders>
          </w:tcPr>
          <w:p>
            <w:pPr>
              <w:spacing w:after="0" w:line="20" w:lineRule="exact"/>
              <w:rPr>
                <w:sz w:val="1"/>
                <w:szCs w:val="1"/>
                <w:color w:val="auto"/>
              </w:rPr>
            </w:pPr>
          </w:p>
        </w:tc>
        <w:tc>
          <w:tcPr>
            <w:tcW w:w="1460" w:type="dxa"/>
            <w:vAlign w:val="bottom"/>
            <w:tcBorders>
              <w:bottom w:val="single" w:sz="8" w:color="929292"/>
            </w:tcBorders>
            <w:gridSpan w:val="2"/>
          </w:tcPr>
          <w:p>
            <w:pPr>
              <w:spacing w:after="0" w:line="20" w:lineRule="exact"/>
              <w:rPr>
                <w:sz w:val="1"/>
                <w:szCs w:val="1"/>
                <w:color w:val="auto"/>
              </w:rPr>
            </w:pPr>
          </w:p>
        </w:tc>
        <w:tc>
          <w:tcPr>
            <w:tcW w:w="1080" w:type="dxa"/>
            <w:vAlign w:val="bottom"/>
            <w:tcBorders>
              <w:bottom w:val="single" w:sz="8" w:color="929292"/>
            </w:tcBorders>
          </w:tcPr>
          <w:p>
            <w:pPr>
              <w:spacing w:after="0" w:line="20" w:lineRule="exact"/>
              <w:rPr>
                <w:sz w:val="1"/>
                <w:szCs w:val="1"/>
                <w:color w:val="auto"/>
              </w:rPr>
            </w:pPr>
          </w:p>
        </w:tc>
        <w:tc>
          <w:tcPr>
            <w:tcW w:w="1040" w:type="dxa"/>
            <w:vAlign w:val="bottom"/>
            <w:tcBorders>
              <w:bottom w:val="single" w:sz="8" w:color="929292"/>
            </w:tcBorders>
          </w:tcPr>
          <w:p>
            <w:pPr>
              <w:spacing w:after="0" w:line="20" w:lineRule="exact"/>
              <w:rPr>
                <w:sz w:val="1"/>
                <w:szCs w:val="1"/>
                <w:color w:val="auto"/>
              </w:rPr>
            </w:pPr>
          </w:p>
        </w:tc>
        <w:tc>
          <w:tcPr>
            <w:tcW w:w="60" w:type="dxa"/>
            <w:vAlign w:val="bottom"/>
            <w:tcBorders>
              <w:bottom w:val="single" w:sz="8" w:color="929292"/>
            </w:tcBorders>
          </w:tcPr>
          <w:p>
            <w:pPr>
              <w:spacing w:after="0" w:line="20" w:lineRule="exact"/>
              <w:rPr>
                <w:sz w:val="1"/>
                <w:szCs w:val="1"/>
                <w:color w:val="auto"/>
              </w:rPr>
            </w:pPr>
          </w:p>
        </w:tc>
      </w:tr>
      <w:tr>
        <w:trPr>
          <w:trHeight w:val="201"/>
        </w:trPr>
        <w:tc>
          <w:tcPr>
            <w:tcW w:w="1080" w:type="dxa"/>
            <w:vAlign w:val="bottom"/>
            <w:gridSpan w:val="3"/>
          </w:tcPr>
          <w:p>
            <w:pPr>
              <w:ind w:left="260"/>
              <w:spacing w:after="0"/>
              <w:rPr>
                <w:sz w:val="20"/>
                <w:szCs w:val="20"/>
                <w:color w:val="auto"/>
              </w:rPr>
            </w:pPr>
            <w:r>
              <w:rPr>
                <w:rFonts w:ascii="Arial" w:cs="Arial" w:eastAsia="Arial" w:hAnsi="Arial"/>
                <w:sz w:val="14"/>
                <w:szCs w:val="14"/>
                <w:color w:val="auto"/>
              </w:rPr>
              <w:t>2023</w:t>
            </w:r>
          </w:p>
        </w:tc>
        <w:tc>
          <w:tcPr>
            <w:tcW w:w="1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13,546</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040" w:type="dxa"/>
            <w:vAlign w:val="bottom"/>
          </w:tcPr>
          <w:p>
            <w:pPr>
              <w:jc w:val="right"/>
              <w:spacing w:after="0"/>
              <w:rPr>
                <w:sz w:val="20"/>
                <w:szCs w:val="20"/>
                <w:color w:val="auto"/>
              </w:rPr>
            </w:pPr>
            <w:r>
              <w:rPr>
                <w:rFonts w:ascii="Arial" w:cs="Arial" w:eastAsia="Arial" w:hAnsi="Arial"/>
                <w:sz w:val="14"/>
                <w:szCs w:val="14"/>
                <w:color w:val="auto"/>
              </w:rPr>
              <w:t>13,546</w:t>
            </w:r>
          </w:p>
        </w:tc>
        <w:tc>
          <w:tcPr>
            <w:tcW w:w="60" w:type="dxa"/>
            <w:vAlign w:val="bottom"/>
          </w:tcPr>
          <w:p>
            <w:pPr>
              <w:spacing w:after="0"/>
              <w:rPr>
                <w:sz w:val="17"/>
                <w:szCs w:val="17"/>
                <w:color w:val="auto"/>
              </w:rPr>
            </w:pPr>
          </w:p>
        </w:tc>
      </w:tr>
      <w:tr>
        <w:trPr>
          <w:trHeight w:val="22"/>
        </w:trPr>
        <w:tc>
          <w:tcPr>
            <w:tcW w:w="240" w:type="dxa"/>
            <w:vAlign w:val="bottom"/>
          </w:tcPr>
          <w:p>
            <w:pPr>
              <w:spacing w:after="0" w:line="20" w:lineRule="exact"/>
              <w:rPr>
                <w:sz w:val="1"/>
                <w:szCs w:val="1"/>
                <w:color w:val="auto"/>
              </w:rPr>
            </w:pPr>
          </w:p>
        </w:tc>
        <w:tc>
          <w:tcPr>
            <w:tcW w:w="840" w:type="dxa"/>
            <w:vAlign w:val="bottom"/>
            <w:tcBorders>
              <w:bottom w:val="single" w:sz="8" w:color="929292"/>
            </w:tcBorders>
            <w:gridSpan w:val="2"/>
          </w:tcPr>
          <w:p>
            <w:pPr>
              <w:spacing w:after="0" w:line="20" w:lineRule="exact"/>
              <w:rPr>
                <w:sz w:val="1"/>
                <w:szCs w:val="1"/>
                <w:color w:val="auto"/>
              </w:rPr>
            </w:pPr>
          </w:p>
        </w:tc>
        <w:tc>
          <w:tcPr>
            <w:tcW w:w="1640" w:type="dxa"/>
            <w:vAlign w:val="bottom"/>
            <w:tcBorders>
              <w:bottom w:val="single" w:sz="8" w:color="929292"/>
            </w:tcBorders>
          </w:tcPr>
          <w:p>
            <w:pPr>
              <w:spacing w:after="0" w:line="20" w:lineRule="exact"/>
              <w:rPr>
                <w:sz w:val="1"/>
                <w:szCs w:val="1"/>
                <w:color w:val="auto"/>
              </w:rPr>
            </w:pPr>
          </w:p>
        </w:tc>
        <w:tc>
          <w:tcPr>
            <w:tcW w:w="1480" w:type="dxa"/>
            <w:vAlign w:val="bottom"/>
            <w:tcBorders>
              <w:bottom w:val="single" w:sz="8" w:color="929292"/>
            </w:tcBorders>
          </w:tcPr>
          <w:p>
            <w:pPr>
              <w:spacing w:after="0" w:line="20" w:lineRule="exact"/>
              <w:rPr>
                <w:sz w:val="1"/>
                <w:szCs w:val="1"/>
                <w:color w:val="auto"/>
              </w:rPr>
            </w:pPr>
          </w:p>
        </w:tc>
        <w:tc>
          <w:tcPr>
            <w:tcW w:w="1200" w:type="dxa"/>
            <w:vAlign w:val="bottom"/>
            <w:tcBorders>
              <w:bottom w:val="single" w:sz="8" w:color="929292"/>
            </w:tcBorders>
          </w:tcPr>
          <w:p>
            <w:pPr>
              <w:spacing w:after="0" w:line="20" w:lineRule="exact"/>
              <w:rPr>
                <w:sz w:val="1"/>
                <w:szCs w:val="1"/>
                <w:color w:val="auto"/>
              </w:rPr>
            </w:pPr>
          </w:p>
        </w:tc>
        <w:tc>
          <w:tcPr>
            <w:tcW w:w="1360" w:type="dxa"/>
            <w:vAlign w:val="bottom"/>
            <w:tcBorders>
              <w:bottom w:val="single" w:sz="8" w:color="929292"/>
            </w:tcBorders>
          </w:tcPr>
          <w:p>
            <w:pPr>
              <w:spacing w:after="0" w:line="20" w:lineRule="exact"/>
              <w:rPr>
                <w:sz w:val="1"/>
                <w:szCs w:val="1"/>
                <w:color w:val="auto"/>
              </w:rPr>
            </w:pPr>
          </w:p>
        </w:tc>
        <w:tc>
          <w:tcPr>
            <w:tcW w:w="1460" w:type="dxa"/>
            <w:vAlign w:val="bottom"/>
            <w:tcBorders>
              <w:bottom w:val="single" w:sz="8" w:color="929292"/>
            </w:tcBorders>
            <w:gridSpan w:val="2"/>
          </w:tcPr>
          <w:p>
            <w:pPr>
              <w:spacing w:after="0" w:line="20" w:lineRule="exact"/>
              <w:rPr>
                <w:sz w:val="1"/>
                <w:szCs w:val="1"/>
                <w:color w:val="auto"/>
              </w:rPr>
            </w:pPr>
          </w:p>
        </w:tc>
        <w:tc>
          <w:tcPr>
            <w:tcW w:w="1080" w:type="dxa"/>
            <w:vAlign w:val="bottom"/>
            <w:tcBorders>
              <w:bottom w:val="single" w:sz="8" w:color="929292"/>
            </w:tcBorders>
          </w:tcPr>
          <w:p>
            <w:pPr>
              <w:spacing w:after="0" w:line="20" w:lineRule="exact"/>
              <w:rPr>
                <w:sz w:val="1"/>
                <w:szCs w:val="1"/>
                <w:color w:val="auto"/>
              </w:rPr>
            </w:pPr>
          </w:p>
        </w:tc>
        <w:tc>
          <w:tcPr>
            <w:tcW w:w="1040" w:type="dxa"/>
            <w:vAlign w:val="bottom"/>
            <w:tcBorders>
              <w:bottom w:val="single" w:sz="8" w:color="929292"/>
            </w:tcBorders>
          </w:tcPr>
          <w:p>
            <w:pPr>
              <w:spacing w:after="0" w:line="20" w:lineRule="exact"/>
              <w:rPr>
                <w:sz w:val="1"/>
                <w:szCs w:val="1"/>
                <w:color w:val="auto"/>
              </w:rPr>
            </w:pPr>
          </w:p>
        </w:tc>
        <w:tc>
          <w:tcPr>
            <w:tcW w:w="60" w:type="dxa"/>
            <w:vAlign w:val="bottom"/>
            <w:tcBorders>
              <w:bottom w:val="single" w:sz="8" w:color="929292"/>
            </w:tcBorders>
          </w:tcPr>
          <w:p>
            <w:pPr>
              <w:spacing w:after="0" w:line="20" w:lineRule="exact"/>
              <w:rPr>
                <w:sz w:val="1"/>
                <w:szCs w:val="1"/>
                <w:color w:val="auto"/>
              </w:rPr>
            </w:pPr>
          </w:p>
        </w:tc>
      </w:tr>
      <w:tr>
        <w:trPr>
          <w:trHeight w:val="202"/>
        </w:trPr>
        <w:tc>
          <w:tcPr>
            <w:tcW w:w="1080" w:type="dxa"/>
            <w:vAlign w:val="bottom"/>
            <w:gridSpan w:val="3"/>
          </w:tcPr>
          <w:p>
            <w:pPr>
              <w:ind w:left="260"/>
              <w:spacing w:after="0"/>
              <w:rPr>
                <w:sz w:val="20"/>
                <w:szCs w:val="20"/>
                <w:color w:val="auto"/>
              </w:rPr>
            </w:pPr>
            <w:r>
              <w:rPr>
                <w:rFonts w:ascii="Arial" w:cs="Arial" w:eastAsia="Arial" w:hAnsi="Arial"/>
                <w:sz w:val="14"/>
                <w:szCs w:val="14"/>
                <w:color w:val="auto"/>
              </w:rPr>
              <w:t>2022</w:t>
            </w:r>
          </w:p>
        </w:tc>
        <w:tc>
          <w:tcPr>
            <w:tcW w:w="1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37,024</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040" w:type="dxa"/>
            <w:vAlign w:val="bottom"/>
          </w:tcPr>
          <w:p>
            <w:pPr>
              <w:jc w:val="right"/>
              <w:spacing w:after="0"/>
              <w:rPr>
                <w:sz w:val="20"/>
                <w:szCs w:val="20"/>
                <w:color w:val="auto"/>
              </w:rPr>
            </w:pPr>
            <w:r>
              <w:rPr>
                <w:rFonts w:ascii="Arial" w:cs="Arial" w:eastAsia="Arial" w:hAnsi="Arial"/>
                <w:sz w:val="14"/>
                <w:szCs w:val="14"/>
                <w:color w:val="auto"/>
              </w:rPr>
              <w:t>37,024</w:t>
            </w:r>
          </w:p>
        </w:tc>
        <w:tc>
          <w:tcPr>
            <w:tcW w:w="60" w:type="dxa"/>
            <w:vAlign w:val="bottom"/>
          </w:tcPr>
          <w:p>
            <w:pPr>
              <w:spacing w:after="0"/>
              <w:rPr>
                <w:sz w:val="17"/>
                <w:szCs w:val="17"/>
                <w:color w:val="auto"/>
              </w:rPr>
            </w:pPr>
          </w:p>
        </w:tc>
      </w:tr>
      <w:tr>
        <w:trPr>
          <w:trHeight w:val="22"/>
        </w:trPr>
        <w:tc>
          <w:tcPr>
            <w:tcW w:w="240" w:type="dxa"/>
            <w:vAlign w:val="bottom"/>
          </w:tcPr>
          <w:p>
            <w:pPr>
              <w:spacing w:after="0" w:line="20" w:lineRule="exact"/>
              <w:rPr>
                <w:sz w:val="1"/>
                <w:szCs w:val="1"/>
                <w:color w:val="auto"/>
              </w:rPr>
            </w:pPr>
          </w:p>
        </w:tc>
        <w:tc>
          <w:tcPr>
            <w:tcW w:w="840" w:type="dxa"/>
            <w:vAlign w:val="bottom"/>
            <w:tcBorders>
              <w:bottom w:val="single" w:sz="8" w:color="929292"/>
            </w:tcBorders>
            <w:gridSpan w:val="2"/>
          </w:tcPr>
          <w:p>
            <w:pPr>
              <w:spacing w:after="0" w:line="20" w:lineRule="exact"/>
              <w:rPr>
                <w:sz w:val="1"/>
                <w:szCs w:val="1"/>
                <w:color w:val="auto"/>
              </w:rPr>
            </w:pPr>
          </w:p>
        </w:tc>
        <w:tc>
          <w:tcPr>
            <w:tcW w:w="1640" w:type="dxa"/>
            <w:vAlign w:val="bottom"/>
            <w:tcBorders>
              <w:bottom w:val="single" w:sz="8" w:color="929292"/>
            </w:tcBorders>
          </w:tcPr>
          <w:p>
            <w:pPr>
              <w:spacing w:after="0" w:line="20" w:lineRule="exact"/>
              <w:rPr>
                <w:sz w:val="1"/>
                <w:szCs w:val="1"/>
                <w:color w:val="auto"/>
              </w:rPr>
            </w:pPr>
          </w:p>
        </w:tc>
        <w:tc>
          <w:tcPr>
            <w:tcW w:w="1480" w:type="dxa"/>
            <w:vAlign w:val="bottom"/>
            <w:tcBorders>
              <w:bottom w:val="single" w:sz="8" w:color="929292"/>
            </w:tcBorders>
          </w:tcPr>
          <w:p>
            <w:pPr>
              <w:spacing w:after="0" w:line="20" w:lineRule="exact"/>
              <w:rPr>
                <w:sz w:val="1"/>
                <w:szCs w:val="1"/>
                <w:color w:val="auto"/>
              </w:rPr>
            </w:pPr>
          </w:p>
        </w:tc>
        <w:tc>
          <w:tcPr>
            <w:tcW w:w="1200" w:type="dxa"/>
            <w:vAlign w:val="bottom"/>
            <w:tcBorders>
              <w:bottom w:val="single" w:sz="8" w:color="929292"/>
            </w:tcBorders>
          </w:tcPr>
          <w:p>
            <w:pPr>
              <w:spacing w:after="0" w:line="20" w:lineRule="exact"/>
              <w:rPr>
                <w:sz w:val="1"/>
                <w:szCs w:val="1"/>
                <w:color w:val="auto"/>
              </w:rPr>
            </w:pPr>
          </w:p>
        </w:tc>
        <w:tc>
          <w:tcPr>
            <w:tcW w:w="1360" w:type="dxa"/>
            <w:vAlign w:val="bottom"/>
            <w:tcBorders>
              <w:bottom w:val="single" w:sz="8" w:color="929292"/>
            </w:tcBorders>
          </w:tcPr>
          <w:p>
            <w:pPr>
              <w:spacing w:after="0" w:line="20" w:lineRule="exact"/>
              <w:rPr>
                <w:sz w:val="1"/>
                <w:szCs w:val="1"/>
                <w:color w:val="auto"/>
              </w:rPr>
            </w:pPr>
          </w:p>
        </w:tc>
        <w:tc>
          <w:tcPr>
            <w:tcW w:w="1460" w:type="dxa"/>
            <w:vAlign w:val="bottom"/>
            <w:tcBorders>
              <w:bottom w:val="single" w:sz="8" w:color="929292"/>
            </w:tcBorders>
            <w:gridSpan w:val="2"/>
          </w:tcPr>
          <w:p>
            <w:pPr>
              <w:spacing w:after="0" w:line="20" w:lineRule="exact"/>
              <w:rPr>
                <w:sz w:val="1"/>
                <w:szCs w:val="1"/>
                <w:color w:val="auto"/>
              </w:rPr>
            </w:pPr>
          </w:p>
        </w:tc>
        <w:tc>
          <w:tcPr>
            <w:tcW w:w="1080" w:type="dxa"/>
            <w:vAlign w:val="bottom"/>
            <w:tcBorders>
              <w:bottom w:val="single" w:sz="8" w:color="929292"/>
            </w:tcBorders>
          </w:tcPr>
          <w:p>
            <w:pPr>
              <w:spacing w:after="0" w:line="20" w:lineRule="exact"/>
              <w:rPr>
                <w:sz w:val="1"/>
                <w:szCs w:val="1"/>
                <w:color w:val="auto"/>
              </w:rPr>
            </w:pPr>
          </w:p>
        </w:tc>
        <w:tc>
          <w:tcPr>
            <w:tcW w:w="1040" w:type="dxa"/>
            <w:vAlign w:val="bottom"/>
            <w:tcBorders>
              <w:bottom w:val="single" w:sz="8" w:color="929292"/>
            </w:tcBorders>
          </w:tcPr>
          <w:p>
            <w:pPr>
              <w:spacing w:after="0" w:line="20" w:lineRule="exact"/>
              <w:rPr>
                <w:sz w:val="1"/>
                <w:szCs w:val="1"/>
                <w:color w:val="auto"/>
              </w:rPr>
            </w:pPr>
          </w:p>
        </w:tc>
        <w:tc>
          <w:tcPr>
            <w:tcW w:w="60" w:type="dxa"/>
            <w:vAlign w:val="bottom"/>
            <w:tcBorders>
              <w:bottom w:val="single" w:sz="8" w:color="929292"/>
            </w:tcBorders>
          </w:tcPr>
          <w:p>
            <w:pPr>
              <w:spacing w:after="0" w:line="20" w:lineRule="exact"/>
              <w:rPr>
                <w:sz w:val="1"/>
                <w:szCs w:val="1"/>
                <w:color w:val="auto"/>
              </w:rPr>
            </w:pPr>
          </w:p>
        </w:tc>
      </w:tr>
      <w:tr>
        <w:trPr>
          <w:trHeight w:val="201"/>
        </w:trPr>
        <w:tc>
          <w:tcPr>
            <w:tcW w:w="1080" w:type="dxa"/>
            <w:vAlign w:val="bottom"/>
            <w:gridSpan w:val="3"/>
          </w:tcPr>
          <w:p>
            <w:pPr>
              <w:ind w:left="260"/>
              <w:spacing w:after="0"/>
              <w:rPr>
                <w:sz w:val="20"/>
                <w:szCs w:val="20"/>
                <w:color w:val="auto"/>
              </w:rPr>
            </w:pPr>
            <w:r>
              <w:rPr>
                <w:rFonts w:ascii="Arial" w:cs="Arial" w:eastAsia="Arial" w:hAnsi="Arial"/>
                <w:sz w:val="14"/>
                <w:szCs w:val="14"/>
                <w:color w:val="auto"/>
              </w:rPr>
              <w:t>2021</w:t>
            </w:r>
          </w:p>
        </w:tc>
        <w:tc>
          <w:tcPr>
            <w:tcW w:w="1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139,643</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040" w:type="dxa"/>
            <w:vAlign w:val="bottom"/>
          </w:tcPr>
          <w:p>
            <w:pPr>
              <w:jc w:val="right"/>
              <w:spacing w:after="0"/>
              <w:rPr>
                <w:sz w:val="20"/>
                <w:szCs w:val="20"/>
                <w:color w:val="auto"/>
              </w:rPr>
            </w:pPr>
            <w:r>
              <w:rPr>
                <w:rFonts w:ascii="Arial" w:cs="Arial" w:eastAsia="Arial" w:hAnsi="Arial"/>
                <w:sz w:val="14"/>
                <w:szCs w:val="14"/>
                <w:color w:val="auto"/>
              </w:rPr>
              <w:t>139,643</w:t>
            </w:r>
          </w:p>
        </w:tc>
        <w:tc>
          <w:tcPr>
            <w:tcW w:w="60" w:type="dxa"/>
            <w:vAlign w:val="bottom"/>
          </w:tcPr>
          <w:p>
            <w:pPr>
              <w:spacing w:after="0"/>
              <w:rPr>
                <w:sz w:val="17"/>
                <w:szCs w:val="17"/>
                <w:color w:val="auto"/>
              </w:rPr>
            </w:pPr>
          </w:p>
        </w:tc>
      </w:tr>
      <w:tr>
        <w:trPr>
          <w:trHeight w:val="22"/>
        </w:trPr>
        <w:tc>
          <w:tcPr>
            <w:tcW w:w="240" w:type="dxa"/>
            <w:vAlign w:val="bottom"/>
          </w:tcPr>
          <w:p>
            <w:pPr>
              <w:spacing w:after="0" w:line="20" w:lineRule="exact"/>
              <w:rPr>
                <w:sz w:val="1"/>
                <w:szCs w:val="1"/>
                <w:color w:val="auto"/>
              </w:rPr>
            </w:pPr>
          </w:p>
        </w:tc>
        <w:tc>
          <w:tcPr>
            <w:tcW w:w="840" w:type="dxa"/>
            <w:vAlign w:val="bottom"/>
            <w:tcBorders>
              <w:bottom w:val="single" w:sz="8" w:color="808080"/>
            </w:tcBorders>
            <w:gridSpan w:val="2"/>
          </w:tcPr>
          <w:p>
            <w:pPr>
              <w:spacing w:after="0" w:line="20" w:lineRule="exact"/>
              <w:rPr>
                <w:sz w:val="1"/>
                <w:szCs w:val="1"/>
                <w:color w:val="auto"/>
              </w:rPr>
            </w:pPr>
          </w:p>
        </w:tc>
        <w:tc>
          <w:tcPr>
            <w:tcW w:w="1640" w:type="dxa"/>
            <w:vAlign w:val="bottom"/>
            <w:tcBorders>
              <w:bottom w:val="single" w:sz="8" w:color="808080"/>
            </w:tcBorders>
          </w:tcPr>
          <w:p>
            <w:pPr>
              <w:spacing w:after="0" w:line="20" w:lineRule="exact"/>
              <w:rPr>
                <w:sz w:val="1"/>
                <w:szCs w:val="1"/>
                <w:color w:val="auto"/>
              </w:rPr>
            </w:pPr>
          </w:p>
        </w:tc>
        <w:tc>
          <w:tcPr>
            <w:tcW w:w="1480" w:type="dxa"/>
            <w:vAlign w:val="bottom"/>
            <w:tcBorders>
              <w:bottom w:val="single" w:sz="8" w:color="808080"/>
            </w:tcBorders>
          </w:tcPr>
          <w:p>
            <w:pPr>
              <w:spacing w:after="0" w:line="20" w:lineRule="exact"/>
              <w:rPr>
                <w:sz w:val="1"/>
                <w:szCs w:val="1"/>
                <w:color w:val="auto"/>
              </w:rPr>
            </w:pPr>
          </w:p>
        </w:tc>
        <w:tc>
          <w:tcPr>
            <w:tcW w:w="1200" w:type="dxa"/>
            <w:vAlign w:val="bottom"/>
            <w:tcBorders>
              <w:bottom w:val="single" w:sz="8" w:color="808080"/>
            </w:tcBorders>
          </w:tcPr>
          <w:p>
            <w:pPr>
              <w:spacing w:after="0" w:line="20" w:lineRule="exact"/>
              <w:rPr>
                <w:sz w:val="1"/>
                <w:szCs w:val="1"/>
                <w:color w:val="auto"/>
              </w:rPr>
            </w:pPr>
          </w:p>
        </w:tc>
        <w:tc>
          <w:tcPr>
            <w:tcW w:w="1360" w:type="dxa"/>
            <w:vAlign w:val="bottom"/>
            <w:tcBorders>
              <w:bottom w:val="single" w:sz="8" w:color="808080"/>
            </w:tcBorders>
          </w:tcPr>
          <w:p>
            <w:pPr>
              <w:spacing w:after="0" w:line="20" w:lineRule="exact"/>
              <w:rPr>
                <w:sz w:val="1"/>
                <w:szCs w:val="1"/>
                <w:color w:val="auto"/>
              </w:rPr>
            </w:pPr>
          </w:p>
        </w:tc>
        <w:tc>
          <w:tcPr>
            <w:tcW w:w="1460" w:type="dxa"/>
            <w:vAlign w:val="bottom"/>
            <w:tcBorders>
              <w:bottom w:val="single" w:sz="8" w:color="808080"/>
            </w:tcBorders>
            <w:gridSpan w:val="2"/>
          </w:tcPr>
          <w:p>
            <w:pPr>
              <w:spacing w:after="0" w:line="20" w:lineRule="exact"/>
              <w:rPr>
                <w:sz w:val="1"/>
                <w:szCs w:val="1"/>
                <w:color w:val="auto"/>
              </w:rPr>
            </w:pPr>
          </w:p>
        </w:tc>
        <w:tc>
          <w:tcPr>
            <w:tcW w:w="1080" w:type="dxa"/>
            <w:vAlign w:val="bottom"/>
            <w:tcBorders>
              <w:bottom w:val="single" w:sz="8" w:color="808080"/>
            </w:tcBorders>
          </w:tcPr>
          <w:p>
            <w:pPr>
              <w:spacing w:after="0" w:line="20" w:lineRule="exact"/>
              <w:rPr>
                <w:sz w:val="1"/>
                <w:szCs w:val="1"/>
                <w:color w:val="auto"/>
              </w:rPr>
            </w:pPr>
          </w:p>
        </w:tc>
        <w:tc>
          <w:tcPr>
            <w:tcW w:w="104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r>
      <w:tr>
        <w:trPr>
          <w:trHeight w:val="201"/>
        </w:trPr>
        <w:tc>
          <w:tcPr>
            <w:tcW w:w="1080" w:type="dxa"/>
            <w:vAlign w:val="bottom"/>
            <w:gridSpan w:val="3"/>
          </w:tcPr>
          <w:p>
            <w:pPr>
              <w:ind w:left="260"/>
              <w:spacing w:after="0"/>
              <w:rPr>
                <w:sz w:val="20"/>
                <w:szCs w:val="20"/>
                <w:color w:val="auto"/>
              </w:rPr>
            </w:pPr>
            <w:r>
              <w:rPr>
                <w:rFonts w:ascii="Arial" w:cs="Arial" w:eastAsia="Arial" w:hAnsi="Arial"/>
                <w:sz w:val="14"/>
                <w:szCs w:val="14"/>
                <w:color w:val="auto"/>
              </w:rPr>
              <w:t>2020</w:t>
            </w:r>
          </w:p>
        </w:tc>
        <w:tc>
          <w:tcPr>
            <w:tcW w:w="1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130,458</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040" w:type="dxa"/>
            <w:vAlign w:val="bottom"/>
          </w:tcPr>
          <w:p>
            <w:pPr>
              <w:jc w:val="right"/>
              <w:spacing w:after="0"/>
              <w:rPr>
                <w:sz w:val="20"/>
                <w:szCs w:val="20"/>
                <w:color w:val="auto"/>
              </w:rPr>
            </w:pPr>
            <w:r>
              <w:rPr>
                <w:rFonts w:ascii="Arial" w:cs="Arial" w:eastAsia="Arial" w:hAnsi="Arial"/>
                <w:sz w:val="14"/>
                <w:szCs w:val="14"/>
                <w:color w:val="auto"/>
              </w:rPr>
              <w:t>130,458</w:t>
            </w:r>
          </w:p>
        </w:tc>
        <w:tc>
          <w:tcPr>
            <w:tcW w:w="60" w:type="dxa"/>
            <w:vAlign w:val="bottom"/>
          </w:tcPr>
          <w:p>
            <w:pPr>
              <w:spacing w:after="0"/>
              <w:rPr>
                <w:sz w:val="17"/>
                <w:szCs w:val="17"/>
                <w:color w:val="auto"/>
              </w:rPr>
            </w:pPr>
          </w:p>
        </w:tc>
      </w:tr>
      <w:tr>
        <w:trPr>
          <w:trHeight w:val="22"/>
        </w:trPr>
        <w:tc>
          <w:tcPr>
            <w:tcW w:w="240" w:type="dxa"/>
            <w:vAlign w:val="bottom"/>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820" w:type="dxa"/>
            <w:vAlign w:val="bottom"/>
            <w:tcBorders>
              <w:bottom w:val="single" w:sz="8" w:color="999999"/>
            </w:tcBorders>
          </w:tcPr>
          <w:p>
            <w:pPr>
              <w:spacing w:after="0" w:line="20" w:lineRule="exact"/>
              <w:rPr>
                <w:sz w:val="1"/>
                <w:szCs w:val="1"/>
                <w:color w:val="auto"/>
              </w:rPr>
            </w:pPr>
          </w:p>
        </w:tc>
        <w:tc>
          <w:tcPr>
            <w:tcW w:w="1640" w:type="dxa"/>
            <w:vAlign w:val="bottom"/>
            <w:tcBorders>
              <w:bottom w:val="single" w:sz="8" w:color="999999"/>
            </w:tcBorders>
          </w:tcPr>
          <w:p>
            <w:pPr>
              <w:spacing w:after="0" w:line="20" w:lineRule="exact"/>
              <w:rPr>
                <w:sz w:val="1"/>
                <w:szCs w:val="1"/>
                <w:color w:val="auto"/>
              </w:rPr>
            </w:pPr>
          </w:p>
        </w:tc>
        <w:tc>
          <w:tcPr>
            <w:tcW w:w="1480" w:type="dxa"/>
            <w:vAlign w:val="bottom"/>
            <w:tcBorders>
              <w:bottom w:val="single" w:sz="8" w:color="999999"/>
            </w:tcBorders>
          </w:tcPr>
          <w:p>
            <w:pPr>
              <w:spacing w:after="0" w:line="20" w:lineRule="exact"/>
              <w:rPr>
                <w:sz w:val="1"/>
                <w:szCs w:val="1"/>
                <w:color w:val="auto"/>
              </w:rPr>
            </w:pPr>
          </w:p>
        </w:tc>
        <w:tc>
          <w:tcPr>
            <w:tcW w:w="1200" w:type="dxa"/>
            <w:vAlign w:val="bottom"/>
            <w:tcBorders>
              <w:bottom w:val="single" w:sz="8" w:color="999999"/>
            </w:tcBorders>
          </w:tcPr>
          <w:p>
            <w:pPr>
              <w:spacing w:after="0" w:line="20" w:lineRule="exact"/>
              <w:rPr>
                <w:sz w:val="1"/>
                <w:szCs w:val="1"/>
                <w:color w:val="auto"/>
              </w:rPr>
            </w:pPr>
          </w:p>
        </w:tc>
        <w:tc>
          <w:tcPr>
            <w:tcW w:w="1360" w:type="dxa"/>
            <w:vAlign w:val="bottom"/>
            <w:tcBorders>
              <w:bottom w:val="single" w:sz="8" w:color="999999"/>
            </w:tcBorders>
          </w:tcPr>
          <w:p>
            <w:pPr>
              <w:spacing w:after="0" w:line="20" w:lineRule="exact"/>
              <w:rPr>
                <w:sz w:val="1"/>
                <w:szCs w:val="1"/>
                <w:color w:val="auto"/>
              </w:rPr>
            </w:pPr>
          </w:p>
        </w:tc>
        <w:tc>
          <w:tcPr>
            <w:tcW w:w="1180" w:type="dxa"/>
            <w:vAlign w:val="bottom"/>
            <w:tcBorders>
              <w:bottom w:val="single" w:sz="8" w:color="999999"/>
            </w:tcBorders>
          </w:tcPr>
          <w:p>
            <w:pPr>
              <w:spacing w:after="0" w:line="20" w:lineRule="exact"/>
              <w:rPr>
                <w:sz w:val="1"/>
                <w:szCs w:val="1"/>
                <w:color w:val="auto"/>
              </w:rPr>
            </w:pPr>
          </w:p>
        </w:tc>
        <w:tc>
          <w:tcPr>
            <w:tcW w:w="280" w:type="dxa"/>
            <w:vAlign w:val="bottom"/>
            <w:tcBorders>
              <w:bottom w:val="single" w:sz="8" w:color="999999"/>
            </w:tcBorders>
          </w:tcPr>
          <w:p>
            <w:pPr>
              <w:spacing w:after="0" w:line="20" w:lineRule="exact"/>
              <w:rPr>
                <w:sz w:val="1"/>
                <w:szCs w:val="1"/>
                <w:color w:val="auto"/>
              </w:rPr>
            </w:pPr>
          </w:p>
        </w:tc>
        <w:tc>
          <w:tcPr>
            <w:tcW w:w="1080" w:type="dxa"/>
            <w:vAlign w:val="bottom"/>
            <w:tcBorders>
              <w:bottom w:val="single" w:sz="8" w:color="999999"/>
            </w:tcBorders>
          </w:tcPr>
          <w:p>
            <w:pPr>
              <w:spacing w:after="0" w:line="20" w:lineRule="exact"/>
              <w:rPr>
                <w:sz w:val="1"/>
                <w:szCs w:val="1"/>
                <w:color w:val="auto"/>
              </w:rPr>
            </w:pPr>
          </w:p>
        </w:tc>
        <w:tc>
          <w:tcPr>
            <w:tcW w:w="104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r>
    </w:tbl>
    <w:p>
      <w:pPr>
        <w:spacing w:after="0" w:line="193" w:lineRule="exact"/>
        <w:rPr>
          <w:sz w:val="20"/>
          <w:szCs w:val="20"/>
          <w:color w:val="auto"/>
        </w:rPr>
      </w:pPr>
    </w:p>
    <w:p>
      <w:pPr>
        <w:ind w:left="260" w:hanging="252"/>
        <w:spacing w:after="0" w:line="296" w:lineRule="auto"/>
        <w:tabs>
          <w:tab w:leader="none" w:pos="249" w:val="left"/>
        </w:tabs>
        <w:numPr>
          <w:ilvl w:val="0"/>
          <w:numId w:val="152"/>
        </w:numPr>
        <w:rPr>
          <w:rFonts w:ascii="Arial" w:cs="Arial" w:eastAsia="Arial" w:hAnsi="Arial"/>
          <w:sz w:val="8"/>
          <w:szCs w:val="8"/>
          <w:color w:val="auto"/>
        </w:rPr>
      </w:pPr>
      <w:r>
        <w:rPr>
          <w:rFonts w:ascii="Arial" w:cs="Arial" w:eastAsia="Arial" w:hAnsi="Arial"/>
          <w:sz w:val="14"/>
          <w:szCs w:val="14"/>
          <w:color w:val="auto"/>
        </w:rPr>
        <w:t>The values in column (f) represent cumulative TSR which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 The measurement period with respect to each covered fiscal year is the period between December 31, 2019 and December 31 of the covered year.</w:t>
      </w:r>
    </w:p>
    <w:p>
      <w:pPr>
        <w:spacing w:after="0" w:line="29" w:lineRule="exact"/>
        <w:rPr>
          <w:rFonts w:ascii="Arial" w:cs="Arial" w:eastAsia="Arial" w:hAnsi="Arial"/>
          <w:sz w:val="8"/>
          <w:szCs w:val="8"/>
          <w:color w:val="auto"/>
        </w:rPr>
      </w:pPr>
    </w:p>
    <w:p>
      <w:pPr>
        <w:ind w:left="260" w:right="300" w:hanging="252"/>
        <w:spacing w:after="0" w:line="291" w:lineRule="auto"/>
        <w:tabs>
          <w:tab w:leader="none" w:pos="249" w:val="left"/>
        </w:tabs>
        <w:numPr>
          <w:ilvl w:val="0"/>
          <w:numId w:val="152"/>
        </w:numPr>
        <w:rPr>
          <w:rFonts w:ascii="Arial" w:cs="Arial" w:eastAsia="Arial" w:hAnsi="Arial"/>
          <w:sz w:val="16"/>
          <w:szCs w:val="16"/>
          <w:color w:val="auto"/>
          <w:vertAlign w:val="superscript"/>
        </w:rPr>
      </w:pPr>
      <w:r>
        <w:rPr>
          <w:rFonts w:ascii="Arial" w:cs="Arial" w:eastAsia="Arial" w:hAnsi="Arial"/>
          <w:sz w:val="14"/>
          <w:szCs w:val="14"/>
          <w:color w:val="auto"/>
        </w:rPr>
        <w:t>The values in column (g) represent the peer group TSR. The peer group used for this purpose is the published industry index: Philadelphia Utility Index (UTY), a market capitalization-weighted index composed of geographically diverse public utility stocks.</w:t>
      </w:r>
    </w:p>
    <w:p>
      <w:pPr>
        <w:spacing w:after="0" w:line="27" w:lineRule="exact"/>
        <w:rPr>
          <w:rFonts w:ascii="Arial" w:cs="Arial" w:eastAsia="Arial" w:hAnsi="Arial"/>
          <w:sz w:val="16"/>
          <w:szCs w:val="16"/>
          <w:color w:val="auto"/>
          <w:vertAlign w:val="superscript"/>
        </w:rPr>
      </w:pPr>
    </w:p>
    <w:p>
      <w:pPr>
        <w:ind w:left="260" w:hanging="252"/>
        <w:spacing w:after="0"/>
        <w:tabs>
          <w:tab w:leader="none" w:pos="260" w:val="left"/>
        </w:tabs>
        <w:numPr>
          <w:ilvl w:val="0"/>
          <w:numId w:val="152"/>
        </w:numPr>
        <w:rPr>
          <w:rFonts w:ascii="Arial" w:cs="Arial" w:eastAsia="Arial" w:hAnsi="Arial"/>
          <w:sz w:val="8"/>
          <w:szCs w:val="8"/>
          <w:color w:val="auto"/>
        </w:rPr>
      </w:pPr>
      <w:r>
        <w:rPr>
          <w:rFonts w:ascii="Arial" w:cs="Arial" w:eastAsia="Arial" w:hAnsi="Arial"/>
          <w:sz w:val="14"/>
          <w:szCs w:val="14"/>
          <w:color w:val="auto"/>
        </w:rPr>
        <w:t>The dollar amounts reported in column (h) represent the amount of net income reflected in the Company’s audited financial statements for the applicable year.</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80" w:hanging="454"/>
        <w:spacing w:after="0"/>
        <w:tabs>
          <w:tab w:leader="none" w:pos="480" w:val="left"/>
        </w:tabs>
        <w:numPr>
          <w:ilvl w:val="0"/>
          <w:numId w:val="15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78" w:name="page79"/>
    <w:bookmarkEnd w:id="78"/>
    <w:p>
      <w:pPr>
        <w:jc w:val="right"/>
        <w:spacing w:after="0"/>
        <w:rPr>
          <w:sz w:val="20"/>
          <w:szCs w:val="20"/>
          <w:color w:val="auto"/>
        </w:rPr>
      </w:pPr>
      <w:r>
        <w:rPr>
          <w:rFonts w:ascii="Arial" w:cs="Arial" w:eastAsia="Arial" w:hAnsi="Arial"/>
          <w:sz w:val="13"/>
          <w:szCs w:val="13"/>
          <w:b w:val="1"/>
          <w:bCs w:val="1"/>
          <w:color w:val="auto"/>
        </w:rPr>
        <w:t>Compensation Discussion &amp; Analysis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60" w:right="20" w:hanging="252"/>
        <w:spacing w:after="0" w:line="290" w:lineRule="auto"/>
        <w:tabs>
          <w:tab w:leader="none" w:pos="249" w:val="left"/>
        </w:tabs>
        <w:numPr>
          <w:ilvl w:val="0"/>
          <w:numId w:val="154"/>
        </w:numPr>
        <w:rPr>
          <w:rFonts w:ascii="Arial" w:cs="Arial" w:eastAsia="Arial" w:hAnsi="Arial"/>
          <w:sz w:val="8"/>
          <w:szCs w:val="8"/>
          <w:color w:val="auto"/>
        </w:rPr>
      </w:pPr>
      <w:r>
        <w:rPr>
          <w:rFonts w:ascii="Arial" w:cs="Arial" w:eastAsia="Arial" w:hAnsi="Arial"/>
          <w:sz w:val="14"/>
          <w:szCs w:val="14"/>
          <w:color w:val="auto"/>
        </w:rPr>
        <w:t>Utility Earned ROE in column (i) is calculated using adjusted (non-GAAP) operating earnings, reflecting all lines of business for the utility businesses (electric distribution, gas distribution, transmission), divided by average shareholder’s equity over the year. Management uses operating ROE as a measurement of the actual performance of the Company’s utility business. While the Company uses numerous financial and non-financial performance measures for the purpose of evaluating performance for the Company’s compensation programs, the Company has determined that Utility Earned ROE is the financial performance measure that, in the Company’s assessment, represents the most important performance measure (that is not otherwise required to be disclosed in the table) used by the Company to link compensation actually paid to the Company’s NEOs, for the most recently completed fiscal year, to company performance.</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Discussion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TSR Absolute and Relative Performance to the UTY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 chart below compares the cumulative TSR outperformance of Exelon to the peer group (UTY).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97790</wp:posOffset>
            </wp:positionV>
            <wp:extent cx="4114800" cy="197167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11480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Exelon’s Financial Metrics that Align to the Overall Business Strategy to Drive Compensation</w:t>
      </w:r>
    </w:p>
    <w:p>
      <w:pPr>
        <w:spacing w:after="0" w:line="122"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The following are the most important financial performance measures, as determined by the Company, that link compensation actually paid to our NEOs to the Company’s performance for the most recently completed fiscal year: Adjusted (non-GAAP) operating EPS*, Exelon Net Income (GAAP), and Utility Earned ROE*.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Exelon’s Pay for Performance Alignment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 chart below compares the PEO and other NEOs’ Compensation Actually Paid (CAP) to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89535</wp:posOffset>
            </wp:positionV>
            <wp:extent cx="4114800" cy="2074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114800" cy="2074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780"/>
        <w:spacing w:after="0"/>
        <w:tabs>
          <w:tab w:leader="none" w:pos="11040" w:val="left"/>
        </w:tabs>
        <w:rPr>
          <w:sz w:val="20"/>
          <w:szCs w:val="20"/>
          <w:color w:val="auto"/>
        </w:rPr>
      </w:pPr>
      <w:r>
        <w:rPr>
          <w:rFonts w:ascii="Arial" w:cs="Arial" w:eastAsia="Arial" w:hAnsi="Arial"/>
          <w:sz w:val="14"/>
          <w:szCs w:val="14"/>
          <w:color w:val="auto"/>
        </w:rPr>
        <w:t>2025 ׀ Exelon Proxy Statement</w:t>
      </w:r>
      <w:r>
        <w:rPr>
          <w:sz w:val="20"/>
          <w:szCs w:val="20"/>
          <w:color w:val="auto"/>
        </w:rPr>
        <w:tab/>
      </w:r>
      <w:r>
        <w:rPr>
          <w:rFonts w:ascii="Arial" w:cs="Arial" w:eastAsia="Arial" w:hAnsi="Arial"/>
          <w:sz w:val="14"/>
          <w:szCs w:val="14"/>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3"/>
          <w:szCs w:val="13"/>
          <w:b w:val="1"/>
          <w:bCs w:val="1"/>
          <w:color w:val="auto"/>
        </w:rPr>
        <w:t>Compensation Discussion &amp; Analysis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The chart below compares the PEO and other NEOs’ CAP to Exelon Net Income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97790</wp:posOffset>
            </wp:positionV>
            <wp:extent cx="4114800" cy="2040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11480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The chart below compares the PEO and other NEOs’ CAP to Utility Earned 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97790</wp:posOffset>
            </wp:positionV>
            <wp:extent cx="4114800" cy="19888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11480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80" w:hanging="454"/>
        <w:spacing w:after="0"/>
        <w:tabs>
          <w:tab w:leader="none" w:pos="480" w:val="left"/>
        </w:tabs>
        <w:numPr>
          <w:ilvl w:val="0"/>
          <w:numId w:val="15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0" w:name="page81"/>
    <w:bookmarkEnd w:id="80"/>
    <w:p>
      <w:pPr>
        <w:spacing w:after="0"/>
        <w:rPr>
          <w:sz w:val="20"/>
          <w:szCs w:val="20"/>
          <w:color w:val="auto"/>
        </w:rPr>
      </w:pPr>
      <w:r>
        <w:rPr>
          <w:rFonts w:ascii="Arial" w:cs="Arial" w:eastAsia="Arial" w:hAnsi="Arial"/>
          <w:sz w:val="41"/>
          <w:szCs w:val="41"/>
          <w:color w:val="170D67"/>
        </w:rPr>
        <w:t xml:space="preserve">Ownership of </w:t>
      </w:r>
      <w:r>
        <w:rPr>
          <w:rFonts w:ascii="Arial" w:cs="Arial" w:eastAsia="Arial" w:hAnsi="Arial"/>
          <w:sz w:val="41"/>
          <w:szCs w:val="41"/>
          <w:b w:val="1"/>
          <w:bCs w:val="1"/>
          <w:color w:val="170D67"/>
        </w:rPr>
        <w:t>Exelon Stock</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Beneficial Stock Ownership of Directors and Executive Officers</w:t>
      </w:r>
    </w:p>
    <w:p>
      <w:pPr>
        <w:spacing w:after="0" w:line="123"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The following table presents information regarding the beneficial ownership of Exelon common stock as of February 3, 2025, by each Director and each NEO in the Summary Compensation Table, and for all Directors and executive officers as a group. This information is presented in accordance with SEC rules and is not necessarily indicative of beneficial ownership for any other purpose. Under these rules, beneficial ownership of common stock includes any shares as to which a person, directly or indirectly, has or shares voting power or investment power and any shares as to which a person has the right to acquire such voting or investment power within 60 days.</w:t>
      </w:r>
    </w:p>
    <w:p>
      <w:pPr>
        <w:spacing w:after="0" w:line="61"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The shares beneficially owned by Directors and executive officers, both individually and as a group, constitute less than 1% of the total number of shares of common stock outstanding. None of the shares owned by Exelon’s Directors or executive officers are pledged. No stock option awards are outstanding, and no stock option awards have been granted since 2012.</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00" w:type="dxa"/>
            <w:vAlign w:val="bottom"/>
          </w:tcPr>
          <w:p>
            <w:pPr>
              <w:spacing w:after="0"/>
              <w:rPr>
                <w:sz w:val="15"/>
                <w:szCs w:val="15"/>
                <w:color w:val="auto"/>
              </w:rPr>
            </w:pPr>
          </w:p>
        </w:tc>
        <w:tc>
          <w:tcPr>
            <w:tcW w:w="3920" w:type="dxa"/>
            <w:vAlign w:val="bottom"/>
          </w:tcPr>
          <w:p>
            <w:pPr>
              <w:jc w:val="right"/>
              <w:spacing w:after="0"/>
              <w:rPr>
                <w:sz w:val="20"/>
                <w:szCs w:val="20"/>
                <w:color w:val="auto"/>
              </w:rPr>
            </w:pPr>
            <w:r>
              <w:rPr>
                <w:rFonts w:ascii="Arial" w:cs="Arial" w:eastAsia="Arial" w:hAnsi="Arial"/>
                <w:sz w:val="14"/>
                <w:szCs w:val="14"/>
                <w:b w:val="1"/>
                <w:bCs w:val="1"/>
                <w:color w:val="170D67"/>
              </w:rPr>
              <w:t>Total Shares Owned</w:t>
            </w:r>
          </w:p>
        </w:tc>
      </w:tr>
      <w:tr>
        <w:trPr>
          <w:trHeight w:val="175"/>
        </w:trPr>
        <w:tc>
          <w:tcPr>
            <w:tcW w:w="7000" w:type="dxa"/>
            <w:vAlign w:val="bottom"/>
          </w:tcPr>
          <w:p>
            <w:pPr>
              <w:spacing w:after="0"/>
              <w:rPr>
                <w:sz w:val="15"/>
                <w:szCs w:val="15"/>
                <w:color w:val="auto"/>
              </w:rPr>
            </w:pPr>
          </w:p>
        </w:tc>
        <w:tc>
          <w:tcPr>
            <w:tcW w:w="3920" w:type="dxa"/>
            <w:vAlign w:val="bottom"/>
          </w:tcPr>
          <w:p>
            <w:pPr>
              <w:jc w:val="right"/>
              <w:spacing w:after="0"/>
              <w:rPr>
                <w:sz w:val="20"/>
                <w:szCs w:val="20"/>
                <w:color w:val="auto"/>
              </w:rPr>
            </w:pPr>
            <w:r>
              <w:rPr>
                <w:rFonts w:ascii="Arial" w:cs="Arial" w:eastAsia="Arial" w:hAnsi="Arial"/>
                <w:sz w:val="14"/>
                <w:szCs w:val="14"/>
                <w:b w:val="1"/>
                <w:bCs w:val="1"/>
                <w:color w:val="170D67"/>
              </w:rPr>
              <w:t>Directly or Indirectly</w:t>
            </w:r>
          </w:p>
        </w:tc>
      </w:tr>
      <w:tr>
        <w:trPr>
          <w:trHeight w:val="197"/>
        </w:trPr>
        <w:tc>
          <w:tcPr>
            <w:tcW w:w="7000" w:type="dxa"/>
            <w:vAlign w:val="bottom"/>
            <w:tcBorders>
              <w:bottom w:val="single" w:sz="8" w:color="170D67"/>
            </w:tcBorders>
          </w:tcPr>
          <w:p>
            <w:pPr>
              <w:spacing w:after="0"/>
              <w:rPr>
                <w:sz w:val="17"/>
                <w:szCs w:val="17"/>
                <w:color w:val="auto"/>
              </w:rPr>
            </w:pPr>
          </w:p>
        </w:tc>
        <w:tc>
          <w:tcPr>
            <w:tcW w:w="3920" w:type="dxa"/>
            <w:vAlign w:val="bottom"/>
            <w:tcBorders>
              <w:bottom w:val="single" w:sz="8" w:color="170D67"/>
            </w:tcBorders>
          </w:tcPr>
          <w:p>
            <w:pPr>
              <w:jc w:val="right"/>
              <w:spacing w:after="0"/>
              <w:rPr>
                <w:sz w:val="20"/>
                <w:szCs w:val="20"/>
                <w:color w:val="auto"/>
              </w:rPr>
            </w:pPr>
            <w:r>
              <w:rPr>
                <w:rFonts w:ascii="Arial" w:cs="Arial" w:eastAsia="Arial" w:hAnsi="Arial"/>
                <w:sz w:val="14"/>
                <w:szCs w:val="14"/>
                <w:b w:val="1"/>
                <w:bCs w:val="1"/>
                <w:color w:val="170D67"/>
              </w:rPr>
              <w:t>(Note 1)</w:t>
            </w:r>
          </w:p>
        </w:tc>
      </w:tr>
      <w:tr>
        <w:trPr>
          <w:trHeight w:val="243"/>
        </w:trPr>
        <w:tc>
          <w:tcPr>
            <w:tcW w:w="7000" w:type="dxa"/>
            <w:vAlign w:val="bottom"/>
            <w:tcBorders>
              <w:bottom w:val="single" w:sz="8" w:color="E8E7EA"/>
            </w:tcBorders>
            <w:shd w:val="clear" w:color="auto" w:fill="E8E7EA"/>
          </w:tcPr>
          <w:p>
            <w:pPr>
              <w:ind w:left="20"/>
              <w:spacing w:after="0"/>
              <w:rPr>
                <w:sz w:val="20"/>
                <w:szCs w:val="20"/>
                <w:color w:val="auto"/>
              </w:rPr>
            </w:pPr>
            <w:r>
              <w:rPr>
                <w:rFonts w:ascii="Arial" w:cs="Arial" w:eastAsia="Arial" w:hAnsi="Arial"/>
                <w:sz w:val="15"/>
                <w:szCs w:val="15"/>
                <w:b w:val="1"/>
                <w:bCs w:val="1"/>
                <w:color w:val="auto"/>
              </w:rPr>
              <w:t>Non-Employee Directors</w:t>
            </w:r>
          </w:p>
        </w:tc>
        <w:tc>
          <w:tcPr>
            <w:tcW w:w="3920" w:type="dxa"/>
            <w:vAlign w:val="bottom"/>
            <w:tcBorders>
              <w:bottom w:val="single" w:sz="8" w:color="E8E7EA"/>
            </w:tcBorders>
            <w:shd w:val="clear" w:color="auto" w:fill="E8E7EA"/>
          </w:tcPr>
          <w:p>
            <w:pPr>
              <w:spacing w:after="0"/>
              <w:rPr>
                <w:sz w:val="20"/>
                <w:szCs w:val="20"/>
                <w:color w:val="auto"/>
              </w:rPr>
            </w:pPr>
          </w:p>
        </w:tc>
      </w:tr>
      <w:tr>
        <w:trPr>
          <w:trHeight w:val="204"/>
        </w:trPr>
        <w:tc>
          <w:tcPr>
            <w:tcW w:w="7000" w:type="dxa"/>
            <w:vAlign w:val="bottom"/>
            <w:tcBorders>
              <w:top w:val="single" w:sz="8" w:color="808080"/>
            </w:tcBorders>
          </w:tcPr>
          <w:p>
            <w:pPr>
              <w:ind w:left="20"/>
              <w:spacing w:after="0"/>
              <w:rPr>
                <w:sz w:val="20"/>
                <w:szCs w:val="20"/>
                <w:color w:val="auto"/>
              </w:rPr>
            </w:pPr>
            <w:r>
              <w:rPr>
                <w:rFonts w:ascii="Arial" w:cs="Arial" w:eastAsia="Arial" w:hAnsi="Arial"/>
                <w:sz w:val="15"/>
                <w:szCs w:val="15"/>
                <w:color w:val="auto"/>
              </w:rPr>
              <w:t>W. Paul Bowers</w:t>
            </w:r>
          </w:p>
        </w:tc>
        <w:tc>
          <w:tcPr>
            <w:tcW w:w="3920" w:type="dxa"/>
            <w:vAlign w:val="bottom"/>
            <w:tcBorders>
              <w:top w:val="single" w:sz="8" w:color="808080"/>
            </w:tcBorders>
          </w:tcPr>
          <w:p>
            <w:pPr>
              <w:jc w:val="right"/>
              <w:ind w:right="4"/>
              <w:spacing w:after="0"/>
              <w:rPr>
                <w:sz w:val="20"/>
                <w:szCs w:val="20"/>
                <w:color w:val="auto"/>
              </w:rPr>
            </w:pPr>
            <w:r>
              <w:rPr>
                <w:rFonts w:ascii="Arial" w:cs="Arial" w:eastAsia="Arial" w:hAnsi="Arial"/>
                <w:sz w:val="15"/>
                <w:szCs w:val="15"/>
                <w:color w:val="auto"/>
              </w:rPr>
              <w:t>31,518</w:t>
            </w:r>
          </w:p>
        </w:tc>
      </w:tr>
      <w:tr>
        <w:trPr>
          <w:trHeight w:val="33"/>
        </w:trPr>
        <w:tc>
          <w:tcPr>
            <w:tcW w:w="7000" w:type="dxa"/>
            <w:vAlign w:val="bottom"/>
            <w:tcBorders>
              <w:bottom w:val="single" w:sz="8" w:color="808080"/>
            </w:tcBorders>
          </w:tcPr>
          <w:p>
            <w:pPr>
              <w:spacing w:after="0"/>
              <w:rPr>
                <w:sz w:val="2"/>
                <w:szCs w:val="2"/>
                <w:color w:val="auto"/>
              </w:rPr>
            </w:pPr>
          </w:p>
        </w:tc>
        <w:tc>
          <w:tcPr>
            <w:tcW w:w="3920" w:type="dxa"/>
            <w:vAlign w:val="bottom"/>
            <w:tcBorders>
              <w:bottom w:val="single" w:sz="8" w:color="808080"/>
            </w:tcBorders>
          </w:tcPr>
          <w:p>
            <w:pPr>
              <w:spacing w:after="0"/>
              <w:rPr>
                <w:sz w:val="2"/>
                <w:szCs w:val="2"/>
                <w:color w:val="auto"/>
              </w:rPr>
            </w:pPr>
          </w:p>
        </w:tc>
      </w:tr>
      <w:tr>
        <w:trPr>
          <w:trHeight w:val="204"/>
        </w:trPr>
        <w:tc>
          <w:tcPr>
            <w:tcW w:w="7000" w:type="dxa"/>
            <w:vAlign w:val="bottom"/>
          </w:tcPr>
          <w:p>
            <w:pPr>
              <w:ind w:left="20"/>
              <w:spacing w:after="0"/>
              <w:rPr>
                <w:sz w:val="20"/>
                <w:szCs w:val="20"/>
                <w:color w:val="auto"/>
              </w:rPr>
            </w:pPr>
            <w:r>
              <w:rPr>
                <w:rFonts w:ascii="Arial" w:cs="Arial" w:eastAsia="Arial" w:hAnsi="Arial"/>
                <w:sz w:val="15"/>
                <w:szCs w:val="15"/>
                <w:color w:val="auto"/>
              </w:rPr>
              <w:t>Marjorie Rodgers Cheshire</w:t>
            </w:r>
          </w:p>
        </w:tc>
        <w:tc>
          <w:tcPr>
            <w:tcW w:w="3920" w:type="dxa"/>
            <w:vAlign w:val="bottom"/>
          </w:tcPr>
          <w:p>
            <w:pPr>
              <w:jc w:val="right"/>
              <w:ind w:right="4"/>
              <w:spacing w:after="0"/>
              <w:rPr>
                <w:sz w:val="20"/>
                <w:szCs w:val="20"/>
                <w:color w:val="auto"/>
              </w:rPr>
            </w:pPr>
            <w:r>
              <w:rPr>
                <w:rFonts w:ascii="Arial" w:cs="Arial" w:eastAsia="Arial" w:hAnsi="Arial"/>
                <w:sz w:val="15"/>
                <w:szCs w:val="15"/>
                <w:color w:val="auto"/>
              </w:rPr>
              <w:t>27,452</w:t>
            </w:r>
          </w:p>
        </w:tc>
      </w:tr>
      <w:tr>
        <w:trPr>
          <w:trHeight w:val="33"/>
        </w:trPr>
        <w:tc>
          <w:tcPr>
            <w:tcW w:w="7000" w:type="dxa"/>
            <w:vAlign w:val="bottom"/>
            <w:tcBorders>
              <w:bottom w:val="single" w:sz="8" w:color="808080"/>
            </w:tcBorders>
          </w:tcPr>
          <w:p>
            <w:pPr>
              <w:spacing w:after="0"/>
              <w:rPr>
                <w:sz w:val="2"/>
                <w:szCs w:val="2"/>
                <w:color w:val="auto"/>
              </w:rPr>
            </w:pPr>
          </w:p>
        </w:tc>
        <w:tc>
          <w:tcPr>
            <w:tcW w:w="3920" w:type="dxa"/>
            <w:vAlign w:val="bottom"/>
            <w:tcBorders>
              <w:bottom w:val="single" w:sz="8" w:color="808080"/>
            </w:tcBorders>
          </w:tcPr>
          <w:p>
            <w:pPr>
              <w:spacing w:after="0"/>
              <w:rPr>
                <w:sz w:val="2"/>
                <w:szCs w:val="2"/>
                <w:color w:val="auto"/>
              </w:rPr>
            </w:pPr>
          </w:p>
        </w:tc>
      </w:tr>
      <w:tr>
        <w:trPr>
          <w:trHeight w:val="203"/>
        </w:trPr>
        <w:tc>
          <w:tcPr>
            <w:tcW w:w="7000" w:type="dxa"/>
            <w:vAlign w:val="bottom"/>
          </w:tcPr>
          <w:p>
            <w:pPr>
              <w:ind w:left="20"/>
              <w:spacing w:after="0"/>
              <w:rPr>
                <w:sz w:val="20"/>
                <w:szCs w:val="20"/>
                <w:color w:val="auto"/>
              </w:rPr>
            </w:pPr>
            <w:r>
              <w:rPr>
                <w:rFonts w:ascii="Arial" w:cs="Arial" w:eastAsia="Arial" w:hAnsi="Arial"/>
                <w:sz w:val="15"/>
                <w:szCs w:val="15"/>
                <w:color w:val="auto"/>
              </w:rPr>
              <w:t>David DeWalt (Note 2)</w:t>
            </w:r>
          </w:p>
        </w:tc>
        <w:tc>
          <w:tcPr>
            <w:tcW w:w="392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33"/>
        </w:trPr>
        <w:tc>
          <w:tcPr>
            <w:tcW w:w="7000" w:type="dxa"/>
            <w:vAlign w:val="bottom"/>
            <w:tcBorders>
              <w:bottom w:val="single" w:sz="8" w:color="808080"/>
            </w:tcBorders>
          </w:tcPr>
          <w:p>
            <w:pPr>
              <w:spacing w:after="0"/>
              <w:rPr>
                <w:sz w:val="2"/>
                <w:szCs w:val="2"/>
                <w:color w:val="auto"/>
              </w:rPr>
            </w:pPr>
          </w:p>
        </w:tc>
        <w:tc>
          <w:tcPr>
            <w:tcW w:w="3920" w:type="dxa"/>
            <w:vAlign w:val="bottom"/>
            <w:tcBorders>
              <w:bottom w:val="single" w:sz="8" w:color="808080"/>
            </w:tcBorders>
          </w:tcPr>
          <w:p>
            <w:pPr>
              <w:spacing w:after="0"/>
              <w:rPr>
                <w:sz w:val="2"/>
                <w:szCs w:val="2"/>
                <w:color w:val="auto"/>
              </w:rPr>
            </w:pPr>
          </w:p>
        </w:tc>
      </w:tr>
      <w:tr>
        <w:trPr>
          <w:trHeight w:val="203"/>
        </w:trPr>
        <w:tc>
          <w:tcPr>
            <w:tcW w:w="7000" w:type="dxa"/>
            <w:vAlign w:val="bottom"/>
          </w:tcPr>
          <w:p>
            <w:pPr>
              <w:ind w:left="20"/>
              <w:spacing w:after="0"/>
              <w:rPr>
                <w:sz w:val="20"/>
                <w:szCs w:val="20"/>
                <w:color w:val="auto"/>
              </w:rPr>
            </w:pPr>
            <w:r>
              <w:rPr>
                <w:rFonts w:ascii="Arial" w:cs="Arial" w:eastAsia="Arial" w:hAnsi="Arial"/>
                <w:sz w:val="15"/>
                <w:szCs w:val="15"/>
                <w:color w:val="auto"/>
              </w:rPr>
              <w:t>Linda Jojo</w:t>
            </w:r>
          </w:p>
        </w:tc>
        <w:tc>
          <w:tcPr>
            <w:tcW w:w="3920" w:type="dxa"/>
            <w:vAlign w:val="bottom"/>
          </w:tcPr>
          <w:p>
            <w:pPr>
              <w:jc w:val="right"/>
              <w:ind w:right="4"/>
              <w:spacing w:after="0"/>
              <w:rPr>
                <w:sz w:val="20"/>
                <w:szCs w:val="20"/>
                <w:color w:val="auto"/>
              </w:rPr>
            </w:pPr>
            <w:r>
              <w:rPr>
                <w:rFonts w:ascii="Arial" w:cs="Arial" w:eastAsia="Arial" w:hAnsi="Arial"/>
                <w:sz w:val="15"/>
                <w:szCs w:val="15"/>
                <w:color w:val="auto"/>
              </w:rPr>
              <w:t>49,046</w:t>
            </w:r>
          </w:p>
        </w:tc>
      </w:tr>
      <w:tr>
        <w:trPr>
          <w:trHeight w:val="33"/>
        </w:trPr>
        <w:tc>
          <w:tcPr>
            <w:tcW w:w="7000" w:type="dxa"/>
            <w:vAlign w:val="bottom"/>
            <w:tcBorders>
              <w:bottom w:val="single" w:sz="8" w:color="808080"/>
            </w:tcBorders>
          </w:tcPr>
          <w:p>
            <w:pPr>
              <w:spacing w:after="0"/>
              <w:rPr>
                <w:sz w:val="2"/>
                <w:szCs w:val="2"/>
                <w:color w:val="auto"/>
              </w:rPr>
            </w:pPr>
          </w:p>
        </w:tc>
        <w:tc>
          <w:tcPr>
            <w:tcW w:w="3920" w:type="dxa"/>
            <w:vAlign w:val="bottom"/>
            <w:tcBorders>
              <w:bottom w:val="single" w:sz="8" w:color="808080"/>
            </w:tcBorders>
          </w:tcPr>
          <w:p>
            <w:pPr>
              <w:spacing w:after="0"/>
              <w:rPr>
                <w:sz w:val="2"/>
                <w:szCs w:val="2"/>
                <w:color w:val="auto"/>
              </w:rPr>
            </w:pPr>
          </w:p>
        </w:tc>
      </w:tr>
      <w:tr>
        <w:trPr>
          <w:trHeight w:val="204"/>
        </w:trPr>
        <w:tc>
          <w:tcPr>
            <w:tcW w:w="7000" w:type="dxa"/>
            <w:vAlign w:val="bottom"/>
          </w:tcPr>
          <w:p>
            <w:pPr>
              <w:ind w:left="20"/>
              <w:spacing w:after="0"/>
              <w:rPr>
                <w:sz w:val="20"/>
                <w:szCs w:val="20"/>
                <w:color w:val="auto"/>
              </w:rPr>
            </w:pPr>
            <w:r>
              <w:rPr>
                <w:rFonts w:ascii="Arial" w:cs="Arial" w:eastAsia="Arial" w:hAnsi="Arial"/>
                <w:sz w:val="15"/>
                <w:szCs w:val="15"/>
                <w:color w:val="auto"/>
              </w:rPr>
              <w:t>Charisse Lillie</w:t>
            </w:r>
          </w:p>
        </w:tc>
        <w:tc>
          <w:tcPr>
            <w:tcW w:w="3920" w:type="dxa"/>
            <w:vAlign w:val="bottom"/>
          </w:tcPr>
          <w:p>
            <w:pPr>
              <w:jc w:val="right"/>
              <w:ind w:right="4"/>
              <w:spacing w:after="0"/>
              <w:rPr>
                <w:sz w:val="20"/>
                <w:szCs w:val="20"/>
                <w:color w:val="auto"/>
              </w:rPr>
            </w:pPr>
            <w:r>
              <w:rPr>
                <w:rFonts w:ascii="Arial" w:cs="Arial" w:eastAsia="Arial" w:hAnsi="Arial"/>
                <w:sz w:val="15"/>
                <w:szCs w:val="15"/>
                <w:color w:val="auto"/>
              </w:rPr>
              <w:t>18,413</w:t>
            </w:r>
          </w:p>
        </w:tc>
      </w:tr>
      <w:tr>
        <w:trPr>
          <w:trHeight w:val="33"/>
        </w:trPr>
        <w:tc>
          <w:tcPr>
            <w:tcW w:w="7000" w:type="dxa"/>
            <w:vAlign w:val="bottom"/>
            <w:tcBorders>
              <w:bottom w:val="single" w:sz="8" w:color="808080"/>
            </w:tcBorders>
          </w:tcPr>
          <w:p>
            <w:pPr>
              <w:spacing w:after="0"/>
              <w:rPr>
                <w:sz w:val="2"/>
                <w:szCs w:val="2"/>
                <w:color w:val="auto"/>
              </w:rPr>
            </w:pPr>
          </w:p>
        </w:tc>
        <w:tc>
          <w:tcPr>
            <w:tcW w:w="3920" w:type="dxa"/>
            <w:vAlign w:val="bottom"/>
            <w:tcBorders>
              <w:bottom w:val="single" w:sz="8" w:color="808080"/>
            </w:tcBorders>
          </w:tcPr>
          <w:p>
            <w:pPr>
              <w:spacing w:after="0"/>
              <w:rPr>
                <w:sz w:val="2"/>
                <w:szCs w:val="2"/>
                <w:color w:val="auto"/>
              </w:rPr>
            </w:pPr>
          </w:p>
        </w:tc>
      </w:tr>
      <w:tr>
        <w:trPr>
          <w:trHeight w:val="203"/>
        </w:trPr>
        <w:tc>
          <w:tcPr>
            <w:tcW w:w="7000" w:type="dxa"/>
            <w:vAlign w:val="bottom"/>
          </w:tcPr>
          <w:p>
            <w:pPr>
              <w:ind w:left="20"/>
              <w:spacing w:after="0"/>
              <w:rPr>
                <w:sz w:val="20"/>
                <w:szCs w:val="20"/>
                <w:color w:val="auto"/>
              </w:rPr>
            </w:pPr>
            <w:r>
              <w:rPr>
                <w:rFonts w:ascii="Arial" w:cs="Arial" w:eastAsia="Arial" w:hAnsi="Arial"/>
                <w:sz w:val="15"/>
                <w:szCs w:val="15"/>
                <w:color w:val="auto"/>
              </w:rPr>
              <w:t>Anna Richo</w:t>
            </w:r>
          </w:p>
        </w:tc>
        <w:tc>
          <w:tcPr>
            <w:tcW w:w="3920" w:type="dxa"/>
            <w:vAlign w:val="bottom"/>
          </w:tcPr>
          <w:p>
            <w:pPr>
              <w:jc w:val="right"/>
              <w:ind w:right="4"/>
              <w:spacing w:after="0"/>
              <w:rPr>
                <w:sz w:val="20"/>
                <w:szCs w:val="20"/>
                <w:color w:val="auto"/>
              </w:rPr>
            </w:pPr>
            <w:r>
              <w:rPr>
                <w:rFonts w:ascii="Arial" w:cs="Arial" w:eastAsia="Arial" w:hAnsi="Arial"/>
                <w:sz w:val="15"/>
                <w:szCs w:val="15"/>
                <w:color w:val="auto"/>
              </w:rPr>
              <w:t>11,164</w:t>
            </w:r>
          </w:p>
        </w:tc>
      </w:tr>
      <w:tr>
        <w:trPr>
          <w:trHeight w:val="33"/>
        </w:trPr>
        <w:tc>
          <w:tcPr>
            <w:tcW w:w="7000" w:type="dxa"/>
            <w:vAlign w:val="bottom"/>
            <w:tcBorders>
              <w:bottom w:val="single" w:sz="8" w:color="808080"/>
            </w:tcBorders>
          </w:tcPr>
          <w:p>
            <w:pPr>
              <w:spacing w:after="0"/>
              <w:rPr>
                <w:sz w:val="2"/>
                <w:szCs w:val="2"/>
                <w:color w:val="auto"/>
              </w:rPr>
            </w:pPr>
          </w:p>
        </w:tc>
        <w:tc>
          <w:tcPr>
            <w:tcW w:w="3920" w:type="dxa"/>
            <w:vAlign w:val="bottom"/>
            <w:tcBorders>
              <w:bottom w:val="single" w:sz="8" w:color="808080"/>
            </w:tcBorders>
          </w:tcPr>
          <w:p>
            <w:pPr>
              <w:spacing w:after="0"/>
              <w:rPr>
                <w:sz w:val="2"/>
                <w:szCs w:val="2"/>
                <w:color w:val="auto"/>
              </w:rPr>
            </w:pPr>
          </w:p>
        </w:tc>
      </w:tr>
      <w:tr>
        <w:trPr>
          <w:trHeight w:val="203"/>
        </w:trPr>
        <w:tc>
          <w:tcPr>
            <w:tcW w:w="7000" w:type="dxa"/>
            <w:vAlign w:val="bottom"/>
          </w:tcPr>
          <w:p>
            <w:pPr>
              <w:ind w:left="20"/>
              <w:spacing w:after="0"/>
              <w:rPr>
                <w:sz w:val="20"/>
                <w:szCs w:val="20"/>
                <w:color w:val="auto"/>
              </w:rPr>
            </w:pPr>
            <w:r>
              <w:rPr>
                <w:rFonts w:ascii="Arial" w:cs="Arial" w:eastAsia="Arial" w:hAnsi="Arial"/>
                <w:sz w:val="15"/>
                <w:szCs w:val="15"/>
                <w:color w:val="auto"/>
              </w:rPr>
              <w:t>Matt Rogers</w:t>
            </w:r>
          </w:p>
        </w:tc>
        <w:tc>
          <w:tcPr>
            <w:tcW w:w="3920" w:type="dxa"/>
            <w:vAlign w:val="bottom"/>
          </w:tcPr>
          <w:p>
            <w:pPr>
              <w:jc w:val="right"/>
              <w:ind w:right="4"/>
              <w:spacing w:after="0"/>
              <w:rPr>
                <w:sz w:val="20"/>
                <w:szCs w:val="20"/>
                <w:color w:val="auto"/>
              </w:rPr>
            </w:pPr>
            <w:r>
              <w:rPr>
                <w:rFonts w:ascii="Arial" w:cs="Arial" w:eastAsia="Arial" w:hAnsi="Arial"/>
                <w:sz w:val="15"/>
                <w:szCs w:val="15"/>
                <w:color w:val="auto"/>
              </w:rPr>
              <w:t>7,472</w:t>
            </w:r>
          </w:p>
        </w:tc>
      </w:tr>
      <w:tr>
        <w:trPr>
          <w:trHeight w:val="33"/>
        </w:trPr>
        <w:tc>
          <w:tcPr>
            <w:tcW w:w="7000" w:type="dxa"/>
            <w:vAlign w:val="bottom"/>
            <w:tcBorders>
              <w:bottom w:val="single" w:sz="8" w:color="808080"/>
            </w:tcBorders>
          </w:tcPr>
          <w:p>
            <w:pPr>
              <w:spacing w:after="0"/>
              <w:rPr>
                <w:sz w:val="2"/>
                <w:szCs w:val="2"/>
                <w:color w:val="auto"/>
              </w:rPr>
            </w:pPr>
          </w:p>
        </w:tc>
        <w:tc>
          <w:tcPr>
            <w:tcW w:w="3920" w:type="dxa"/>
            <w:vAlign w:val="bottom"/>
            <w:tcBorders>
              <w:bottom w:val="single" w:sz="8" w:color="808080"/>
            </w:tcBorders>
          </w:tcPr>
          <w:p>
            <w:pPr>
              <w:spacing w:after="0"/>
              <w:rPr>
                <w:sz w:val="2"/>
                <w:szCs w:val="2"/>
                <w:color w:val="auto"/>
              </w:rPr>
            </w:pPr>
          </w:p>
        </w:tc>
      </w:tr>
      <w:tr>
        <w:trPr>
          <w:trHeight w:val="204"/>
        </w:trPr>
        <w:tc>
          <w:tcPr>
            <w:tcW w:w="7000" w:type="dxa"/>
            <w:vAlign w:val="bottom"/>
          </w:tcPr>
          <w:p>
            <w:pPr>
              <w:ind w:left="20"/>
              <w:spacing w:after="0"/>
              <w:rPr>
                <w:sz w:val="20"/>
                <w:szCs w:val="20"/>
                <w:color w:val="auto"/>
              </w:rPr>
            </w:pPr>
            <w:r>
              <w:rPr>
                <w:rFonts w:ascii="Arial" w:cs="Arial" w:eastAsia="Arial" w:hAnsi="Arial"/>
                <w:sz w:val="15"/>
                <w:szCs w:val="15"/>
                <w:color w:val="auto"/>
              </w:rPr>
              <w:t>Bryan Segedi</w:t>
            </w:r>
          </w:p>
        </w:tc>
        <w:tc>
          <w:tcPr>
            <w:tcW w:w="3920" w:type="dxa"/>
            <w:vAlign w:val="bottom"/>
          </w:tcPr>
          <w:p>
            <w:pPr>
              <w:jc w:val="right"/>
              <w:ind w:right="4"/>
              <w:spacing w:after="0"/>
              <w:rPr>
                <w:sz w:val="20"/>
                <w:szCs w:val="20"/>
                <w:color w:val="auto"/>
              </w:rPr>
            </w:pPr>
            <w:r>
              <w:rPr>
                <w:rFonts w:ascii="Arial" w:cs="Arial" w:eastAsia="Arial" w:hAnsi="Arial"/>
                <w:sz w:val="15"/>
                <w:szCs w:val="15"/>
                <w:color w:val="auto"/>
              </w:rPr>
              <w:t>4,504</w:t>
            </w:r>
          </w:p>
        </w:tc>
      </w:tr>
      <w:tr>
        <w:trPr>
          <w:trHeight w:val="33"/>
        </w:trPr>
        <w:tc>
          <w:tcPr>
            <w:tcW w:w="7000" w:type="dxa"/>
            <w:vAlign w:val="bottom"/>
            <w:tcBorders>
              <w:bottom w:val="single" w:sz="8" w:color="808080"/>
            </w:tcBorders>
          </w:tcPr>
          <w:p>
            <w:pPr>
              <w:spacing w:after="0"/>
              <w:rPr>
                <w:sz w:val="2"/>
                <w:szCs w:val="2"/>
                <w:color w:val="auto"/>
              </w:rPr>
            </w:pPr>
          </w:p>
        </w:tc>
        <w:tc>
          <w:tcPr>
            <w:tcW w:w="3920" w:type="dxa"/>
            <w:vAlign w:val="bottom"/>
            <w:tcBorders>
              <w:bottom w:val="single" w:sz="8" w:color="808080"/>
            </w:tcBorders>
          </w:tcPr>
          <w:p>
            <w:pPr>
              <w:spacing w:after="0"/>
              <w:rPr>
                <w:sz w:val="2"/>
                <w:szCs w:val="2"/>
                <w:color w:val="auto"/>
              </w:rPr>
            </w:pPr>
          </w:p>
        </w:tc>
      </w:tr>
      <w:tr>
        <w:trPr>
          <w:trHeight w:val="203"/>
        </w:trPr>
        <w:tc>
          <w:tcPr>
            <w:tcW w:w="7000" w:type="dxa"/>
            <w:vAlign w:val="bottom"/>
          </w:tcPr>
          <w:p>
            <w:pPr>
              <w:ind w:left="20"/>
              <w:spacing w:after="0"/>
              <w:rPr>
                <w:sz w:val="20"/>
                <w:szCs w:val="20"/>
                <w:color w:val="auto"/>
              </w:rPr>
            </w:pPr>
            <w:r>
              <w:rPr>
                <w:rFonts w:ascii="Arial" w:cs="Arial" w:eastAsia="Arial" w:hAnsi="Arial"/>
                <w:sz w:val="15"/>
                <w:szCs w:val="15"/>
                <w:color w:val="auto"/>
              </w:rPr>
              <w:t>John Young</w:t>
            </w:r>
          </w:p>
        </w:tc>
        <w:tc>
          <w:tcPr>
            <w:tcW w:w="3920" w:type="dxa"/>
            <w:vAlign w:val="bottom"/>
          </w:tcPr>
          <w:p>
            <w:pPr>
              <w:jc w:val="right"/>
              <w:ind w:right="4"/>
              <w:spacing w:after="0"/>
              <w:rPr>
                <w:sz w:val="20"/>
                <w:szCs w:val="20"/>
                <w:color w:val="auto"/>
              </w:rPr>
            </w:pPr>
            <w:r>
              <w:rPr>
                <w:rFonts w:ascii="Arial" w:cs="Arial" w:eastAsia="Arial" w:hAnsi="Arial"/>
                <w:sz w:val="15"/>
                <w:szCs w:val="15"/>
                <w:color w:val="auto"/>
              </w:rPr>
              <w:t>31,071</w:t>
            </w:r>
          </w:p>
        </w:tc>
      </w:tr>
      <w:tr>
        <w:trPr>
          <w:trHeight w:val="33"/>
        </w:trPr>
        <w:tc>
          <w:tcPr>
            <w:tcW w:w="7000" w:type="dxa"/>
            <w:vAlign w:val="bottom"/>
            <w:tcBorders>
              <w:bottom w:val="single" w:sz="8" w:color="808080"/>
            </w:tcBorders>
          </w:tcPr>
          <w:p>
            <w:pPr>
              <w:spacing w:after="0"/>
              <w:rPr>
                <w:sz w:val="2"/>
                <w:szCs w:val="2"/>
                <w:color w:val="auto"/>
              </w:rPr>
            </w:pPr>
          </w:p>
        </w:tc>
        <w:tc>
          <w:tcPr>
            <w:tcW w:w="3920" w:type="dxa"/>
            <w:vAlign w:val="bottom"/>
            <w:tcBorders>
              <w:bottom w:val="single" w:sz="8" w:color="808080"/>
            </w:tcBorders>
          </w:tcPr>
          <w:p>
            <w:pPr>
              <w:spacing w:after="0"/>
              <w:rPr>
                <w:sz w:val="2"/>
                <w:szCs w:val="2"/>
                <w:color w:val="auto"/>
              </w:rPr>
            </w:pPr>
          </w:p>
        </w:tc>
      </w:tr>
      <w:tr>
        <w:trPr>
          <w:trHeight w:val="242"/>
        </w:trPr>
        <w:tc>
          <w:tcPr>
            <w:tcW w:w="7000" w:type="dxa"/>
            <w:vAlign w:val="bottom"/>
            <w:tcBorders>
              <w:bottom w:val="single" w:sz="8" w:color="E8E7EA"/>
            </w:tcBorders>
            <w:shd w:val="clear" w:color="auto" w:fill="E8E7EA"/>
          </w:tcPr>
          <w:p>
            <w:pPr>
              <w:ind w:left="20"/>
              <w:spacing w:after="0"/>
              <w:rPr>
                <w:sz w:val="20"/>
                <w:szCs w:val="20"/>
                <w:color w:val="auto"/>
              </w:rPr>
            </w:pPr>
            <w:r>
              <w:rPr>
                <w:rFonts w:ascii="Arial" w:cs="Arial" w:eastAsia="Arial" w:hAnsi="Arial"/>
                <w:sz w:val="15"/>
                <w:szCs w:val="15"/>
                <w:b w:val="1"/>
                <w:bCs w:val="1"/>
                <w:color w:val="auto"/>
              </w:rPr>
              <w:t>Named Executive Officers</w:t>
            </w:r>
          </w:p>
        </w:tc>
        <w:tc>
          <w:tcPr>
            <w:tcW w:w="3920" w:type="dxa"/>
            <w:vAlign w:val="bottom"/>
            <w:tcBorders>
              <w:bottom w:val="single" w:sz="8" w:color="E8E7EA"/>
            </w:tcBorders>
            <w:shd w:val="clear" w:color="auto" w:fill="E8E7EA"/>
          </w:tcPr>
          <w:p>
            <w:pPr>
              <w:spacing w:after="0"/>
              <w:rPr>
                <w:sz w:val="20"/>
                <w:szCs w:val="20"/>
                <w:color w:val="auto"/>
              </w:rPr>
            </w:pPr>
          </w:p>
        </w:tc>
      </w:tr>
      <w:tr>
        <w:trPr>
          <w:trHeight w:val="203"/>
        </w:trPr>
        <w:tc>
          <w:tcPr>
            <w:tcW w:w="7000" w:type="dxa"/>
            <w:vAlign w:val="bottom"/>
            <w:tcBorders>
              <w:top w:val="single" w:sz="8" w:color="808080"/>
            </w:tcBorders>
          </w:tcPr>
          <w:p>
            <w:pPr>
              <w:ind w:left="20"/>
              <w:spacing w:after="0"/>
              <w:rPr>
                <w:sz w:val="20"/>
                <w:szCs w:val="20"/>
                <w:color w:val="auto"/>
              </w:rPr>
            </w:pPr>
            <w:r>
              <w:rPr>
                <w:rFonts w:ascii="Arial" w:cs="Arial" w:eastAsia="Arial" w:hAnsi="Arial"/>
                <w:sz w:val="15"/>
                <w:szCs w:val="15"/>
                <w:color w:val="auto"/>
              </w:rPr>
              <w:t>Calvin G. Butler, Jr.</w:t>
            </w:r>
          </w:p>
        </w:tc>
        <w:tc>
          <w:tcPr>
            <w:tcW w:w="3920" w:type="dxa"/>
            <w:vAlign w:val="bottom"/>
            <w:tcBorders>
              <w:top w:val="single" w:sz="8" w:color="808080"/>
            </w:tcBorders>
          </w:tcPr>
          <w:p>
            <w:pPr>
              <w:jc w:val="right"/>
              <w:ind w:right="4"/>
              <w:spacing w:after="0"/>
              <w:rPr>
                <w:sz w:val="20"/>
                <w:szCs w:val="20"/>
                <w:color w:val="auto"/>
              </w:rPr>
            </w:pPr>
            <w:r>
              <w:rPr>
                <w:rFonts w:ascii="Arial" w:cs="Arial" w:eastAsia="Arial" w:hAnsi="Arial"/>
                <w:sz w:val="15"/>
                <w:szCs w:val="15"/>
                <w:color w:val="auto"/>
              </w:rPr>
              <w:t>355,715</w:t>
            </w:r>
          </w:p>
        </w:tc>
      </w:tr>
      <w:tr>
        <w:trPr>
          <w:trHeight w:val="33"/>
        </w:trPr>
        <w:tc>
          <w:tcPr>
            <w:tcW w:w="7000" w:type="dxa"/>
            <w:vAlign w:val="bottom"/>
            <w:tcBorders>
              <w:bottom w:val="single" w:sz="8" w:color="808080"/>
            </w:tcBorders>
          </w:tcPr>
          <w:p>
            <w:pPr>
              <w:spacing w:after="0"/>
              <w:rPr>
                <w:sz w:val="2"/>
                <w:szCs w:val="2"/>
                <w:color w:val="auto"/>
              </w:rPr>
            </w:pPr>
          </w:p>
        </w:tc>
        <w:tc>
          <w:tcPr>
            <w:tcW w:w="3920" w:type="dxa"/>
            <w:vAlign w:val="bottom"/>
            <w:tcBorders>
              <w:bottom w:val="single" w:sz="8" w:color="808080"/>
            </w:tcBorders>
          </w:tcPr>
          <w:p>
            <w:pPr>
              <w:spacing w:after="0"/>
              <w:rPr>
                <w:sz w:val="2"/>
                <w:szCs w:val="2"/>
                <w:color w:val="auto"/>
              </w:rPr>
            </w:pPr>
          </w:p>
        </w:tc>
      </w:tr>
      <w:tr>
        <w:trPr>
          <w:trHeight w:val="203"/>
        </w:trPr>
        <w:tc>
          <w:tcPr>
            <w:tcW w:w="7000" w:type="dxa"/>
            <w:vAlign w:val="bottom"/>
          </w:tcPr>
          <w:p>
            <w:pPr>
              <w:ind w:left="20"/>
              <w:spacing w:after="0"/>
              <w:rPr>
                <w:sz w:val="20"/>
                <w:szCs w:val="20"/>
                <w:color w:val="auto"/>
              </w:rPr>
            </w:pPr>
            <w:r>
              <w:rPr>
                <w:rFonts w:ascii="Arial" w:cs="Arial" w:eastAsia="Arial" w:hAnsi="Arial"/>
                <w:sz w:val="15"/>
                <w:szCs w:val="15"/>
                <w:color w:val="auto"/>
              </w:rPr>
              <w:t>Jeanne Jones</w:t>
            </w:r>
          </w:p>
        </w:tc>
        <w:tc>
          <w:tcPr>
            <w:tcW w:w="3920" w:type="dxa"/>
            <w:vAlign w:val="bottom"/>
          </w:tcPr>
          <w:p>
            <w:pPr>
              <w:jc w:val="right"/>
              <w:ind w:right="4"/>
              <w:spacing w:after="0"/>
              <w:rPr>
                <w:sz w:val="20"/>
                <w:szCs w:val="20"/>
                <w:color w:val="auto"/>
              </w:rPr>
            </w:pPr>
            <w:r>
              <w:rPr>
                <w:rFonts w:ascii="Arial" w:cs="Arial" w:eastAsia="Arial" w:hAnsi="Arial"/>
                <w:sz w:val="15"/>
                <w:szCs w:val="15"/>
                <w:color w:val="auto"/>
              </w:rPr>
              <w:t>78,445</w:t>
            </w:r>
          </w:p>
        </w:tc>
      </w:tr>
      <w:tr>
        <w:trPr>
          <w:trHeight w:val="33"/>
        </w:trPr>
        <w:tc>
          <w:tcPr>
            <w:tcW w:w="7000" w:type="dxa"/>
            <w:vAlign w:val="bottom"/>
            <w:tcBorders>
              <w:bottom w:val="single" w:sz="8" w:color="808080"/>
            </w:tcBorders>
          </w:tcPr>
          <w:p>
            <w:pPr>
              <w:spacing w:after="0"/>
              <w:rPr>
                <w:sz w:val="2"/>
                <w:szCs w:val="2"/>
                <w:color w:val="auto"/>
              </w:rPr>
            </w:pPr>
          </w:p>
        </w:tc>
        <w:tc>
          <w:tcPr>
            <w:tcW w:w="3920" w:type="dxa"/>
            <w:vAlign w:val="bottom"/>
            <w:tcBorders>
              <w:bottom w:val="single" w:sz="8" w:color="808080"/>
            </w:tcBorders>
          </w:tcPr>
          <w:p>
            <w:pPr>
              <w:spacing w:after="0"/>
              <w:rPr>
                <w:sz w:val="2"/>
                <w:szCs w:val="2"/>
                <w:color w:val="auto"/>
              </w:rPr>
            </w:pPr>
          </w:p>
        </w:tc>
      </w:tr>
      <w:tr>
        <w:trPr>
          <w:trHeight w:val="203"/>
        </w:trPr>
        <w:tc>
          <w:tcPr>
            <w:tcW w:w="7000" w:type="dxa"/>
            <w:vAlign w:val="bottom"/>
          </w:tcPr>
          <w:p>
            <w:pPr>
              <w:ind w:left="20"/>
              <w:spacing w:after="0"/>
              <w:rPr>
                <w:sz w:val="20"/>
                <w:szCs w:val="20"/>
                <w:color w:val="auto"/>
              </w:rPr>
            </w:pPr>
            <w:r>
              <w:rPr>
                <w:rFonts w:ascii="Arial" w:cs="Arial" w:eastAsia="Arial" w:hAnsi="Arial"/>
                <w:sz w:val="15"/>
                <w:szCs w:val="15"/>
                <w:color w:val="auto"/>
              </w:rPr>
              <w:t>Gayle Littleton</w:t>
            </w:r>
          </w:p>
        </w:tc>
        <w:tc>
          <w:tcPr>
            <w:tcW w:w="3920" w:type="dxa"/>
            <w:vAlign w:val="bottom"/>
          </w:tcPr>
          <w:p>
            <w:pPr>
              <w:jc w:val="right"/>
              <w:ind w:right="4"/>
              <w:spacing w:after="0"/>
              <w:rPr>
                <w:sz w:val="20"/>
                <w:szCs w:val="20"/>
                <w:color w:val="auto"/>
              </w:rPr>
            </w:pPr>
            <w:r>
              <w:rPr>
                <w:rFonts w:ascii="Arial" w:cs="Arial" w:eastAsia="Arial" w:hAnsi="Arial"/>
                <w:sz w:val="15"/>
                <w:szCs w:val="15"/>
                <w:color w:val="auto"/>
              </w:rPr>
              <w:t>90,863</w:t>
            </w:r>
          </w:p>
        </w:tc>
      </w:tr>
      <w:tr>
        <w:trPr>
          <w:trHeight w:val="33"/>
        </w:trPr>
        <w:tc>
          <w:tcPr>
            <w:tcW w:w="7000" w:type="dxa"/>
            <w:vAlign w:val="bottom"/>
            <w:tcBorders>
              <w:bottom w:val="single" w:sz="8" w:color="808080"/>
            </w:tcBorders>
          </w:tcPr>
          <w:p>
            <w:pPr>
              <w:spacing w:after="0"/>
              <w:rPr>
                <w:sz w:val="2"/>
                <w:szCs w:val="2"/>
                <w:color w:val="auto"/>
              </w:rPr>
            </w:pPr>
          </w:p>
        </w:tc>
        <w:tc>
          <w:tcPr>
            <w:tcW w:w="3920" w:type="dxa"/>
            <w:vAlign w:val="bottom"/>
            <w:tcBorders>
              <w:bottom w:val="single" w:sz="8" w:color="808080"/>
            </w:tcBorders>
          </w:tcPr>
          <w:p>
            <w:pPr>
              <w:spacing w:after="0"/>
              <w:rPr>
                <w:sz w:val="2"/>
                <w:szCs w:val="2"/>
                <w:color w:val="auto"/>
              </w:rPr>
            </w:pPr>
          </w:p>
        </w:tc>
      </w:tr>
      <w:tr>
        <w:trPr>
          <w:trHeight w:val="203"/>
        </w:trPr>
        <w:tc>
          <w:tcPr>
            <w:tcW w:w="7000" w:type="dxa"/>
            <w:vAlign w:val="bottom"/>
          </w:tcPr>
          <w:p>
            <w:pPr>
              <w:ind w:left="20"/>
              <w:spacing w:after="0"/>
              <w:rPr>
                <w:sz w:val="20"/>
                <w:szCs w:val="20"/>
                <w:color w:val="auto"/>
              </w:rPr>
            </w:pPr>
            <w:r>
              <w:rPr>
                <w:rFonts w:ascii="Arial" w:cs="Arial" w:eastAsia="Arial" w:hAnsi="Arial"/>
                <w:sz w:val="15"/>
                <w:szCs w:val="15"/>
                <w:color w:val="auto"/>
              </w:rPr>
              <w:t>David Glockner</w:t>
            </w:r>
          </w:p>
        </w:tc>
        <w:tc>
          <w:tcPr>
            <w:tcW w:w="3920" w:type="dxa"/>
            <w:vAlign w:val="bottom"/>
          </w:tcPr>
          <w:p>
            <w:pPr>
              <w:jc w:val="right"/>
              <w:ind w:right="4"/>
              <w:spacing w:after="0"/>
              <w:rPr>
                <w:sz w:val="20"/>
                <w:szCs w:val="20"/>
                <w:color w:val="auto"/>
              </w:rPr>
            </w:pPr>
            <w:r>
              <w:rPr>
                <w:rFonts w:ascii="Arial" w:cs="Arial" w:eastAsia="Arial" w:hAnsi="Arial"/>
                <w:sz w:val="15"/>
                <w:szCs w:val="15"/>
                <w:color w:val="auto"/>
              </w:rPr>
              <w:t>81,504</w:t>
            </w:r>
          </w:p>
        </w:tc>
      </w:tr>
      <w:tr>
        <w:trPr>
          <w:trHeight w:val="33"/>
        </w:trPr>
        <w:tc>
          <w:tcPr>
            <w:tcW w:w="7000" w:type="dxa"/>
            <w:vAlign w:val="bottom"/>
            <w:tcBorders>
              <w:bottom w:val="single" w:sz="8" w:color="808080"/>
            </w:tcBorders>
          </w:tcPr>
          <w:p>
            <w:pPr>
              <w:spacing w:after="0"/>
              <w:rPr>
                <w:sz w:val="2"/>
                <w:szCs w:val="2"/>
                <w:color w:val="auto"/>
              </w:rPr>
            </w:pPr>
          </w:p>
        </w:tc>
        <w:tc>
          <w:tcPr>
            <w:tcW w:w="3920" w:type="dxa"/>
            <w:vAlign w:val="bottom"/>
            <w:tcBorders>
              <w:bottom w:val="single" w:sz="8" w:color="808080"/>
            </w:tcBorders>
          </w:tcPr>
          <w:p>
            <w:pPr>
              <w:spacing w:after="0"/>
              <w:rPr>
                <w:sz w:val="2"/>
                <w:szCs w:val="2"/>
                <w:color w:val="auto"/>
              </w:rPr>
            </w:pPr>
          </w:p>
        </w:tc>
      </w:tr>
      <w:tr>
        <w:trPr>
          <w:trHeight w:val="203"/>
        </w:trPr>
        <w:tc>
          <w:tcPr>
            <w:tcW w:w="7000" w:type="dxa"/>
            <w:vAlign w:val="bottom"/>
          </w:tcPr>
          <w:p>
            <w:pPr>
              <w:ind w:left="20"/>
              <w:spacing w:after="0"/>
              <w:rPr>
                <w:sz w:val="20"/>
                <w:szCs w:val="20"/>
                <w:color w:val="auto"/>
              </w:rPr>
            </w:pPr>
            <w:r>
              <w:rPr>
                <w:rFonts w:ascii="Arial" w:cs="Arial" w:eastAsia="Arial" w:hAnsi="Arial"/>
                <w:sz w:val="15"/>
                <w:szCs w:val="15"/>
                <w:color w:val="auto"/>
              </w:rPr>
              <w:t>Michael Innocenzo</w:t>
            </w:r>
          </w:p>
        </w:tc>
        <w:tc>
          <w:tcPr>
            <w:tcW w:w="3920" w:type="dxa"/>
            <w:vAlign w:val="bottom"/>
          </w:tcPr>
          <w:p>
            <w:pPr>
              <w:jc w:val="right"/>
              <w:ind w:right="4"/>
              <w:spacing w:after="0"/>
              <w:rPr>
                <w:sz w:val="20"/>
                <w:szCs w:val="20"/>
                <w:color w:val="auto"/>
              </w:rPr>
            </w:pPr>
            <w:r>
              <w:rPr>
                <w:rFonts w:ascii="Arial" w:cs="Arial" w:eastAsia="Arial" w:hAnsi="Arial"/>
                <w:sz w:val="15"/>
                <w:szCs w:val="15"/>
                <w:color w:val="auto"/>
              </w:rPr>
              <w:t>116,710</w:t>
            </w:r>
          </w:p>
        </w:tc>
      </w:tr>
      <w:tr>
        <w:trPr>
          <w:trHeight w:val="33"/>
        </w:trPr>
        <w:tc>
          <w:tcPr>
            <w:tcW w:w="7000" w:type="dxa"/>
            <w:vAlign w:val="bottom"/>
            <w:tcBorders>
              <w:bottom w:val="single" w:sz="8" w:color="808080"/>
            </w:tcBorders>
          </w:tcPr>
          <w:p>
            <w:pPr>
              <w:spacing w:after="0"/>
              <w:rPr>
                <w:sz w:val="2"/>
                <w:szCs w:val="2"/>
                <w:color w:val="auto"/>
              </w:rPr>
            </w:pPr>
          </w:p>
        </w:tc>
        <w:tc>
          <w:tcPr>
            <w:tcW w:w="3920" w:type="dxa"/>
            <w:vAlign w:val="bottom"/>
            <w:tcBorders>
              <w:bottom w:val="single" w:sz="8" w:color="808080"/>
            </w:tcBorders>
          </w:tcPr>
          <w:p>
            <w:pPr>
              <w:spacing w:after="0"/>
              <w:rPr>
                <w:sz w:val="2"/>
                <w:szCs w:val="2"/>
                <w:color w:val="auto"/>
              </w:rPr>
            </w:pPr>
          </w:p>
        </w:tc>
      </w:tr>
      <w:tr>
        <w:trPr>
          <w:trHeight w:val="211"/>
        </w:trPr>
        <w:tc>
          <w:tcPr>
            <w:tcW w:w="7000" w:type="dxa"/>
            <w:vAlign w:val="bottom"/>
          </w:tcPr>
          <w:p>
            <w:pPr>
              <w:ind w:left="20"/>
              <w:spacing w:after="0"/>
              <w:rPr>
                <w:sz w:val="20"/>
                <w:szCs w:val="20"/>
                <w:color w:val="auto"/>
              </w:rPr>
            </w:pPr>
            <w:r>
              <w:rPr>
                <w:rFonts w:ascii="Arial" w:cs="Arial" w:eastAsia="Arial" w:hAnsi="Arial"/>
                <w:sz w:val="15"/>
                <w:szCs w:val="15"/>
                <w:b w:val="1"/>
                <w:bCs w:val="1"/>
                <w:color w:val="auto"/>
              </w:rPr>
              <w:t>All other executive officers</w:t>
            </w:r>
          </w:p>
        </w:tc>
        <w:tc>
          <w:tcPr>
            <w:tcW w:w="3920" w:type="dxa"/>
            <w:vAlign w:val="bottom"/>
          </w:tcPr>
          <w:p>
            <w:pPr>
              <w:jc w:val="right"/>
              <w:ind w:right="4"/>
              <w:spacing w:after="0"/>
              <w:rPr>
                <w:sz w:val="20"/>
                <w:szCs w:val="20"/>
                <w:color w:val="auto"/>
              </w:rPr>
            </w:pPr>
            <w:r>
              <w:rPr>
                <w:rFonts w:ascii="Arial" w:cs="Arial" w:eastAsia="Arial" w:hAnsi="Arial"/>
                <w:sz w:val="15"/>
                <w:szCs w:val="15"/>
                <w:color w:val="auto"/>
              </w:rPr>
              <w:t>86,254</w:t>
            </w:r>
          </w:p>
        </w:tc>
      </w:tr>
      <w:tr>
        <w:trPr>
          <w:trHeight w:val="25"/>
        </w:trPr>
        <w:tc>
          <w:tcPr>
            <w:tcW w:w="7000" w:type="dxa"/>
            <w:vAlign w:val="bottom"/>
            <w:tcBorders>
              <w:bottom w:val="single" w:sz="8" w:color="808080"/>
            </w:tcBorders>
          </w:tcPr>
          <w:p>
            <w:pPr>
              <w:spacing w:after="0"/>
              <w:rPr>
                <w:sz w:val="2"/>
                <w:szCs w:val="2"/>
                <w:color w:val="auto"/>
              </w:rPr>
            </w:pPr>
          </w:p>
        </w:tc>
        <w:tc>
          <w:tcPr>
            <w:tcW w:w="3920" w:type="dxa"/>
            <w:vAlign w:val="bottom"/>
            <w:tcBorders>
              <w:bottom w:val="single" w:sz="8" w:color="808080"/>
            </w:tcBorders>
          </w:tcPr>
          <w:p>
            <w:pPr>
              <w:spacing w:after="0"/>
              <w:rPr>
                <w:sz w:val="2"/>
                <w:szCs w:val="2"/>
                <w:color w:val="auto"/>
              </w:rPr>
            </w:pPr>
          </w:p>
        </w:tc>
      </w:tr>
      <w:tr>
        <w:trPr>
          <w:trHeight w:val="250"/>
        </w:trPr>
        <w:tc>
          <w:tcPr>
            <w:tcW w:w="7000" w:type="dxa"/>
            <w:vAlign w:val="bottom"/>
            <w:tcBorders>
              <w:bottom w:val="single" w:sz="8" w:color="808080"/>
            </w:tcBorders>
          </w:tcPr>
          <w:p>
            <w:pPr>
              <w:spacing w:after="0"/>
              <w:rPr>
                <w:sz w:val="21"/>
                <w:szCs w:val="21"/>
                <w:color w:val="auto"/>
              </w:rPr>
            </w:pPr>
          </w:p>
        </w:tc>
        <w:tc>
          <w:tcPr>
            <w:tcW w:w="3920" w:type="dxa"/>
            <w:vAlign w:val="bottom"/>
            <w:tcBorders>
              <w:bottom w:val="single" w:sz="8" w:color="808080"/>
            </w:tcBorders>
          </w:tcPr>
          <w:p>
            <w:pPr>
              <w:spacing w:after="0"/>
              <w:rPr>
                <w:sz w:val="21"/>
                <w:szCs w:val="21"/>
                <w:color w:val="auto"/>
              </w:rPr>
            </w:pPr>
          </w:p>
        </w:tc>
      </w:tr>
      <w:tr>
        <w:trPr>
          <w:trHeight w:val="211"/>
        </w:trPr>
        <w:tc>
          <w:tcPr>
            <w:tcW w:w="7000" w:type="dxa"/>
            <w:vAlign w:val="bottom"/>
          </w:tcPr>
          <w:p>
            <w:pPr>
              <w:ind w:left="20"/>
              <w:spacing w:after="0"/>
              <w:rPr>
                <w:sz w:val="20"/>
                <w:szCs w:val="20"/>
                <w:color w:val="auto"/>
              </w:rPr>
            </w:pPr>
            <w:r>
              <w:rPr>
                <w:rFonts w:ascii="Arial" w:cs="Arial" w:eastAsia="Arial" w:hAnsi="Arial"/>
                <w:sz w:val="15"/>
                <w:szCs w:val="15"/>
                <w:b w:val="1"/>
                <w:bCs w:val="1"/>
                <w:color w:val="auto"/>
              </w:rPr>
              <w:t>Directors &amp; Executive Officers as a group (15 people) (Note 3)</w:t>
            </w:r>
          </w:p>
        </w:tc>
        <w:tc>
          <w:tcPr>
            <w:tcW w:w="3920" w:type="dxa"/>
            <w:vAlign w:val="bottom"/>
          </w:tcPr>
          <w:p>
            <w:pPr>
              <w:jc w:val="right"/>
              <w:ind w:right="4"/>
              <w:spacing w:after="0"/>
              <w:rPr>
                <w:sz w:val="20"/>
                <w:szCs w:val="20"/>
                <w:color w:val="auto"/>
              </w:rPr>
            </w:pPr>
            <w:r>
              <w:rPr>
                <w:rFonts w:ascii="Arial" w:cs="Arial" w:eastAsia="Arial" w:hAnsi="Arial"/>
                <w:sz w:val="15"/>
                <w:szCs w:val="15"/>
                <w:b w:val="1"/>
                <w:bCs w:val="1"/>
                <w:color w:val="auto"/>
              </w:rPr>
              <w:t>990,129</w:t>
            </w:r>
          </w:p>
        </w:tc>
      </w:tr>
      <w:tr>
        <w:trPr>
          <w:trHeight w:val="25"/>
        </w:trPr>
        <w:tc>
          <w:tcPr>
            <w:tcW w:w="7000" w:type="dxa"/>
            <w:vAlign w:val="bottom"/>
            <w:tcBorders>
              <w:bottom w:val="single" w:sz="8" w:color="808080"/>
            </w:tcBorders>
          </w:tcPr>
          <w:p>
            <w:pPr>
              <w:spacing w:after="0"/>
              <w:rPr>
                <w:sz w:val="2"/>
                <w:szCs w:val="2"/>
                <w:color w:val="auto"/>
              </w:rPr>
            </w:pPr>
          </w:p>
        </w:tc>
        <w:tc>
          <w:tcPr>
            <w:tcW w:w="3920" w:type="dxa"/>
            <w:vAlign w:val="bottom"/>
            <w:tcBorders>
              <w:bottom w:val="single" w:sz="8" w:color="808080"/>
            </w:tcBorders>
          </w:tcPr>
          <w:p>
            <w:pPr>
              <w:spacing w:after="0"/>
              <w:rPr>
                <w:sz w:val="2"/>
                <w:szCs w:val="2"/>
                <w:color w:val="auto"/>
              </w:rPr>
            </w:pPr>
          </w:p>
        </w:tc>
      </w:tr>
    </w:tbl>
    <w:p>
      <w:pPr>
        <w:spacing w:after="0" w:line="193" w:lineRule="exact"/>
        <w:rPr>
          <w:sz w:val="20"/>
          <w:szCs w:val="20"/>
          <w:color w:val="auto"/>
        </w:rPr>
      </w:pPr>
    </w:p>
    <w:p>
      <w:pPr>
        <w:ind w:left="260" w:right="160" w:hanging="252"/>
        <w:spacing w:after="0" w:line="287" w:lineRule="auto"/>
        <w:tabs>
          <w:tab w:leader="none" w:pos="263" w:val="left"/>
        </w:tabs>
        <w:numPr>
          <w:ilvl w:val="0"/>
          <w:numId w:val="156"/>
        </w:numPr>
        <w:rPr>
          <w:rFonts w:ascii="Arial" w:cs="Arial" w:eastAsia="Arial" w:hAnsi="Arial"/>
          <w:sz w:val="8"/>
          <w:szCs w:val="8"/>
          <w:color w:val="auto"/>
        </w:rPr>
      </w:pPr>
      <w:r>
        <w:rPr>
          <w:rFonts w:ascii="Arial" w:cs="Arial" w:eastAsia="Arial" w:hAnsi="Arial"/>
          <w:sz w:val="14"/>
          <w:szCs w:val="14"/>
          <w:color w:val="auto"/>
        </w:rPr>
        <w:t>Includes any shares as to which the individual has sole or shared voting or investment power. Also includes officers’ RSUs, Directors’ DSUs granted under the Exelon deferred stock unit plan along with accumulated units from automatic dividend reinvestment, and Directors’ and officers’ phantom share equivalents held in a non-qualified deferred compensation plan which will be settled in cash on a 1 for 1 basis upon retirement or termination. Excludes DSUs to be granted to Directors on March 31, 2025, because the number of DSUs to be granted is calculated based upon the closing price of Exelon common stock on the date the quarterly dividend is paid, which will occur subsequent to the date of determination for this table.</w:t>
      </w:r>
    </w:p>
    <w:p>
      <w:pPr>
        <w:spacing w:after="0" w:line="36" w:lineRule="exact"/>
        <w:rPr>
          <w:rFonts w:ascii="Arial" w:cs="Arial" w:eastAsia="Arial" w:hAnsi="Arial"/>
          <w:sz w:val="8"/>
          <w:szCs w:val="8"/>
          <w:color w:val="auto"/>
        </w:rPr>
      </w:pPr>
    </w:p>
    <w:p>
      <w:pPr>
        <w:ind w:left="260" w:hanging="252"/>
        <w:spacing w:after="0"/>
        <w:tabs>
          <w:tab w:leader="none" w:pos="260" w:val="left"/>
        </w:tabs>
        <w:numPr>
          <w:ilvl w:val="0"/>
          <w:numId w:val="156"/>
        </w:numPr>
        <w:rPr>
          <w:rFonts w:ascii="Arial" w:cs="Arial" w:eastAsia="Arial" w:hAnsi="Arial"/>
          <w:sz w:val="8"/>
          <w:szCs w:val="8"/>
          <w:color w:val="auto"/>
        </w:rPr>
      </w:pPr>
      <w:r>
        <w:rPr>
          <w:rFonts w:ascii="Arial" w:cs="Arial" w:eastAsia="Arial" w:hAnsi="Arial"/>
          <w:sz w:val="14"/>
          <w:szCs w:val="14"/>
          <w:color w:val="auto"/>
        </w:rPr>
        <w:t>Mr. DeWalt was elected to the Board effective March 10, 2025.</w:t>
      </w:r>
    </w:p>
    <w:p>
      <w:pPr>
        <w:spacing w:after="0" w:line="109" w:lineRule="exact"/>
        <w:rPr>
          <w:rFonts w:ascii="Arial" w:cs="Arial" w:eastAsia="Arial" w:hAnsi="Arial"/>
          <w:sz w:val="8"/>
          <w:szCs w:val="8"/>
          <w:color w:val="auto"/>
        </w:rPr>
      </w:pPr>
    </w:p>
    <w:p>
      <w:pPr>
        <w:ind w:left="260" w:right="240" w:hanging="252"/>
        <w:spacing w:after="0" w:line="291" w:lineRule="auto"/>
        <w:tabs>
          <w:tab w:leader="none" w:pos="249" w:val="left"/>
        </w:tabs>
        <w:numPr>
          <w:ilvl w:val="0"/>
          <w:numId w:val="156"/>
        </w:numPr>
        <w:rPr>
          <w:rFonts w:ascii="Arial" w:cs="Arial" w:eastAsia="Arial" w:hAnsi="Arial"/>
          <w:sz w:val="16"/>
          <w:szCs w:val="16"/>
          <w:color w:val="auto"/>
          <w:vertAlign w:val="superscript"/>
        </w:rPr>
      </w:pPr>
      <w:r>
        <w:rPr>
          <w:rFonts w:ascii="Arial" w:cs="Arial" w:eastAsia="Arial" w:hAnsi="Arial"/>
          <w:sz w:val="14"/>
          <w:szCs w:val="14"/>
          <w:color w:val="auto"/>
        </w:rPr>
        <w:t>Total includes shares held by all Directors and NEOs, as well as Exelon executive officers listed in Item 1, “Executive Officers of the Registrants” in Exelon’s 2024 Annual Report on Form 10-K filed on February 12, 2025.</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780"/>
              <w:spacing w:after="0"/>
              <w:rPr>
                <w:sz w:val="20"/>
                <w:szCs w:val="20"/>
                <w:color w:val="auto"/>
              </w:rPr>
            </w:pPr>
            <w:r>
              <w:rPr>
                <w:rFonts w:ascii="Arial" w:cs="Arial" w:eastAsia="Arial" w:hAnsi="Arial"/>
                <w:sz w:val="14"/>
                <w:szCs w:val="14"/>
                <w:color w:val="auto"/>
              </w:rPr>
              <w:t>2025 ׀ Exelon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77</w:t>
            </w:r>
          </w:p>
        </w:tc>
      </w:tr>
      <w:tr>
        <w:trPr>
          <w:trHeight w:val="211"/>
        </w:trPr>
        <w:tc>
          <w:tcPr>
            <w:tcW w:w="109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2" w:right="339" w:bottom="1440" w:gutter="0" w:footer="0" w:header="0"/>
        </w:sectPr>
      </w:pPr>
    </w:p>
    <w:bookmarkStart w:id="81" w:name="page82"/>
    <w:bookmarkEnd w:id="81"/>
    <w:p>
      <w:pPr>
        <w:spacing w:after="0"/>
        <w:rPr>
          <w:sz w:val="20"/>
          <w:szCs w:val="20"/>
          <w:color w:val="auto"/>
        </w:rPr>
      </w:pPr>
      <w:r>
        <w:rPr>
          <w:rFonts w:ascii="Arial" w:cs="Arial" w:eastAsia="Arial" w:hAnsi="Arial"/>
          <w:sz w:val="13"/>
          <w:szCs w:val="13"/>
          <w:b w:val="1"/>
          <w:bCs w:val="1"/>
          <w:color w:val="auto"/>
        </w:rPr>
        <w:t>Ownership of Exelon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Other Significant Beneficial Owners of Exelon Stock</w:t>
      </w:r>
    </w:p>
    <w:p>
      <w:pPr>
        <w:spacing w:after="0" w:line="123"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Shown in the table below are those owners who are known to Exelon to beneficially own more than 5% of the outstanding common stock. This information is based on the most recent Schedule 13G (or Schedule 13G/A) filings made with the SEC:</w:t>
      </w:r>
    </w:p>
    <w:p>
      <w:pPr>
        <w:spacing w:after="0" w:line="34" w:lineRule="exact"/>
        <w:rPr>
          <w:sz w:val="20"/>
          <w:szCs w:val="20"/>
          <w:color w:val="auto"/>
        </w:rPr>
      </w:pPr>
    </w:p>
    <w:p>
      <w:pPr>
        <w:ind w:left="180" w:hanging="172"/>
        <w:spacing w:after="0"/>
        <w:tabs>
          <w:tab w:leader="none" w:pos="180" w:val="left"/>
        </w:tabs>
        <w:numPr>
          <w:ilvl w:val="0"/>
          <w:numId w:val="157"/>
        </w:numPr>
        <w:rPr>
          <w:rFonts w:ascii="Arial" w:cs="Arial" w:eastAsia="Arial" w:hAnsi="Arial"/>
          <w:sz w:val="16"/>
          <w:szCs w:val="16"/>
          <w:b w:val="1"/>
          <w:bCs w:val="1"/>
          <w:color w:val="170D67"/>
        </w:rPr>
      </w:pPr>
      <w:r>
        <w:rPr>
          <w:rFonts w:ascii="Arial" w:cs="Arial" w:eastAsia="Arial" w:hAnsi="Arial"/>
          <w:sz w:val="16"/>
          <w:szCs w:val="16"/>
          <w:color w:val="auto"/>
        </w:rPr>
        <w:t>State Street Corporation on January 30, 2024;</w:t>
      </w:r>
    </w:p>
    <w:p>
      <w:pPr>
        <w:spacing w:after="0" w:line="99" w:lineRule="exact"/>
        <w:rPr>
          <w:rFonts w:ascii="Arial" w:cs="Arial" w:eastAsia="Arial" w:hAnsi="Arial"/>
          <w:sz w:val="16"/>
          <w:szCs w:val="16"/>
          <w:b w:val="1"/>
          <w:bCs w:val="1"/>
          <w:color w:val="170D67"/>
        </w:rPr>
      </w:pPr>
    </w:p>
    <w:p>
      <w:pPr>
        <w:ind w:left="180" w:hanging="172"/>
        <w:spacing w:after="0"/>
        <w:tabs>
          <w:tab w:leader="none" w:pos="180" w:val="left"/>
        </w:tabs>
        <w:numPr>
          <w:ilvl w:val="0"/>
          <w:numId w:val="157"/>
        </w:numPr>
        <w:rPr>
          <w:rFonts w:ascii="Arial" w:cs="Arial" w:eastAsia="Arial" w:hAnsi="Arial"/>
          <w:sz w:val="16"/>
          <w:szCs w:val="16"/>
          <w:b w:val="1"/>
          <w:bCs w:val="1"/>
          <w:color w:val="170D67"/>
        </w:rPr>
      </w:pPr>
      <w:r>
        <w:rPr>
          <w:rFonts w:ascii="Arial" w:cs="Arial" w:eastAsia="Arial" w:hAnsi="Arial"/>
          <w:sz w:val="16"/>
          <w:szCs w:val="16"/>
          <w:color w:val="auto"/>
        </w:rPr>
        <w:t>BlackRock, Inc. on July 8, 2024; and</w:t>
      </w:r>
    </w:p>
    <w:p>
      <w:pPr>
        <w:spacing w:after="0" w:line="99" w:lineRule="exact"/>
        <w:rPr>
          <w:rFonts w:ascii="Arial" w:cs="Arial" w:eastAsia="Arial" w:hAnsi="Arial"/>
          <w:sz w:val="16"/>
          <w:szCs w:val="16"/>
          <w:b w:val="1"/>
          <w:bCs w:val="1"/>
          <w:color w:val="170D67"/>
        </w:rPr>
      </w:pPr>
    </w:p>
    <w:p>
      <w:pPr>
        <w:ind w:left="180" w:hanging="172"/>
        <w:spacing w:after="0"/>
        <w:tabs>
          <w:tab w:leader="none" w:pos="180" w:val="left"/>
        </w:tabs>
        <w:numPr>
          <w:ilvl w:val="0"/>
          <w:numId w:val="157"/>
        </w:numPr>
        <w:rPr>
          <w:rFonts w:ascii="Arial" w:cs="Arial" w:eastAsia="Arial" w:hAnsi="Arial"/>
          <w:sz w:val="16"/>
          <w:szCs w:val="16"/>
          <w:b w:val="1"/>
          <w:bCs w:val="1"/>
          <w:color w:val="170D67"/>
        </w:rPr>
      </w:pPr>
      <w:r>
        <w:rPr>
          <w:rFonts w:ascii="Arial" w:cs="Arial" w:eastAsia="Arial" w:hAnsi="Arial"/>
          <w:sz w:val="16"/>
          <w:szCs w:val="16"/>
          <w:color w:val="auto"/>
        </w:rPr>
        <w:t>The Vanguard Group on November 12, 2024</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4100" w:type="dxa"/>
            <w:vAlign w:val="bottom"/>
          </w:tcPr>
          <w:p>
            <w:pPr>
              <w:jc w:val="right"/>
              <w:ind w:right="146"/>
              <w:spacing w:after="0"/>
              <w:rPr>
                <w:sz w:val="20"/>
                <w:szCs w:val="20"/>
                <w:color w:val="auto"/>
              </w:rPr>
            </w:pPr>
            <w:r>
              <w:rPr>
                <w:rFonts w:ascii="Arial" w:cs="Arial" w:eastAsia="Arial" w:hAnsi="Arial"/>
                <w:sz w:val="14"/>
                <w:szCs w:val="14"/>
                <w:b w:val="1"/>
                <w:bCs w:val="1"/>
                <w:color w:val="170D67"/>
              </w:rPr>
              <w:t>Shares</w:t>
            </w:r>
          </w:p>
        </w:tc>
        <w:tc>
          <w:tcPr>
            <w:tcW w:w="1000" w:type="dxa"/>
            <w:vAlign w:val="bottom"/>
          </w:tcPr>
          <w:p>
            <w:pPr>
              <w:spacing w:after="0"/>
              <w:rPr>
                <w:sz w:val="14"/>
                <w:szCs w:val="14"/>
                <w:color w:val="auto"/>
              </w:rPr>
            </w:pPr>
          </w:p>
        </w:tc>
      </w:tr>
      <w:tr>
        <w:trPr>
          <w:trHeight w:val="162"/>
        </w:trPr>
        <w:tc>
          <w:tcPr>
            <w:tcW w:w="6120" w:type="dxa"/>
            <w:vAlign w:val="bottom"/>
          </w:tcPr>
          <w:p>
            <w:pPr>
              <w:spacing w:after="0"/>
              <w:rPr>
                <w:sz w:val="14"/>
                <w:szCs w:val="14"/>
                <w:color w:val="auto"/>
              </w:rPr>
            </w:pPr>
          </w:p>
        </w:tc>
        <w:tc>
          <w:tcPr>
            <w:tcW w:w="4100" w:type="dxa"/>
            <w:vAlign w:val="bottom"/>
          </w:tcPr>
          <w:p>
            <w:pPr>
              <w:jc w:val="right"/>
              <w:ind w:right="146"/>
              <w:spacing w:after="0"/>
              <w:rPr>
                <w:sz w:val="20"/>
                <w:szCs w:val="20"/>
                <w:color w:val="auto"/>
              </w:rPr>
            </w:pPr>
            <w:r>
              <w:rPr>
                <w:rFonts w:ascii="Arial" w:cs="Arial" w:eastAsia="Arial" w:hAnsi="Arial"/>
                <w:sz w:val="14"/>
                <w:szCs w:val="14"/>
                <w:b w:val="1"/>
                <w:bCs w:val="1"/>
                <w:color w:val="170D67"/>
              </w:rPr>
              <w:t>Beneficially</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170D67"/>
              </w:rPr>
              <w:t>Percentage</w:t>
            </w:r>
          </w:p>
        </w:tc>
      </w:tr>
      <w:tr>
        <w:trPr>
          <w:trHeight w:val="219"/>
        </w:trPr>
        <w:tc>
          <w:tcPr>
            <w:tcW w:w="6120" w:type="dxa"/>
            <w:vAlign w:val="bottom"/>
            <w:tcBorders>
              <w:bottom w:val="single" w:sz="8" w:color="170D67"/>
            </w:tcBorders>
          </w:tcPr>
          <w:p>
            <w:pPr>
              <w:ind w:left="20"/>
              <w:spacing w:after="0"/>
              <w:rPr>
                <w:sz w:val="20"/>
                <w:szCs w:val="20"/>
                <w:color w:val="auto"/>
              </w:rPr>
            </w:pPr>
            <w:r>
              <w:rPr>
                <w:rFonts w:ascii="Arial" w:cs="Arial" w:eastAsia="Arial" w:hAnsi="Arial"/>
                <w:sz w:val="14"/>
                <w:szCs w:val="14"/>
                <w:b w:val="1"/>
                <w:bCs w:val="1"/>
                <w:color w:val="170D67"/>
              </w:rPr>
              <w:t>Name and Address of Beneficial Owner</w:t>
            </w:r>
          </w:p>
        </w:tc>
        <w:tc>
          <w:tcPr>
            <w:tcW w:w="4100" w:type="dxa"/>
            <w:vAlign w:val="bottom"/>
            <w:tcBorders>
              <w:bottom w:val="single" w:sz="8" w:color="170D67"/>
            </w:tcBorders>
          </w:tcPr>
          <w:p>
            <w:pPr>
              <w:jc w:val="right"/>
              <w:ind w:right="146"/>
              <w:spacing w:after="0"/>
              <w:rPr>
                <w:sz w:val="20"/>
                <w:szCs w:val="20"/>
                <w:color w:val="auto"/>
              </w:rPr>
            </w:pPr>
            <w:r>
              <w:rPr>
                <w:rFonts w:ascii="Arial" w:cs="Arial" w:eastAsia="Arial" w:hAnsi="Arial"/>
                <w:sz w:val="14"/>
                <w:szCs w:val="14"/>
                <w:b w:val="1"/>
                <w:bCs w:val="1"/>
                <w:color w:val="170D67"/>
              </w:rPr>
              <w:t>Owned</w:t>
            </w:r>
          </w:p>
        </w:tc>
        <w:tc>
          <w:tcPr>
            <w:tcW w:w="1000" w:type="dxa"/>
            <w:vAlign w:val="bottom"/>
            <w:tcBorders>
              <w:bottom w:val="single" w:sz="8" w:color="170D67"/>
            </w:tcBorders>
          </w:tcPr>
          <w:p>
            <w:pPr>
              <w:jc w:val="right"/>
              <w:spacing w:after="0"/>
              <w:rPr>
                <w:sz w:val="20"/>
                <w:szCs w:val="20"/>
                <w:color w:val="auto"/>
              </w:rPr>
            </w:pPr>
            <w:r>
              <w:rPr>
                <w:rFonts w:ascii="Arial" w:cs="Arial" w:eastAsia="Arial" w:hAnsi="Arial"/>
                <w:sz w:val="14"/>
                <w:szCs w:val="14"/>
                <w:b w:val="1"/>
                <w:bCs w:val="1"/>
                <w:color w:val="170D67"/>
              </w:rPr>
              <w:t>of Class</w:t>
            </w:r>
          </w:p>
        </w:tc>
      </w:tr>
      <w:tr>
        <w:trPr>
          <w:trHeight w:val="257"/>
        </w:trPr>
        <w:tc>
          <w:tcPr>
            <w:tcW w:w="6120" w:type="dxa"/>
            <w:vAlign w:val="bottom"/>
            <w:tcBorders>
              <w:bottom w:val="single" w:sz="8" w:color="808080"/>
            </w:tcBorders>
          </w:tcPr>
          <w:p>
            <w:pPr>
              <w:spacing w:after="0"/>
              <w:rPr>
                <w:sz w:val="22"/>
                <w:szCs w:val="22"/>
                <w:color w:val="auto"/>
              </w:rPr>
            </w:pPr>
          </w:p>
        </w:tc>
        <w:tc>
          <w:tcPr>
            <w:tcW w:w="4100" w:type="dxa"/>
            <w:vAlign w:val="bottom"/>
            <w:tcBorders>
              <w:bottom w:val="single" w:sz="8" w:color="808080"/>
            </w:tcBorders>
          </w:tcPr>
          <w:p>
            <w:pPr>
              <w:spacing w:after="0"/>
              <w:rPr>
                <w:sz w:val="22"/>
                <w:szCs w:val="22"/>
                <w:color w:val="auto"/>
              </w:rPr>
            </w:pPr>
          </w:p>
        </w:tc>
        <w:tc>
          <w:tcPr>
            <w:tcW w:w="1000" w:type="dxa"/>
            <w:vAlign w:val="bottom"/>
            <w:tcBorders>
              <w:bottom w:val="single" w:sz="8" w:color="808080"/>
            </w:tcBorders>
          </w:tcPr>
          <w:p>
            <w:pPr>
              <w:spacing w:after="0"/>
              <w:rPr>
                <w:sz w:val="22"/>
                <w:szCs w:val="22"/>
                <w:color w:val="auto"/>
              </w:rPr>
            </w:pPr>
          </w:p>
        </w:tc>
      </w:tr>
      <w:tr>
        <w:trPr>
          <w:trHeight w:val="211"/>
        </w:trPr>
        <w:tc>
          <w:tcPr>
            <w:tcW w:w="6120" w:type="dxa"/>
            <w:vAlign w:val="bottom"/>
          </w:tcPr>
          <w:p>
            <w:pPr>
              <w:ind w:left="20"/>
              <w:spacing w:after="0"/>
              <w:rPr>
                <w:sz w:val="20"/>
                <w:szCs w:val="20"/>
                <w:color w:val="auto"/>
              </w:rPr>
            </w:pPr>
            <w:r>
              <w:rPr>
                <w:rFonts w:ascii="Arial" w:cs="Arial" w:eastAsia="Arial" w:hAnsi="Arial"/>
                <w:sz w:val="15"/>
                <w:szCs w:val="15"/>
                <w:b w:val="1"/>
                <w:bCs w:val="1"/>
                <w:color w:val="auto"/>
              </w:rPr>
              <w:t xml:space="preserve">The Vanguard Group </w:t>
            </w:r>
            <w:r>
              <w:rPr>
                <w:rFonts w:ascii="Arial" w:cs="Arial" w:eastAsia="Arial" w:hAnsi="Arial"/>
                <w:sz w:val="15"/>
                <w:szCs w:val="15"/>
                <w:color w:val="auto"/>
              </w:rPr>
              <w:t>(Note 1)</w:t>
            </w:r>
          </w:p>
        </w:tc>
        <w:tc>
          <w:tcPr>
            <w:tcW w:w="4100" w:type="dxa"/>
            <w:vAlign w:val="bottom"/>
          </w:tcPr>
          <w:p>
            <w:pPr>
              <w:jc w:val="right"/>
              <w:ind w:right="206"/>
              <w:spacing w:after="0"/>
              <w:rPr>
                <w:sz w:val="20"/>
                <w:szCs w:val="20"/>
                <w:color w:val="auto"/>
              </w:rPr>
            </w:pPr>
            <w:r>
              <w:rPr>
                <w:rFonts w:ascii="Arial" w:cs="Arial" w:eastAsia="Arial" w:hAnsi="Arial"/>
                <w:sz w:val="15"/>
                <w:szCs w:val="15"/>
                <w:b w:val="1"/>
                <w:bCs w:val="1"/>
                <w:color w:val="auto"/>
              </w:rPr>
              <w:t>124,269,894</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12.42 %</w:t>
            </w:r>
          </w:p>
        </w:tc>
      </w:tr>
      <w:tr>
        <w:trPr>
          <w:trHeight w:val="25"/>
        </w:trPr>
        <w:tc>
          <w:tcPr>
            <w:tcW w:w="6120" w:type="dxa"/>
            <w:vAlign w:val="bottom"/>
            <w:tcBorders>
              <w:bottom w:val="single" w:sz="8" w:color="808080"/>
            </w:tcBorders>
          </w:tcPr>
          <w:p>
            <w:pPr>
              <w:spacing w:after="0"/>
              <w:rPr>
                <w:sz w:val="2"/>
                <w:szCs w:val="2"/>
                <w:color w:val="auto"/>
              </w:rPr>
            </w:pPr>
          </w:p>
        </w:tc>
        <w:tc>
          <w:tcPr>
            <w:tcW w:w="4100" w:type="dxa"/>
            <w:vAlign w:val="bottom"/>
            <w:tcBorders>
              <w:bottom w:val="single" w:sz="8" w:color="808080"/>
            </w:tcBorders>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r>
      <w:tr>
        <w:trPr>
          <w:trHeight w:val="203"/>
        </w:trPr>
        <w:tc>
          <w:tcPr>
            <w:tcW w:w="6120" w:type="dxa"/>
            <w:vAlign w:val="bottom"/>
          </w:tcPr>
          <w:p>
            <w:pPr>
              <w:ind w:left="20"/>
              <w:spacing w:after="0"/>
              <w:rPr>
                <w:sz w:val="20"/>
                <w:szCs w:val="20"/>
                <w:color w:val="auto"/>
              </w:rPr>
            </w:pPr>
            <w:r>
              <w:rPr>
                <w:rFonts w:ascii="Arial" w:cs="Arial" w:eastAsia="Arial" w:hAnsi="Arial"/>
                <w:sz w:val="15"/>
                <w:szCs w:val="15"/>
                <w:color w:val="auto"/>
              </w:rPr>
              <w:t>100 Vanguard Blvd., Malvern, PA 19355</w:t>
            </w:r>
          </w:p>
        </w:tc>
        <w:tc>
          <w:tcPr>
            <w:tcW w:w="4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3"/>
        </w:trPr>
        <w:tc>
          <w:tcPr>
            <w:tcW w:w="6120" w:type="dxa"/>
            <w:vAlign w:val="bottom"/>
            <w:tcBorders>
              <w:bottom w:val="single" w:sz="8" w:color="808080"/>
            </w:tcBorders>
          </w:tcPr>
          <w:p>
            <w:pPr>
              <w:spacing w:after="0"/>
              <w:rPr>
                <w:sz w:val="2"/>
                <w:szCs w:val="2"/>
                <w:color w:val="auto"/>
              </w:rPr>
            </w:pPr>
          </w:p>
        </w:tc>
        <w:tc>
          <w:tcPr>
            <w:tcW w:w="4100" w:type="dxa"/>
            <w:vAlign w:val="bottom"/>
            <w:tcBorders>
              <w:bottom w:val="single" w:sz="8" w:color="808080"/>
            </w:tcBorders>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r>
      <w:tr>
        <w:trPr>
          <w:trHeight w:val="250"/>
        </w:trPr>
        <w:tc>
          <w:tcPr>
            <w:tcW w:w="6120" w:type="dxa"/>
            <w:vAlign w:val="bottom"/>
            <w:tcBorders>
              <w:bottom w:val="single" w:sz="8" w:color="808080"/>
            </w:tcBorders>
          </w:tcPr>
          <w:p>
            <w:pPr>
              <w:spacing w:after="0"/>
              <w:rPr>
                <w:sz w:val="21"/>
                <w:szCs w:val="21"/>
                <w:color w:val="auto"/>
              </w:rPr>
            </w:pPr>
          </w:p>
        </w:tc>
        <w:tc>
          <w:tcPr>
            <w:tcW w:w="4100" w:type="dxa"/>
            <w:vAlign w:val="bottom"/>
            <w:tcBorders>
              <w:bottom w:val="single" w:sz="8" w:color="808080"/>
            </w:tcBorders>
          </w:tcPr>
          <w:p>
            <w:pPr>
              <w:spacing w:after="0"/>
              <w:rPr>
                <w:sz w:val="21"/>
                <w:szCs w:val="21"/>
                <w:color w:val="auto"/>
              </w:rPr>
            </w:pPr>
          </w:p>
        </w:tc>
        <w:tc>
          <w:tcPr>
            <w:tcW w:w="1000" w:type="dxa"/>
            <w:vAlign w:val="bottom"/>
            <w:tcBorders>
              <w:bottom w:val="single" w:sz="8" w:color="808080"/>
            </w:tcBorders>
          </w:tcPr>
          <w:p>
            <w:pPr>
              <w:spacing w:after="0"/>
              <w:rPr>
                <w:sz w:val="21"/>
                <w:szCs w:val="21"/>
                <w:color w:val="auto"/>
              </w:rPr>
            </w:pPr>
          </w:p>
        </w:tc>
      </w:tr>
      <w:tr>
        <w:trPr>
          <w:trHeight w:val="212"/>
        </w:trPr>
        <w:tc>
          <w:tcPr>
            <w:tcW w:w="6120" w:type="dxa"/>
            <w:vAlign w:val="bottom"/>
          </w:tcPr>
          <w:p>
            <w:pPr>
              <w:ind w:left="20"/>
              <w:spacing w:after="0"/>
              <w:rPr>
                <w:sz w:val="20"/>
                <w:szCs w:val="20"/>
                <w:color w:val="auto"/>
              </w:rPr>
            </w:pPr>
            <w:r>
              <w:rPr>
                <w:rFonts w:ascii="Arial" w:cs="Arial" w:eastAsia="Arial" w:hAnsi="Arial"/>
                <w:sz w:val="15"/>
                <w:szCs w:val="15"/>
                <w:b w:val="1"/>
                <w:bCs w:val="1"/>
                <w:color w:val="auto"/>
              </w:rPr>
              <w:t xml:space="preserve">BlackRock, Inc. </w:t>
            </w:r>
            <w:r>
              <w:rPr>
                <w:rFonts w:ascii="Arial" w:cs="Arial" w:eastAsia="Arial" w:hAnsi="Arial"/>
                <w:sz w:val="15"/>
                <w:szCs w:val="15"/>
                <w:color w:val="auto"/>
              </w:rPr>
              <w:t>(Note 2)</w:t>
            </w:r>
          </w:p>
        </w:tc>
        <w:tc>
          <w:tcPr>
            <w:tcW w:w="4100" w:type="dxa"/>
            <w:vAlign w:val="bottom"/>
          </w:tcPr>
          <w:p>
            <w:pPr>
              <w:jc w:val="right"/>
              <w:ind w:right="206"/>
              <w:spacing w:after="0"/>
              <w:rPr>
                <w:sz w:val="20"/>
                <w:szCs w:val="20"/>
                <w:color w:val="auto"/>
              </w:rPr>
            </w:pPr>
            <w:r>
              <w:rPr>
                <w:rFonts w:ascii="Arial" w:cs="Arial" w:eastAsia="Arial" w:hAnsi="Arial"/>
                <w:sz w:val="15"/>
                <w:szCs w:val="15"/>
                <w:b w:val="1"/>
                <w:bCs w:val="1"/>
                <w:color w:val="auto"/>
              </w:rPr>
              <w:t>100,552,664</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10.10 %</w:t>
            </w:r>
          </w:p>
        </w:tc>
      </w:tr>
      <w:tr>
        <w:trPr>
          <w:trHeight w:val="25"/>
        </w:trPr>
        <w:tc>
          <w:tcPr>
            <w:tcW w:w="6120" w:type="dxa"/>
            <w:vAlign w:val="bottom"/>
            <w:tcBorders>
              <w:bottom w:val="single" w:sz="8" w:color="808080"/>
            </w:tcBorders>
          </w:tcPr>
          <w:p>
            <w:pPr>
              <w:spacing w:after="0"/>
              <w:rPr>
                <w:sz w:val="2"/>
                <w:szCs w:val="2"/>
                <w:color w:val="auto"/>
              </w:rPr>
            </w:pPr>
          </w:p>
        </w:tc>
        <w:tc>
          <w:tcPr>
            <w:tcW w:w="4100" w:type="dxa"/>
            <w:vAlign w:val="bottom"/>
            <w:tcBorders>
              <w:bottom w:val="single" w:sz="8" w:color="808080"/>
            </w:tcBorders>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r>
      <w:tr>
        <w:trPr>
          <w:trHeight w:val="204"/>
        </w:trPr>
        <w:tc>
          <w:tcPr>
            <w:tcW w:w="6120" w:type="dxa"/>
            <w:vAlign w:val="bottom"/>
          </w:tcPr>
          <w:p>
            <w:pPr>
              <w:ind w:left="20"/>
              <w:spacing w:after="0"/>
              <w:rPr>
                <w:sz w:val="20"/>
                <w:szCs w:val="20"/>
                <w:color w:val="auto"/>
              </w:rPr>
            </w:pPr>
            <w:r>
              <w:rPr>
                <w:rFonts w:ascii="Arial" w:cs="Arial" w:eastAsia="Arial" w:hAnsi="Arial"/>
                <w:sz w:val="15"/>
                <w:szCs w:val="15"/>
                <w:color w:val="auto"/>
              </w:rPr>
              <w:t>50 Hudson Yards, New York, NY 10001</w:t>
            </w:r>
          </w:p>
        </w:tc>
        <w:tc>
          <w:tcPr>
            <w:tcW w:w="4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3"/>
        </w:trPr>
        <w:tc>
          <w:tcPr>
            <w:tcW w:w="6120" w:type="dxa"/>
            <w:vAlign w:val="bottom"/>
            <w:tcBorders>
              <w:bottom w:val="single" w:sz="8" w:color="808080"/>
            </w:tcBorders>
          </w:tcPr>
          <w:p>
            <w:pPr>
              <w:spacing w:after="0"/>
              <w:rPr>
                <w:sz w:val="2"/>
                <w:szCs w:val="2"/>
                <w:color w:val="auto"/>
              </w:rPr>
            </w:pPr>
          </w:p>
        </w:tc>
        <w:tc>
          <w:tcPr>
            <w:tcW w:w="4100" w:type="dxa"/>
            <w:vAlign w:val="bottom"/>
            <w:tcBorders>
              <w:bottom w:val="single" w:sz="8" w:color="808080"/>
            </w:tcBorders>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r>
      <w:tr>
        <w:trPr>
          <w:trHeight w:val="250"/>
        </w:trPr>
        <w:tc>
          <w:tcPr>
            <w:tcW w:w="6120" w:type="dxa"/>
            <w:vAlign w:val="bottom"/>
            <w:tcBorders>
              <w:bottom w:val="single" w:sz="8" w:color="808080"/>
            </w:tcBorders>
          </w:tcPr>
          <w:p>
            <w:pPr>
              <w:spacing w:after="0"/>
              <w:rPr>
                <w:sz w:val="21"/>
                <w:szCs w:val="21"/>
                <w:color w:val="auto"/>
              </w:rPr>
            </w:pPr>
          </w:p>
        </w:tc>
        <w:tc>
          <w:tcPr>
            <w:tcW w:w="4100" w:type="dxa"/>
            <w:vAlign w:val="bottom"/>
            <w:tcBorders>
              <w:bottom w:val="single" w:sz="8" w:color="808080"/>
            </w:tcBorders>
          </w:tcPr>
          <w:p>
            <w:pPr>
              <w:spacing w:after="0"/>
              <w:rPr>
                <w:sz w:val="21"/>
                <w:szCs w:val="21"/>
                <w:color w:val="auto"/>
              </w:rPr>
            </w:pPr>
          </w:p>
        </w:tc>
        <w:tc>
          <w:tcPr>
            <w:tcW w:w="1000" w:type="dxa"/>
            <w:vAlign w:val="bottom"/>
            <w:tcBorders>
              <w:bottom w:val="single" w:sz="8" w:color="808080"/>
            </w:tcBorders>
          </w:tcPr>
          <w:p>
            <w:pPr>
              <w:spacing w:after="0"/>
              <w:rPr>
                <w:sz w:val="21"/>
                <w:szCs w:val="21"/>
                <w:color w:val="auto"/>
              </w:rPr>
            </w:pPr>
          </w:p>
        </w:tc>
      </w:tr>
      <w:tr>
        <w:trPr>
          <w:trHeight w:val="211"/>
        </w:trPr>
        <w:tc>
          <w:tcPr>
            <w:tcW w:w="6120" w:type="dxa"/>
            <w:vAlign w:val="bottom"/>
          </w:tcPr>
          <w:p>
            <w:pPr>
              <w:ind w:left="20"/>
              <w:spacing w:after="0"/>
              <w:rPr>
                <w:sz w:val="20"/>
                <w:szCs w:val="20"/>
                <w:color w:val="auto"/>
              </w:rPr>
            </w:pPr>
            <w:r>
              <w:rPr>
                <w:rFonts w:ascii="Arial" w:cs="Arial" w:eastAsia="Arial" w:hAnsi="Arial"/>
                <w:sz w:val="15"/>
                <w:szCs w:val="15"/>
                <w:b w:val="1"/>
                <w:bCs w:val="1"/>
                <w:color w:val="auto"/>
              </w:rPr>
              <w:t xml:space="preserve">State Street Corporation </w:t>
            </w:r>
            <w:r>
              <w:rPr>
                <w:rFonts w:ascii="Arial" w:cs="Arial" w:eastAsia="Arial" w:hAnsi="Arial"/>
                <w:sz w:val="15"/>
                <w:szCs w:val="15"/>
                <w:color w:val="auto"/>
              </w:rPr>
              <w:t>(Note 3)</w:t>
            </w:r>
          </w:p>
        </w:tc>
        <w:tc>
          <w:tcPr>
            <w:tcW w:w="4100" w:type="dxa"/>
            <w:vAlign w:val="bottom"/>
          </w:tcPr>
          <w:p>
            <w:pPr>
              <w:jc w:val="right"/>
              <w:ind w:right="206"/>
              <w:spacing w:after="0"/>
              <w:rPr>
                <w:sz w:val="20"/>
                <w:szCs w:val="20"/>
                <w:color w:val="auto"/>
              </w:rPr>
            </w:pPr>
            <w:r>
              <w:rPr>
                <w:rFonts w:ascii="Arial" w:cs="Arial" w:eastAsia="Arial" w:hAnsi="Arial"/>
                <w:sz w:val="15"/>
                <w:szCs w:val="15"/>
                <w:b w:val="1"/>
                <w:bCs w:val="1"/>
                <w:color w:val="auto"/>
              </w:rPr>
              <w:t>62,628,342</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6.30 %</w:t>
            </w:r>
          </w:p>
        </w:tc>
      </w:tr>
      <w:tr>
        <w:trPr>
          <w:trHeight w:val="25"/>
        </w:trPr>
        <w:tc>
          <w:tcPr>
            <w:tcW w:w="6120" w:type="dxa"/>
            <w:vAlign w:val="bottom"/>
            <w:tcBorders>
              <w:bottom w:val="single" w:sz="8" w:color="808080"/>
            </w:tcBorders>
          </w:tcPr>
          <w:p>
            <w:pPr>
              <w:spacing w:after="0"/>
              <w:rPr>
                <w:sz w:val="2"/>
                <w:szCs w:val="2"/>
                <w:color w:val="auto"/>
              </w:rPr>
            </w:pPr>
          </w:p>
        </w:tc>
        <w:tc>
          <w:tcPr>
            <w:tcW w:w="4100" w:type="dxa"/>
            <w:vAlign w:val="bottom"/>
            <w:tcBorders>
              <w:bottom w:val="single" w:sz="8" w:color="808080"/>
            </w:tcBorders>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r>
      <w:tr>
        <w:trPr>
          <w:trHeight w:val="203"/>
        </w:trPr>
        <w:tc>
          <w:tcPr>
            <w:tcW w:w="6120" w:type="dxa"/>
            <w:vAlign w:val="bottom"/>
          </w:tcPr>
          <w:p>
            <w:pPr>
              <w:ind w:left="20"/>
              <w:spacing w:after="0"/>
              <w:rPr>
                <w:sz w:val="20"/>
                <w:szCs w:val="20"/>
                <w:color w:val="auto"/>
              </w:rPr>
            </w:pPr>
            <w:r>
              <w:rPr>
                <w:rFonts w:ascii="Arial" w:cs="Arial" w:eastAsia="Arial" w:hAnsi="Arial"/>
                <w:sz w:val="15"/>
                <w:szCs w:val="15"/>
                <w:color w:val="auto"/>
              </w:rPr>
              <w:t>1 Congress Street, Suite 1, Boston, MA 02114</w:t>
            </w:r>
          </w:p>
        </w:tc>
        <w:tc>
          <w:tcPr>
            <w:tcW w:w="4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3"/>
        </w:trPr>
        <w:tc>
          <w:tcPr>
            <w:tcW w:w="6120" w:type="dxa"/>
            <w:vAlign w:val="bottom"/>
            <w:tcBorders>
              <w:bottom w:val="single" w:sz="8" w:color="808080"/>
            </w:tcBorders>
          </w:tcPr>
          <w:p>
            <w:pPr>
              <w:spacing w:after="0"/>
              <w:rPr>
                <w:sz w:val="2"/>
                <w:szCs w:val="2"/>
                <w:color w:val="auto"/>
              </w:rPr>
            </w:pPr>
          </w:p>
        </w:tc>
        <w:tc>
          <w:tcPr>
            <w:tcW w:w="4100" w:type="dxa"/>
            <w:vAlign w:val="bottom"/>
            <w:tcBorders>
              <w:bottom w:val="single" w:sz="8" w:color="808080"/>
            </w:tcBorders>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r>
    </w:tbl>
    <w:p>
      <w:pPr>
        <w:spacing w:after="0" w:line="175" w:lineRule="exact"/>
        <w:rPr>
          <w:sz w:val="20"/>
          <w:szCs w:val="20"/>
          <w:color w:val="auto"/>
        </w:rPr>
      </w:pPr>
    </w:p>
    <w:p>
      <w:pPr>
        <w:ind w:left="260" w:right="440" w:hanging="252"/>
        <w:spacing w:after="0" w:line="321" w:lineRule="auto"/>
        <w:tabs>
          <w:tab w:leader="none" w:pos="263" w:val="left"/>
        </w:tabs>
        <w:numPr>
          <w:ilvl w:val="0"/>
          <w:numId w:val="158"/>
        </w:numPr>
        <w:rPr>
          <w:rFonts w:ascii="Arial" w:cs="Arial" w:eastAsia="Arial" w:hAnsi="Arial"/>
          <w:sz w:val="8"/>
          <w:szCs w:val="8"/>
          <w:color w:val="auto"/>
        </w:rPr>
      </w:pPr>
      <w:r>
        <w:rPr>
          <w:rFonts w:ascii="Arial" w:cs="Arial" w:eastAsia="Arial" w:hAnsi="Arial"/>
          <w:sz w:val="16"/>
          <w:szCs w:val="16"/>
          <w:color w:val="auto"/>
        </w:rPr>
        <w:t>The Vanguard Group disclosed in its Schedule 13G/A that it has sole voting power over 0 shares, shared voting power over 1,776,336 shares, sole dispositive power over 119,062,489 shares, and shared dispositive power over 5,207,405 shares.</w:t>
      </w:r>
    </w:p>
    <w:p>
      <w:pPr>
        <w:spacing w:after="0" w:line="7" w:lineRule="exact"/>
        <w:rPr>
          <w:rFonts w:ascii="Arial" w:cs="Arial" w:eastAsia="Arial" w:hAnsi="Arial"/>
          <w:sz w:val="8"/>
          <w:szCs w:val="8"/>
          <w:color w:val="auto"/>
        </w:rPr>
      </w:pPr>
    </w:p>
    <w:p>
      <w:pPr>
        <w:ind w:left="260" w:right="760" w:hanging="252"/>
        <w:spacing w:after="0" w:line="304" w:lineRule="auto"/>
        <w:tabs>
          <w:tab w:leader="none" w:pos="249" w:val="left"/>
        </w:tabs>
        <w:numPr>
          <w:ilvl w:val="0"/>
          <w:numId w:val="158"/>
        </w:numPr>
        <w:rPr>
          <w:rFonts w:ascii="Arial" w:cs="Arial" w:eastAsia="Arial" w:hAnsi="Arial"/>
          <w:sz w:val="8"/>
          <w:szCs w:val="8"/>
          <w:color w:val="auto"/>
        </w:rPr>
      </w:pPr>
      <w:r>
        <w:rPr>
          <w:rFonts w:ascii="Arial" w:cs="Arial" w:eastAsia="Arial" w:hAnsi="Arial"/>
          <w:sz w:val="16"/>
          <w:szCs w:val="16"/>
          <w:color w:val="auto"/>
        </w:rPr>
        <w:t>BlackRock, Inc. disclosed in its Schedule 13G/A that it has sole voting power over 90,088,134 shares, shared voting power over 0 shares, sole dispositive power over 100,552,664 shares, and shared dispositive power over 0 shares.</w:t>
      </w:r>
    </w:p>
    <w:p>
      <w:pPr>
        <w:spacing w:after="0" w:line="19" w:lineRule="exact"/>
        <w:rPr>
          <w:rFonts w:ascii="Arial" w:cs="Arial" w:eastAsia="Arial" w:hAnsi="Arial"/>
          <w:sz w:val="8"/>
          <w:szCs w:val="8"/>
          <w:color w:val="auto"/>
        </w:rPr>
      </w:pPr>
    </w:p>
    <w:p>
      <w:pPr>
        <w:ind w:left="260" w:right="140" w:hanging="252"/>
        <w:spacing w:after="0" w:line="321" w:lineRule="auto"/>
        <w:tabs>
          <w:tab w:leader="none" w:pos="249" w:val="left"/>
        </w:tabs>
        <w:numPr>
          <w:ilvl w:val="0"/>
          <w:numId w:val="158"/>
        </w:numPr>
        <w:rPr>
          <w:rFonts w:ascii="Arial" w:cs="Arial" w:eastAsia="Arial" w:hAnsi="Arial"/>
          <w:sz w:val="8"/>
          <w:szCs w:val="8"/>
          <w:color w:val="auto"/>
        </w:rPr>
      </w:pPr>
      <w:r>
        <w:rPr>
          <w:rFonts w:ascii="Arial" w:cs="Arial" w:eastAsia="Arial" w:hAnsi="Arial"/>
          <w:sz w:val="16"/>
          <w:szCs w:val="16"/>
          <w:color w:val="auto"/>
        </w:rPr>
        <w:t>State Street Corporation disclosed in its Schedule 13G/A that it has sole voting power over 0 shares, shared voting power over 37,353,100 shares, sole dispositive power over 0 shares, and shared dispositive power over 62,628,342 shares.</w:t>
      </w:r>
    </w:p>
    <w:p>
      <w:pPr>
        <w:spacing w:after="0" w:line="200" w:lineRule="exact"/>
        <w:rPr>
          <w:sz w:val="20"/>
          <w:szCs w:val="20"/>
          <w:color w:val="auto"/>
        </w:rPr>
      </w:pPr>
    </w:p>
    <w:p>
      <w:pPr>
        <w:spacing w:after="0" w:line="339" w:lineRule="exact"/>
        <w:rPr>
          <w:sz w:val="20"/>
          <w:szCs w:val="20"/>
          <w:color w:val="auto"/>
        </w:rPr>
      </w:pPr>
    </w:p>
    <w:p>
      <w:pPr>
        <w:ind w:left="480" w:hanging="454"/>
        <w:spacing w:after="0"/>
        <w:tabs>
          <w:tab w:leader="none" w:pos="480" w:val="left"/>
        </w:tabs>
        <w:numPr>
          <w:ilvl w:val="0"/>
          <w:numId w:val="159"/>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spacing w:after="0"/>
        <w:rPr>
          <w:sz w:val="20"/>
          <w:szCs w:val="20"/>
          <w:color w:val="auto"/>
        </w:rPr>
      </w:pPr>
      <w:r>
        <w:rPr>
          <w:rFonts w:ascii="Arial" w:cs="Arial" w:eastAsia="Arial" w:hAnsi="Arial"/>
          <w:sz w:val="41"/>
          <w:szCs w:val="41"/>
          <w:color w:val="170D67"/>
        </w:rPr>
        <w:t xml:space="preserve">Additional </w:t>
      </w:r>
      <w:r>
        <w:rPr>
          <w:rFonts w:ascii="Arial" w:cs="Arial" w:eastAsia="Arial" w:hAnsi="Arial"/>
          <w:sz w:val="41"/>
          <w:szCs w:val="41"/>
          <w:b w:val="1"/>
          <w:bCs w:val="1"/>
          <w:color w:val="170D67"/>
        </w:rPr>
        <w:t>Information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Availability of Corporate Documents</w:t>
      </w:r>
    </w:p>
    <w:p>
      <w:pPr>
        <w:spacing w:after="0" w:line="126" w:lineRule="exact"/>
        <w:rPr>
          <w:sz w:val="20"/>
          <w:szCs w:val="20"/>
          <w:color w:val="auto"/>
        </w:rPr>
      </w:pPr>
    </w:p>
    <w:p>
      <w:pPr>
        <w:ind w:right="460"/>
        <w:spacing w:after="0" w:line="283" w:lineRule="auto"/>
        <w:rPr>
          <w:sz w:val="20"/>
          <w:szCs w:val="20"/>
          <w:color w:val="auto"/>
        </w:rPr>
      </w:pPr>
      <w:r>
        <w:rPr>
          <w:rFonts w:ascii="Arial" w:cs="Arial" w:eastAsia="Arial" w:hAnsi="Arial"/>
          <w:sz w:val="16"/>
          <w:szCs w:val="16"/>
          <w:color w:val="auto"/>
        </w:rPr>
        <w:t xml:space="preserve">The Exelon Corporate Governance Principles, the Exelon Code of Business Conduct, the Exelon Amended and Restated Bylaws, and the charters for each of the standing Committees of the Board of Directors are available on the Exelon website at </w:t>
      </w:r>
      <w:r>
        <w:rPr>
          <w:rFonts w:ascii="Arial" w:cs="Arial" w:eastAsia="Arial" w:hAnsi="Arial"/>
          <w:sz w:val="16"/>
          <w:szCs w:val="16"/>
          <w:b w:val="1"/>
          <w:bCs w:val="1"/>
          <w:color w:val="auto"/>
        </w:rPr>
        <w:t>www.exeloncorp.com</w:t>
      </w:r>
      <w:r>
        <w:rPr>
          <w:rFonts w:ascii="Arial" w:cs="Arial" w:eastAsia="Arial" w:hAnsi="Arial"/>
          <w:sz w:val="16"/>
          <w:szCs w:val="16"/>
          <w:color w:val="auto"/>
        </w:rPr>
        <w:t>. Copies are available without charge to any shareholder who requests them by writing to the Corporate Secretary at the address noted below. In addition, our political contributions guidelines, biographical information concerning each Director, and all our filings submitted to the SEC are also available on our website.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Shareholder Proposals</w:t>
      </w:r>
    </w:p>
    <w:p>
      <w:pPr>
        <w:spacing w:after="0" w:line="112" w:lineRule="exact"/>
        <w:rPr>
          <w:sz w:val="20"/>
          <w:szCs w:val="20"/>
          <w:color w:val="auto"/>
        </w:rPr>
      </w:pPr>
    </w:p>
    <w:p>
      <w:pPr>
        <w:ind w:right="300"/>
        <w:spacing w:after="0" w:line="292" w:lineRule="auto"/>
        <w:rPr>
          <w:sz w:val="20"/>
          <w:szCs w:val="20"/>
          <w:color w:val="auto"/>
        </w:rPr>
      </w:pPr>
      <w:r>
        <w:rPr>
          <w:rFonts w:ascii="Arial" w:cs="Arial" w:eastAsia="Arial" w:hAnsi="Arial"/>
          <w:sz w:val="16"/>
          <w:szCs w:val="16"/>
          <w:color w:val="auto"/>
        </w:rPr>
        <w:t>Shareholder proposals submitted pursuant to Rule 14a-8 under the Exchange Act must be submitted in writing to the Corporate Secretary at the address noted below. Exelon must receive your proposal no later than November 19, 2025 and the proposal must otherwise comply with Rule 14a-8 under the Exchange Act.</w:t>
      </w:r>
    </w:p>
    <w:p>
      <w:pPr>
        <w:spacing w:after="0" w:line="71"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All other shareholder proposals must be submitted in writing to the Corporate Secretary at the address noted below. Exelon must receive your proposal no earlier than the close of business on October 20, 2025, and no later than the close of business on November 19, 2025. Exelon will consider only proposals meeting the requirements of the applicable requirements outlined in our bylaws. Under our bylaws, the proposal must also disclose fully all ownership interests the proponent has in Exelon and contain a representation as to whether the shareholder has any intention of delivering a proxy statement to the other shareholders of Exelon. We strongly encourage any shareholder interested in submitting a proposal to contact our Corporate Secretary in advance of this deadline to discuss the proposal. Submitting a shareholder proposal does not guarantee that we will include it in our proxy statement. The CGC reviews all shareholder proposals and makes recommendations to the Board for action on such proposals.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Director Recommendations and Nominations</w:t>
      </w:r>
    </w:p>
    <w:p>
      <w:pPr>
        <w:spacing w:after="0" w:line="112" w:lineRule="exact"/>
        <w:rPr>
          <w:sz w:val="20"/>
          <w:szCs w:val="20"/>
          <w:color w:val="auto"/>
        </w:rPr>
      </w:pPr>
    </w:p>
    <w:p>
      <w:pPr>
        <w:jc w:val="both"/>
        <w:ind w:right="100"/>
        <w:spacing w:after="0" w:line="289" w:lineRule="auto"/>
        <w:rPr>
          <w:sz w:val="20"/>
          <w:szCs w:val="20"/>
          <w:color w:val="auto"/>
        </w:rPr>
      </w:pPr>
      <w:r>
        <w:rPr>
          <w:rFonts w:ascii="Arial" w:cs="Arial" w:eastAsia="Arial" w:hAnsi="Arial"/>
          <w:sz w:val="16"/>
          <w:szCs w:val="16"/>
          <w:color w:val="auto"/>
        </w:rPr>
        <w:t>A shareholder who wishes to recommend a candidate (including a self-nomination) to be considered by the CGC for nomination as a Director must submit the recommendation in writing to the Chair of the Corporate Governance Committee c/o the Corporate Secretary at the address noted below. The CGC will consider all recommended candidates and self-nominees when making its recommendation to the full Board of Directors to nominate a slate of Directors for election.</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A shareholder may also use one of two alternative provisions of Exelon’s bylaws to nominate a candidate for election as a director:</w:t>
      </w:r>
    </w:p>
    <w:p>
      <w:pPr>
        <w:spacing w:after="0" w:line="127" w:lineRule="exact"/>
        <w:rPr>
          <w:sz w:val="20"/>
          <w:szCs w:val="20"/>
          <w:color w:val="auto"/>
        </w:rPr>
      </w:pPr>
    </w:p>
    <w:p>
      <w:pPr>
        <w:ind w:left="260" w:hanging="200"/>
        <w:spacing w:after="0" w:line="289" w:lineRule="auto"/>
        <w:tabs>
          <w:tab w:leader="none" w:pos="230" w:val="left"/>
        </w:tabs>
        <w:numPr>
          <w:ilvl w:val="0"/>
          <w:numId w:val="160"/>
        </w:numPr>
        <w:rPr>
          <w:rFonts w:ascii="Arial" w:cs="Arial" w:eastAsia="Arial" w:hAnsi="Arial"/>
          <w:sz w:val="16"/>
          <w:szCs w:val="16"/>
          <w:b w:val="1"/>
          <w:bCs w:val="1"/>
          <w:color w:val="170D67"/>
        </w:rPr>
      </w:pPr>
      <w:r>
        <w:rPr>
          <w:rFonts w:ascii="Arial" w:cs="Arial" w:eastAsia="Arial" w:hAnsi="Arial"/>
          <w:sz w:val="16"/>
          <w:szCs w:val="16"/>
          <w:b w:val="1"/>
          <w:bCs w:val="1"/>
          <w:color w:val="auto"/>
        </w:rPr>
        <w:t xml:space="preserve">Method 1: </w:t>
      </w:r>
      <w:r>
        <w:rPr>
          <w:rFonts w:ascii="Arial" w:cs="Arial" w:eastAsia="Arial" w:hAnsi="Arial"/>
          <w:sz w:val="16"/>
          <w:szCs w:val="16"/>
          <w:color w:val="auto"/>
        </w:rPr>
        <w:t>Notice of the proposed nomination must be received by Exelon no earlier than the close of business on October 20, 2025, and no later than</w:t>
      </w:r>
      <w:r>
        <w:rPr>
          <w:rFonts w:ascii="Arial" w:cs="Arial" w:eastAsia="Arial" w:hAnsi="Arial"/>
          <w:sz w:val="16"/>
          <w:szCs w:val="16"/>
          <w:b w:val="1"/>
          <w:bCs w:val="1"/>
          <w:color w:val="auto"/>
        </w:rPr>
        <w:t xml:space="preserve"> </w:t>
      </w:r>
      <w:r>
        <w:rPr>
          <w:rFonts w:ascii="Arial" w:cs="Arial" w:eastAsia="Arial" w:hAnsi="Arial"/>
          <w:sz w:val="16"/>
          <w:szCs w:val="16"/>
          <w:color w:val="auto"/>
        </w:rPr>
        <w:t>the close of business on November 19, 2025. The notice must include the information required by Exelon’s bylaws. Under this procedure, any shareholder can nominate any number of candidates for director for election at the annual meeting, but the shareholder’s nominees will not be included in Exelon’s proxy statement or form of proxy for the meeting.</w:t>
      </w:r>
    </w:p>
    <w:p>
      <w:pPr>
        <w:spacing w:after="0" w:line="31" w:lineRule="exact"/>
        <w:rPr>
          <w:rFonts w:ascii="Arial" w:cs="Arial" w:eastAsia="Arial" w:hAnsi="Arial"/>
          <w:sz w:val="16"/>
          <w:szCs w:val="16"/>
          <w:b w:val="1"/>
          <w:bCs w:val="1"/>
          <w:color w:val="170D67"/>
        </w:rPr>
      </w:pPr>
    </w:p>
    <w:p>
      <w:pPr>
        <w:ind w:left="260" w:right="40" w:hanging="200"/>
        <w:spacing w:after="0" w:line="284" w:lineRule="auto"/>
        <w:tabs>
          <w:tab w:leader="none" w:pos="230" w:val="left"/>
        </w:tabs>
        <w:numPr>
          <w:ilvl w:val="0"/>
          <w:numId w:val="160"/>
        </w:numPr>
        <w:rPr>
          <w:rFonts w:ascii="Arial" w:cs="Arial" w:eastAsia="Arial" w:hAnsi="Arial"/>
          <w:sz w:val="16"/>
          <w:szCs w:val="16"/>
          <w:b w:val="1"/>
          <w:bCs w:val="1"/>
          <w:color w:val="170D67"/>
        </w:rPr>
      </w:pPr>
      <w:r>
        <w:rPr>
          <w:rFonts w:ascii="Arial" w:cs="Arial" w:eastAsia="Arial" w:hAnsi="Arial"/>
          <w:sz w:val="16"/>
          <w:szCs w:val="16"/>
          <w:b w:val="1"/>
          <w:bCs w:val="1"/>
          <w:color w:val="auto"/>
        </w:rPr>
        <w:t xml:space="preserve">Method 2 (Proxy-Access): </w:t>
      </w:r>
      <w:r>
        <w:rPr>
          <w:rFonts w:ascii="Arial" w:cs="Arial" w:eastAsia="Arial" w:hAnsi="Arial"/>
          <w:sz w:val="16"/>
          <w:szCs w:val="16"/>
          <w:color w:val="auto"/>
        </w:rPr>
        <w:t>Subject to the requirements set forth in the bylaws, any shareholder or group of up to 20 shareholders holding both</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and voting rights with respect to at least 3% of Exelon’s outstanding common stock continuously for at least three years may nominate up to 20% of the Exelon Directors to be elected. The nominating shareholder(s) must provide notice of the proposed nomination and other required information must be received by Exelon no earlier than October 20, 2025, and no later than November 19, 2025. The notice must include the information required under by Exelon’s bylaws. Under this procedure, the shareholder’s nominees will be included in the Exelon proxy statement and the form of proxy for the meeting.</w:t>
      </w:r>
    </w:p>
    <w:p>
      <w:pPr>
        <w:spacing w:after="0" w:line="288"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Exelon will not consider any proposal or nomination that does not comply with the requirements of the SEC and Exelon’s bylaws. Exelon’s bylaws are amended from time to time. Please review the bylaws posted on our website to determine if any changes to the nomination process or requirements have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6960870" cy="57467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960870" cy="574675"/>
                    </a:xfrm>
                    <a:prstGeom prst="rect">
                      <a:avLst/>
                    </a:prstGeom>
                    <a:noFill/>
                  </pic:spPr>
                </pic:pic>
              </a:graphicData>
            </a:graphic>
          </wp:anchor>
        </w:drawing>
      </w:r>
    </w:p>
    <w:p>
      <w:pPr>
        <w:spacing w:after="0" w:line="25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170D67"/>
        </w:rPr>
        <w:t>Contact the Corporate Secretary:</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Exelon Corporation, Attn: Corporate Secretary, 10 South Dearborn Street, P.O. Box 805398, Chicago, Illinois 60680-5398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780"/>
              <w:spacing w:after="0"/>
              <w:rPr>
                <w:sz w:val="20"/>
                <w:szCs w:val="20"/>
                <w:color w:val="auto"/>
              </w:rPr>
            </w:pPr>
            <w:r>
              <w:rPr>
                <w:rFonts w:ascii="Arial" w:cs="Arial" w:eastAsia="Arial" w:hAnsi="Arial"/>
                <w:sz w:val="14"/>
                <w:szCs w:val="14"/>
                <w:color w:val="auto"/>
              </w:rPr>
              <w:t>2025 ׀ Exelon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79</w:t>
            </w:r>
          </w:p>
        </w:tc>
      </w:tr>
      <w:tr>
        <w:trPr>
          <w:trHeight w:val="211"/>
        </w:trPr>
        <w:tc>
          <w:tcPr>
            <w:tcW w:w="109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2" w:right="339" w:bottom="1440" w:gutter="0" w:footer="0" w:header="0"/>
        </w:sectPr>
      </w:pPr>
    </w:p>
    <w:bookmarkStart w:id="83" w:name="page84"/>
    <w:bookmarkEnd w:id="83"/>
    <w:p>
      <w:pPr>
        <w:spacing w:after="0"/>
        <w:rPr>
          <w:sz w:val="20"/>
          <w:szCs w:val="20"/>
          <w:color w:val="auto"/>
        </w:rPr>
      </w:pPr>
      <w:r>
        <w:rPr>
          <w:rFonts w:ascii="Arial" w:cs="Arial" w:eastAsia="Arial" w:hAnsi="Arial"/>
          <w:sz w:val="13"/>
          <w:szCs w:val="13"/>
          <w:b w:val="1"/>
          <w:bCs w:val="1"/>
          <w:color w:val="auto"/>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Voting</w:t>
      </w:r>
    </w:p>
    <w:p>
      <w:pPr>
        <w:spacing w:after="0" w:line="99"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Each share of common stock is entitled to one vote on each matter properly brought before the meeting. Only “shareholders of record” as of the close of business on the record date are entitled to vote at the Annual Meeting. As of the Record Date, there were 1,009,535,632 shares of common stock outstanding and entitled to vote.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Your vote is important. We encourage you to vote promptly. You may vote in the following ways:</w:t>
      </w:r>
    </w:p>
    <w:p>
      <w:pPr>
        <w:spacing w:after="0" w:line="127" w:lineRule="exact"/>
        <w:rPr>
          <w:sz w:val="20"/>
          <w:szCs w:val="20"/>
          <w:color w:val="auto"/>
        </w:rPr>
      </w:pPr>
    </w:p>
    <w:p>
      <w:pPr>
        <w:jc w:val="both"/>
        <w:ind w:left="200" w:right="160" w:hanging="192"/>
        <w:spacing w:after="0" w:line="292" w:lineRule="auto"/>
        <w:tabs>
          <w:tab w:leader="none" w:pos="170" w:val="left"/>
        </w:tabs>
        <w:numPr>
          <w:ilvl w:val="0"/>
          <w:numId w:val="161"/>
        </w:numPr>
        <w:rPr>
          <w:rFonts w:ascii="Arial" w:cs="Arial" w:eastAsia="Arial" w:hAnsi="Arial"/>
          <w:sz w:val="16"/>
          <w:szCs w:val="16"/>
          <w:b w:val="1"/>
          <w:bCs w:val="1"/>
          <w:color w:val="170D67"/>
        </w:rPr>
      </w:pPr>
      <w:r>
        <w:rPr>
          <w:rFonts w:ascii="Arial" w:cs="Arial" w:eastAsia="Arial" w:hAnsi="Arial"/>
          <w:sz w:val="16"/>
          <w:szCs w:val="16"/>
          <w:i w:val="1"/>
          <w:iCs w:val="1"/>
          <w:u w:val="single" w:color="auto"/>
          <w:color w:val="auto"/>
        </w:rPr>
        <w:t>By Internet:</w:t>
      </w:r>
      <w:r>
        <w:rPr>
          <w:rFonts w:ascii="Arial" w:cs="Arial" w:eastAsia="Arial" w:hAnsi="Arial"/>
          <w:sz w:val="16"/>
          <w:szCs w:val="16"/>
          <w:i w:val="1"/>
          <w:iCs w:val="1"/>
          <w:color w:val="auto"/>
        </w:rPr>
        <w:t xml:space="preserve"> </w:t>
      </w:r>
      <w:r>
        <w:rPr>
          <w:rFonts w:ascii="Arial" w:cs="Arial" w:eastAsia="Arial" w:hAnsi="Arial"/>
          <w:sz w:val="16"/>
          <w:szCs w:val="16"/>
          <w:color w:val="auto"/>
        </w:rPr>
        <w:t>If you have internet access, you may vote by internet. You will need the control number included on your Notice Regarding the Availability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Proxy Materials, proxy card or voting instruction form, as applicable. You may vote in a secure manner at </w:t>
      </w:r>
      <w:r>
        <w:rPr>
          <w:rFonts w:ascii="Arial" w:cs="Arial" w:eastAsia="Arial" w:hAnsi="Arial"/>
          <w:sz w:val="16"/>
          <w:szCs w:val="16"/>
          <w:b w:val="1"/>
          <w:bCs w:val="1"/>
          <w:color w:val="auto"/>
        </w:rPr>
        <w:t>www.proxyvote.com</w:t>
      </w:r>
      <w:r>
        <w:rPr>
          <w:rFonts w:ascii="Arial" w:cs="Arial" w:eastAsia="Arial" w:hAnsi="Arial"/>
          <w:sz w:val="16"/>
          <w:szCs w:val="16"/>
          <w:color w:val="auto"/>
        </w:rPr>
        <w:t xml:space="preserve"> 24 hours a day. You will be able to confirm that the system has properly recorded your votes, and you do not need to return your proxy card or voting instruction form.</w:t>
      </w:r>
    </w:p>
    <w:p>
      <w:pPr>
        <w:spacing w:after="0" w:line="30" w:lineRule="exact"/>
        <w:rPr>
          <w:rFonts w:ascii="Arial" w:cs="Arial" w:eastAsia="Arial" w:hAnsi="Arial"/>
          <w:sz w:val="16"/>
          <w:szCs w:val="16"/>
          <w:b w:val="1"/>
          <w:bCs w:val="1"/>
          <w:color w:val="170D67"/>
        </w:rPr>
      </w:pPr>
    </w:p>
    <w:p>
      <w:pPr>
        <w:ind w:left="200" w:right="240" w:hanging="192"/>
        <w:spacing w:after="0" w:line="289" w:lineRule="auto"/>
        <w:tabs>
          <w:tab w:leader="none" w:pos="170" w:val="left"/>
        </w:tabs>
        <w:numPr>
          <w:ilvl w:val="0"/>
          <w:numId w:val="161"/>
        </w:numPr>
        <w:rPr>
          <w:rFonts w:ascii="Arial" w:cs="Arial" w:eastAsia="Arial" w:hAnsi="Arial"/>
          <w:sz w:val="16"/>
          <w:szCs w:val="16"/>
          <w:b w:val="1"/>
          <w:bCs w:val="1"/>
          <w:color w:val="170D67"/>
        </w:rPr>
      </w:pPr>
      <w:r>
        <w:rPr>
          <w:rFonts w:ascii="Arial" w:cs="Arial" w:eastAsia="Arial" w:hAnsi="Arial"/>
          <w:sz w:val="16"/>
          <w:szCs w:val="16"/>
          <w:i w:val="1"/>
          <w:iCs w:val="1"/>
          <w:u w:val="single" w:color="auto"/>
          <w:color w:val="auto"/>
        </w:rPr>
        <w:t>By Telephone:</w:t>
      </w:r>
      <w:r>
        <w:rPr>
          <w:rFonts w:ascii="Arial" w:cs="Arial" w:eastAsia="Arial" w:hAnsi="Arial"/>
          <w:sz w:val="16"/>
          <w:szCs w:val="16"/>
          <w:i w:val="1"/>
          <w:iCs w:val="1"/>
          <w:color w:val="auto"/>
        </w:rPr>
        <w:t xml:space="preserve"> </w:t>
      </w:r>
      <w:r>
        <w:rPr>
          <w:rFonts w:ascii="Arial" w:cs="Arial" w:eastAsia="Arial" w:hAnsi="Arial"/>
          <w:sz w:val="16"/>
          <w:szCs w:val="16"/>
          <w:color w:val="auto"/>
        </w:rPr>
        <w:t>If you are in the U.S. or Canada, you can vote by calling</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1-800-690-6903</w:t>
      </w:r>
      <w:r>
        <w:rPr>
          <w:rFonts w:ascii="Arial" w:cs="Arial" w:eastAsia="Arial" w:hAnsi="Arial"/>
          <w:sz w:val="16"/>
          <w:szCs w:val="16"/>
          <w:i w:val="1"/>
          <w:iCs w:val="1"/>
          <w:color w:val="auto"/>
        </w:rPr>
        <w:t xml:space="preserve"> </w:t>
      </w:r>
      <w:r>
        <w:rPr>
          <w:rFonts w:ascii="Arial" w:cs="Arial" w:eastAsia="Arial" w:hAnsi="Arial"/>
          <w:sz w:val="16"/>
          <w:szCs w:val="16"/>
          <w:color w:val="auto"/>
        </w:rPr>
        <w:t>(toll free) and following the recorded instructions. You will need</w:t>
      </w:r>
      <w:r>
        <w:rPr>
          <w:rFonts w:ascii="Arial" w:cs="Arial" w:eastAsia="Arial" w:hAnsi="Arial"/>
          <w:sz w:val="16"/>
          <w:szCs w:val="16"/>
          <w:i w:val="1"/>
          <w:iCs w:val="1"/>
          <w:color w:val="auto"/>
        </w:rPr>
        <w:t xml:space="preserve"> </w:t>
      </w:r>
      <w:r>
        <w:rPr>
          <w:rFonts w:ascii="Arial" w:cs="Arial" w:eastAsia="Arial" w:hAnsi="Arial"/>
          <w:sz w:val="16"/>
          <w:szCs w:val="16"/>
          <w:color w:val="auto"/>
        </w:rPr>
        <w:t>the control number included on your Notice Regarding the Availability of Proxy Materials, proxy card or voting instruction form (VIF), as applicable. You may vote by telephone 24 hours a day. The telephone voting system has easy-to-follow instructions and allows you to confirm that the system has properly recorded your votes. If you vote by telephone, you do not need to return your proxy card or your VIF.</w:t>
      </w:r>
    </w:p>
    <w:p>
      <w:pPr>
        <w:spacing w:after="0" w:line="31" w:lineRule="exact"/>
        <w:rPr>
          <w:rFonts w:ascii="Arial" w:cs="Arial" w:eastAsia="Arial" w:hAnsi="Arial"/>
          <w:sz w:val="16"/>
          <w:szCs w:val="16"/>
          <w:b w:val="1"/>
          <w:bCs w:val="1"/>
          <w:color w:val="170D67"/>
        </w:rPr>
      </w:pPr>
    </w:p>
    <w:p>
      <w:pPr>
        <w:ind w:left="200" w:right="20" w:hanging="192"/>
        <w:spacing w:after="0" w:line="292" w:lineRule="auto"/>
        <w:tabs>
          <w:tab w:leader="none" w:pos="170" w:val="left"/>
        </w:tabs>
        <w:numPr>
          <w:ilvl w:val="0"/>
          <w:numId w:val="161"/>
        </w:numPr>
        <w:rPr>
          <w:rFonts w:ascii="Arial" w:cs="Arial" w:eastAsia="Arial" w:hAnsi="Arial"/>
          <w:sz w:val="16"/>
          <w:szCs w:val="16"/>
          <w:b w:val="1"/>
          <w:bCs w:val="1"/>
          <w:color w:val="170D67"/>
        </w:rPr>
      </w:pPr>
      <w:r>
        <w:rPr>
          <w:rFonts w:ascii="Arial" w:cs="Arial" w:eastAsia="Arial" w:hAnsi="Arial"/>
          <w:sz w:val="16"/>
          <w:szCs w:val="16"/>
          <w:i w:val="1"/>
          <w:iCs w:val="1"/>
          <w:u w:val="single" w:color="auto"/>
          <w:color w:val="auto"/>
        </w:rPr>
        <w:t>By Mail:</w:t>
      </w:r>
      <w:r>
        <w:rPr>
          <w:rFonts w:ascii="Arial" w:cs="Arial" w:eastAsia="Arial" w:hAnsi="Arial"/>
          <w:sz w:val="16"/>
          <w:szCs w:val="16"/>
          <w:i w:val="1"/>
          <w:iCs w:val="1"/>
          <w:color w:val="auto"/>
        </w:rPr>
        <w:t xml:space="preserve"> </w:t>
      </w:r>
      <w:r>
        <w:rPr>
          <w:rFonts w:ascii="Arial" w:cs="Arial" w:eastAsia="Arial" w:hAnsi="Arial"/>
          <w:sz w:val="16"/>
          <w:szCs w:val="16"/>
          <w:color w:val="auto"/>
        </w:rPr>
        <w:t>If you are a holder of record and received a full paper set of materials, you can vote by marking, dating, and signing your proxy card and returning</w:t>
      </w:r>
      <w:r>
        <w:rPr>
          <w:rFonts w:ascii="Arial" w:cs="Arial" w:eastAsia="Arial" w:hAnsi="Arial"/>
          <w:sz w:val="16"/>
          <w:szCs w:val="16"/>
          <w:i w:val="1"/>
          <w:iCs w:val="1"/>
          <w:color w:val="auto"/>
        </w:rPr>
        <w:t xml:space="preserve"> </w:t>
      </w:r>
      <w:r>
        <w:rPr>
          <w:rFonts w:ascii="Arial" w:cs="Arial" w:eastAsia="Arial" w:hAnsi="Arial"/>
          <w:sz w:val="16"/>
          <w:szCs w:val="16"/>
          <w:color w:val="auto"/>
        </w:rPr>
        <w:t>it by mail in the postage-paid envelope provided. If you are a beneficial holder of shares held of record by a bank or broker or other street name, please complete and mail the voting instruction form provided by the holder of record.</w:t>
      </w:r>
    </w:p>
    <w:p>
      <w:pPr>
        <w:spacing w:after="0" w:line="30" w:lineRule="exact"/>
        <w:rPr>
          <w:rFonts w:ascii="Arial" w:cs="Arial" w:eastAsia="Arial" w:hAnsi="Arial"/>
          <w:sz w:val="16"/>
          <w:szCs w:val="16"/>
          <w:b w:val="1"/>
          <w:bCs w:val="1"/>
          <w:color w:val="170D67"/>
        </w:rPr>
      </w:pPr>
    </w:p>
    <w:p>
      <w:pPr>
        <w:ind w:left="180" w:hanging="172"/>
        <w:spacing w:after="0"/>
        <w:tabs>
          <w:tab w:leader="none" w:pos="180" w:val="left"/>
        </w:tabs>
        <w:numPr>
          <w:ilvl w:val="0"/>
          <w:numId w:val="161"/>
        </w:numPr>
        <w:rPr>
          <w:rFonts w:ascii="Arial" w:cs="Arial" w:eastAsia="Arial" w:hAnsi="Arial"/>
          <w:sz w:val="16"/>
          <w:szCs w:val="16"/>
          <w:b w:val="1"/>
          <w:bCs w:val="1"/>
          <w:color w:val="170D67"/>
        </w:rPr>
      </w:pPr>
      <w:r>
        <w:rPr>
          <w:rFonts w:ascii="Arial" w:cs="Arial" w:eastAsia="Arial" w:hAnsi="Arial"/>
          <w:sz w:val="16"/>
          <w:szCs w:val="16"/>
          <w:i w:val="1"/>
          <w:iCs w:val="1"/>
          <w:u w:val="single" w:color="auto"/>
          <w:color w:val="auto"/>
        </w:rPr>
        <w:t>Online during the Annual Meeting:</w:t>
      </w:r>
      <w:r>
        <w:rPr>
          <w:rFonts w:ascii="Arial" w:cs="Arial" w:eastAsia="Arial" w:hAnsi="Arial"/>
          <w:sz w:val="16"/>
          <w:szCs w:val="16"/>
          <w:i w:val="1"/>
          <w:iCs w:val="1"/>
          <w:color w:val="auto"/>
        </w:rPr>
        <w:t xml:space="preserve"> </w:t>
      </w:r>
      <w:r>
        <w:rPr>
          <w:rFonts w:ascii="Arial" w:cs="Arial" w:eastAsia="Arial" w:hAnsi="Arial"/>
          <w:sz w:val="16"/>
          <w:szCs w:val="16"/>
          <w:color w:val="auto"/>
        </w:rPr>
        <w:t>If you attend the virtual Annual Meeting, you may vote online during the meeting prior to the closing of the polls.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Quorum</w:t>
      </w:r>
    </w:p>
    <w:p>
      <w:pPr>
        <w:spacing w:after="0" w:line="11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Holders of a majority of the votes that all shareholders are entitled to cast on a matter to be acted upon at the Annual Meeting must be present at the Annual Meeting or represented by proxy for the transaction of business. This is called a quorum. Shareholders may be present virtually or may be represented by proxy. Abstentions that are marked on the proxy form and broker non-votes are included for the purpose of determining a quorum but shares that otherwise are not voted are not counted toward a quorum.</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Voting Standards</w:t>
      </w:r>
    </w:p>
    <w:p>
      <w:pPr>
        <w:spacing w:after="0" w:line="112" w:lineRule="exact"/>
        <w:rPr>
          <w:sz w:val="20"/>
          <w:szCs w:val="20"/>
          <w:color w:val="auto"/>
        </w:rPr>
      </w:pPr>
    </w:p>
    <w:p>
      <w:pPr>
        <w:ind w:right="600"/>
        <w:spacing w:after="0" w:line="321" w:lineRule="auto"/>
        <w:rPr>
          <w:sz w:val="20"/>
          <w:szCs w:val="20"/>
          <w:color w:val="auto"/>
        </w:rPr>
      </w:pPr>
      <w:r>
        <w:rPr>
          <w:rFonts w:ascii="Arial" w:cs="Arial" w:eastAsia="Arial" w:hAnsi="Arial"/>
          <w:sz w:val="16"/>
          <w:szCs w:val="16"/>
          <w:color w:val="auto"/>
        </w:rPr>
        <w:t>The following table summarizes the Board’s voting recommendations for each proposal, the vote required for each proposal to pass and the effect of abstentions on each proposal.</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760" w:type="dxa"/>
            <w:vAlign w:val="bottom"/>
          </w:tcPr>
          <w:p>
            <w:pPr>
              <w:ind w:left="140"/>
              <w:spacing w:after="0"/>
              <w:rPr>
                <w:sz w:val="20"/>
                <w:szCs w:val="20"/>
                <w:color w:val="auto"/>
              </w:rPr>
            </w:pPr>
            <w:r>
              <w:rPr>
                <w:rFonts w:ascii="Arial" w:cs="Arial" w:eastAsia="Arial" w:hAnsi="Arial"/>
                <w:sz w:val="14"/>
                <w:szCs w:val="14"/>
                <w:b w:val="1"/>
                <w:bCs w:val="1"/>
                <w:color w:val="170D67"/>
              </w:rPr>
              <w:t>Board</w:t>
            </w:r>
          </w:p>
        </w:tc>
        <w:tc>
          <w:tcPr>
            <w:tcW w:w="2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340" w:type="dxa"/>
            <w:vAlign w:val="bottom"/>
            <w:tcBorders>
              <w:bottom w:val="single" w:sz="8" w:color="22257A"/>
            </w:tcBorders>
            <w:gridSpan w:val="2"/>
          </w:tcPr>
          <w:p>
            <w:pPr>
              <w:ind w:left="20"/>
              <w:spacing w:after="0"/>
              <w:rPr>
                <w:sz w:val="20"/>
                <w:szCs w:val="20"/>
                <w:color w:val="auto"/>
              </w:rPr>
            </w:pPr>
            <w:r>
              <w:rPr>
                <w:rFonts w:ascii="Arial" w:cs="Arial" w:eastAsia="Arial" w:hAnsi="Arial"/>
                <w:sz w:val="14"/>
                <w:szCs w:val="14"/>
                <w:b w:val="1"/>
                <w:bCs w:val="1"/>
                <w:color w:val="170D67"/>
              </w:rPr>
              <w:t>Proposals</w:t>
            </w:r>
          </w:p>
        </w:tc>
        <w:tc>
          <w:tcPr>
            <w:tcW w:w="1760" w:type="dxa"/>
            <w:vAlign w:val="bottom"/>
            <w:tcBorders>
              <w:bottom w:val="single" w:sz="8" w:color="22257A"/>
            </w:tcBorders>
          </w:tcPr>
          <w:p>
            <w:pPr>
              <w:ind w:left="140"/>
              <w:spacing w:after="0"/>
              <w:rPr>
                <w:sz w:val="20"/>
                <w:szCs w:val="20"/>
                <w:color w:val="auto"/>
              </w:rPr>
            </w:pPr>
            <w:r>
              <w:rPr>
                <w:rFonts w:ascii="Arial" w:cs="Arial" w:eastAsia="Arial" w:hAnsi="Arial"/>
                <w:sz w:val="14"/>
                <w:szCs w:val="14"/>
                <w:b w:val="1"/>
                <w:bCs w:val="1"/>
                <w:color w:val="170D67"/>
              </w:rPr>
              <w:t>Recommendation</w:t>
            </w:r>
          </w:p>
        </w:tc>
        <w:tc>
          <w:tcPr>
            <w:tcW w:w="2880" w:type="dxa"/>
            <w:vAlign w:val="bottom"/>
            <w:tcBorders>
              <w:bottom w:val="single" w:sz="8" w:color="22257A"/>
            </w:tcBorders>
          </w:tcPr>
          <w:p>
            <w:pPr>
              <w:ind w:left="260"/>
              <w:spacing w:after="0"/>
              <w:rPr>
                <w:sz w:val="20"/>
                <w:szCs w:val="20"/>
                <w:color w:val="auto"/>
              </w:rPr>
            </w:pPr>
            <w:r>
              <w:rPr>
                <w:rFonts w:ascii="Arial" w:cs="Arial" w:eastAsia="Arial" w:hAnsi="Arial"/>
                <w:sz w:val="14"/>
                <w:szCs w:val="14"/>
                <w:b w:val="1"/>
                <w:bCs w:val="1"/>
                <w:color w:val="170D67"/>
              </w:rPr>
              <w:t>Voting Standard</w:t>
            </w:r>
          </w:p>
        </w:tc>
        <w:tc>
          <w:tcPr>
            <w:tcW w:w="1240" w:type="dxa"/>
            <w:vAlign w:val="bottom"/>
            <w:tcBorders>
              <w:bottom w:val="single" w:sz="8" w:color="22257A"/>
            </w:tcBorders>
          </w:tcPr>
          <w:p>
            <w:pPr>
              <w:jc w:val="right"/>
              <w:spacing w:after="0"/>
              <w:rPr>
                <w:sz w:val="20"/>
                <w:szCs w:val="20"/>
                <w:color w:val="auto"/>
              </w:rPr>
            </w:pPr>
            <w:r>
              <w:rPr>
                <w:rFonts w:ascii="Arial" w:cs="Arial" w:eastAsia="Arial" w:hAnsi="Arial"/>
                <w:sz w:val="14"/>
                <w:szCs w:val="14"/>
                <w:b w:val="1"/>
                <w:bCs w:val="1"/>
                <w:color w:val="170D67"/>
              </w:rPr>
              <w:t>Abstain</w:t>
            </w:r>
          </w:p>
        </w:tc>
        <w:tc>
          <w:tcPr>
            <w:tcW w:w="0" w:type="dxa"/>
            <w:vAlign w:val="bottom"/>
          </w:tcPr>
          <w:p>
            <w:pPr>
              <w:spacing w:after="0"/>
              <w:rPr>
                <w:sz w:val="1"/>
                <w:szCs w:val="1"/>
                <w:color w:val="auto"/>
              </w:rPr>
            </w:pPr>
          </w:p>
        </w:tc>
      </w:tr>
      <w:tr>
        <w:trPr>
          <w:trHeight w:val="185"/>
        </w:trPr>
        <w:tc>
          <w:tcPr>
            <w:tcW w:w="3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170D67"/>
              </w:rPr>
              <w:t>1</w:t>
            </w:r>
          </w:p>
        </w:tc>
        <w:tc>
          <w:tcPr>
            <w:tcW w:w="4960" w:type="dxa"/>
            <w:vAlign w:val="bottom"/>
            <w:vMerge w:val="restart"/>
          </w:tcPr>
          <w:p>
            <w:pPr>
              <w:ind w:left="100"/>
              <w:spacing w:after="0"/>
              <w:rPr>
                <w:sz w:val="20"/>
                <w:szCs w:val="20"/>
                <w:color w:val="auto"/>
              </w:rPr>
            </w:pPr>
            <w:r>
              <w:rPr>
                <w:rFonts w:ascii="Arial" w:cs="Arial" w:eastAsia="Arial" w:hAnsi="Arial"/>
                <w:sz w:val="15"/>
                <w:szCs w:val="15"/>
                <w:color w:val="auto"/>
              </w:rPr>
              <w:t>Election of Directors</w:t>
            </w:r>
          </w:p>
        </w:tc>
        <w:tc>
          <w:tcPr>
            <w:tcW w:w="1760" w:type="dxa"/>
            <w:vAlign w:val="bottom"/>
            <w:vMerge w:val="restart"/>
          </w:tcPr>
          <w:p>
            <w:pPr>
              <w:ind w:left="820"/>
              <w:spacing w:after="0"/>
              <w:rPr>
                <w:sz w:val="20"/>
                <w:szCs w:val="20"/>
                <w:color w:val="auto"/>
              </w:rPr>
            </w:pPr>
            <w:r>
              <w:rPr>
                <w:rFonts w:ascii="Arial" w:cs="Arial" w:eastAsia="Arial" w:hAnsi="Arial"/>
                <w:sz w:val="15"/>
                <w:szCs w:val="15"/>
                <w:b w:val="1"/>
                <w:bCs w:val="1"/>
                <w:color w:val="170D67"/>
              </w:rPr>
              <w:t>FOR ALL</w:t>
            </w:r>
          </w:p>
        </w:tc>
        <w:tc>
          <w:tcPr>
            <w:tcW w:w="2880" w:type="dxa"/>
            <w:vAlign w:val="bottom"/>
          </w:tcPr>
          <w:p>
            <w:pPr>
              <w:ind w:left="260"/>
              <w:spacing w:after="0"/>
              <w:rPr>
                <w:sz w:val="20"/>
                <w:szCs w:val="20"/>
                <w:color w:val="auto"/>
              </w:rPr>
            </w:pPr>
            <w:r>
              <w:rPr>
                <w:rFonts w:ascii="Arial" w:cs="Arial" w:eastAsia="Arial" w:hAnsi="Arial"/>
                <w:sz w:val="15"/>
                <w:szCs w:val="15"/>
                <w:color w:val="auto"/>
              </w:rPr>
              <w:t>Majority of votes cast for each</w:t>
            </w: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127"/>
        </w:trPr>
        <w:tc>
          <w:tcPr>
            <w:tcW w:w="380" w:type="dxa"/>
            <w:vAlign w:val="bottom"/>
            <w:vMerge w:val="continue"/>
          </w:tcPr>
          <w:p>
            <w:pPr>
              <w:spacing w:after="0"/>
              <w:rPr>
                <w:sz w:val="11"/>
                <w:szCs w:val="11"/>
                <w:color w:val="auto"/>
              </w:rPr>
            </w:pPr>
          </w:p>
        </w:tc>
        <w:tc>
          <w:tcPr>
            <w:tcW w:w="4960" w:type="dxa"/>
            <w:vAlign w:val="bottom"/>
            <w:vMerge w:val="continue"/>
          </w:tcPr>
          <w:p>
            <w:pPr>
              <w:spacing w:after="0"/>
              <w:rPr>
                <w:sz w:val="11"/>
                <w:szCs w:val="11"/>
                <w:color w:val="auto"/>
              </w:rPr>
            </w:pPr>
          </w:p>
        </w:tc>
        <w:tc>
          <w:tcPr>
            <w:tcW w:w="1760" w:type="dxa"/>
            <w:vAlign w:val="bottom"/>
            <w:vMerge w:val="continue"/>
          </w:tcPr>
          <w:p>
            <w:pPr>
              <w:spacing w:after="0"/>
              <w:rPr>
                <w:sz w:val="11"/>
                <w:szCs w:val="11"/>
                <w:color w:val="auto"/>
              </w:rPr>
            </w:pPr>
          </w:p>
        </w:tc>
        <w:tc>
          <w:tcPr>
            <w:tcW w:w="2880" w:type="dxa"/>
            <w:vAlign w:val="bottom"/>
            <w:vMerge w:val="restart"/>
          </w:tcPr>
          <w:p>
            <w:pPr>
              <w:ind w:left="260"/>
              <w:spacing w:after="0"/>
              <w:rPr>
                <w:sz w:val="20"/>
                <w:szCs w:val="20"/>
                <w:color w:val="auto"/>
              </w:rPr>
            </w:pPr>
            <w:r>
              <w:rPr>
                <w:rFonts w:ascii="Arial" w:cs="Arial" w:eastAsia="Arial" w:hAnsi="Arial"/>
                <w:sz w:val="15"/>
                <w:szCs w:val="15"/>
                <w:color w:val="auto"/>
              </w:rPr>
              <w:t>Director</w:t>
            </w: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380" w:type="dxa"/>
            <w:vAlign w:val="bottom"/>
          </w:tcPr>
          <w:p>
            <w:pPr>
              <w:spacing w:after="0"/>
              <w:rPr>
                <w:sz w:val="6"/>
                <w:szCs w:val="6"/>
                <w:color w:val="auto"/>
              </w:rPr>
            </w:pPr>
          </w:p>
        </w:tc>
        <w:tc>
          <w:tcPr>
            <w:tcW w:w="49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8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380" w:type="dxa"/>
            <w:vAlign w:val="bottom"/>
            <w:tcBorders>
              <w:bottom w:val="single" w:sz="8" w:color="949599"/>
            </w:tcBorders>
          </w:tcPr>
          <w:p>
            <w:pPr>
              <w:spacing w:after="0"/>
              <w:rPr>
                <w:sz w:val="2"/>
                <w:szCs w:val="2"/>
                <w:color w:val="auto"/>
              </w:rPr>
            </w:pPr>
          </w:p>
        </w:tc>
        <w:tc>
          <w:tcPr>
            <w:tcW w:w="4960" w:type="dxa"/>
            <w:vAlign w:val="bottom"/>
            <w:tcBorders>
              <w:bottom w:val="single" w:sz="8" w:color="949599"/>
            </w:tcBorders>
          </w:tcPr>
          <w:p>
            <w:pPr>
              <w:spacing w:after="0"/>
              <w:rPr>
                <w:sz w:val="2"/>
                <w:szCs w:val="2"/>
                <w:color w:val="auto"/>
              </w:rPr>
            </w:pPr>
          </w:p>
        </w:tc>
        <w:tc>
          <w:tcPr>
            <w:tcW w:w="1760" w:type="dxa"/>
            <w:vAlign w:val="bottom"/>
            <w:tcBorders>
              <w:bottom w:val="single" w:sz="8" w:color="949599"/>
            </w:tcBorders>
          </w:tcPr>
          <w:p>
            <w:pPr>
              <w:spacing w:after="0"/>
              <w:rPr>
                <w:sz w:val="2"/>
                <w:szCs w:val="2"/>
                <w:color w:val="auto"/>
              </w:rPr>
            </w:pPr>
          </w:p>
        </w:tc>
        <w:tc>
          <w:tcPr>
            <w:tcW w:w="2880" w:type="dxa"/>
            <w:vAlign w:val="bottom"/>
            <w:tcBorders>
              <w:bottom w:val="single" w:sz="8" w:color="949599"/>
            </w:tcBorders>
          </w:tcPr>
          <w:p>
            <w:pPr>
              <w:spacing w:after="0"/>
              <w:rPr>
                <w:sz w:val="2"/>
                <w:szCs w:val="2"/>
                <w:color w:val="auto"/>
              </w:rPr>
            </w:pPr>
          </w:p>
        </w:tc>
        <w:tc>
          <w:tcPr>
            <w:tcW w:w="1240" w:type="dxa"/>
            <w:vAlign w:val="bottom"/>
            <w:tcBorders>
              <w:bottom w:val="single" w:sz="8" w:color="949599"/>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170D67"/>
              </w:rPr>
              <w:t>2</w:t>
            </w:r>
          </w:p>
        </w:tc>
        <w:tc>
          <w:tcPr>
            <w:tcW w:w="4960" w:type="dxa"/>
            <w:vAlign w:val="bottom"/>
          </w:tcPr>
          <w:p>
            <w:pPr>
              <w:ind w:left="100"/>
              <w:spacing w:after="0"/>
              <w:rPr>
                <w:sz w:val="20"/>
                <w:szCs w:val="20"/>
                <w:color w:val="auto"/>
              </w:rPr>
            </w:pPr>
            <w:r>
              <w:rPr>
                <w:rFonts w:ascii="Arial" w:cs="Arial" w:eastAsia="Arial" w:hAnsi="Arial"/>
                <w:sz w:val="15"/>
                <w:szCs w:val="15"/>
                <w:color w:val="auto"/>
              </w:rPr>
              <w:t>Ratification of PricewaterhouseCoopers LLP as Exelon’s Independent</w:t>
            </w:r>
          </w:p>
        </w:tc>
        <w:tc>
          <w:tcPr>
            <w:tcW w:w="1760" w:type="dxa"/>
            <w:vAlign w:val="bottom"/>
            <w:vMerge w:val="restart"/>
          </w:tcPr>
          <w:p>
            <w:pPr>
              <w:ind w:left="820"/>
              <w:spacing w:after="0"/>
              <w:rPr>
                <w:sz w:val="20"/>
                <w:szCs w:val="20"/>
                <w:color w:val="auto"/>
              </w:rPr>
            </w:pPr>
            <w:r>
              <w:rPr>
                <w:rFonts w:ascii="Arial" w:cs="Arial" w:eastAsia="Arial" w:hAnsi="Arial"/>
                <w:sz w:val="15"/>
                <w:szCs w:val="15"/>
                <w:b w:val="1"/>
                <w:bCs w:val="1"/>
                <w:color w:val="170D67"/>
              </w:rPr>
              <w:t>FOR</w:t>
            </w:r>
          </w:p>
        </w:tc>
        <w:tc>
          <w:tcPr>
            <w:tcW w:w="2880" w:type="dxa"/>
            <w:vAlign w:val="bottom"/>
            <w:vMerge w:val="restart"/>
          </w:tcPr>
          <w:p>
            <w:pPr>
              <w:ind w:left="260"/>
              <w:spacing w:after="0"/>
              <w:rPr>
                <w:sz w:val="20"/>
                <w:szCs w:val="20"/>
                <w:color w:val="auto"/>
              </w:rPr>
            </w:pPr>
            <w:r>
              <w:rPr>
                <w:rFonts w:ascii="Arial" w:cs="Arial" w:eastAsia="Arial" w:hAnsi="Arial"/>
                <w:sz w:val="15"/>
                <w:szCs w:val="15"/>
                <w:color w:val="auto"/>
              </w:rPr>
              <w:t>Majority of votes cast</w:t>
            </w: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127"/>
        </w:trPr>
        <w:tc>
          <w:tcPr>
            <w:tcW w:w="380" w:type="dxa"/>
            <w:vAlign w:val="bottom"/>
            <w:vMerge w:val="continue"/>
          </w:tcPr>
          <w:p>
            <w:pPr>
              <w:spacing w:after="0"/>
              <w:rPr>
                <w:sz w:val="11"/>
                <w:szCs w:val="11"/>
                <w:color w:val="auto"/>
              </w:rPr>
            </w:pPr>
          </w:p>
        </w:tc>
        <w:tc>
          <w:tcPr>
            <w:tcW w:w="4960" w:type="dxa"/>
            <w:vAlign w:val="bottom"/>
            <w:vMerge w:val="restart"/>
          </w:tcPr>
          <w:p>
            <w:pPr>
              <w:ind w:left="100"/>
              <w:spacing w:after="0"/>
              <w:rPr>
                <w:sz w:val="20"/>
                <w:szCs w:val="20"/>
                <w:color w:val="auto"/>
              </w:rPr>
            </w:pPr>
            <w:r>
              <w:rPr>
                <w:rFonts w:ascii="Arial" w:cs="Arial" w:eastAsia="Arial" w:hAnsi="Arial"/>
                <w:sz w:val="15"/>
                <w:szCs w:val="15"/>
                <w:color w:val="auto"/>
              </w:rPr>
              <w:t>Auditor</w:t>
            </w:r>
          </w:p>
        </w:tc>
        <w:tc>
          <w:tcPr>
            <w:tcW w:w="1760" w:type="dxa"/>
            <w:vAlign w:val="bottom"/>
            <w:vMerge w:val="continue"/>
          </w:tcPr>
          <w:p>
            <w:pPr>
              <w:spacing w:after="0"/>
              <w:rPr>
                <w:sz w:val="11"/>
                <w:szCs w:val="11"/>
                <w:color w:val="auto"/>
              </w:rPr>
            </w:pPr>
          </w:p>
        </w:tc>
        <w:tc>
          <w:tcPr>
            <w:tcW w:w="288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380" w:type="dxa"/>
            <w:vAlign w:val="bottom"/>
          </w:tcPr>
          <w:p>
            <w:pPr>
              <w:spacing w:after="0"/>
              <w:rPr>
                <w:sz w:val="6"/>
                <w:szCs w:val="6"/>
                <w:color w:val="auto"/>
              </w:rPr>
            </w:pPr>
          </w:p>
        </w:tc>
        <w:tc>
          <w:tcPr>
            <w:tcW w:w="4960" w:type="dxa"/>
            <w:vAlign w:val="bottom"/>
            <w:vMerge w:val="continue"/>
          </w:tcPr>
          <w:p>
            <w:pPr>
              <w:spacing w:after="0"/>
              <w:rPr>
                <w:sz w:val="6"/>
                <w:szCs w:val="6"/>
                <w:color w:val="auto"/>
              </w:rPr>
            </w:pPr>
          </w:p>
        </w:tc>
        <w:tc>
          <w:tcPr>
            <w:tcW w:w="1760" w:type="dxa"/>
            <w:vAlign w:val="bottom"/>
          </w:tcPr>
          <w:p>
            <w:pPr>
              <w:spacing w:after="0"/>
              <w:rPr>
                <w:sz w:val="6"/>
                <w:szCs w:val="6"/>
                <w:color w:val="auto"/>
              </w:rPr>
            </w:pPr>
          </w:p>
        </w:tc>
        <w:tc>
          <w:tcPr>
            <w:tcW w:w="2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380" w:type="dxa"/>
            <w:vAlign w:val="bottom"/>
            <w:tcBorders>
              <w:bottom w:val="single" w:sz="8" w:color="949599"/>
            </w:tcBorders>
          </w:tcPr>
          <w:p>
            <w:pPr>
              <w:spacing w:after="0"/>
              <w:rPr>
                <w:sz w:val="2"/>
                <w:szCs w:val="2"/>
                <w:color w:val="auto"/>
              </w:rPr>
            </w:pPr>
          </w:p>
        </w:tc>
        <w:tc>
          <w:tcPr>
            <w:tcW w:w="4960" w:type="dxa"/>
            <w:vAlign w:val="bottom"/>
            <w:tcBorders>
              <w:bottom w:val="single" w:sz="8" w:color="949599"/>
            </w:tcBorders>
          </w:tcPr>
          <w:p>
            <w:pPr>
              <w:spacing w:after="0"/>
              <w:rPr>
                <w:sz w:val="2"/>
                <w:szCs w:val="2"/>
                <w:color w:val="auto"/>
              </w:rPr>
            </w:pPr>
          </w:p>
        </w:tc>
        <w:tc>
          <w:tcPr>
            <w:tcW w:w="1760" w:type="dxa"/>
            <w:vAlign w:val="bottom"/>
            <w:tcBorders>
              <w:bottom w:val="single" w:sz="8" w:color="949599"/>
            </w:tcBorders>
          </w:tcPr>
          <w:p>
            <w:pPr>
              <w:spacing w:after="0"/>
              <w:rPr>
                <w:sz w:val="2"/>
                <w:szCs w:val="2"/>
                <w:color w:val="auto"/>
              </w:rPr>
            </w:pPr>
          </w:p>
        </w:tc>
        <w:tc>
          <w:tcPr>
            <w:tcW w:w="2880" w:type="dxa"/>
            <w:vAlign w:val="bottom"/>
            <w:tcBorders>
              <w:bottom w:val="single" w:sz="8" w:color="949599"/>
            </w:tcBorders>
          </w:tcPr>
          <w:p>
            <w:pPr>
              <w:spacing w:after="0"/>
              <w:rPr>
                <w:sz w:val="2"/>
                <w:szCs w:val="2"/>
                <w:color w:val="auto"/>
              </w:rPr>
            </w:pPr>
          </w:p>
        </w:tc>
        <w:tc>
          <w:tcPr>
            <w:tcW w:w="1240" w:type="dxa"/>
            <w:vAlign w:val="bottom"/>
            <w:tcBorders>
              <w:bottom w:val="single" w:sz="8" w:color="949599"/>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170D67"/>
              </w:rPr>
              <w:t>3</w:t>
            </w:r>
          </w:p>
        </w:tc>
        <w:tc>
          <w:tcPr>
            <w:tcW w:w="4960" w:type="dxa"/>
            <w:vAlign w:val="bottom"/>
          </w:tcPr>
          <w:p>
            <w:pPr>
              <w:ind w:left="100"/>
              <w:spacing w:after="0"/>
              <w:rPr>
                <w:sz w:val="20"/>
                <w:szCs w:val="20"/>
                <w:color w:val="auto"/>
              </w:rPr>
            </w:pPr>
            <w:r>
              <w:rPr>
                <w:rFonts w:ascii="Arial" w:cs="Arial" w:eastAsia="Arial" w:hAnsi="Arial"/>
                <w:sz w:val="15"/>
                <w:szCs w:val="15"/>
                <w:color w:val="auto"/>
              </w:rPr>
              <w:t>Advisory Vote to approve Executive Compensation (Say-on-</w:t>
            </w:r>
          </w:p>
        </w:tc>
        <w:tc>
          <w:tcPr>
            <w:tcW w:w="1760" w:type="dxa"/>
            <w:vAlign w:val="bottom"/>
            <w:vMerge w:val="restart"/>
          </w:tcPr>
          <w:p>
            <w:pPr>
              <w:ind w:left="820"/>
              <w:spacing w:after="0"/>
              <w:rPr>
                <w:sz w:val="20"/>
                <w:szCs w:val="20"/>
                <w:color w:val="auto"/>
              </w:rPr>
            </w:pPr>
            <w:r>
              <w:rPr>
                <w:rFonts w:ascii="Arial" w:cs="Arial" w:eastAsia="Arial" w:hAnsi="Arial"/>
                <w:sz w:val="15"/>
                <w:szCs w:val="15"/>
                <w:b w:val="1"/>
                <w:bCs w:val="1"/>
                <w:color w:val="170D67"/>
              </w:rPr>
              <w:t>FOR</w:t>
            </w:r>
          </w:p>
        </w:tc>
        <w:tc>
          <w:tcPr>
            <w:tcW w:w="2880" w:type="dxa"/>
            <w:vAlign w:val="bottom"/>
            <w:vMerge w:val="restart"/>
          </w:tcPr>
          <w:p>
            <w:pPr>
              <w:ind w:left="260"/>
              <w:spacing w:after="0"/>
              <w:rPr>
                <w:sz w:val="20"/>
                <w:szCs w:val="20"/>
                <w:color w:val="auto"/>
              </w:rPr>
            </w:pPr>
            <w:r>
              <w:rPr>
                <w:rFonts w:ascii="Arial" w:cs="Arial" w:eastAsia="Arial" w:hAnsi="Arial"/>
                <w:sz w:val="15"/>
                <w:szCs w:val="15"/>
                <w:color w:val="auto"/>
              </w:rPr>
              <w:t>Majority of votes cast</w:t>
            </w: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127"/>
        </w:trPr>
        <w:tc>
          <w:tcPr>
            <w:tcW w:w="380" w:type="dxa"/>
            <w:vAlign w:val="bottom"/>
            <w:vMerge w:val="continue"/>
          </w:tcPr>
          <w:p>
            <w:pPr>
              <w:spacing w:after="0"/>
              <w:rPr>
                <w:sz w:val="11"/>
                <w:szCs w:val="11"/>
                <w:color w:val="auto"/>
              </w:rPr>
            </w:pPr>
          </w:p>
        </w:tc>
        <w:tc>
          <w:tcPr>
            <w:tcW w:w="4960" w:type="dxa"/>
            <w:vAlign w:val="bottom"/>
            <w:vMerge w:val="restart"/>
          </w:tcPr>
          <w:p>
            <w:pPr>
              <w:ind w:left="100"/>
              <w:spacing w:after="0"/>
              <w:rPr>
                <w:sz w:val="20"/>
                <w:szCs w:val="20"/>
                <w:color w:val="auto"/>
              </w:rPr>
            </w:pPr>
            <w:r>
              <w:rPr>
                <w:rFonts w:ascii="Arial" w:cs="Arial" w:eastAsia="Arial" w:hAnsi="Arial"/>
                <w:sz w:val="15"/>
                <w:szCs w:val="15"/>
                <w:color w:val="auto"/>
              </w:rPr>
              <w:t>Pay)</w:t>
            </w:r>
          </w:p>
        </w:tc>
        <w:tc>
          <w:tcPr>
            <w:tcW w:w="1760" w:type="dxa"/>
            <w:vAlign w:val="bottom"/>
            <w:vMerge w:val="continue"/>
          </w:tcPr>
          <w:p>
            <w:pPr>
              <w:spacing w:after="0"/>
              <w:rPr>
                <w:sz w:val="11"/>
                <w:szCs w:val="11"/>
                <w:color w:val="auto"/>
              </w:rPr>
            </w:pPr>
          </w:p>
        </w:tc>
        <w:tc>
          <w:tcPr>
            <w:tcW w:w="288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380" w:type="dxa"/>
            <w:vAlign w:val="bottom"/>
          </w:tcPr>
          <w:p>
            <w:pPr>
              <w:spacing w:after="0"/>
              <w:rPr>
                <w:sz w:val="6"/>
                <w:szCs w:val="6"/>
                <w:color w:val="auto"/>
              </w:rPr>
            </w:pPr>
          </w:p>
        </w:tc>
        <w:tc>
          <w:tcPr>
            <w:tcW w:w="4960" w:type="dxa"/>
            <w:vAlign w:val="bottom"/>
            <w:vMerge w:val="continue"/>
          </w:tcPr>
          <w:p>
            <w:pPr>
              <w:spacing w:after="0"/>
              <w:rPr>
                <w:sz w:val="6"/>
                <w:szCs w:val="6"/>
                <w:color w:val="auto"/>
              </w:rPr>
            </w:pPr>
          </w:p>
        </w:tc>
        <w:tc>
          <w:tcPr>
            <w:tcW w:w="1760" w:type="dxa"/>
            <w:vAlign w:val="bottom"/>
          </w:tcPr>
          <w:p>
            <w:pPr>
              <w:spacing w:after="0"/>
              <w:rPr>
                <w:sz w:val="6"/>
                <w:szCs w:val="6"/>
                <w:color w:val="auto"/>
              </w:rPr>
            </w:pPr>
          </w:p>
        </w:tc>
        <w:tc>
          <w:tcPr>
            <w:tcW w:w="2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380" w:type="dxa"/>
            <w:vAlign w:val="bottom"/>
            <w:tcBorders>
              <w:bottom w:val="single" w:sz="8" w:color="808080"/>
            </w:tcBorders>
          </w:tcPr>
          <w:p>
            <w:pPr>
              <w:spacing w:after="0"/>
              <w:rPr>
                <w:sz w:val="2"/>
                <w:szCs w:val="2"/>
                <w:color w:val="auto"/>
              </w:rPr>
            </w:pPr>
          </w:p>
        </w:tc>
        <w:tc>
          <w:tcPr>
            <w:tcW w:w="4960" w:type="dxa"/>
            <w:vAlign w:val="bottom"/>
            <w:tcBorders>
              <w:bottom w:val="single" w:sz="8" w:color="808080"/>
            </w:tcBorders>
          </w:tcPr>
          <w:p>
            <w:pPr>
              <w:spacing w:after="0"/>
              <w:rPr>
                <w:sz w:val="2"/>
                <w:szCs w:val="2"/>
                <w:color w:val="auto"/>
              </w:rPr>
            </w:pPr>
          </w:p>
        </w:tc>
        <w:tc>
          <w:tcPr>
            <w:tcW w:w="1760" w:type="dxa"/>
            <w:vAlign w:val="bottom"/>
            <w:tcBorders>
              <w:bottom w:val="single" w:sz="8" w:color="808080"/>
            </w:tcBorders>
          </w:tcPr>
          <w:p>
            <w:pPr>
              <w:spacing w:after="0"/>
              <w:rPr>
                <w:sz w:val="2"/>
                <w:szCs w:val="2"/>
                <w:color w:val="auto"/>
              </w:rPr>
            </w:pPr>
          </w:p>
        </w:tc>
        <w:tc>
          <w:tcPr>
            <w:tcW w:w="2880" w:type="dxa"/>
            <w:vAlign w:val="bottom"/>
            <w:tcBorders>
              <w:bottom w:val="single" w:sz="8" w:color="808080"/>
            </w:tcBorders>
          </w:tcPr>
          <w:p>
            <w:pPr>
              <w:spacing w:after="0"/>
              <w:rPr>
                <w:sz w:val="2"/>
                <w:szCs w:val="2"/>
                <w:color w:val="auto"/>
              </w:rPr>
            </w:pPr>
          </w:p>
        </w:tc>
        <w:tc>
          <w:tcPr>
            <w:tcW w:w="12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-779780</wp:posOffset>
            </wp:positionV>
            <wp:extent cx="128905" cy="11112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8905" cy="11112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-505460</wp:posOffset>
            </wp:positionV>
            <wp:extent cx="128905" cy="11112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8905" cy="11112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-231140</wp:posOffset>
            </wp:positionV>
            <wp:extent cx="128905" cy="11176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8905" cy="111760"/>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Majority Voting For Directors and Director Resignation Policy</w:t>
      </w:r>
    </w:p>
    <w:p>
      <w:pPr>
        <w:spacing w:after="0" w:line="11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have a majority vote standard for Director elections, which requires that a nominee for Director in an uncontested election receive a majority of the votes cast at a shareholder meeting in order to be elected to the Board. The Board believes that the majority vote standard in uncontested Director elections strengthens the Director nomination process and enhances Director accountability.</w:t>
      </w:r>
    </w:p>
    <w:p>
      <w:pPr>
        <w:spacing w:after="0" w:line="50" w:lineRule="exact"/>
        <w:rPr>
          <w:sz w:val="20"/>
          <w:szCs w:val="20"/>
          <w:color w:val="auto"/>
        </w:rPr>
      </w:pPr>
    </w:p>
    <w:p>
      <w:pPr>
        <w:jc w:val="both"/>
        <w:ind w:right="40"/>
        <w:spacing w:after="0" w:line="289" w:lineRule="auto"/>
        <w:rPr>
          <w:sz w:val="20"/>
          <w:szCs w:val="20"/>
          <w:color w:val="auto"/>
        </w:rPr>
      </w:pPr>
      <w:r>
        <w:rPr>
          <w:rFonts w:ascii="Arial" w:cs="Arial" w:eastAsia="Arial" w:hAnsi="Arial"/>
          <w:sz w:val="16"/>
          <w:szCs w:val="16"/>
          <w:color w:val="auto"/>
        </w:rPr>
        <w:t>We also have a Director resignation policy, which requires any nominee for election as a Director to submit an irrevocable letter of resignation as a condition to being named as such nominee, which would be tendered in the event that nominee fails to receive the affirmative vote of a majority of the votes cast in an uncontested election at a meeting of stockholders. Such resignation would be considered by the Board, and the Board would be required to either accept or reject such resignation within 90 days from the certification of the election results.</w:t>
      </w:r>
    </w:p>
    <w:p>
      <w:pPr>
        <w:spacing w:after="0" w:line="200" w:lineRule="exact"/>
        <w:rPr>
          <w:sz w:val="20"/>
          <w:szCs w:val="20"/>
          <w:color w:val="auto"/>
        </w:rPr>
      </w:pPr>
    </w:p>
    <w:p>
      <w:pPr>
        <w:spacing w:after="0" w:line="390" w:lineRule="exact"/>
        <w:rPr>
          <w:sz w:val="20"/>
          <w:szCs w:val="20"/>
          <w:color w:val="auto"/>
        </w:rPr>
      </w:pPr>
    </w:p>
    <w:p>
      <w:pPr>
        <w:ind w:left="480" w:hanging="454"/>
        <w:spacing w:after="0"/>
        <w:tabs>
          <w:tab w:leader="none" w:pos="480" w:val="left"/>
        </w:tabs>
        <w:numPr>
          <w:ilvl w:val="0"/>
          <w:numId w:val="16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jc w:val="right"/>
        <w:spacing w:after="0"/>
        <w:rPr>
          <w:sz w:val="20"/>
          <w:szCs w:val="20"/>
          <w:color w:val="auto"/>
        </w:rPr>
      </w:pPr>
      <w:r>
        <w:rPr>
          <w:rFonts w:ascii="Arial" w:cs="Arial" w:eastAsia="Arial" w:hAnsi="Arial"/>
          <w:sz w:val="13"/>
          <w:szCs w:val="13"/>
          <w:b w:val="1"/>
          <w:bCs w:val="1"/>
          <w:color w:val="auto"/>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Broker Non-Votes</w:t>
      </w:r>
    </w:p>
    <w:p>
      <w:pPr>
        <w:spacing w:after="0" w:line="112"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Broker non-votes occur when a beneficial owner of shares held in “street name” does not give instructions to the broker, bank, or other nominee holding the shares as to how to vote on matters deemed “non-routine.” Generally, if shares are held in street name, the beneficial owner of the shares is entitled to give voting instructions to the broker, bank, or other nominee holding the shares. If the beneficial owner does not provide voting instructions, the broker, bank, or other nominee can still vote the shares with respect to matters that are considered to be “routine,” but cannot vote the shares with respect to “non-routine” matters.</w:t>
      </w:r>
    </w:p>
    <w:p>
      <w:pPr>
        <w:spacing w:after="0" w:line="61"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The following proposal is considered a routine matter: Proposal 2: Ratification of PricewaterhouseCoopers LLP as Exelon’s Independent Auditor. All other proposals are considered non-routine and broker non-votes will have no impact on the vote’s outcome.</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Tabulation and Reporting of Vote Results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Preliminary voting results will be announced at the Annual Meeting. Final voting results will be tallied by the inspector of election after the Annual Meeting.</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Exelon will publish the final voting results in a Current Report on Form 8-K filed with the SEC within four business days following the Annual Meeting.</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6E06C1"/>
        </w:rPr>
        <w:t>Abandoned Property</w:t>
      </w:r>
    </w:p>
    <w:p>
      <w:pPr>
        <w:spacing w:after="0" w:line="112"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Escheatment is the process through which abandoned or unclaimed assets are turned over to the state in accordance with each state’s abandoned property laws. Every year, shareholder accounts can be deemed “abandoned” simply because the account owner has not initiated any action with respect to the account in several years. After a period of time, the institution holding the account is legally required to turn the assets over to the state. When Exelon’s records show that you have not voted your shares or otherwise initiated any contact (as defined by each state’s statute) within a certain number of years, we are required to send you a letter notifying you of the pending action by the state and asking you to contact us immediately so that we may record proof that you are still in control of your account. Many states further require us to use specific legal wording in the letter, and as a result many people assume that the warning letter is an attempt at fraud and ignore it.</w:t>
      </w:r>
    </w:p>
    <w:p>
      <w:pPr>
        <w:spacing w:after="0" w:line="82"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Exelon’s transfer agent is Equinity Trust Company, which does business as EQ Shareowner Services. If you ever receive a letter from EQ Shareowner Services or their affiliate EQ Unify based in St. Paul, Minnesota regarding your Exelon stock account, PLEASE TAKE IT SERIOUSLY. Please read the letter carefully to consider your options. You may call 1-800-626-8729 to verify your identity to one of EQ’s account representatives OR you may also contact Exelon’s Corporate Secretary at the address shown above to confirm its authenticity.</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780"/>
              <w:spacing w:after="0"/>
              <w:rPr>
                <w:sz w:val="20"/>
                <w:szCs w:val="20"/>
                <w:color w:val="auto"/>
              </w:rPr>
            </w:pPr>
            <w:r>
              <w:rPr>
                <w:rFonts w:ascii="Arial" w:cs="Arial" w:eastAsia="Arial" w:hAnsi="Arial"/>
                <w:sz w:val="14"/>
                <w:szCs w:val="14"/>
                <w:color w:val="auto"/>
              </w:rPr>
              <w:t>2025 ׀ Exelon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81</w:t>
            </w:r>
          </w:p>
        </w:tc>
      </w:tr>
      <w:tr>
        <w:trPr>
          <w:trHeight w:val="225"/>
        </w:trPr>
        <w:tc>
          <w:tcPr>
            <w:tcW w:w="1092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5" w:name="page86"/>
    <w:bookmarkEnd w:id="85"/>
    <w:p>
      <w:pPr>
        <w:spacing w:after="0"/>
        <w:rPr>
          <w:sz w:val="20"/>
          <w:szCs w:val="20"/>
          <w:color w:val="auto"/>
        </w:rPr>
      </w:pPr>
      <w:r>
        <w:rPr>
          <w:rFonts w:ascii="Arial" w:cs="Arial" w:eastAsia="Arial" w:hAnsi="Arial"/>
          <w:sz w:val="41"/>
          <w:szCs w:val="41"/>
          <w:color w:val="170D67"/>
        </w:rPr>
        <w:t xml:space="preserve">Frequently Asked </w:t>
      </w:r>
      <w:r>
        <w:rPr>
          <w:rFonts w:ascii="Arial" w:cs="Arial" w:eastAsia="Arial" w:hAnsi="Arial"/>
          <w:sz w:val="41"/>
          <w:szCs w:val="41"/>
          <w:b w:val="1"/>
          <w:bCs w:val="1"/>
          <w:color w:val="170D67"/>
        </w:rPr>
        <w:t>Questions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Q: How can I participate in the annual meeting?</w:t>
      </w:r>
    </w:p>
    <w:p>
      <w:pPr>
        <w:spacing w:after="0" w:line="13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Exelon’s 2025 Annual Meeting will be held at 9:00 a.m. ET on April 29, 2025 exclusively via live webcast. There will be no physical meeting location for shareholders to attend; however, we are committed to ensuring that shareholders will be afforded the same rights and opportunities to participate as they would at an in-person meeting. You will be able to attend the meeting online, vote your shares electronically and submit questions before or during the virtual Annual Meeting.</w:t>
      </w:r>
    </w:p>
    <w:p>
      <w:pPr>
        <w:spacing w:after="0" w:line="59"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 xml:space="preserve">To participate in the Annual Meeting, visit: </w:t>
      </w:r>
      <w:r>
        <w:rPr>
          <w:rFonts w:ascii="Arial" w:cs="Arial" w:eastAsia="Arial" w:hAnsi="Arial"/>
          <w:sz w:val="16"/>
          <w:szCs w:val="16"/>
          <w:b w:val="1"/>
          <w:bCs w:val="1"/>
          <w:color w:val="170D67"/>
        </w:rPr>
        <w:t>www.virtualshareholdermeeting.com/EXC2025</w:t>
      </w:r>
      <w:r>
        <w:rPr>
          <w:rFonts w:ascii="Arial" w:cs="Arial" w:eastAsia="Arial" w:hAnsi="Arial"/>
          <w:sz w:val="16"/>
          <w:szCs w:val="16"/>
          <w:color w:val="auto"/>
        </w:rPr>
        <w:t xml:space="preserve"> on the day of the meeting, and enter the 16-digit control number included on your proxy card, your Notice of Internet Availability of the Proxy Materials or the instructions that were included with your proxy materials. The Annual Meeting will begin promptly at 9:00 a.m. ET. Online check-in will begin at 8:45 a.m. ET. Please allow ample time for the online check-in process.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Q: What is the pre-meeting forum?</w:t>
      </w:r>
    </w:p>
    <w:p>
      <w:pPr>
        <w:spacing w:after="0" w:line="122"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 xml:space="preserve">One of the benefits of holding the Annual Meeting via live webcast is that it allows us to communicate more effectively with shareholders via a pre-meeting forum that you can access by visiting </w:t>
      </w:r>
      <w:r>
        <w:rPr>
          <w:rFonts w:ascii="Arial" w:cs="Arial" w:eastAsia="Arial" w:hAnsi="Arial"/>
          <w:sz w:val="16"/>
          <w:szCs w:val="16"/>
          <w:b w:val="1"/>
          <w:bCs w:val="1"/>
          <w:color w:val="170D67"/>
        </w:rPr>
        <w:t>www.proxyvote.com</w:t>
      </w:r>
      <w:r>
        <w:rPr>
          <w:rFonts w:ascii="Arial" w:cs="Arial" w:eastAsia="Arial" w:hAnsi="Arial"/>
          <w:sz w:val="16"/>
          <w:szCs w:val="16"/>
          <w:color w:val="auto"/>
        </w:rPr>
        <w:t>. On our pre-meeting forum, you can submit a question in writing in advance of the Annual Meeting and access copies of our proxy materials. Through the pre-meeting forum, we can respond to more questions than we were able to respond to at previous in-person meetings.</w:t>
      </w:r>
    </w:p>
    <w:p>
      <w:pPr>
        <w:spacing w:after="0" w:line="7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 xml:space="preserve">Appropriate questions submitted by shareholders will be read during the Q&amp;A portion of the Annual Meeting unedited. If multiple questions are submitted on the same topic, we will summarize and respond collectively. Depending on the number of questions submitted, we may not be able to answer all questions during the Annual Meeting. We will post answers to all appropriate questions received in advance of or during the Annual Meeting, including those questions that we do not have time to answer during the Annual Meeting, on the Investor Relations section of our website after the Annual Meeting: </w:t>
      </w:r>
      <w:r>
        <w:rPr>
          <w:rFonts w:ascii="Arial" w:cs="Arial" w:eastAsia="Arial" w:hAnsi="Arial"/>
          <w:sz w:val="16"/>
          <w:szCs w:val="16"/>
          <w:b w:val="1"/>
          <w:bCs w:val="1"/>
          <w:color w:val="170D67"/>
        </w:rPr>
        <w:t>investors.exeloncorp.com/</w:t>
      </w:r>
      <w:r>
        <w:rPr>
          <w:rFonts w:ascii="Arial" w:cs="Arial" w:eastAsia="Arial" w:hAnsi="Arial"/>
          <w:sz w:val="16"/>
          <w:szCs w:val="16"/>
          <w:color w:val="000000"/>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Q: What if I have technical difficulties or trouble accessing the virtual Annual Meeting?</w:t>
      </w:r>
    </w:p>
    <w:p>
      <w:pPr>
        <w:spacing w:after="0" w:line="122"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If you have any difficulty accessing the live webcast of the Annual Meeting during the online check-in process or during the Annual Meeting itself, please call the technical support number that will be posted on the virtual Annual Meeting log-in page.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Q: Could other matters be decided at the Annual Meeting?</w:t>
      </w:r>
    </w:p>
    <w:p>
      <w:pPr>
        <w:spacing w:after="0" w:line="122" w:lineRule="exact"/>
        <w:rPr>
          <w:sz w:val="20"/>
          <w:szCs w:val="20"/>
          <w:color w:val="auto"/>
        </w:rPr>
      </w:pPr>
    </w:p>
    <w:p>
      <w:pPr>
        <w:ind w:right="580"/>
        <w:spacing w:after="0" w:line="321" w:lineRule="auto"/>
        <w:rPr>
          <w:sz w:val="20"/>
          <w:szCs w:val="20"/>
          <w:color w:val="auto"/>
        </w:rPr>
      </w:pPr>
      <w:r>
        <w:rPr>
          <w:rFonts w:ascii="Arial" w:cs="Arial" w:eastAsia="Arial" w:hAnsi="Arial"/>
          <w:sz w:val="16"/>
          <w:szCs w:val="16"/>
          <w:color w:val="auto"/>
        </w:rPr>
        <w:t>As of the date this proxy statement went to press, we knew of no matters to be raised at the Annual Meeting other than those referred to in this proxy statement.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Q: Where can I view a replay of the Annual Meeting and the answers to questions submitted by shareholders?</w:t>
      </w:r>
    </w:p>
    <w:p>
      <w:pPr>
        <w:spacing w:after="0" w:line="122"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 xml:space="preserve">A replay of the Annual Meeting webcast, as well as answers to questions submitted by shareholders before or during the Annual Meeting will be available for one year following the date of the meeting on the investor relations page of our website: </w:t>
      </w:r>
      <w:r>
        <w:rPr>
          <w:rFonts w:ascii="Arial" w:cs="Arial" w:eastAsia="Arial" w:hAnsi="Arial"/>
          <w:sz w:val="16"/>
          <w:szCs w:val="16"/>
          <w:b w:val="1"/>
          <w:bCs w:val="1"/>
          <w:color w:val="170D67"/>
        </w:rPr>
        <w:t>investors.exeloncorp.com</w:t>
      </w:r>
      <w:r>
        <w:rPr>
          <w:rFonts w:ascii="Arial" w:cs="Arial" w:eastAsia="Arial" w:hAnsi="Arial"/>
          <w:sz w:val="16"/>
          <w:szCs w:val="16"/>
          <w:color w:val="auto"/>
        </w:rPr>
        <w:t>.</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Q: Who will count the votes?</w:t>
      </w:r>
    </w:p>
    <w:p>
      <w:pPr>
        <w:spacing w:after="0" w:line="122"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Representatives of Broadridge Financial Communications and Exelon’s Office of Corporate Governance will tabulate the votes and act as inspectors of the election.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Q: Who will pay for the cost of this proxy solicitation?</w:t>
      </w:r>
    </w:p>
    <w:p>
      <w:pPr>
        <w:spacing w:after="0" w:line="122"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Exelon will pay the cost of soliciting proxies. Proxies may be solicited on our behalf by Directors, officers or employees in person or by telephone, electronic transmission and facsimile transmission. We have hired Sodali &amp; Co. (Sodali) to distribute and solicit proxies. We will pay Sodali a fee of $20,000 plus reasonable expenses for these services.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Q: What is the difference between holding shares as a “shareholder of record” and as a “beneficial owner”?</w:t>
      </w:r>
    </w:p>
    <w:p>
      <w:pPr>
        <w:spacing w:after="0" w:line="122" w:lineRule="exact"/>
        <w:rPr>
          <w:sz w:val="20"/>
          <w:szCs w:val="20"/>
          <w:color w:val="auto"/>
        </w:rPr>
      </w:pPr>
    </w:p>
    <w:p>
      <w:pPr>
        <w:ind w:right="520"/>
        <w:spacing w:after="0" w:line="321" w:lineRule="auto"/>
        <w:rPr>
          <w:sz w:val="20"/>
          <w:szCs w:val="20"/>
          <w:color w:val="auto"/>
        </w:rPr>
      </w:pPr>
      <w:r>
        <w:rPr>
          <w:rFonts w:ascii="Arial" w:cs="Arial" w:eastAsia="Arial" w:hAnsi="Arial"/>
          <w:sz w:val="16"/>
          <w:szCs w:val="16"/>
          <w:color w:val="auto"/>
        </w:rPr>
        <w:t>If your shares are registered directly in your name with Exelon’s transfer agent, EQ Shareowner Services, you are the “shareholder of record” of those shares. This Notice of Annual Meeting and Proxy Statement and accompanying documents have been provided directly to you by Exelon.</w:t>
      </w:r>
    </w:p>
    <w:p>
      <w:pPr>
        <w:spacing w:after="0" w:line="200" w:lineRule="exact"/>
        <w:rPr>
          <w:sz w:val="20"/>
          <w:szCs w:val="20"/>
          <w:color w:val="auto"/>
        </w:rPr>
      </w:pPr>
    </w:p>
    <w:p>
      <w:pPr>
        <w:spacing w:after="0" w:line="366" w:lineRule="exact"/>
        <w:rPr>
          <w:sz w:val="20"/>
          <w:szCs w:val="20"/>
          <w:color w:val="auto"/>
        </w:rPr>
      </w:pPr>
    </w:p>
    <w:p>
      <w:pPr>
        <w:ind w:left="480" w:hanging="454"/>
        <w:spacing w:after="0"/>
        <w:tabs>
          <w:tab w:leader="none" w:pos="480" w:val="left"/>
        </w:tabs>
        <w:numPr>
          <w:ilvl w:val="0"/>
          <w:numId w:val="16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2"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3"/>
          <w:szCs w:val="13"/>
          <w:b w:val="1"/>
          <w:bCs w:val="1"/>
          <w:color w:val="auto"/>
        </w:rPr>
        <w:t>Frequently Asked 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If your shares are held in a stock brokerage account or by a bank or other holder of record, you are considered the “beneficial owner” of those shares and your shares may be referred to as being held in “street name.” This Notice of Annual Meeting and Proxy Statement and the accompanying documents have been forwarded to you by your broker, bank, or other holder of record. As the beneficial owner, you have the right to direct your broker, bank, or other holder of record how to vote your shares by using the voting instruction form or by following their instructions for voting by telephone or on the internet.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Q: Can I access the notice of annual meeting, proxy statement, and annual report (Form 10-K) on the internet?</w:t>
      </w:r>
    </w:p>
    <w:p>
      <w:pPr>
        <w:spacing w:after="0" w:line="135"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 xml:space="preserve">As permitted by SEC rules, we are making this proxy statement and our annual report available to shareholders electronically via the internet at </w:t>
      </w:r>
      <w:r>
        <w:rPr>
          <w:rFonts w:ascii="Arial" w:cs="Arial" w:eastAsia="Arial" w:hAnsi="Arial"/>
          <w:sz w:val="16"/>
          <w:szCs w:val="16"/>
          <w:b w:val="1"/>
          <w:bCs w:val="1"/>
          <w:color w:val="170D67"/>
        </w:rPr>
        <w:t>www.proxyvote.com</w:t>
      </w:r>
      <w:r>
        <w:rPr>
          <w:rFonts w:ascii="Arial" w:cs="Arial" w:eastAsia="Arial" w:hAnsi="Arial"/>
          <w:sz w:val="16"/>
          <w:szCs w:val="16"/>
          <w:color w:val="000000"/>
        </w:rPr>
        <w:t>. On or around March 19, 2025 we began mailing to our shareholders a notice containing instructions on how to access this proxy</w:t>
      </w:r>
      <w:r>
        <w:rPr>
          <w:rFonts w:ascii="Arial" w:cs="Arial" w:eastAsia="Arial" w:hAnsi="Arial"/>
          <w:sz w:val="16"/>
          <w:szCs w:val="16"/>
          <w:b w:val="1"/>
          <w:bCs w:val="1"/>
          <w:color w:val="170D67"/>
        </w:rPr>
        <w:t xml:space="preserve"> </w:t>
      </w:r>
      <w:r>
        <w:rPr>
          <w:rFonts w:ascii="Arial" w:cs="Arial" w:eastAsia="Arial" w:hAnsi="Arial"/>
          <w:sz w:val="16"/>
          <w:szCs w:val="16"/>
          <w:color w:val="000000"/>
        </w:rPr>
        <w:t>statement and our annual report and how to vote online. If you received that notice, you will not receive a printed copy of the proxy materials unless you request it by following the instructions for requesting such materials contained on the notice. In addition, shareholders may request to receive proxy materials in printed form or electronically by email on an ongoing basis. Exelon encourages shareholders to take advantage of the availability of the proxy materials on the internet in order to save Exelon the cost of producing and mailing documents to you, reduce the amount of mail you receive and help preserve resources.</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6"/>
          <w:szCs w:val="16"/>
          <w:i w:val="1"/>
          <w:iCs w:val="1"/>
          <w:u w:val="single" w:color="auto"/>
          <w:color w:val="auto"/>
        </w:rPr>
        <w:t>Shareholders of record:</w:t>
      </w:r>
      <w:r>
        <w:rPr>
          <w:rFonts w:ascii="Arial" w:cs="Arial" w:eastAsia="Arial" w:hAnsi="Arial"/>
          <w:sz w:val="16"/>
          <w:szCs w:val="16"/>
          <w:i w:val="1"/>
          <w:iCs w:val="1"/>
          <w:color w:val="auto"/>
        </w:rPr>
        <w:t xml:space="preserve"> </w:t>
      </w:r>
      <w:r>
        <w:rPr>
          <w:rFonts w:ascii="Arial" w:cs="Arial" w:eastAsia="Arial" w:hAnsi="Arial"/>
          <w:sz w:val="16"/>
          <w:szCs w:val="16"/>
          <w:color w:val="auto"/>
        </w:rPr>
        <w:t>If you vote on the internet at</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170D67"/>
        </w:rPr>
        <w:t>www.proxyvote.com</w:t>
      </w:r>
      <w:r>
        <w:rPr>
          <w:rFonts w:ascii="Arial" w:cs="Arial" w:eastAsia="Arial" w:hAnsi="Arial"/>
          <w:sz w:val="16"/>
          <w:szCs w:val="16"/>
          <w:color w:val="auto"/>
        </w:rPr>
        <w:t>, simply follow the prompts for enrolling in the electronic delivery service.</w:t>
      </w:r>
    </w:p>
    <w:p>
      <w:pPr>
        <w:spacing w:after="0" w:line="127" w:lineRule="exact"/>
        <w:rPr>
          <w:sz w:val="20"/>
          <w:szCs w:val="20"/>
          <w:color w:val="auto"/>
        </w:rPr>
      </w:pPr>
    </w:p>
    <w:p>
      <w:pPr>
        <w:ind w:left="260" w:right="660"/>
        <w:spacing w:after="0" w:line="321" w:lineRule="auto"/>
        <w:rPr>
          <w:sz w:val="20"/>
          <w:szCs w:val="20"/>
          <w:color w:val="auto"/>
        </w:rPr>
      </w:pPr>
      <w:r>
        <w:rPr>
          <w:rFonts w:ascii="Arial" w:cs="Arial" w:eastAsia="Arial" w:hAnsi="Arial"/>
          <w:sz w:val="16"/>
          <w:szCs w:val="16"/>
          <w:i w:val="1"/>
          <w:iCs w:val="1"/>
          <w:u w:val="single" w:color="auto"/>
          <w:color w:val="auto"/>
        </w:rPr>
        <w:t>Beneficial owners:</w:t>
      </w:r>
      <w:r>
        <w:rPr>
          <w:rFonts w:ascii="Arial" w:cs="Arial" w:eastAsia="Arial" w:hAnsi="Arial"/>
          <w:sz w:val="16"/>
          <w:szCs w:val="16"/>
          <w:i w:val="1"/>
          <w:iCs w:val="1"/>
          <w:color w:val="auto"/>
        </w:rPr>
        <w:t xml:space="preserve"> </w:t>
      </w:r>
      <w:r>
        <w:rPr>
          <w:rFonts w:ascii="Arial" w:cs="Arial" w:eastAsia="Arial" w:hAnsi="Arial"/>
          <w:sz w:val="16"/>
          <w:szCs w:val="16"/>
          <w:color w:val="auto"/>
        </w:rPr>
        <w:t>You also may be able to receive copies of these documents electronically. Please check the information provided in the proxy</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materials sent to you by your bank, broker, or other holder of record regarding the availability of this service.</w:t>
      </w:r>
    </w:p>
    <w:p>
      <w:pPr>
        <w:spacing w:after="0" w:line="57" w:lineRule="exact"/>
        <w:rPr>
          <w:sz w:val="20"/>
          <w:szCs w:val="20"/>
          <w:color w:val="auto"/>
        </w:rPr>
      </w:pPr>
    </w:p>
    <w:p>
      <w:pPr>
        <w:ind w:right="1240" w:firstLine="8"/>
        <w:spacing w:after="0" w:line="312" w:lineRule="auto"/>
        <w:tabs>
          <w:tab w:leader="none" w:pos="250" w:val="left"/>
        </w:tabs>
        <w:numPr>
          <w:ilvl w:val="0"/>
          <w:numId w:val="164"/>
        </w:numPr>
        <w:rPr>
          <w:rFonts w:ascii="Arial" w:cs="Arial" w:eastAsia="Arial" w:hAnsi="Arial"/>
          <w:sz w:val="18"/>
          <w:szCs w:val="18"/>
          <w:b w:val="1"/>
          <w:bCs w:val="1"/>
          <w:color w:val="3A5CFF"/>
        </w:rPr>
      </w:pPr>
      <w:r>
        <w:rPr>
          <w:rFonts w:ascii="Arial" w:cs="Arial" w:eastAsia="Arial" w:hAnsi="Arial"/>
          <w:sz w:val="18"/>
          <w:szCs w:val="18"/>
          <w:b w:val="1"/>
          <w:bCs w:val="1"/>
          <w:color w:val="3A5CFF"/>
        </w:rPr>
        <w:t>If I am a participant in the Exelon Employee Savings Plan (401(k) retirement plan), how do I vote shares held in my plan account?</w:t>
      </w:r>
    </w:p>
    <w:p>
      <w:pPr>
        <w:spacing w:after="0" w:line="20"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If you are a participant in the Exelon Employee Savings Plan, you have the right to provide voting directions to the plan trustee, Northern Trust, by submitting your proxy card for those shares of Exelon Corporation common stock that are held by the plan and allocated to your account. Plan participant proxies are treated confidentially. If you elect not to provide voting directions to the plan trustee, the plan trustee will vote the Exelon shares allocated to your plan account in the same proportion as those shares held by the plan for which the plan trustee has received voting directions from other plan participants. The plan trustee will follow participant’s voting directions and the plan procedure for voting in the absence of voting directions, unless it determines that to do so would be contrary to the Employee Retirement Income Security Act of 1974 (ERISA). Because the plan trustee must process voting instructions from participants before the date of the Annual Meeting, you must deliver your voting instructions no later than April 24, 2025, at 11:59 pm ET.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Q: Can I revoke my proxy or change my vote?</w:t>
      </w:r>
    </w:p>
    <w:p>
      <w:pPr>
        <w:spacing w:after="0" w:line="135"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auto"/>
        </w:rPr>
        <w:t>Yes. If you voted by internet or by telephone, you may follow the same instructions provided above or in the proxy materials to overwrite your previous vote and submit a new vote. If you are a beneficial owner and mailed a VIF, you must contact your bank, broker or other holder of record and either obtain your 16-digit control number so that you can cast a new vote by internet or telephone or you must ask your bank, broker or other holder of record to request that another set of proxy materials be mailed to you. If you are a shareholder of record, you may call Exelon Corporation at 1-312-394-8811 and request that another set of proxy materials be mailed to you.</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Q: What is “householding” and how does it affect me?</w:t>
      </w:r>
    </w:p>
    <w:p>
      <w:pPr>
        <w:spacing w:after="0" w:line="122"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Shareholders of record who have the same address and last name may receive only one copy of this Notice of Annual Meeting and Proxy Statement and the 2024 Annual Report, unless we are notified that one or more of these shareholders wishes to continue receiving individual copies. This procedure will reduce our printing costs and postage fees. Shareholders who receive proxy materials in paper form will continue to receive separate proxy cards/voting instruction forms to vote their shares. Shareholders who receive the Notice of Internet Availability of Proxy Materials will receive instructions on submitting their proxy cards/voting instruction form via the internet.</w:t>
      </w:r>
    </w:p>
    <w:p>
      <w:pPr>
        <w:spacing w:after="0" w:line="80"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If you would like to change your householding election; request that a single copy of the proxy materials be sent to your address; or request a separate copy of the proxy materials, please contact our distribution agent, Broadridge Financial Solutions, by writing to Broadridge, Householding Department, 51 Mercedes Way, Edgewood, New York 11717 or calling 1-866-540-7095. If you hold your shares in street name, please contact your bank, broker, or other holder of record to request information about householding.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780"/>
              <w:spacing w:after="0"/>
              <w:rPr>
                <w:sz w:val="20"/>
                <w:szCs w:val="20"/>
                <w:color w:val="auto"/>
              </w:rPr>
            </w:pPr>
            <w:r>
              <w:rPr>
                <w:rFonts w:ascii="Arial" w:cs="Arial" w:eastAsia="Arial" w:hAnsi="Arial"/>
                <w:sz w:val="14"/>
                <w:szCs w:val="14"/>
                <w:color w:val="auto"/>
              </w:rPr>
              <w:t>2025 ׀ Exelon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83</w:t>
            </w:r>
          </w:p>
        </w:tc>
      </w:tr>
      <w:tr>
        <w:trPr>
          <w:trHeight w:val="211"/>
        </w:trPr>
        <w:tc>
          <w:tcPr>
            <w:tcW w:w="109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7" w:name="page88"/>
    <w:bookmarkEnd w:id="87"/>
    <w:p>
      <w:pPr>
        <w:spacing w:after="0"/>
        <w:rPr>
          <w:sz w:val="20"/>
          <w:szCs w:val="20"/>
          <w:color w:val="auto"/>
        </w:rPr>
      </w:pPr>
      <w:r>
        <w:rPr>
          <w:rFonts w:ascii="Arial" w:cs="Arial" w:eastAsia="Arial" w:hAnsi="Arial"/>
          <w:sz w:val="41"/>
          <w:szCs w:val="41"/>
          <w:b w:val="1"/>
          <w:bCs w:val="1"/>
          <w:color w:val="170D67"/>
        </w:rPr>
        <w:t xml:space="preserve">Legal </w:t>
      </w:r>
      <w:r>
        <w:rPr>
          <w:rFonts w:ascii="Arial" w:cs="Arial" w:eastAsia="Arial" w:hAnsi="Arial"/>
          <w:sz w:val="41"/>
          <w:szCs w:val="41"/>
          <w:color w:val="170D67"/>
        </w:rPr>
        <w:t>Matters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Forward-Looking Statements</w:t>
      </w:r>
    </w:p>
    <w:p>
      <w:pPr>
        <w:spacing w:after="0" w:line="12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This proxy statement contains certain forward-looking statements within the meaning of federal securities laws that are subject to risks and uncertainties. Words such as “could,” “may,” “expects,” “anticipates,” “will,” “targets,” “goals,” “projects,” “intends,” “plans,” “believes,” “seeks,” “estimates,” “predicts,” “should,” and variations on such words, and similar expressions that reflect our current views with respect to future events and operational, economic, and financial performance, are intended to identify such forward-looking statements. Accordingly, any such statements are qualified in their entirety by reference to, and are accompanied by, the following important factors that may cause our actual results or outcomes to differ materially from those contained in our forward-looking statements, including, but not limited to: unfavorable legislative and/or regulatory actions; uncertainty as to outcomes and timing of regulatory approval proceedings and/or negotiated settlements thereof; environmental liabilities and remediation costs; state and federal legislation requiring use of low-emission, renewable, and/or alternate fuel sources and/or mandating implementation of energy conservation programs requiring implementation of new technologies; challenges to tax positions taken, tax law changes, and difficulty in quantifying potential tax effects of business decisions; negative outcomes in legal proceedings; adverse impact of the activities associated with the past deferred prosecution agreement and now-resolved SEC investigation on Exelon's and ComEd's reputation and relationships with legislators, regulators, and customers; physical security and cybersecurity risks; extreme weather events, natural disasters, operational accidents such as wildfires or natural, gas explosions, war, acts and threats of terrorism, public health crises, epidemics, pandemics, or other significant events; lack of sufficient capacity to meet actual or forecasted demand or disruptions at power generation facilities owned by third parties; emerging technologies that could affect or transform the energy industry; instability in capital and credit markets; a downgrade of Exelon’s or any of its subsidiaries’ credit ratings or other failure to satisfy the credit standards in Exelon’s or any of its subsidiaries’ agreements or regulatory financial requirements; significant economic downturns or increases in customer rates; impacts of climate change and weather on energy usage and maintenance and capital costs; and impairment of long-lived assets, goodwill, and other assets.</w:t>
      </w:r>
    </w:p>
    <w:p>
      <w:pPr>
        <w:spacing w:after="0" w:line="7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New factors emerge from time to time, and it is impossible for us to predict all of such factors, nor can we assess the impact of each such factor on the business or the extent to which any factor, or combination of factors, may cause actual results to differ materially from those contained in any forward-looking statements. For more information, see those factors discussed with respect to Exelon’s most recent Annual Report on Form 10-K, including in Part I, ITEM 1A, any subsequent Quarterly Reports on Form 10-Q, and in other reports filed by Exelon from time to time with the SEC.</w:t>
      </w:r>
    </w:p>
    <w:p>
      <w:pPr>
        <w:spacing w:after="0" w:line="78"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Readers are cautioned not to place undue reliance on these forward-looking statements, which apply only as of the date of this proxy statement. Exelon does not undertake any obligation to publicly release any revision to its forward-looking statements to reflect events or circumstances after the date of this proxy statement.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Non-GAAP Financial Measures</w:t>
      </w:r>
    </w:p>
    <w:p>
      <w:pPr>
        <w:spacing w:after="0" w:line="122"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Non-GAAP financial measures discussed in this Proxy Statement are identified by the phrase “non-GAAP” and/or an asterisk (*). Reconciliations of these non-GAAP measures to the most comparable GAAP measures are provided in Appendix 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3A5CFF"/>
        </w:rPr>
        <w:t>Website References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Web links throughout this document are provided for convenience only and are not intended to be active hyperlinks to the referenced websites.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Information contained on our website is not incorporated by reference into this proxy statement for any purpose.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 w:hanging="454"/>
        <w:spacing w:after="0"/>
        <w:tabs>
          <w:tab w:leader="none" w:pos="480" w:val="left"/>
        </w:tabs>
        <w:numPr>
          <w:ilvl w:val="0"/>
          <w:numId w:val="16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2" w:right="359" w:bottom="1440" w:gutter="0" w:footer="0" w:header="0"/>
        </w:sectPr>
      </w:pPr>
    </w:p>
    <w:bookmarkStart w:id="88" w:name="page89"/>
    <w:bookmarkEnd w:id="88"/>
    <w:p>
      <w:pPr>
        <w:spacing w:after="0"/>
        <w:rPr>
          <w:sz w:val="20"/>
          <w:szCs w:val="20"/>
          <w:color w:val="auto"/>
        </w:rPr>
      </w:pPr>
      <w:r>
        <w:rPr>
          <w:rFonts w:ascii="Arial" w:cs="Arial" w:eastAsia="Arial" w:hAnsi="Arial"/>
          <w:sz w:val="41"/>
          <w:szCs w:val="41"/>
          <w:b w:val="1"/>
          <w:bCs w:val="1"/>
          <w:color w:val="170D67"/>
        </w:rPr>
        <w:t>Appendix A</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Definitions of Non-GAAP Measures</w:t>
      </w:r>
    </w:p>
    <w:p>
      <w:pPr>
        <w:spacing w:after="0" w:line="123"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Exelon reports its financial results in accordance with accounting principles generally accepted in the United States (GAAP) and supplements its reporting with certain non-GAAP financial measures, including: Adjusted (non-GAAP) operating earnings per share, adjusted operating earnings, operating return on equity (ROE), and CFO (Cash from Operations)/Debt. These non-GAAP financial measures are not a presentation defined under GAAP and may not be comparable to other companies’ presentations. Exelon provides these non-GAAP financial measures as supplemental information and should not be deemed more useful than, a substitute for, or an alternative to the most comparable GAAP measures.</w:t>
      </w:r>
    </w:p>
    <w:p>
      <w:pPr>
        <w:spacing w:after="0" w:line="6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This information is intended to enhance an investor’s overall understanding of period over period financial results and provide an indication of Exelon’s baseline operating performance by excluding items that are considered by management to be not directly related to the ongoing operations of the business. In addition, this information is among the primary indicators management uses as a basis for evaluating performance, allocating resources, setting incentive compensation targets, and planning and forecasting of future periods.</w:t>
      </w:r>
    </w:p>
    <w:p>
      <w:pPr>
        <w:spacing w:after="0" w:line="72" w:lineRule="exact"/>
        <w:rPr>
          <w:sz w:val="20"/>
          <w:szCs w:val="20"/>
          <w:color w:val="auto"/>
        </w:rPr>
      </w:pPr>
    </w:p>
    <w:p>
      <w:pPr>
        <w:spacing w:after="0" w:line="304" w:lineRule="auto"/>
        <w:rPr>
          <w:sz w:val="20"/>
          <w:szCs w:val="20"/>
          <w:color w:val="auto"/>
        </w:rPr>
      </w:pPr>
      <w:r>
        <w:rPr>
          <w:rFonts w:ascii="Arial" w:cs="Arial" w:eastAsia="Arial" w:hAnsi="Arial"/>
          <w:sz w:val="16"/>
          <w:szCs w:val="16"/>
          <w:b w:val="1"/>
          <w:bCs w:val="1"/>
          <w:color w:val="170D67"/>
        </w:rPr>
        <w:t xml:space="preserve">Adjusted (non-GAAP) operating earnings </w:t>
      </w:r>
      <w:r>
        <w:rPr>
          <w:rFonts w:ascii="Arial" w:cs="Arial" w:eastAsia="Arial" w:hAnsi="Arial"/>
          <w:sz w:val="16"/>
          <w:szCs w:val="16"/>
          <w:color w:val="000000"/>
        </w:rPr>
        <w:t>excludes certain costs, expenses, gains, and losses and other specified items considered by management to be</w:t>
      </w:r>
      <w:r>
        <w:rPr>
          <w:rFonts w:ascii="Arial" w:cs="Arial" w:eastAsia="Arial" w:hAnsi="Arial"/>
          <w:sz w:val="16"/>
          <w:szCs w:val="16"/>
          <w:b w:val="1"/>
          <w:bCs w:val="1"/>
          <w:color w:val="170D67"/>
        </w:rPr>
        <w:t xml:space="preserve"> </w:t>
      </w:r>
      <w:r>
        <w:rPr>
          <w:rFonts w:ascii="Arial" w:cs="Arial" w:eastAsia="Arial" w:hAnsi="Arial"/>
          <w:sz w:val="16"/>
          <w:szCs w:val="16"/>
          <w:color w:val="000000"/>
        </w:rPr>
        <w:t>not directly related to the ongoing operations of the business.</w:t>
      </w:r>
    </w:p>
    <w:p>
      <w:pPr>
        <w:spacing w:after="0" w:line="60"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The below table reconciles (a) net income attributable to common shareholders from continuing operations as determined in accordance with GAAP and adjusted (non-GAAP) operating earnings for 2024 and (b) reported GAAP earnings per share to adjusted (non-GAAP) operating earnings per share for 2024 (amounts may not add due to rounding).</w:t>
      </w:r>
    </w:p>
    <w:p>
      <w:pPr>
        <w:spacing w:after="0" w:line="120" w:lineRule="exact"/>
        <w:rPr>
          <w:sz w:val="20"/>
          <w:szCs w:val="20"/>
          <w:color w:val="auto"/>
        </w:rPr>
      </w:pPr>
    </w:p>
    <w:tbl>
      <w:tblPr>
        <w:tblLayout w:type="fixed"/>
        <w:tblInd w:w="1280" w:type="dxa"/>
        <w:tblCellMar>
          <w:top w:w="0" w:type="dxa"/>
          <w:left w:w="0" w:type="dxa"/>
          <w:bottom w:w="0" w:type="dxa"/>
          <w:right w:w="0" w:type="dxa"/>
        </w:tblCellMar>
      </w:tblPr>
      <w:tr>
        <w:trPr>
          <w:trHeight w:val="149"/>
        </w:trPr>
        <w:tc>
          <w:tcPr>
            <w:tcW w:w="4380" w:type="dxa"/>
            <w:vAlign w:val="bottom"/>
            <w:vMerge w:val="restart"/>
          </w:tcPr>
          <w:p>
            <w:pPr>
              <w:spacing w:after="0"/>
              <w:rPr>
                <w:sz w:val="20"/>
                <w:szCs w:val="20"/>
                <w:color w:val="auto"/>
              </w:rPr>
            </w:pPr>
            <w:r>
              <w:rPr>
                <w:rFonts w:ascii="Arial" w:cs="Arial" w:eastAsia="Arial" w:hAnsi="Arial"/>
                <w:sz w:val="14"/>
                <w:szCs w:val="14"/>
                <w:color w:val="212529"/>
              </w:rPr>
              <w:t>(in millions except per share data)</w:t>
            </w:r>
          </w:p>
        </w:tc>
        <w:tc>
          <w:tcPr>
            <w:tcW w:w="1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Earnings per</w:t>
            </w:r>
          </w:p>
        </w:tc>
        <w:tc>
          <w:tcPr>
            <w:tcW w:w="0" w:type="dxa"/>
            <w:vAlign w:val="bottom"/>
          </w:tcPr>
          <w:p>
            <w:pPr>
              <w:spacing w:after="0"/>
              <w:rPr>
                <w:sz w:val="1"/>
                <w:szCs w:val="1"/>
                <w:color w:val="auto"/>
              </w:rPr>
            </w:pPr>
          </w:p>
        </w:tc>
      </w:tr>
      <w:tr>
        <w:trPr>
          <w:trHeight w:val="172"/>
        </w:trPr>
        <w:tc>
          <w:tcPr>
            <w:tcW w:w="4380" w:type="dxa"/>
            <w:vAlign w:val="bottom"/>
            <w:vMerge w:val="continue"/>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Share</w:t>
            </w:r>
          </w:p>
        </w:tc>
        <w:tc>
          <w:tcPr>
            <w:tcW w:w="0" w:type="dxa"/>
            <w:vAlign w:val="bottom"/>
          </w:tcPr>
          <w:p>
            <w:pPr>
              <w:spacing w:after="0"/>
              <w:rPr>
                <w:sz w:val="1"/>
                <w:szCs w:val="1"/>
                <w:color w:val="auto"/>
              </w:rPr>
            </w:pPr>
          </w:p>
        </w:tc>
      </w:tr>
      <w:tr>
        <w:trPr>
          <w:trHeight w:val="22"/>
        </w:trPr>
        <w:tc>
          <w:tcPr>
            <w:tcW w:w="4380" w:type="dxa"/>
            <w:vAlign w:val="bottom"/>
            <w:tcBorders>
              <w:bottom w:val="single" w:sz="8" w:color="494949"/>
            </w:tcBorders>
          </w:tcPr>
          <w:p>
            <w:pPr>
              <w:spacing w:after="0" w:line="20" w:lineRule="exact"/>
              <w:rPr>
                <w:sz w:val="1"/>
                <w:szCs w:val="1"/>
                <w:color w:val="auto"/>
              </w:rPr>
            </w:pPr>
          </w:p>
        </w:tc>
        <w:tc>
          <w:tcPr>
            <w:tcW w:w="1640" w:type="dxa"/>
            <w:vAlign w:val="bottom"/>
            <w:tcBorders>
              <w:bottom w:val="single" w:sz="8" w:color="494949"/>
            </w:tcBorders>
          </w:tcPr>
          <w:p>
            <w:pPr>
              <w:spacing w:after="0" w:line="20" w:lineRule="exact"/>
              <w:rPr>
                <w:sz w:val="1"/>
                <w:szCs w:val="1"/>
                <w:color w:val="auto"/>
              </w:rPr>
            </w:pPr>
          </w:p>
        </w:tc>
        <w:tc>
          <w:tcPr>
            <w:tcW w:w="1080" w:type="dxa"/>
            <w:vAlign w:val="bottom"/>
            <w:tcBorders>
              <w:bottom w:val="single" w:sz="8" w:color="494949"/>
            </w:tcBorders>
          </w:tcPr>
          <w:p>
            <w:pPr>
              <w:spacing w:after="0" w:line="20" w:lineRule="exact"/>
              <w:rPr>
                <w:sz w:val="1"/>
                <w:szCs w:val="1"/>
                <w:color w:val="auto"/>
              </w:rPr>
            </w:pPr>
          </w:p>
        </w:tc>
        <w:tc>
          <w:tcPr>
            <w:tcW w:w="580" w:type="dxa"/>
            <w:vAlign w:val="bottom"/>
            <w:tcBorders>
              <w:bottom w:val="single" w:sz="8" w:color="494949"/>
            </w:tcBorders>
          </w:tcPr>
          <w:p>
            <w:pPr>
              <w:spacing w:after="0" w:line="20" w:lineRule="exact"/>
              <w:rPr>
                <w:sz w:val="1"/>
                <w:szCs w:val="1"/>
                <w:color w:val="auto"/>
              </w:rPr>
            </w:pPr>
          </w:p>
        </w:tc>
        <w:tc>
          <w:tcPr>
            <w:tcW w:w="1020" w:type="dxa"/>
            <w:vAlign w:val="bottom"/>
            <w:tcBorders>
              <w:bottom w:val="single" w:sz="8" w:color="49494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380" w:type="dxa"/>
            <w:vAlign w:val="bottom"/>
            <w:tcBorders>
              <w:bottom w:val="single" w:sz="8" w:color="494949"/>
            </w:tcBorders>
            <w:shd w:val="clear" w:color="auto" w:fill="E8E7EA"/>
          </w:tcPr>
          <w:p>
            <w:pPr>
              <w:ind w:left="60"/>
              <w:spacing w:after="0"/>
              <w:rPr>
                <w:sz w:val="20"/>
                <w:szCs w:val="20"/>
                <w:color w:val="auto"/>
              </w:rPr>
            </w:pPr>
            <w:r>
              <w:rPr>
                <w:rFonts w:ascii="Arial" w:cs="Arial" w:eastAsia="Arial" w:hAnsi="Arial"/>
                <w:sz w:val="14"/>
                <w:szCs w:val="14"/>
                <w:b w:val="1"/>
                <w:bCs w:val="1"/>
                <w:color w:val="212529"/>
              </w:rPr>
              <w:t>GAAP Net Income from Continuing Operations</w:t>
            </w:r>
          </w:p>
        </w:tc>
        <w:tc>
          <w:tcPr>
            <w:tcW w:w="1640" w:type="dxa"/>
            <w:vAlign w:val="bottom"/>
            <w:tcBorders>
              <w:bottom w:val="single" w:sz="8" w:color="494949"/>
            </w:tcBorders>
            <w:shd w:val="clear" w:color="auto" w:fill="E8E7EA"/>
          </w:tcPr>
          <w:p>
            <w:pPr>
              <w:jc w:val="right"/>
              <w:ind w:right="3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494949"/>
            </w:tcBorders>
            <w:shd w:val="clear" w:color="auto" w:fill="E8E7EA"/>
          </w:tcPr>
          <w:p>
            <w:pPr>
              <w:jc w:val="right"/>
              <w:ind w:right="228"/>
              <w:spacing w:after="0"/>
              <w:rPr>
                <w:sz w:val="20"/>
                <w:szCs w:val="20"/>
                <w:color w:val="auto"/>
              </w:rPr>
            </w:pPr>
            <w:r>
              <w:rPr>
                <w:rFonts w:ascii="Arial" w:cs="Arial" w:eastAsia="Arial" w:hAnsi="Arial"/>
                <w:sz w:val="14"/>
                <w:szCs w:val="14"/>
                <w:b w:val="1"/>
                <w:bCs w:val="1"/>
                <w:color w:val="auto"/>
              </w:rPr>
              <w:t>2,460</w:t>
            </w:r>
          </w:p>
        </w:tc>
        <w:tc>
          <w:tcPr>
            <w:tcW w:w="580" w:type="dxa"/>
            <w:vAlign w:val="bottom"/>
            <w:tcBorders>
              <w:bottom w:val="single" w:sz="8" w:color="494949"/>
            </w:tcBorders>
            <w:shd w:val="clear" w:color="auto" w:fill="E8E7EA"/>
          </w:tcPr>
          <w:p>
            <w:pPr>
              <w:jc w:val="right"/>
              <w:ind w:right="16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494949"/>
            </w:tcBorders>
            <w:shd w:val="clear" w:color="auto" w:fill="E8E7EA"/>
          </w:tcPr>
          <w:p>
            <w:pPr>
              <w:jc w:val="right"/>
              <w:spacing w:after="0"/>
              <w:rPr>
                <w:sz w:val="20"/>
                <w:szCs w:val="20"/>
                <w:color w:val="auto"/>
              </w:rPr>
            </w:pPr>
            <w:r>
              <w:rPr>
                <w:rFonts w:ascii="Arial" w:cs="Arial" w:eastAsia="Arial" w:hAnsi="Arial"/>
                <w:sz w:val="14"/>
                <w:szCs w:val="14"/>
                <w:b w:val="1"/>
                <w:bCs w:val="1"/>
                <w:color w:val="auto"/>
              </w:rPr>
              <w:t>2.45</w:t>
            </w:r>
          </w:p>
        </w:tc>
        <w:tc>
          <w:tcPr>
            <w:tcW w:w="0" w:type="dxa"/>
            <w:vAlign w:val="bottom"/>
          </w:tcPr>
          <w:p>
            <w:pPr>
              <w:spacing w:after="0"/>
              <w:rPr>
                <w:sz w:val="1"/>
                <w:szCs w:val="1"/>
                <w:color w:val="auto"/>
              </w:rPr>
            </w:pPr>
          </w:p>
        </w:tc>
      </w:tr>
      <w:tr>
        <w:trPr>
          <w:trHeight w:val="208"/>
        </w:trPr>
        <w:tc>
          <w:tcPr>
            <w:tcW w:w="4380" w:type="dxa"/>
            <w:vAlign w:val="bottom"/>
          </w:tcPr>
          <w:p>
            <w:pPr>
              <w:spacing w:after="0"/>
              <w:rPr>
                <w:sz w:val="20"/>
                <w:szCs w:val="20"/>
                <w:color w:val="auto"/>
              </w:rPr>
            </w:pPr>
            <w:r>
              <w:rPr>
                <w:rFonts w:ascii="Arial" w:cs="Arial" w:eastAsia="Arial" w:hAnsi="Arial"/>
                <w:sz w:val="14"/>
                <w:szCs w:val="14"/>
                <w:color w:val="auto"/>
              </w:rPr>
              <w:t>Environmental Costs</w:t>
            </w:r>
          </w:p>
        </w:tc>
        <w:tc>
          <w:tcPr>
            <w:tcW w:w="1640" w:type="dxa"/>
            <w:vAlign w:val="bottom"/>
          </w:tcPr>
          <w:p>
            <w:pPr>
              <w:spacing w:after="0"/>
              <w:rPr>
                <w:sz w:val="18"/>
                <w:szCs w:val="18"/>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(13)</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2"/>
        </w:trPr>
        <w:tc>
          <w:tcPr>
            <w:tcW w:w="4380" w:type="dxa"/>
            <w:vAlign w:val="bottom"/>
            <w:tcBorders>
              <w:bottom w:val="single" w:sz="8" w:color="494949"/>
            </w:tcBorders>
          </w:tcPr>
          <w:p>
            <w:pPr>
              <w:spacing w:after="0" w:line="20" w:lineRule="exact"/>
              <w:rPr>
                <w:sz w:val="1"/>
                <w:szCs w:val="1"/>
                <w:color w:val="auto"/>
              </w:rPr>
            </w:pPr>
          </w:p>
        </w:tc>
        <w:tc>
          <w:tcPr>
            <w:tcW w:w="1640" w:type="dxa"/>
            <w:vAlign w:val="bottom"/>
            <w:tcBorders>
              <w:bottom w:val="single" w:sz="8" w:color="494949"/>
            </w:tcBorders>
          </w:tcPr>
          <w:p>
            <w:pPr>
              <w:spacing w:after="0" w:line="20" w:lineRule="exact"/>
              <w:rPr>
                <w:sz w:val="1"/>
                <w:szCs w:val="1"/>
                <w:color w:val="auto"/>
              </w:rPr>
            </w:pPr>
          </w:p>
        </w:tc>
        <w:tc>
          <w:tcPr>
            <w:tcW w:w="1080" w:type="dxa"/>
            <w:vAlign w:val="bottom"/>
            <w:tcBorders>
              <w:bottom w:val="single" w:sz="8" w:color="494949"/>
            </w:tcBorders>
          </w:tcPr>
          <w:p>
            <w:pPr>
              <w:spacing w:after="0" w:line="20" w:lineRule="exact"/>
              <w:rPr>
                <w:sz w:val="1"/>
                <w:szCs w:val="1"/>
                <w:color w:val="auto"/>
              </w:rPr>
            </w:pPr>
          </w:p>
        </w:tc>
        <w:tc>
          <w:tcPr>
            <w:tcW w:w="580" w:type="dxa"/>
            <w:vAlign w:val="bottom"/>
            <w:tcBorders>
              <w:bottom w:val="single" w:sz="8" w:color="494949"/>
            </w:tcBorders>
          </w:tcPr>
          <w:p>
            <w:pPr>
              <w:spacing w:after="0" w:line="20" w:lineRule="exact"/>
              <w:rPr>
                <w:sz w:val="1"/>
                <w:szCs w:val="1"/>
                <w:color w:val="auto"/>
              </w:rPr>
            </w:pPr>
          </w:p>
        </w:tc>
        <w:tc>
          <w:tcPr>
            <w:tcW w:w="1020" w:type="dxa"/>
            <w:vAlign w:val="bottom"/>
            <w:tcBorders>
              <w:bottom w:val="single" w:sz="8" w:color="49494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380" w:type="dxa"/>
            <w:vAlign w:val="bottom"/>
          </w:tcPr>
          <w:p>
            <w:pPr>
              <w:spacing w:after="0"/>
              <w:rPr>
                <w:sz w:val="20"/>
                <w:szCs w:val="20"/>
                <w:color w:val="auto"/>
              </w:rPr>
            </w:pPr>
            <w:r>
              <w:rPr>
                <w:rFonts w:ascii="Arial" w:cs="Arial" w:eastAsia="Arial" w:hAnsi="Arial"/>
                <w:sz w:val="14"/>
                <w:szCs w:val="14"/>
                <w:color w:val="auto"/>
              </w:rPr>
              <w:t>Asset retirement obligation</w:t>
            </w:r>
          </w:p>
        </w:tc>
        <w:tc>
          <w:tcPr>
            <w:tcW w:w="1640" w:type="dxa"/>
            <w:vAlign w:val="bottom"/>
          </w:tcPr>
          <w:p>
            <w:pPr>
              <w:spacing w:after="0"/>
              <w:rPr>
                <w:sz w:val="17"/>
                <w:szCs w:val="17"/>
                <w:color w:val="auto"/>
              </w:rPr>
            </w:pPr>
          </w:p>
        </w:tc>
        <w:tc>
          <w:tcPr>
            <w:tcW w:w="1080" w:type="dxa"/>
            <w:vAlign w:val="bottom"/>
          </w:tcPr>
          <w:p>
            <w:pPr>
              <w:jc w:val="right"/>
              <w:ind w:right="228"/>
              <w:spacing w:after="0"/>
              <w:rPr>
                <w:sz w:val="20"/>
                <w:szCs w:val="20"/>
                <w:color w:val="auto"/>
              </w:rPr>
            </w:pPr>
            <w:r>
              <w:rPr>
                <w:rFonts w:ascii="Arial" w:cs="Arial" w:eastAsia="Arial" w:hAnsi="Arial"/>
                <w:sz w:val="14"/>
                <w:szCs w:val="14"/>
                <w:color w:val="auto"/>
              </w:rPr>
              <w:t>8</w:t>
            </w: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2"/>
        </w:trPr>
        <w:tc>
          <w:tcPr>
            <w:tcW w:w="4380" w:type="dxa"/>
            <w:vAlign w:val="bottom"/>
            <w:tcBorders>
              <w:bottom w:val="single" w:sz="8" w:color="494949"/>
            </w:tcBorders>
          </w:tcPr>
          <w:p>
            <w:pPr>
              <w:spacing w:after="0" w:line="20" w:lineRule="exact"/>
              <w:rPr>
                <w:sz w:val="1"/>
                <w:szCs w:val="1"/>
                <w:color w:val="auto"/>
              </w:rPr>
            </w:pPr>
          </w:p>
        </w:tc>
        <w:tc>
          <w:tcPr>
            <w:tcW w:w="1640" w:type="dxa"/>
            <w:vAlign w:val="bottom"/>
            <w:tcBorders>
              <w:bottom w:val="single" w:sz="8" w:color="494949"/>
            </w:tcBorders>
          </w:tcPr>
          <w:p>
            <w:pPr>
              <w:spacing w:after="0" w:line="20" w:lineRule="exact"/>
              <w:rPr>
                <w:sz w:val="1"/>
                <w:szCs w:val="1"/>
                <w:color w:val="auto"/>
              </w:rPr>
            </w:pPr>
          </w:p>
        </w:tc>
        <w:tc>
          <w:tcPr>
            <w:tcW w:w="1080" w:type="dxa"/>
            <w:vAlign w:val="bottom"/>
            <w:tcBorders>
              <w:bottom w:val="single" w:sz="8" w:color="494949"/>
            </w:tcBorders>
          </w:tcPr>
          <w:p>
            <w:pPr>
              <w:spacing w:after="0" w:line="20" w:lineRule="exact"/>
              <w:rPr>
                <w:sz w:val="1"/>
                <w:szCs w:val="1"/>
                <w:color w:val="auto"/>
              </w:rPr>
            </w:pPr>
          </w:p>
        </w:tc>
        <w:tc>
          <w:tcPr>
            <w:tcW w:w="580" w:type="dxa"/>
            <w:vAlign w:val="bottom"/>
            <w:tcBorders>
              <w:bottom w:val="single" w:sz="8" w:color="494949"/>
            </w:tcBorders>
          </w:tcPr>
          <w:p>
            <w:pPr>
              <w:spacing w:after="0" w:line="20" w:lineRule="exact"/>
              <w:rPr>
                <w:sz w:val="1"/>
                <w:szCs w:val="1"/>
                <w:color w:val="auto"/>
              </w:rPr>
            </w:pPr>
          </w:p>
        </w:tc>
        <w:tc>
          <w:tcPr>
            <w:tcW w:w="1020" w:type="dxa"/>
            <w:vAlign w:val="bottom"/>
            <w:tcBorders>
              <w:bottom w:val="single" w:sz="8" w:color="49494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380" w:type="dxa"/>
            <w:vAlign w:val="bottom"/>
          </w:tcPr>
          <w:p>
            <w:pPr>
              <w:spacing w:after="0"/>
              <w:rPr>
                <w:sz w:val="20"/>
                <w:szCs w:val="20"/>
                <w:color w:val="auto"/>
              </w:rPr>
            </w:pPr>
            <w:r>
              <w:rPr>
                <w:rFonts w:ascii="Arial" w:cs="Arial" w:eastAsia="Arial" w:hAnsi="Arial"/>
                <w:sz w:val="14"/>
                <w:szCs w:val="14"/>
                <w:color w:val="auto"/>
              </w:rPr>
              <w:t>Cost management charge</w:t>
            </w:r>
          </w:p>
        </w:tc>
        <w:tc>
          <w:tcPr>
            <w:tcW w:w="1640" w:type="dxa"/>
            <w:vAlign w:val="bottom"/>
          </w:tcPr>
          <w:p>
            <w:pPr>
              <w:spacing w:after="0"/>
              <w:rPr>
                <w:sz w:val="17"/>
                <w:szCs w:val="17"/>
                <w:color w:val="auto"/>
              </w:rPr>
            </w:pPr>
          </w:p>
        </w:tc>
        <w:tc>
          <w:tcPr>
            <w:tcW w:w="1080" w:type="dxa"/>
            <w:vAlign w:val="bottom"/>
          </w:tcPr>
          <w:p>
            <w:pPr>
              <w:jc w:val="right"/>
              <w:ind w:right="228"/>
              <w:spacing w:after="0"/>
              <w:rPr>
                <w:sz w:val="20"/>
                <w:szCs w:val="20"/>
                <w:color w:val="auto"/>
              </w:rPr>
            </w:pPr>
            <w:r>
              <w:rPr>
                <w:rFonts w:ascii="Arial" w:cs="Arial" w:eastAsia="Arial" w:hAnsi="Arial"/>
                <w:sz w:val="14"/>
                <w:szCs w:val="14"/>
                <w:color w:val="auto"/>
              </w:rPr>
              <w:t>13</w:t>
            </w: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2"/>
        </w:trPr>
        <w:tc>
          <w:tcPr>
            <w:tcW w:w="4380" w:type="dxa"/>
            <w:vAlign w:val="bottom"/>
            <w:tcBorders>
              <w:bottom w:val="single" w:sz="8" w:color="494949"/>
            </w:tcBorders>
          </w:tcPr>
          <w:p>
            <w:pPr>
              <w:spacing w:after="0" w:line="20" w:lineRule="exact"/>
              <w:rPr>
                <w:sz w:val="1"/>
                <w:szCs w:val="1"/>
                <w:color w:val="auto"/>
              </w:rPr>
            </w:pPr>
          </w:p>
        </w:tc>
        <w:tc>
          <w:tcPr>
            <w:tcW w:w="1640" w:type="dxa"/>
            <w:vAlign w:val="bottom"/>
            <w:tcBorders>
              <w:bottom w:val="single" w:sz="8" w:color="494949"/>
            </w:tcBorders>
          </w:tcPr>
          <w:p>
            <w:pPr>
              <w:spacing w:after="0" w:line="20" w:lineRule="exact"/>
              <w:rPr>
                <w:sz w:val="1"/>
                <w:szCs w:val="1"/>
                <w:color w:val="auto"/>
              </w:rPr>
            </w:pPr>
          </w:p>
        </w:tc>
        <w:tc>
          <w:tcPr>
            <w:tcW w:w="1080" w:type="dxa"/>
            <w:vAlign w:val="bottom"/>
            <w:tcBorders>
              <w:bottom w:val="single" w:sz="8" w:color="494949"/>
            </w:tcBorders>
          </w:tcPr>
          <w:p>
            <w:pPr>
              <w:spacing w:after="0" w:line="20" w:lineRule="exact"/>
              <w:rPr>
                <w:sz w:val="1"/>
                <w:szCs w:val="1"/>
                <w:color w:val="auto"/>
              </w:rPr>
            </w:pPr>
          </w:p>
        </w:tc>
        <w:tc>
          <w:tcPr>
            <w:tcW w:w="580" w:type="dxa"/>
            <w:vAlign w:val="bottom"/>
            <w:tcBorders>
              <w:bottom w:val="single" w:sz="8" w:color="494949"/>
            </w:tcBorders>
          </w:tcPr>
          <w:p>
            <w:pPr>
              <w:spacing w:after="0" w:line="20" w:lineRule="exact"/>
              <w:rPr>
                <w:sz w:val="1"/>
                <w:szCs w:val="1"/>
                <w:color w:val="auto"/>
              </w:rPr>
            </w:pPr>
          </w:p>
        </w:tc>
        <w:tc>
          <w:tcPr>
            <w:tcW w:w="1020" w:type="dxa"/>
            <w:vAlign w:val="bottom"/>
            <w:tcBorders>
              <w:bottom w:val="single" w:sz="8" w:color="49494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380" w:type="dxa"/>
            <w:vAlign w:val="bottom"/>
          </w:tcPr>
          <w:p>
            <w:pPr>
              <w:spacing w:after="0"/>
              <w:rPr>
                <w:sz w:val="20"/>
                <w:szCs w:val="20"/>
                <w:color w:val="auto"/>
              </w:rPr>
            </w:pPr>
            <w:r>
              <w:rPr>
                <w:rFonts w:ascii="Arial" w:cs="Arial" w:eastAsia="Arial" w:hAnsi="Arial"/>
                <w:sz w:val="14"/>
                <w:szCs w:val="14"/>
                <w:color w:val="auto"/>
              </w:rPr>
              <w:t>Change in FERC Audit Liability</w:t>
            </w:r>
          </w:p>
        </w:tc>
        <w:tc>
          <w:tcPr>
            <w:tcW w:w="1640" w:type="dxa"/>
            <w:vAlign w:val="bottom"/>
          </w:tcPr>
          <w:p>
            <w:pPr>
              <w:spacing w:after="0"/>
              <w:rPr>
                <w:sz w:val="17"/>
                <w:szCs w:val="17"/>
                <w:color w:val="auto"/>
              </w:rPr>
            </w:pPr>
          </w:p>
        </w:tc>
        <w:tc>
          <w:tcPr>
            <w:tcW w:w="1080" w:type="dxa"/>
            <w:vAlign w:val="bottom"/>
          </w:tcPr>
          <w:p>
            <w:pPr>
              <w:jc w:val="right"/>
              <w:ind w:right="228"/>
              <w:spacing w:after="0"/>
              <w:rPr>
                <w:sz w:val="20"/>
                <w:szCs w:val="20"/>
                <w:color w:val="auto"/>
              </w:rPr>
            </w:pPr>
            <w:r>
              <w:rPr>
                <w:rFonts w:ascii="Arial" w:cs="Arial" w:eastAsia="Arial" w:hAnsi="Arial"/>
                <w:sz w:val="14"/>
                <w:szCs w:val="14"/>
                <w:color w:val="auto"/>
              </w:rPr>
              <w:t>42</w:t>
            </w: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2"/>
        </w:trPr>
        <w:tc>
          <w:tcPr>
            <w:tcW w:w="4380" w:type="dxa"/>
            <w:vAlign w:val="bottom"/>
            <w:tcBorders>
              <w:bottom w:val="single" w:sz="8" w:color="494949"/>
            </w:tcBorders>
          </w:tcPr>
          <w:p>
            <w:pPr>
              <w:spacing w:after="0" w:line="20" w:lineRule="exact"/>
              <w:rPr>
                <w:sz w:val="1"/>
                <w:szCs w:val="1"/>
                <w:color w:val="auto"/>
              </w:rPr>
            </w:pPr>
          </w:p>
        </w:tc>
        <w:tc>
          <w:tcPr>
            <w:tcW w:w="1640" w:type="dxa"/>
            <w:vAlign w:val="bottom"/>
            <w:tcBorders>
              <w:bottom w:val="single" w:sz="8" w:color="494949"/>
            </w:tcBorders>
          </w:tcPr>
          <w:p>
            <w:pPr>
              <w:spacing w:after="0" w:line="20" w:lineRule="exact"/>
              <w:rPr>
                <w:sz w:val="1"/>
                <w:szCs w:val="1"/>
                <w:color w:val="auto"/>
              </w:rPr>
            </w:pPr>
          </w:p>
        </w:tc>
        <w:tc>
          <w:tcPr>
            <w:tcW w:w="1080" w:type="dxa"/>
            <w:vAlign w:val="bottom"/>
            <w:tcBorders>
              <w:bottom w:val="single" w:sz="8" w:color="494949"/>
            </w:tcBorders>
          </w:tcPr>
          <w:p>
            <w:pPr>
              <w:spacing w:after="0" w:line="20" w:lineRule="exact"/>
              <w:rPr>
                <w:sz w:val="1"/>
                <w:szCs w:val="1"/>
                <w:color w:val="auto"/>
              </w:rPr>
            </w:pPr>
          </w:p>
        </w:tc>
        <w:tc>
          <w:tcPr>
            <w:tcW w:w="580" w:type="dxa"/>
            <w:vAlign w:val="bottom"/>
            <w:tcBorders>
              <w:bottom w:val="single" w:sz="8" w:color="494949"/>
            </w:tcBorders>
          </w:tcPr>
          <w:p>
            <w:pPr>
              <w:spacing w:after="0" w:line="20" w:lineRule="exact"/>
              <w:rPr>
                <w:sz w:val="1"/>
                <w:szCs w:val="1"/>
                <w:color w:val="auto"/>
              </w:rPr>
            </w:pPr>
          </w:p>
        </w:tc>
        <w:tc>
          <w:tcPr>
            <w:tcW w:w="1020" w:type="dxa"/>
            <w:vAlign w:val="bottom"/>
            <w:tcBorders>
              <w:bottom w:val="single" w:sz="8" w:color="49494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380" w:type="dxa"/>
            <w:vAlign w:val="bottom"/>
          </w:tcPr>
          <w:p>
            <w:pPr>
              <w:spacing w:after="0"/>
              <w:rPr>
                <w:sz w:val="20"/>
                <w:szCs w:val="20"/>
                <w:color w:val="auto"/>
              </w:rPr>
            </w:pPr>
            <w:r>
              <w:rPr>
                <w:rFonts w:ascii="Arial" w:cs="Arial" w:eastAsia="Arial" w:hAnsi="Arial"/>
                <w:sz w:val="14"/>
                <w:szCs w:val="14"/>
                <w:color w:val="auto"/>
              </w:rPr>
              <w:t>Income tax-related adjustments</w:t>
            </w:r>
          </w:p>
        </w:tc>
        <w:tc>
          <w:tcPr>
            <w:tcW w:w="1640" w:type="dxa"/>
            <w:vAlign w:val="bottom"/>
          </w:tcPr>
          <w:p>
            <w:pPr>
              <w:spacing w:after="0"/>
              <w:rPr>
                <w:sz w:val="17"/>
                <w:szCs w:val="17"/>
                <w:color w:val="auto"/>
              </w:rPr>
            </w:pP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(3)</w:t>
            </w: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4380" w:type="dxa"/>
            <w:vAlign w:val="bottom"/>
            <w:tcBorders>
              <w:bottom w:val="single" w:sz="8" w:color="494949"/>
            </w:tcBorders>
          </w:tcPr>
          <w:p>
            <w:pPr>
              <w:spacing w:after="0" w:line="20" w:lineRule="exact"/>
              <w:rPr>
                <w:sz w:val="1"/>
                <w:szCs w:val="1"/>
                <w:color w:val="auto"/>
              </w:rPr>
            </w:pPr>
          </w:p>
        </w:tc>
        <w:tc>
          <w:tcPr>
            <w:tcW w:w="1640" w:type="dxa"/>
            <w:vAlign w:val="bottom"/>
            <w:tcBorders>
              <w:bottom w:val="single" w:sz="8" w:color="494949"/>
            </w:tcBorders>
          </w:tcPr>
          <w:p>
            <w:pPr>
              <w:spacing w:after="0" w:line="20" w:lineRule="exact"/>
              <w:rPr>
                <w:sz w:val="1"/>
                <w:szCs w:val="1"/>
                <w:color w:val="auto"/>
              </w:rPr>
            </w:pPr>
          </w:p>
        </w:tc>
        <w:tc>
          <w:tcPr>
            <w:tcW w:w="1080" w:type="dxa"/>
            <w:vAlign w:val="bottom"/>
            <w:tcBorders>
              <w:bottom w:val="single" w:sz="8" w:color="494949"/>
            </w:tcBorders>
          </w:tcPr>
          <w:p>
            <w:pPr>
              <w:spacing w:after="0" w:line="20" w:lineRule="exact"/>
              <w:rPr>
                <w:sz w:val="1"/>
                <w:szCs w:val="1"/>
                <w:color w:val="auto"/>
              </w:rPr>
            </w:pPr>
          </w:p>
        </w:tc>
        <w:tc>
          <w:tcPr>
            <w:tcW w:w="580" w:type="dxa"/>
            <w:vAlign w:val="bottom"/>
            <w:tcBorders>
              <w:bottom w:val="single" w:sz="8" w:color="494949"/>
            </w:tcBorders>
          </w:tcPr>
          <w:p>
            <w:pPr>
              <w:spacing w:after="0" w:line="20" w:lineRule="exact"/>
              <w:rPr>
                <w:sz w:val="1"/>
                <w:szCs w:val="1"/>
                <w:color w:val="auto"/>
              </w:rPr>
            </w:pPr>
          </w:p>
        </w:tc>
        <w:tc>
          <w:tcPr>
            <w:tcW w:w="1020" w:type="dxa"/>
            <w:vAlign w:val="bottom"/>
            <w:tcBorders>
              <w:bottom w:val="single" w:sz="8" w:color="49494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380" w:type="dxa"/>
            <w:vAlign w:val="bottom"/>
            <w:tcBorders>
              <w:bottom w:val="single" w:sz="8" w:color="494949"/>
            </w:tcBorders>
            <w:shd w:val="clear" w:color="auto" w:fill="E8E7EA"/>
          </w:tcPr>
          <w:p>
            <w:pPr>
              <w:spacing w:after="0"/>
              <w:rPr>
                <w:sz w:val="20"/>
                <w:szCs w:val="20"/>
                <w:color w:val="auto"/>
              </w:rPr>
            </w:pPr>
            <w:r>
              <w:rPr>
                <w:rFonts w:ascii="Arial" w:cs="Arial" w:eastAsia="Arial" w:hAnsi="Arial"/>
                <w:sz w:val="14"/>
                <w:szCs w:val="14"/>
                <w:b w:val="1"/>
                <w:bCs w:val="1"/>
                <w:color w:val="212529"/>
              </w:rPr>
              <w:t>2024 Adjusted (non-GAAP) Operating Earnings</w:t>
            </w:r>
          </w:p>
        </w:tc>
        <w:tc>
          <w:tcPr>
            <w:tcW w:w="1640" w:type="dxa"/>
            <w:vAlign w:val="bottom"/>
            <w:tcBorders>
              <w:bottom w:val="single" w:sz="8" w:color="494949"/>
            </w:tcBorders>
            <w:shd w:val="clear" w:color="auto" w:fill="E8E7EA"/>
          </w:tcPr>
          <w:p>
            <w:pPr>
              <w:jc w:val="right"/>
              <w:ind w:right="3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494949"/>
            </w:tcBorders>
            <w:shd w:val="clear" w:color="auto" w:fill="E8E7EA"/>
          </w:tcPr>
          <w:p>
            <w:pPr>
              <w:jc w:val="right"/>
              <w:ind w:right="228"/>
              <w:spacing w:after="0"/>
              <w:rPr>
                <w:sz w:val="20"/>
                <w:szCs w:val="20"/>
                <w:color w:val="auto"/>
              </w:rPr>
            </w:pPr>
            <w:r>
              <w:rPr>
                <w:rFonts w:ascii="Arial" w:cs="Arial" w:eastAsia="Arial" w:hAnsi="Arial"/>
                <w:sz w:val="14"/>
                <w:szCs w:val="14"/>
                <w:b w:val="1"/>
                <w:bCs w:val="1"/>
                <w:color w:val="auto"/>
              </w:rPr>
              <w:t>2,507</w:t>
            </w:r>
          </w:p>
        </w:tc>
        <w:tc>
          <w:tcPr>
            <w:tcW w:w="580" w:type="dxa"/>
            <w:vAlign w:val="bottom"/>
            <w:tcBorders>
              <w:bottom w:val="single" w:sz="8" w:color="494949"/>
            </w:tcBorders>
            <w:shd w:val="clear" w:color="auto" w:fill="E8E7EA"/>
          </w:tcPr>
          <w:p>
            <w:pPr>
              <w:jc w:val="right"/>
              <w:ind w:right="16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494949"/>
            </w:tcBorders>
            <w:shd w:val="clear" w:color="auto" w:fill="E8E7EA"/>
          </w:tcPr>
          <w:p>
            <w:pPr>
              <w:jc w:val="right"/>
              <w:spacing w:after="0"/>
              <w:rPr>
                <w:sz w:val="20"/>
                <w:szCs w:val="20"/>
                <w:color w:val="auto"/>
              </w:rPr>
            </w:pPr>
            <w:r>
              <w:rPr>
                <w:rFonts w:ascii="Arial" w:cs="Arial" w:eastAsia="Arial" w:hAnsi="Arial"/>
                <w:sz w:val="14"/>
                <w:szCs w:val="14"/>
                <w:b w:val="1"/>
                <w:bCs w:val="1"/>
                <w:color w:val="auto"/>
              </w:rPr>
              <w:t>2.50</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b w:val="1"/>
          <w:bCs w:val="1"/>
          <w:color w:val="170D67"/>
        </w:rPr>
        <w:t xml:space="preserve">Operating ROE </w:t>
      </w:r>
      <w:r>
        <w:rPr>
          <w:rFonts w:ascii="Arial" w:cs="Arial" w:eastAsia="Arial" w:hAnsi="Arial"/>
          <w:sz w:val="16"/>
          <w:szCs w:val="16"/>
          <w:color w:val="000000"/>
        </w:rPr>
        <w:t>is calculated using operating net income divided by average equity for the period. The operating income reflects all lines of business for the</w:t>
      </w:r>
      <w:r>
        <w:rPr>
          <w:rFonts w:ascii="Arial" w:cs="Arial" w:eastAsia="Arial" w:hAnsi="Arial"/>
          <w:sz w:val="16"/>
          <w:szCs w:val="16"/>
          <w:b w:val="1"/>
          <w:bCs w:val="1"/>
          <w:color w:val="170D67"/>
        </w:rPr>
        <w:t xml:space="preserve"> </w:t>
      </w:r>
      <w:r>
        <w:rPr>
          <w:rFonts w:ascii="Arial" w:cs="Arial" w:eastAsia="Arial" w:hAnsi="Arial"/>
          <w:sz w:val="16"/>
          <w:szCs w:val="16"/>
          <w:color w:val="000000"/>
        </w:rPr>
        <w:t>utility business (electric distribution, gas distribution, transmission).</w:t>
      </w:r>
    </w:p>
    <w:p>
      <w:pPr>
        <w:spacing w:after="0" w:line="156"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b w:val="1"/>
          <w:bCs w:val="1"/>
          <w:color w:val="170D67"/>
        </w:rPr>
        <w:t xml:space="preserve">CFO (Cash from Operations)/Debt </w:t>
      </w:r>
      <w:r>
        <w:rPr>
          <w:rFonts w:ascii="Arial" w:cs="Arial" w:eastAsia="Arial" w:hAnsi="Arial"/>
          <w:sz w:val="16"/>
          <w:szCs w:val="16"/>
          <w:color w:val="000000"/>
        </w:rPr>
        <w:t>is a coverage ratio that compares cash flow from operations adjusted for common dividends and change in cash on</w:t>
      </w:r>
      <w:r>
        <w:rPr>
          <w:rFonts w:ascii="Arial" w:cs="Arial" w:eastAsia="Arial" w:hAnsi="Arial"/>
          <w:sz w:val="16"/>
          <w:szCs w:val="16"/>
          <w:b w:val="1"/>
          <w:bCs w:val="1"/>
          <w:color w:val="170D67"/>
        </w:rPr>
        <w:t xml:space="preserve"> </w:t>
      </w:r>
      <w:r>
        <w:rPr>
          <w:rFonts w:ascii="Arial" w:cs="Arial" w:eastAsia="Arial" w:hAnsi="Arial"/>
          <w:sz w:val="16"/>
          <w:szCs w:val="16"/>
          <w:color w:val="000000"/>
        </w:rPr>
        <w:t>hand to total debt. The ratio is calculated following Moody’s current methodology.</w:t>
      </w:r>
    </w:p>
    <w:p>
      <w:pPr>
        <w:spacing w:after="0" w:line="60"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The most directly comparable GAAP measure to CFO is GAAP Cash Flow from Operations and the most directly comparable GAAP measure to Debt is Long-Term Debt plus Short-Term Borrowings. Management uses CFO/Debt to evaluate financial risk by measuring the company’s ability to service debt using cash from operations. We believe the measure enhances an investor’s overall understanding of the creditworthiness of Exelon’s operating companies.</w:t>
      </w:r>
    </w:p>
    <w:p>
      <w:pPr>
        <w:spacing w:after="0" w:line="71"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Due to the forward-looking nature of some forecasted non-GAAP measures, information to reconcile the forecasted adjusted (non-GAAP) measures to the most directly comparable GAAP measure may not be currently available; therefore, management is unable to reconcile these measures.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8780"/>
              <w:spacing w:after="0"/>
              <w:rPr>
                <w:sz w:val="20"/>
                <w:szCs w:val="20"/>
                <w:color w:val="auto"/>
              </w:rPr>
            </w:pPr>
            <w:r>
              <w:rPr>
                <w:rFonts w:ascii="Arial" w:cs="Arial" w:eastAsia="Arial" w:hAnsi="Arial"/>
                <w:sz w:val="14"/>
                <w:szCs w:val="14"/>
                <w:color w:val="auto"/>
              </w:rPr>
              <w:t>2025 ׀ Exelon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85</w:t>
            </w:r>
          </w:p>
        </w:tc>
      </w:tr>
      <w:tr>
        <w:trPr>
          <w:trHeight w:val="211"/>
        </w:trPr>
        <w:tc>
          <w:tcPr>
            <w:tcW w:w="109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2" w:right="339" w:bottom="1440" w:gutter="0" w:footer="0" w:header="0"/>
        </w:sectPr>
      </w:pPr>
    </w:p>
    <w:bookmarkStart w:id="89" w:name="page90"/>
    <w:bookmarkEnd w:id="89"/>
    <w:p>
      <w:pPr>
        <w:spacing w:after="0"/>
        <w:rPr>
          <w:sz w:val="20"/>
          <w:szCs w:val="20"/>
          <w:color w:val="auto"/>
        </w:rPr>
      </w:pPr>
      <w:r>
        <w:rPr>
          <w:rFonts w:ascii="Arial" w:cs="Arial" w:eastAsia="Arial" w:hAnsi="Arial"/>
          <w:sz w:val="41"/>
          <w:szCs w:val="41"/>
          <w:b w:val="1"/>
          <w:bCs w:val="1"/>
          <w:color w:val="170D67"/>
        </w:rPr>
        <w:t>Appendix B</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Key Terms and Acronyms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60" w:type="dxa"/>
            <w:vAlign w:val="bottom"/>
            <w:gridSpan w:val="2"/>
          </w:tcPr>
          <w:p>
            <w:pPr>
              <w:spacing w:after="0"/>
              <w:rPr>
                <w:sz w:val="20"/>
                <w:szCs w:val="20"/>
                <w:color w:val="auto"/>
              </w:rPr>
            </w:pPr>
            <w:r>
              <w:rPr>
                <w:rFonts w:ascii="Arial" w:cs="Arial" w:eastAsia="Arial" w:hAnsi="Arial"/>
                <w:sz w:val="16"/>
                <w:szCs w:val="16"/>
                <w:b w:val="1"/>
                <w:bCs w:val="1"/>
                <w:color w:val="3A5CFF"/>
              </w:rPr>
              <w:t>Exelon Companies</w:t>
            </w:r>
          </w:p>
        </w:tc>
        <w:tc>
          <w:tcPr>
            <w:tcW w:w="114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378"/>
        </w:trPr>
        <w:tc>
          <w:tcPr>
            <w:tcW w:w="720" w:type="dxa"/>
            <w:vAlign w:val="bottom"/>
          </w:tcPr>
          <w:p>
            <w:pPr>
              <w:ind w:left="20"/>
              <w:spacing w:after="0"/>
              <w:rPr>
                <w:sz w:val="20"/>
                <w:szCs w:val="20"/>
                <w:color w:val="auto"/>
              </w:rPr>
            </w:pPr>
            <w:r>
              <w:rPr>
                <w:rFonts w:ascii="Arial" w:cs="Arial" w:eastAsia="Arial" w:hAnsi="Arial"/>
                <w:sz w:val="16"/>
                <w:szCs w:val="16"/>
                <w:b w:val="1"/>
                <w:bCs w:val="1"/>
                <w:color w:val="auto"/>
              </w:rPr>
              <w:t>ACE</w:t>
            </w:r>
          </w:p>
        </w:tc>
        <w:tc>
          <w:tcPr>
            <w:tcW w:w="4540" w:type="dxa"/>
            <w:vAlign w:val="bottom"/>
          </w:tcPr>
          <w:p>
            <w:pPr>
              <w:ind w:left="120"/>
              <w:spacing w:after="0"/>
              <w:rPr>
                <w:sz w:val="20"/>
                <w:szCs w:val="20"/>
                <w:color w:val="auto"/>
              </w:rPr>
            </w:pPr>
            <w:r>
              <w:rPr>
                <w:rFonts w:ascii="Arial" w:cs="Arial" w:eastAsia="Arial" w:hAnsi="Arial"/>
                <w:sz w:val="16"/>
                <w:szCs w:val="16"/>
                <w:color w:val="auto"/>
              </w:rPr>
              <w:t>Atlantic City Electric Company</w:t>
            </w:r>
          </w:p>
        </w:tc>
        <w:tc>
          <w:tcPr>
            <w:tcW w:w="1140" w:type="dxa"/>
            <w:vAlign w:val="bottom"/>
          </w:tcPr>
          <w:p>
            <w:pPr>
              <w:ind w:left="440"/>
              <w:spacing w:after="0"/>
              <w:rPr>
                <w:sz w:val="20"/>
                <w:szCs w:val="20"/>
                <w:color w:val="auto"/>
              </w:rPr>
            </w:pPr>
            <w:r>
              <w:rPr>
                <w:rFonts w:ascii="Arial" w:cs="Arial" w:eastAsia="Arial" w:hAnsi="Arial"/>
                <w:sz w:val="16"/>
                <w:szCs w:val="16"/>
                <w:color w:val="auto"/>
              </w:rPr>
              <w:t>PECO</w:t>
            </w:r>
          </w:p>
        </w:tc>
        <w:tc>
          <w:tcPr>
            <w:tcW w:w="4000" w:type="dxa"/>
            <w:vAlign w:val="bottom"/>
          </w:tcPr>
          <w:p>
            <w:pPr>
              <w:ind w:left="140"/>
              <w:spacing w:after="0"/>
              <w:rPr>
                <w:sz w:val="20"/>
                <w:szCs w:val="20"/>
                <w:color w:val="auto"/>
              </w:rPr>
            </w:pPr>
            <w:r>
              <w:rPr>
                <w:rFonts w:ascii="Arial" w:cs="Arial" w:eastAsia="Arial" w:hAnsi="Arial"/>
                <w:sz w:val="16"/>
                <w:szCs w:val="16"/>
                <w:color w:val="auto"/>
              </w:rPr>
              <w:t>PECO Energy Company</w:t>
            </w:r>
          </w:p>
        </w:tc>
      </w:tr>
      <w:tr>
        <w:trPr>
          <w:trHeight w:val="270"/>
        </w:trPr>
        <w:tc>
          <w:tcPr>
            <w:tcW w:w="720" w:type="dxa"/>
            <w:vAlign w:val="bottom"/>
          </w:tcPr>
          <w:p>
            <w:pPr>
              <w:ind w:left="20"/>
              <w:spacing w:after="0"/>
              <w:rPr>
                <w:sz w:val="20"/>
                <w:szCs w:val="20"/>
                <w:color w:val="auto"/>
              </w:rPr>
            </w:pPr>
            <w:r>
              <w:rPr>
                <w:rFonts w:ascii="Arial" w:cs="Arial" w:eastAsia="Arial" w:hAnsi="Arial"/>
                <w:sz w:val="16"/>
                <w:szCs w:val="16"/>
                <w:b w:val="1"/>
                <w:bCs w:val="1"/>
                <w:color w:val="auto"/>
              </w:rPr>
              <w:t>BGE</w:t>
            </w:r>
          </w:p>
        </w:tc>
        <w:tc>
          <w:tcPr>
            <w:tcW w:w="4540" w:type="dxa"/>
            <w:vAlign w:val="bottom"/>
          </w:tcPr>
          <w:p>
            <w:pPr>
              <w:ind w:left="120"/>
              <w:spacing w:after="0"/>
              <w:rPr>
                <w:sz w:val="20"/>
                <w:szCs w:val="20"/>
                <w:color w:val="auto"/>
              </w:rPr>
            </w:pPr>
            <w:r>
              <w:rPr>
                <w:rFonts w:ascii="Arial" w:cs="Arial" w:eastAsia="Arial" w:hAnsi="Arial"/>
                <w:sz w:val="16"/>
                <w:szCs w:val="16"/>
                <w:color w:val="auto"/>
              </w:rPr>
              <w:t>Baltimore Gas and Electric Company</w:t>
            </w:r>
          </w:p>
        </w:tc>
        <w:tc>
          <w:tcPr>
            <w:tcW w:w="1140" w:type="dxa"/>
            <w:vAlign w:val="bottom"/>
          </w:tcPr>
          <w:p>
            <w:pPr>
              <w:ind w:left="440"/>
              <w:spacing w:after="0"/>
              <w:rPr>
                <w:sz w:val="20"/>
                <w:szCs w:val="20"/>
                <w:color w:val="auto"/>
              </w:rPr>
            </w:pPr>
            <w:r>
              <w:rPr>
                <w:rFonts w:ascii="Arial" w:cs="Arial" w:eastAsia="Arial" w:hAnsi="Arial"/>
                <w:sz w:val="16"/>
                <w:szCs w:val="16"/>
                <w:color w:val="auto"/>
              </w:rPr>
              <w:t>Pepco</w:t>
            </w:r>
          </w:p>
        </w:tc>
        <w:tc>
          <w:tcPr>
            <w:tcW w:w="4000" w:type="dxa"/>
            <w:vAlign w:val="bottom"/>
          </w:tcPr>
          <w:p>
            <w:pPr>
              <w:ind w:left="140"/>
              <w:spacing w:after="0"/>
              <w:rPr>
                <w:sz w:val="20"/>
                <w:szCs w:val="20"/>
                <w:color w:val="auto"/>
              </w:rPr>
            </w:pPr>
            <w:r>
              <w:rPr>
                <w:rFonts w:ascii="Arial" w:cs="Arial" w:eastAsia="Arial" w:hAnsi="Arial"/>
                <w:sz w:val="16"/>
                <w:szCs w:val="16"/>
                <w:color w:val="auto"/>
              </w:rPr>
              <w:t>Potomac Electric Power Company</w:t>
            </w:r>
          </w:p>
        </w:tc>
      </w:tr>
      <w:tr>
        <w:trPr>
          <w:trHeight w:val="270"/>
        </w:trPr>
        <w:tc>
          <w:tcPr>
            <w:tcW w:w="720" w:type="dxa"/>
            <w:vAlign w:val="bottom"/>
          </w:tcPr>
          <w:p>
            <w:pPr>
              <w:ind w:left="20"/>
              <w:spacing w:after="0"/>
              <w:rPr>
                <w:sz w:val="20"/>
                <w:szCs w:val="20"/>
                <w:color w:val="auto"/>
              </w:rPr>
            </w:pPr>
            <w:r>
              <w:rPr>
                <w:rFonts w:ascii="Arial" w:cs="Arial" w:eastAsia="Arial" w:hAnsi="Arial"/>
                <w:sz w:val="16"/>
                <w:szCs w:val="16"/>
                <w:b w:val="1"/>
                <w:bCs w:val="1"/>
                <w:color w:val="auto"/>
              </w:rPr>
              <w:t>ComEd</w:t>
            </w:r>
          </w:p>
        </w:tc>
        <w:tc>
          <w:tcPr>
            <w:tcW w:w="4540" w:type="dxa"/>
            <w:vAlign w:val="bottom"/>
          </w:tcPr>
          <w:p>
            <w:pPr>
              <w:ind w:left="120"/>
              <w:spacing w:after="0"/>
              <w:rPr>
                <w:sz w:val="20"/>
                <w:szCs w:val="20"/>
                <w:color w:val="auto"/>
              </w:rPr>
            </w:pPr>
            <w:r>
              <w:rPr>
                <w:rFonts w:ascii="Arial" w:cs="Arial" w:eastAsia="Arial" w:hAnsi="Arial"/>
                <w:sz w:val="16"/>
                <w:szCs w:val="16"/>
                <w:color w:val="auto"/>
              </w:rPr>
              <w:t>Commonwealth Edison Company</w:t>
            </w:r>
          </w:p>
        </w:tc>
        <w:tc>
          <w:tcPr>
            <w:tcW w:w="1140" w:type="dxa"/>
            <w:vAlign w:val="bottom"/>
          </w:tcPr>
          <w:p>
            <w:pPr>
              <w:ind w:left="440"/>
              <w:spacing w:after="0"/>
              <w:rPr>
                <w:sz w:val="20"/>
                <w:szCs w:val="20"/>
                <w:color w:val="auto"/>
              </w:rPr>
            </w:pPr>
            <w:r>
              <w:rPr>
                <w:rFonts w:ascii="Arial" w:cs="Arial" w:eastAsia="Arial" w:hAnsi="Arial"/>
                <w:sz w:val="16"/>
                <w:szCs w:val="16"/>
                <w:color w:val="auto"/>
              </w:rPr>
              <w:t>PHI</w:t>
            </w:r>
          </w:p>
        </w:tc>
        <w:tc>
          <w:tcPr>
            <w:tcW w:w="4000" w:type="dxa"/>
            <w:vAlign w:val="bottom"/>
          </w:tcPr>
          <w:p>
            <w:pPr>
              <w:ind w:left="140"/>
              <w:spacing w:after="0"/>
              <w:rPr>
                <w:sz w:val="20"/>
                <w:szCs w:val="20"/>
                <w:color w:val="auto"/>
              </w:rPr>
            </w:pPr>
            <w:r>
              <w:rPr>
                <w:rFonts w:ascii="Arial" w:cs="Arial" w:eastAsia="Arial" w:hAnsi="Arial"/>
                <w:sz w:val="16"/>
                <w:szCs w:val="16"/>
                <w:color w:val="auto"/>
              </w:rPr>
              <w:t>Pepco Holdings LLC</w:t>
            </w:r>
          </w:p>
        </w:tc>
      </w:tr>
      <w:tr>
        <w:trPr>
          <w:trHeight w:val="270"/>
        </w:trPr>
        <w:tc>
          <w:tcPr>
            <w:tcW w:w="720" w:type="dxa"/>
            <w:vAlign w:val="bottom"/>
          </w:tcPr>
          <w:p>
            <w:pPr>
              <w:ind w:left="20"/>
              <w:spacing w:after="0"/>
              <w:rPr>
                <w:sz w:val="20"/>
                <w:szCs w:val="20"/>
                <w:color w:val="auto"/>
              </w:rPr>
            </w:pPr>
            <w:r>
              <w:rPr>
                <w:rFonts w:ascii="Arial" w:cs="Arial" w:eastAsia="Arial" w:hAnsi="Arial"/>
                <w:sz w:val="16"/>
                <w:szCs w:val="16"/>
                <w:b w:val="1"/>
                <w:bCs w:val="1"/>
                <w:color w:val="auto"/>
              </w:rPr>
              <w:t>DPL</w:t>
            </w:r>
          </w:p>
        </w:tc>
        <w:tc>
          <w:tcPr>
            <w:tcW w:w="4540" w:type="dxa"/>
            <w:vAlign w:val="bottom"/>
          </w:tcPr>
          <w:p>
            <w:pPr>
              <w:ind w:left="120"/>
              <w:spacing w:after="0"/>
              <w:rPr>
                <w:sz w:val="20"/>
                <w:szCs w:val="20"/>
                <w:color w:val="auto"/>
              </w:rPr>
            </w:pPr>
            <w:r>
              <w:rPr>
                <w:rFonts w:ascii="Arial" w:cs="Arial" w:eastAsia="Arial" w:hAnsi="Arial"/>
                <w:sz w:val="16"/>
                <w:szCs w:val="16"/>
                <w:color w:val="auto"/>
              </w:rPr>
              <w:t>Delmarva Power &amp; Light Company</w:t>
            </w:r>
          </w:p>
        </w:tc>
        <w:tc>
          <w:tcPr>
            <w:tcW w:w="1140" w:type="dxa"/>
            <w:vAlign w:val="bottom"/>
          </w:tcPr>
          <w:p>
            <w:pPr>
              <w:spacing w:after="0"/>
              <w:rPr>
                <w:sz w:val="23"/>
                <w:szCs w:val="23"/>
                <w:color w:val="auto"/>
              </w:rPr>
            </w:pPr>
          </w:p>
        </w:tc>
        <w:tc>
          <w:tcPr>
            <w:tcW w:w="4000" w:type="dxa"/>
            <w:vAlign w:val="bottom"/>
          </w:tcPr>
          <w:p>
            <w:pPr>
              <w:spacing w:after="0"/>
              <w:rPr>
                <w:sz w:val="23"/>
                <w:szCs w:val="23"/>
                <w:color w:val="auto"/>
              </w:rPr>
            </w:pPr>
          </w:p>
        </w:tc>
      </w:tr>
      <w:tr>
        <w:trPr>
          <w:trHeight w:val="445"/>
        </w:trPr>
        <w:tc>
          <w:tcPr>
            <w:tcW w:w="5260" w:type="dxa"/>
            <w:vAlign w:val="bottom"/>
            <w:gridSpan w:val="2"/>
          </w:tcPr>
          <w:p>
            <w:pPr>
              <w:spacing w:after="0"/>
              <w:rPr>
                <w:sz w:val="20"/>
                <w:szCs w:val="20"/>
                <w:color w:val="auto"/>
              </w:rPr>
            </w:pPr>
            <w:r>
              <w:rPr>
                <w:rFonts w:ascii="Arial" w:cs="Arial" w:eastAsia="Arial" w:hAnsi="Arial"/>
                <w:sz w:val="16"/>
                <w:szCs w:val="16"/>
                <w:b w:val="1"/>
                <w:bCs w:val="1"/>
                <w:color w:val="3A5CFF"/>
              </w:rPr>
              <w:t>Other Terms</w:t>
            </w:r>
          </w:p>
        </w:tc>
        <w:tc>
          <w:tcPr>
            <w:tcW w:w="114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65"/>
        </w:trPr>
        <w:tc>
          <w:tcPr>
            <w:tcW w:w="720" w:type="dxa"/>
            <w:vAlign w:val="bottom"/>
          </w:tcPr>
          <w:p>
            <w:pPr>
              <w:ind w:left="20"/>
              <w:spacing w:after="0"/>
              <w:rPr>
                <w:sz w:val="20"/>
                <w:szCs w:val="20"/>
                <w:color w:val="auto"/>
              </w:rPr>
            </w:pPr>
            <w:r>
              <w:rPr>
                <w:rFonts w:ascii="Arial" w:cs="Arial" w:eastAsia="Arial" w:hAnsi="Arial"/>
                <w:sz w:val="16"/>
                <w:szCs w:val="16"/>
                <w:b w:val="1"/>
                <w:bCs w:val="1"/>
                <w:color w:val="auto"/>
              </w:rPr>
              <w:t>AIP</w:t>
            </w:r>
          </w:p>
        </w:tc>
        <w:tc>
          <w:tcPr>
            <w:tcW w:w="4540" w:type="dxa"/>
            <w:vAlign w:val="bottom"/>
          </w:tcPr>
          <w:p>
            <w:pPr>
              <w:ind w:left="460"/>
              <w:spacing w:after="0"/>
              <w:rPr>
                <w:sz w:val="20"/>
                <w:szCs w:val="20"/>
                <w:color w:val="auto"/>
              </w:rPr>
            </w:pPr>
            <w:r>
              <w:rPr>
                <w:rFonts w:ascii="Arial" w:cs="Arial" w:eastAsia="Arial" w:hAnsi="Arial"/>
                <w:sz w:val="16"/>
                <w:szCs w:val="16"/>
                <w:color w:val="auto"/>
              </w:rPr>
              <w:t>Annual incentive plan</w:t>
            </w:r>
          </w:p>
        </w:tc>
        <w:tc>
          <w:tcPr>
            <w:tcW w:w="1140" w:type="dxa"/>
            <w:vAlign w:val="bottom"/>
          </w:tcPr>
          <w:p>
            <w:pPr>
              <w:ind w:left="440"/>
              <w:spacing w:after="0"/>
              <w:rPr>
                <w:sz w:val="20"/>
                <w:szCs w:val="20"/>
                <w:color w:val="auto"/>
              </w:rPr>
            </w:pPr>
            <w:r>
              <w:rPr>
                <w:rFonts w:ascii="Arial" w:cs="Arial" w:eastAsia="Arial" w:hAnsi="Arial"/>
                <w:sz w:val="16"/>
                <w:szCs w:val="16"/>
                <w:color w:val="auto"/>
              </w:rPr>
              <w:t>LTIP</w:t>
            </w:r>
          </w:p>
        </w:tc>
        <w:tc>
          <w:tcPr>
            <w:tcW w:w="4000" w:type="dxa"/>
            <w:vAlign w:val="bottom"/>
          </w:tcPr>
          <w:p>
            <w:pPr>
              <w:ind w:left="100"/>
              <w:spacing w:after="0"/>
              <w:rPr>
                <w:sz w:val="20"/>
                <w:szCs w:val="20"/>
                <w:color w:val="auto"/>
              </w:rPr>
            </w:pPr>
            <w:r>
              <w:rPr>
                <w:rFonts w:ascii="Arial" w:cs="Arial" w:eastAsia="Arial" w:hAnsi="Arial"/>
                <w:sz w:val="16"/>
                <w:szCs w:val="16"/>
                <w:color w:val="auto"/>
              </w:rPr>
              <w:t>Long-term incentive plan</w:t>
            </w:r>
          </w:p>
        </w:tc>
      </w:tr>
      <w:tr>
        <w:trPr>
          <w:trHeight w:val="270"/>
        </w:trPr>
        <w:tc>
          <w:tcPr>
            <w:tcW w:w="720" w:type="dxa"/>
            <w:vAlign w:val="bottom"/>
          </w:tcPr>
          <w:p>
            <w:pPr>
              <w:ind w:left="20"/>
              <w:spacing w:after="0"/>
              <w:rPr>
                <w:sz w:val="20"/>
                <w:szCs w:val="20"/>
                <w:color w:val="auto"/>
              </w:rPr>
            </w:pPr>
            <w:r>
              <w:rPr>
                <w:rFonts w:ascii="Arial" w:cs="Arial" w:eastAsia="Arial" w:hAnsi="Arial"/>
                <w:sz w:val="16"/>
                <w:szCs w:val="16"/>
                <w:b w:val="1"/>
                <w:bCs w:val="1"/>
                <w:color w:val="auto"/>
              </w:rPr>
              <w:t>ARC</w:t>
            </w:r>
          </w:p>
        </w:tc>
        <w:tc>
          <w:tcPr>
            <w:tcW w:w="4540" w:type="dxa"/>
            <w:vAlign w:val="bottom"/>
          </w:tcPr>
          <w:p>
            <w:pPr>
              <w:ind w:left="460"/>
              <w:spacing w:after="0"/>
              <w:rPr>
                <w:sz w:val="20"/>
                <w:szCs w:val="20"/>
                <w:color w:val="auto"/>
              </w:rPr>
            </w:pPr>
            <w:r>
              <w:rPr>
                <w:rFonts w:ascii="Arial" w:cs="Arial" w:eastAsia="Arial" w:hAnsi="Arial"/>
                <w:sz w:val="16"/>
                <w:szCs w:val="16"/>
                <w:color w:val="auto"/>
              </w:rPr>
              <w:t>Audit and Risk Committee</w:t>
            </w:r>
          </w:p>
        </w:tc>
        <w:tc>
          <w:tcPr>
            <w:tcW w:w="1140" w:type="dxa"/>
            <w:vAlign w:val="bottom"/>
          </w:tcPr>
          <w:p>
            <w:pPr>
              <w:ind w:left="440"/>
              <w:spacing w:after="0"/>
              <w:rPr>
                <w:sz w:val="20"/>
                <w:szCs w:val="20"/>
                <w:color w:val="auto"/>
              </w:rPr>
            </w:pPr>
            <w:r>
              <w:rPr>
                <w:rFonts w:ascii="Arial" w:cs="Arial" w:eastAsia="Arial" w:hAnsi="Arial"/>
                <w:sz w:val="16"/>
                <w:szCs w:val="16"/>
                <w:color w:val="auto"/>
              </w:rPr>
              <w:t>NEO</w:t>
            </w:r>
          </w:p>
        </w:tc>
        <w:tc>
          <w:tcPr>
            <w:tcW w:w="4000" w:type="dxa"/>
            <w:vAlign w:val="bottom"/>
          </w:tcPr>
          <w:p>
            <w:pPr>
              <w:ind w:left="100"/>
              <w:spacing w:after="0"/>
              <w:rPr>
                <w:sz w:val="20"/>
                <w:szCs w:val="20"/>
                <w:color w:val="auto"/>
              </w:rPr>
            </w:pPr>
            <w:r>
              <w:rPr>
                <w:rFonts w:ascii="Arial" w:cs="Arial" w:eastAsia="Arial" w:hAnsi="Arial"/>
                <w:sz w:val="16"/>
                <w:szCs w:val="16"/>
                <w:color w:val="auto"/>
              </w:rPr>
              <w:t>Named executive officer</w:t>
            </w:r>
          </w:p>
        </w:tc>
      </w:tr>
      <w:tr>
        <w:trPr>
          <w:trHeight w:val="270"/>
        </w:trPr>
        <w:tc>
          <w:tcPr>
            <w:tcW w:w="720" w:type="dxa"/>
            <w:vAlign w:val="bottom"/>
          </w:tcPr>
          <w:p>
            <w:pPr>
              <w:ind w:left="20"/>
              <w:spacing w:after="0"/>
              <w:rPr>
                <w:sz w:val="20"/>
                <w:szCs w:val="20"/>
                <w:color w:val="auto"/>
              </w:rPr>
            </w:pPr>
            <w:r>
              <w:rPr>
                <w:rFonts w:ascii="Arial" w:cs="Arial" w:eastAsia="Arial" w:hAnsi="Arial"/>
                <w:sz w:val="16"/>
                <w:szCs w:val="16"/>
                <w:b w:val="1"/>
                <w:bCs w:val="1"/>
                <w:color w:val="auto"/>
              </w:rPr>
              <w:t>ASC</w:t>
            </w:r>
          </w:p>
        </w:tc>
        <w:tc>
          <w:tcPr>
            <w:tcW w:w="4540" w:type="dxa"/>
            <w:vAlign w:val="bottom"/>
          </w:tcPr>
          <w:p>
            <w:pPr>
              <w:ind w:left="460"/>
              <w:spacing w:after="0"/>
              <w:rPr>
                <w:sz w:val="20"/>
                <w:szCs w:val="20"/>
                <w:color w:val="auto"/>
              </w:rPr>
            </w:pPr>
            <w:r>
              <w:rPr>
                <w:rFonts w:ascii="Arial" w:cs="Arial" w:eastAsia="Arial" w:hAnsi="Arial"/>
                <w:sz w:val="16"/>
                <w:szCs w:val="16"/>
                <w:color w:val="auto"/>
              </w:rPr>
              <w:t>Accounting Standards Codification</w:t>
            </w:r>
          </w:p>
        </w:tc>
        <w:tc>
          <w:tcPr>
            <w:tcW w:w="1140" w:type="dxa"/>
            <w:vAlign w:val="bottom"/>
          </w:tcPr>
          <w:p>
            <w:pPr>
              <w:ind w:left="440"/>
              <w:spacing w:after="0"/>
              <w:rPr>
                <w:sz w:val="20"/>
                <w:szCs w:val="20"/>
                <w:color w:val="auto"/>
              </w:rPr>
            </w:pPr>
            <w:r>
              <w:rPr>
                <w:rFonts w:ascii="Arial" w:cs="Arial" w:eastAsia="Arial" w:hAnsi="Arial"/>
                <w:sz w:val="16"/>
                <w:szCs w:val="16"/>
                <w:color w:val="auto"/>
              </w:rPr>
              <w:t>OSCC</w:t>
            </w:r>
          </w:p>
        </w:tc>
        <w:tc>
          <w:tcPr>
            <w:tcW w:w="4000" w:type="dxa"/>
            <w:vAlign w:val="bottom"/>
          </w:tcPr>
          <w:p>
            <w:pPr>
              <w:ind w:left="100"/>
              <w:spacing w:after="0"/>
              <w:rPr>
                <w:sz w:val="20"/>
                <w:szCs w:val="20"/>
                <w:color w:val="auto"/>
              </w:rPr>
            </w:pPr>
            <w:r>
              <w:rPr>
                <w:rFonts w:ascii="Arial" w:cs="Arial" w:eastAsia="Arial" w:hAnsi="Arial"/>
                <w:sz w:val="15"/>
                <w:szCs w:val="15"/>
                <w:color w:val="auto"/>
              </w:rPr>
              <w:t>Operations, Safety, and Customer Experience Committee</w:t>
            </w:r>
          </w:p>
        </w:tc>
      </w:tr>
      <w:tr>
        <w:trPr>
          <w:trHeight w:val="262"/>
        </w:trPr>
        <w:tc>
          <w:tcPr>
            <w:tcW w:w="720" w:type="dxa"/>
            <w:vAlign w:val="bottom"/>
          </w:tcPr>
          <w:p>
            <w:pPr>
              <w:ind w:left="20"/>
              <w:spacing w:after="0"/>
              <w:rPr>
                <w:sz w:val="20"/>
                <w:szCs w:val="20"/>
                <w:color w:val="auto"/>
              </w:rPr>
            </w:pPr>
            <w:r>
              <w:rPr>
                <w:rFonts w:ascii="Arial" w:cs="Arial" w:eastAsia="Arial" w:hAnsi="Arial"/>
                <w:sz w:val="16"/>
                <w:szCs w:val="16"/>
                <w:color w:val="auto"/>
              </w:rPr>
              <w:t>Board</w:t>
            </w:r>
          </w:p>
        </w:tc>
        <w:tc>
          <w:tcPr>
            <w:tcW w:w="4540" w:type="dxa"/>
            <w:vAlign w:val="bottom"/>
          </w:tcPr>
          <w:p>
            <w:pPr>
              <w:ind w:left="460"/>
              <w:spacing w:after="0"/>
              <w:rPr>
                <w:sz w:val="20"/>
                <w:szCs w:val="20"/>
                <w:color w:val="auto"/>
              </w:rPr>
            </w:pPr>
            <w:r>
              <w:rPr>
                <w:rFonts w:ascii="Arial" w:cs="Arial" w:eastAsia="Arial" w:hAnsi="Arial"/>
                <w:sz w:val="16"/>
                <w:szCs w:val="16"/>
                <w:color w:val="auto"/>
              </w:rPr>
              <w:t>Exelon Board of Directors</w:t>
            </w:r>
          </w:p>
        </w:tc>
        <w:tc>
          <w:tcPr>
            <w:tcW w:w="1140" w:type="dxa"/>
            <w:vAlign w:val="bottom"/>
          </w:tcPr>
          <w:p>
            <w:pPr>
              <w:ind w:left="440"/>
              <w:spacing w:after="0"/>
              <w:rPr>
                <w:sz w:val="20"/>
                <w:szCs w:val="20"/>
                <w:color w:val="auto"/>
              </w:rPr>
            </w:pPr>
            <w:r>
              <w:rPr>
                <w:rFonts w:ascii="Arial" w:cs="Arial" w:eastAsia="Arial" w:hAnsi="Arial"/>
                <w:sz w:val="16"/>
                <w:szCs w:val="16"/>
                <w:color w:val="auto"/>
              </w:rPr>
              <w:t>PCAOB</w:t>
            </w:r>
          </w:p>
        </w:tc>
        <w:tc>
          <w:tcPr>
            <w:tcW w:w="4000" w:type="dxa"/>
            <w:vAlign w:val="bottom"/>
          </w:tcPr>
          <w:p>
            <w:pPr>
              <w:ind w:left="100"/>
              <w:spacing w:after="0"/>
              <w:rPr>
                <w:sz w:val="20"/>
                <w:szCs w:val="20"/>
                <w:color w:val="auto"/>
              </w:rPr>
            </w:pPr>
            <w:r>
              <w:rPr>
                <w:rFonts w:ascii="Arial" w:cs="Arial" w:eastAsia="Arial" w:hAnsi="Arial"/>
                <w:sz w:val="16"/>
                <w:szCs w:val="16"/>
                <w:color w:val="auto"/>
              </w:rPr>
              <w:t>Public Company Accounting Oversight Board</w:t>
            </w:r>
          </w:p>
        </w:tc>
      </w:tr>
      <w:tr>
        <w:trPr>
          <w:trHeight w:val="278"/>
        </w:trPr>
        <w:tc>
          <w:tcPr>
            <w:tcW w:w="720" w:type="dxa"/>
            <w:vAlign w:val="bottom"/>
          </w:tcPr>
          <w:p>
            <w:pPr>
              <w:ind w:left="20"/>
              <w:spacing w:after="0"/>
              <w:rPr>
                <w:sz w:val="20"/>
                <w:szCs w:val="20"/>
                <w:color w:val="auto"/>
              </w:rPr>
            </w:pPr>
            <w:r>
              <w:rPr>
                <w:rFonts w:ascii="Arial" w:cs="Arial" w:eastAsia="Arial" w:hAnsi="Arial"/>
                <w:sz w:val="16"/>
                <w:szCs w:val="16"/>
                <w:b w:val="1"/>
                <w:bCs w:val="1"/>
                <w:color w:val="auto"/>
              </w:rPr>
              <w:t>CAM</w:t>
            </w:r>
          </w:p>
        </w:tc>
        <w:tc>
          <w:tcPr>
            <w:tcW w:w="4540" w:type="dxa"/>
            <w:vAlign w:val="bottom"/>
          </w:tcPr>
          <w:p>
            <w:pPr>
              <w:ind w:left="460"/>
              <w:spacing w:after="0"/>
              <w:rPr>
                <w:sz w:val="20"/>
                <w:szCs w:val="20"/>
                <w:color w:val="auto"/>
              </w:rPr>
            </w:pPr>
            <w:r>
              <w:rPr>
                <w:rFonts w:ascii="Arial" w:cs="Arial" w:eastAsia="Arial" w:hAnsi="Arial"/>
                <w:sz w:val="16"/>
                <w:szCs w:val="16"/>
                <w:color w:val="auto"/>
              </w:rPr>
              <w:t>Critical Audit Matters</w:t>
            </w:r>
          </w:p>
        </w:tc>
        <w:tc>
          <w:tcPr>
            <w:tcW w:w="1140" w:type="dxa"/>
            <w:vAlign w:val="bottom"/>
          </w:tcPr>
          <w:p>
            <w:pPr>
              <w:ind w:left="440"/>
              <w:spacing w:after="0"/>
              <w:rPr>
                <w:sz w:val="20"/>
                <w:szCs w:val="20"/>
                <w:color w:val="auto"/>
              </w:rPr>
            </w:pPr>
            <w:r>
              <w:rPr>
                <w:rFonts w:ascii="Arial" w:cs="Arial" w:eastAsia="Arial" w:hAnsi="Arial"/>
                <w:sz w:val="16"/>
                <w:szCs w:val="16"/>
                <w:color w:val="auto"/>
              </w:rPr>
              <w:t>PEO</w:t>
            </w:r>
          </w:p>
        </w:tc>
        <w:tc>
          <w:tcPr>
            <w:tcW w:w="4000" w:type="dxa"/>
            <w:vAlign w:val="bottom"/>
          </w:tcPr>
          <w:p>
            <w:pPr>
              <w:ind w:left="100"/>
              <w:spacing w:after="0"/>
              <w:rPr>
                <w:sz w:val="20"/>
                <w:szCs w:val="20"/>
                <w:color w:val="auto"/>
              </w:rPr>
            </w:pPr>
            <w:r>
              <w:rPr>
                <w:rFonts w:ascii="Arial" w:cs="Arial" w:eastAsia="Arial" w:hAnsi="Arial"/>
                <w:sz w:val="16"/>
                <w:szCs w:val="16"/>
                <w:color w:val="auto"/>
              </w:rPr>
              <w:t>Principal executive officer</w:t>
            </w:r>
          </w:p>
        </w:tc>
      </w:tr>
      <w:tr>
        <w:trPr>
          <w:trHeight w:val="270"/>
        </w:trPr>
        <w:tc>
          <w:tcPr>
            <w:tcW w:w="720" w:type="dxa"/>
            <w:vAlign w:val="bottom"/>
          </w:tcPr>
          <w:p>
            <w:pPr>
              <w:ind w:left="20"/>
              <w:spacing w:after="0"/>
              <w:rPr>
                <w:sz w:val="20"/>
                <w:szCs w:val="20"/>
                <w:color w:val="auto"/>
              </w:rPr>
            </w:pPr>
            <w:r>
              <w:rPr>
                <w:rFonts w:ascii="Arial" w:cs="Arial" w:eastAsia="Arial" w:hAnsi="Arial"/>
                <w:sz w:val="16"/>
                <w:szCs w:val="16"/>
                <w:b w:val="1"/>
                <w:bCs w:val="1"/>
                <w:color w:val="auto"/>
              </w:rPr>
              <w:t>CBPP</w:t>
            </w:r>
          </w:p>
        </w:tc>
        <w:tc>
          <w:tcPr>
            <w:tcW w:w="4540" w:type="dxa"/>
            <w:vAlign w:val="bottom"/>
          </w:tcPr>
          <w:p>
            <w:pPr>
              <w:ind w:left="460"/>
              <w:spacing w:after="0"/>
              <w:rPr>
                <w:sz w:val="20"/>
                <w:szCs w:val="20"/>
                <w:color w:val="auto"/>
              </w:rPr>
            </w:pPr>
            <w:r>
              <w:rPr>
                <w:rFonts w:ascii="Arial" w:cs="Arial" w:eastAsia="Arial" w:hAnsi="Arial"/>
                <w:sz w:val="16"/>
                <w:szCs w:val="16"/>
                <w:color w:val="auto"/>
              </w:rPr>
              <w:t>Cash Balance Pension Plan</w:t>
            </w:r>
          </w:p>
        </w:tc>
        <w:tc>
          <w:tcPr>
            <w:tcW w:w="1140" w:type="dxa"/>
            <w:vAlign w:val="bottom"/>
          </w:tcPr>
          <w:p>
            <w:pPr>
              <w:ind w:left="440"/>
              <w:spacing w:after="0"/>
              <w:rPr>
                <w:sz w:val="20"/>
                <w:szCs w:val="20"/>
                <w:color w:val="auto"/>
              </w:rPr>
            </w:pPr>
            <w:r>
              <w:rPr>
                <w:rFonts w:ascii="Arial" w:cs="Arial" w:eastAsia="Arial" w:hAnsi="Arial"/>
                <w:sz w:val="16"/>
                <w:szCs w:val="16"/>
                <w:color w:val="auto"/>
              </w:rPr>
              <w:t>PwC</w:t>
            </w:r>
          </w:p>
        </w:tc>
        <w:tc>
          <w:tcPr>
            <w:tcW w:w="4000" w:type="dxa"/>
            <w:vAlign w:val="bottom"/>
          </w:tcPr>
          <w:p>
            <w:pPr>
              <w:ind w:left="100"/>
              <w:spacing w:after="0"/>
              <w:rPr>
                <w:sz w:val="20"/>
                <w:szCs w:val="20"/>
                <w:color w:val="auto"/>
              </w:rPr>
            </w:pPr>
            <w:r>
              <w:rPr>
                <w:rFonts w:ascii="Arial" w:cs="Arial" w:eastAsia="Arial" w:hAnsi="Arial"/>
                <w:sz w:val="16"/>
                <w:szCs w:val="16"/>
                <w:color w:val="auto"/>
              </w:rPr>
              <w:t>PricewaterhouseCoopers LLP</w:t>
            </w:r>
          </w:p>
        </w:tc>
      </w:tr>
      <w:tr>
        <w:trPr>
          <w:trHeight w:val="270"/>
        </w:trPr>
        <w:tc>
          <w:tcPr>
            <w:tcW w:w="720" w:type="dxa"/>
            <w:vAlign w:val="bottom"/>
          </w:tcPr>
          <w:p>
            <w:pPr>
              <w:ind w:left="20"/>
              <w:spacing w:after="0"/>
              <w:rPr>
                <w:sz w:val="20"/>
                <w:szCs w:val="20"/>
                <w:color w:val="auto"/>
              </w:rPr>
            </w:pPr>
            <w:r>
              <w:rPr>
                <w:rFonts w:ascii="Arial" w:cs="Arial" w:eastAsia="Arial" w:hAnsi="Arial"/>
                <w:sz w:val="16"/>
                <w:szCs w:val="16"/>
                <w:b w:val="1"/>
                <w:bCs w:val="1"/>
                <w:color w:val="auto"/>
              </w:rPr>
              <w:t>CD&amp;A</w:t>
            </w:r>
          </w:p>
        </w:tc>
        <w:tc>
          <w:tcPr>
            <w:tcW w:w="4540" w:type="dxa"/>
            <w:vAlign w:val="bottom"/>
          </w:tcPr>
          <w:p>
            <w:pPr>
              <w:ind w:left="460"/>
              <w:spacing w:after="0"/>
              <w:rPr>
                <w:sz w:val="20"/>
                <w:szCs w:val="20"/>
                <w:color w:val="auto"/>
              </w:rPr>
            </w:pPr>
            <w:r>
              <w:rPr>
                <w:rFonts w:ascii="Arial" w:cs="Arial" w:eastAsia="Arial" w:hAnsi="Arial"/>
                <w:sz w:val="16"/>
                <w:szCs w:val="16"/>
                <w:color w:val="auto"/>
              </w:rPr>
              <w:t>Compensation Discussion and Analysis</w:t>
            </w:r>
          </w:p>
        </w:tc>
        <w:tc>
          <w:tcPr>
            <w:tcW w:w="1140" w:type="dxa"/>
            <w:vAlign w:val="bottom"/>
          </w:tcPr>
          <w:p>
            <w:pPr>
              <w:ind w:left="440"/>
              <w:spacing w:after="0"/>
              <w:rPr>
                <w:sz w:val="20"/>
                <w:szCs w:val="20"/>
                <w:color w:val="auto"/>
              </w:rPr>
            </w:pPr>
            <w:r>
              <w:rPr>
                <w:rFonts w:ascii="Arial" w:cs="Arial" w:eastAsia="Arial" w:hAnsi="Arial"/>
                <w:sz w:val="16"/>
                <w:szCs w:val="16"/>
                <w:color w:val="auto"/>
              </w:rPr>
              <w:t>ROE</w:t>
            </w:r>
          </w:p>
        </w:tc>
        <w:tc>
          <w:tcPr>
            <w:tcW w:w="4000" w:type="dxa"/>
            <w:vAlign w:val="bottom"/>
          </w:tcPr>
          <w:p>
            <w:pPr>
              <w:ind w:left="100"/>
              <w:spacing w:after="0"/>
              <w:rPr>
                <w:sz w:val="20"/>
                <w:szCs w:val="20"/>
                <w:color w:val="auto"/>
              </w:rPr>
            </w:pPr>
            <w:r>
              <w:rPr>
                <w:rFonts w:ascii="Arial" w:cs="Arial" w:eastAsia="Arial" w:hAnsi="Arial"/>
                <w:sz w:val="16"/>
                <w:szCs w:val="16"/>
                <w:color w:val="auto"/>
              </w:rPr>
              <w:t>Return on equity</w:t>
            </w:r>
          </w:p>
        </w:tc>
      </w:tr>
      <w:tr>
        <w:trPr>
          <w:trHeight w:val="270"/>
        </w:trPr>
        <w:tc>
          <w:tcPr>
            <w:tcW w:w="720" w:type="dxa"/>
            <w:vAlign w:val="bottom"/>
          </w:tcPr>
          <w:p>
            <w:pPr>
              <w:ind w:left="20"/>
              <w:spacing w:after="0"/>
              <w:rPr>
                <w:sz w:val="20"/>
                <w:szCs w:val="20"/>
                <w:color w:val="auto"/>
              </w:rPr>
            </w:pPr>
            <w:r>
              <w:rPr>
                <w:rFonts w:ascii="Arial" w:cs="Arial" w:eastAsia="Arial" w:hAnsi="Arial"/>
                <w:sz w:val="16"/>
                <w:szCs w:val="16"/>
                <w:b w:val="1"/>
                <w:bCs w:val="1"/>
                <w:color w:val="auto"/>
              </w:rPr>
              <w:t>CGC</w:t>
            </w:r>
          </w:p>
        </w:tc>
        <w:tc>
          <w:tcPr>
            <w:tcW w:w="4540" w:type="dxa"/>
            <w:vAlign w:val="bottom"/>
          </w:tcPr>
          <w:p>
            <w:pPr>
              <w:ind w:left="460"/>
              <w:spacing w:after="0"/>
              <w:rPr>
                <w:sz w:val="20"/>
                <w:szCs w:val="20"/>
                <w:color w:val="auto"/>
              </w:rPr>
            </w:pPr>
            <w:r>
              <w:rPr>
                <w:rFonts w:ascii="Arial" w:cs="Arial" w:eastAsia="Arial" w:hAnsi="Arial"/>
                <w:sz w:val="16"/>
                <w:szCs w:val="16"/>
                <w:color w:val="auto"/>
              </w:rPr>
              <w:t>Corporate Governance Committee</w:t>
            </w:r>
          </w:p>
        </w:tc>
        <w:tc>
          <w:tcPr>
            <w:tcW w:w="1140" w:type="dxa"/>
            <w:vAlign w:val="bottom"/>
          </w:tcPr>
          <w:p>
            <w:pPr>
              <w:ind w:left="440"/>
              <w:spacing w:after="0"/>
              <w:rPr>
                <w:sz w:val="20"/>
                <w:szCs w:val="20"/>
                <w:color w:val="auto"/>
              </w:rPr>
            </w:pPr>
            <w:r>
              <w:rPr>
                <w:rFonts w:ascii="Arial" w:cs="Arial" w:eastAsia="Arial" w:hAnsi="Arial"/>
                <w:sz w:val="16"/>
                <w:szCs w:val="16"/>
                <w:color w:val="auto"/>
              </w:rPr>
              <w:t>RSU</w:t>
            </w:r>
          </w:p>
        </w:tc>
        <w:tc>
          <w:tcPr>
            <w:tcW w:w="4000" w:type="dxa"/>
            <w:vAlign w:val="bottom"/>
          </w:tcPr>
          <w:p>
            <w:pPr>
              <w:ind w:left="100"/>
              <w:spacing w:after="0"/>
              <w:rPr>
                <w:sz w:val="20"/>
                <w:szCs w:val="20"/>
                <w:color w:val="auto"/>
              </w:rPr>
            </w:pPr>
            <w:r>
              <w:rPr>
                <w:rFonts w:ascii="Arial" w:cs="Arial" w:eastAsia="Arial" w:hAnsi="Arial"/>
                <w:sz w:val="16"/>
                <w:szCs w:val="16"/>
                <w:color w:val="auto"/>
              </w:rPr>
              <w:t>Restricted stock unit</w:t>
            </w:r>
          </w:p>
        </w:tc>
      </w:tr>
      <w:tr>
        <w:trPr>
          <w:trHeight w:val="262"/>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Committees    ARC, CGC, OSCC, and TMCC, as applicable</w:t>
            </w:r>
          </w:p>
        </w:tc>
        <w:tc>
          <w:tcPr>
            <w:tcW w:w="1140" w:type="dxa"/>
            <w:vAlign w:val="bottom"/>
          </w:tcPr>
          <w:p>
            <w:pPr>
              <w:ind w:left="440"/>
              <w:spacing w:after="0"/>
              <w:rPr>
                <w:sz w:val="20"/>
                <w:szCs w:val="20"/>
                <w:color w:val="auto"/>
              </w:rPr>
            </w:pPr>
            <w:r>
              <w:rPr>
                <w:rFonts w:ascii="Arial" w:cs="Arial" w:eastAsia="Arial" w:hAnsi="Arial"/>
                <w:sz w:val="16"/>
                <w:szCs w:val="16"/>
                <w:color w:val="auto"/>
              </w:rPr>
              <w:t>SAIDI</w:t>
            </w:r>
          </w:p>
        </w:tc>
        <w:tc>
          <w:tcPr>
            <w:tcW w:w="4000" w:type="dxa"/>
            <w:vAlign w:val="bottom"/>
          </w:tcPr>
          <w:p>
            <w:pPr>
              <w:ind w:left="100"/>
              <w:spacing w:after="0"/>
              <w:rPr>
                <w:sz w:val="20"/>
                <w:szCs w:val="20"/>
                <w:color w:val="auto"/>
              </w:rPr>
            </w:pPr>
            <w:r>
              <w:rPr>
                <w:rFonts w:ascii="Arial" w:cs="Arial" w:eastAsia="Arial" w:hAnsi="Arial"/>
                <w:sz w:val="16"/>
                <w:szCs w:val="16"/>
                <w:color w:val="auto"/>
              </w:rPr>
              <w:t>System Average Interruption Duration Index</w:t>
            </w:r>
          </w:p>
        </w:tc>
      </w:tr>
      <w:tr>
        <w:trPr>
          <w:trHeight w:val="278"/>
        </w:trPr>
        <w:tc>
          <w:tcPr>
            <w:tcW w:w="720" w:type="dxa"/>
            <w:vAlign w:val="bottom"/>
          </w:tcPr>
          <w:p>
            <w:pPr>
              <w:ind w:left="20"/>
              <w:spacing w:after="0"/>
              <w:rPr>
                <w:sz w:val="20"/>
                <w:szCs w:val="20"/>
                <w:color w:val="auto"/>
              </w:rPr>
            </w:pPr>
            <w:r>
              <w:rPr>
                <w:rFonts w:ascii="Arial" w:cs="Arial" w:eastAsia="Arial" w:hAnsi="Arial"/>
                <w:sz w:val="16"/>
                <w:szCs w:val="16"/>
                <w:b w:val="1"/>
                <w:bCs w:val="1"/>
                <w:color w:val="auto"/>
              </w:rPr>
              <w:t>CSI</w:t>
            </w:r>
          </w:p>
        </w:tc>
        <w:tc>
          <w:tcPr>
            <w:tcW w:w="4540" w:type="dxa"/>
            <w:vAlign w:val="bottom"/>
          </w:tcPr>
          <w:p>
            <w:pPr>
              <w:ind w:left="460"/>
              <w:spacing w:after="0"/>
              <w:rPr>
                <w:sz w:val="20"/>
                <w:szCs w:val="20"/>
                <w:color w:val="auto"/>
              </w:rPr>
            </w:pPr>
            <w:r>
              <w:rPr>
                <w:rFonts w:ascii="Arial" w:cs="Arial" w:eastAsia="Arial" w:hAnsi="Arial"/>
                <w:sz w:val="16"/>
                <w:szCs w:val="16"/>
                <w:color w:val="auto"/>
              </w:rPr>
              <w:t>Customer Satisfaction Index</w:t>
            </w:r>
          </w:p>
        </w:tc>
        <w:tc>
          <w:tcPr>
            <w:tcW w:w="1140" w:type="dxa"/>
            <w:vAlign w:val="bottom"/>
          </w:tcPr>
          <w:p>
            <w:pPr>
              <w:ind w:left="440"/>
              <w:spacing w:after="0"/>
              <w:rPr>
                <w:sz w:val="20"/>
                <w:szCs w:val="20"/>
                <w:color w:val="auto"/>
              </w:rPr>
            </w:pPr>
            <w:r>
              <w:rPr>
                <w:rFonts w:ascii="Arial" w:cs="Arial" w:eastAsia="Arial" w:hAnsi="Arial"/>
                <w:sz w:val="16"/>
                <w:szCs w:val="16"/>
                <w:color w:val="auto"/>
              </w:rPr>
              <w:t>SAIFI</w:t>
            </w:r>
          </w:p>
        </w:tc>
        <w:tc>
          <w:tcPr>
            <w:tcW w:w="4000" w:type="dxa"/>
            <w:vAlign w:val="bottom"/>
          </w:tcPr>
          <w:p>
            <w:pPr>
              <w:ind w:left="100"/>
              <w:spacing w:after="0"/>
              <w:rPr>
                <w:sz w:val="20"/>
                <w:szCs w:val="20"/>
                <w:color w:val="auto"/>
              </w:rPr>
            </w:pPr>
            <w:r>
              <w:rPr>
                <w:rFonts w:ascii="Arial" w:cs="Arial" w:eastAsia="Arial" w:hAnsi="Arial"/>
                <w:sz w:val="16"/>
                <w:szCs w:val="16"/>
                <w:color w:val="auto"/>
              </w:rPr>
              <w:t>System Average Interruption Frequency Index</w:t>
            </w:r>
          </w:p>
        </w:tc>
      </w:tr>
      <w:tr>
        <w:trPr>
          <w:trHeight w:val="270"/>
        </w:trPr>
        <w:tc>
          <w:tcPr>
            <w:tcW w:w="720" w:type="dxa"/>
            <w:vAlign w:val="bottom"/>
          </w:tcPr>
          <w:p>
            <w:pPr>
              <w:ind w:left="20"/>
              <w:spacing w:after="0"/>
              <w:rPr>
                <w:sz w:val="20"/>
                <w:szCs w:val="20"/>
                <w:color w:val="auto"/>
              </w:rPr>
            </w:pPr>
            <w:r>
              <w:rPr>
                <w:rFonts w:ascii="Arial" w:cs="Arial" w:eastAsia="Arial" w:hAnsi="Arial"/>
                <w:sz w:val="16"/>
                <w:szCs w:val="16"/>
                <w:b w:val="1"/>
                <w:bCs w:val="1"/>
                <w:color w:val="auto"/>
              </w:rPr>
              <w:t>DEI</w:t>
            </w:r>
          </w:p>
        </w:tc>
        <w:tc>
          <w:tcPr>
            <w:tcW w:w="4540" w:type="dxa"/>
            <w:vAlign w:val="bottom"/>
          </w:tcPr>
          <w:p>
            <w:pPr>
              <w:ind w:left="460"/>
              <w:spacing w:after="0"/>
              <w:rPr>
                <w:sz w:val="20"/>
                <w:szCs w:val="20"/>
                <w:color w:val="auto"/>
              </w:rPr>
            </w:pPr>
            <w:r>
              <w:rPr>
                <w:rFonts w:ascii="Arial" w:cs="Arial" w:eastAsia="Arial" w:hAnsi="Arial"/>
                <w:sz w:val="16"/>
                <w:szCs w:val="16"/>
                <w:color w:val="auto"/>
              </w:rPr>
              <w:t>Diversity, equity, and inclusion</w:t>
            </w:r>
          </w:p>
        </w:tc>
        <w:tc>
          <w:tcPr>
            <w:tcW w:w="1140" w:type="dxa"/>
            <w:vAlign w:val="bottom"/>
          </w:tcPr>
          <w:p>
            <w:pPr>
              <w:ind w:left="440"/>
              <w:spacing w:after="0"/>
              <w:rPr>
                <w:sz w:val="20"/>
                <w:szCs w:val="20"/>
                <w:color w:val="auto"/>
              </w:rPr>
            </w:pPr>
            <w:r>
              <w:rPr>
                <w:rFonts w:ascii="Arial" w:cs="Arial" w:eastAsia="Arial" w:hAnsi="Arial"/>
                <w:sz w:val="16"/>
                <w:szCs w:val="16"/>
                <w:color w:val="auto"/>
              </w:rPr>
              <w:t>SASB</w:t>
            </w:r>
          </w:p>
        </w:tc>
        <w:tc>
          <w:tcPr>
            <w:tcW w:w="4000" w:type="dxa"/>
            <w:vAlign w:val="bottom"/>
          </w:tcPr>
          <w:p>
            <w:pPr>
              <w:ind w:left="100"/>
              <w:spacing w:after="0"/>
              <w:rPr>
                <w:sz w:val="20"/>
                <w:szCs w:val="20"/>
                <w:color w:val="auto"/>
              </w:rPr>
            </w:pPr>
            <w:r>
              <w:rPr>
                <w:rFonts w:ascii="Arial" w:cs="Arial" w:eastAsia="Arial" w:hAnsi="Arial"/>
                <w:sz w:val="16"/>
                <w:szCs w:val="16"/>
                <w:color w:val="auto"/>
              </w:rPr>
              <w:t>Sustainability Accounting Standards Board</w:t>
            </w:r>
          </w:p>
        </w:tc>
      </w:tr>
      <w:tr>
        <w:trPr>
          <w:trHeight w:val="270"/>
        </w:trPr>
        <w:tc>
          <w:tcPr>
            <w:tcW w:w="720" w:type="dxa"/>
            <w:vAlign w:val="bottom"/>
          </w:tcPr>
          <w:p>
            <w:pPr>
              <w:ind w:left="20"/>
              <w:spacing w:after="0"/>
              <w:rPr>
                <w:sz w:val="20"/>
                <w:szCs w:val="20"/>
                <w:color w:val="auto"/>
              </w:rPr>
            </w:pPr>
            <w:r>
              <w:rPr>
                <w:rFonts w:ascii="Arial" w:cs="Arial" w:eastAsia="Arial" w:hAnsi="Arial"/>
                <w:sz w:val="16"/>
                <w:szCs w:val="16"/>
                <w:b w:val="1"/>
                <w:bCs w:val="1"/>
                <w:color w:val="auto"/>
              </w:rPr>
              <w:t>EPS</w:t>
            </w:r>
          </w:p>
        </w:tc>
        <w:tc>
          <w:tcPr>
            <w:tcW w:w="4540" w:type="dxa"/>
            <w:vAlign w:val="bottom"/>
          </w:tcPr>
          <w:p>
            <w:pPr>
              <w:ind w:left="460"/>
              <w:spacing w:after="0"/>
              <w:rPr>
                <w:sz w:val="20"/>
                <w:szCs w:val="20"/>
                <w:color w:val="auto"/>
              </w:rPr>
            </w:pPr>
            <w:r>
              <w:rPr>
                <w:rFonts w:ascii="Arial" w:cs="Arial" w:eastAsia="Arial" w:hAnsi="Arial"/>
                <w:sz w:val="16"/>
                <w:szCs w:val="16"/>
                <w:color w:val="auto"/>
              </w:rPr>
              <w:t>Earnings per share</w:t>
            </w:r>
          </w:p>
        </w:tc>
        <w:tc>
          <w:tcPr>
            <w:tcW w:w="1140" w:type="dxa"/>
            <w:vAlign w:val="bottom"/>
          </w:tcPr>
          <w:p>
            <w:pPr>
              <w:ind w:left="440"/>
              <w:spacing w:after="0"/>
              <w:rPr>
                <w:sz w:val="20"/>
                <w:szCs w:val="20"/>
                <w:color w:val="auto"/>
              </w:rPr>
            </w:pPr>
            <w:r>
              <w:rPr>
                <w:rFonts w:ascii="Arial" w:cs="Arial" w:eastAsia="Arial" w:hAnsi="Arial"/>
                <w:sz w:val="16"/>
                <w:szCs w:val="16"/>
                <w:color w:val="auto"/>
              </w:rPr>
              <w:t>SEC</w:t>
            </w:r>
          </w:p>
        </w:tc>
        <w:tc>
          <w:tcPr>
            <w:tcW w:w="4000" w:type="dxa"/>
            <w:vAlign w:val="bottom"/>
          </w:tcPr>
          <w:p>
            <w:pPr>
              <w:ind w:left="100"/>
              <w:spacing w:after="0"/>
              <w:rPr>
                <w:sz w:val="20"/>
                <w:szCs w:val="20"/>
                <w:color w:val="auto"/>
              </w:rPr>
            </w:pPr>
            <w:r>
              <w:rPr>
                <w:rFonts w:ascii="Arial" w:cs="Arial" w:eastAsia="Arial" w:hAnsi="Arial"/>
                <w:sz w:val="16"/>
                <w:szCs w:val="16"/>
                <w:color w:val="auto"/>
              </w:rPr>
              <w:t>Securities and Exchange Commission</w:t>
            </w:r>
          </w:p>
        </w:tc>
      </w:tr>
      <w:tr>
        <w:trPr>
          <w:trHeight w:val="270"/>
        </w:trPr>
        <w:tc>
          <w:tcPr>
            <w:tcW w:w="720" w:type="dxa"/>
            <w:vAlign w:val="bottom"/>
          </w:tcPr>
          <w:p>
            <w:pPr>
              <w:ind w:left="20"/>
              <w:spacing w:after="0"/>
              <w:rPr>
                <w:sz w:val="20"/>
                <w:szCs w:val="20"/>
                <w:color w:val="auto"/>
              </w:rPr>
            </w:pPr>
            <w:r>
              <w:rPr>
                <w:rFonts w:ascii="Arial" w:cs="Arial" w:eastAsia="Arial" w:hAnsi="Arial"/>
                <w:sz w:val="16"/>
                <w:szCs w:val="16"/>
                <w:b w:val="1"/>
                <w:bCs w:val="1"/>
                <w:color w:val="auto"/>
              </w:rPr>
              <w:t>ERG</w:t>
            </w:r>
          </w:p>
        </w:tc>
        <w:tc>
          <w:tcPr>
            <w:tcW w:w="4540" w:type="dxa"/>
            <w:vAlign w:val="bottom"/>
          </w:tcPr>
          <w:p>
            <w:pPr>
              <w:ind w:left="460"/>
              <w:spacing w:after="0"/>
              <w:rPr>
                <w:sz w:val="20"/>
                <w:szCs w:val="20"/>
                <w:color w:val="auto"/>
              </w:rPr>
            </w:pPr>
            <w:r>
              <w:rPr>
                <w:rFonts w:ascii="Arial" w:cs="Arial" w:eastAsia="Arial" w:hAnsi="Arial"/>
                <w:sz w:val="16"/>
                <w:szCs w:val="16"/>
                <w:color w:val="auto"/>
              </w:rPr>
              <w:t>Employee resource group</w:t>
            </w:r>
          </w:p>
        </w:tc>
        <w:tc>
          <w:tcPr>
            <w:tcW w:w="1140" w:type="dxa"/>
            <w:vAlign w:val="bottom"/>
          </w:tcPr>
          <w:p>
            <w:pPr>
              <w:ind w:left="440"/>
              <w:spacing w:after="0"/>
              <w:rPr>
                <w:sz w:val="20"/>
                <w:szCs w:val="20"/>
                <w:color w:val="auto"/>
              </w:rPr>
            </w:pPr>
            <w:r>
              <w:rPr>
                <w:rFonts w:ascii="Arial" w:cs="Arial" w:eastAsia="Arial" w:hAnsi="Arial"/>
                <w:sz w:val="16"/>
                <w:szCs w:val="16"/>
                <w:color w:val="auto"/>
              </w:rPr>
              <w:t>SMRP</w:t>
            </w:r>
          </w:p>
        </w:tc>
        <w:tc>
          <w:tcPr>
            <w:tcW w:w="4000" w:type="dxa"/>
            <w:vAlign w:val="bottom"/>
          </w:tcPr>
          <w:p>
            <w:pPr>
              <w:ind w:left="100"/>
              <w:spacing w:after="0"/>
              <w:rPr>
                <w:sz w:val="20"/>
                <w:szCs w:val="20"/>
                <w:color w:val="auto"/>
              </w:rPr>
            </w:pPr>
            <w:r>
              <w:rPr>
                <w:rFonts w:ascii="Arial" w:cs="Arial" w:eastAsia="Arial" w:hAnsi="Arial"/>
                <w:sz w:val="16"/>
                <w:szCs w:val="16"/>
                <w:color w:val="auto"/>
              </w:rPr>
              <w:t>Supplemental Management Retirement Plan</w:t>
            </w:r>
          </w:p>
        </w:tc>
      </w:tr>
      <w:tr>
        <w:trPr>
          <w:trHeight w:val="270"/>
        </w:trPr>
        <w:tc>
          <w:tcPr>
            <w:tcW w:w="720" w:type="dxa"/>
            <w:vAlign w:val="bottom"/>
          </w:tcPr>
          <w:p>
            <w:pPr>
              <w:ind w:left="20"/>
              <w:spacing w:after="0"/>
              <w:rPr>
                <w:sz w:val="20"/>
                <w:szCs w:val="20"/>
                <w:color w:val="auto"/>
              </w:rPr>
            </w:pPr>
            <w:r>
              <w:rPr>
                <w:rFonts w:ascii="Arial" w:cs="Arial" w:eastAsia="Arial" w:hAnsi="Arial"/>
                <w:sz w:val="16"/>
                <w:szCs w:val="16"/>
                <w:b w:val="1"/>
                <w:bCs w:val="1"/>
                <w:color w:val="auto"/>
              </w:rPr>
              <w:t>ERISA</w:t>
            </w:r>
          </w:p>
        </w:tc>
        <w:tc>
          <w:tcPr>
            <w:tcW w:w="4540" w:type="dxa"/>
            <w:vAlign w:val="bottom"/>
          </w:tcPr>
          <w:p>
            <w:pPr>
              <w:ind w:left="460"/>
              <w:spacing w:after="0"/>
              <w:rPr>
                <w:sz w:val="20"/>
                <w:szCs w:val="20"/>
                <w:color w:val="auto"/>
              </w:rPr>
            </w:pPr>
            <w:r>
              <w:rPr>
                <w:rFonts w:ascii="Arial" w:cs="Arial" w:eastAsia="Arial" w:hAnsi="Arial"/>
                <w:sz w:val="16"/>
                <w:szCs w:val="16"/>
                <w:color w:val="auto"/>
              </w:rPr>
              <w:t>Employee Retirement Income Security Act of 1974</w:t>
            </w:r>
          </w:p>
        </w:tc>
        <w:tc>
          <w:tcPr>
            <w:tcW w:w="1140" w:type="dxa"/>
            <w:vAlign w:val="bottom"/>
          </w:tcPr>
          <w:p>
            <w:pPr>
              <w:ind w:left="440"/>
              <w:spacing w:after="0"/>
              <w:rPr>
                <w:sz w:val="20"/>
                <w:szCs w:val="20"/>
                <w:color w:val="auto"/>
              </w:rPr>
            </w:pPr>
            <w:r>
              <w:rPr>
                <w:rFonts w:ascii="Arial" w:cs="Arial" w:eastAsia="Arial" w:hAnsi="Arial"/>
                <w:sz w:val="16"/>
                <w:szCs w:val="16"/>
                <w:color w:val="auto"/>
              </w:rPr>
              <w:t>SMSP</w:t>
            </w:r>
          </w:p>
        </w:tc>
        <w:tc>
          <w:tcPr>
            <w:tcW w:w="4000" w:type="dxa"/>
            <w:vAlign w:val="bottom"/>
          </w:tcPr>
          <w:p>
            <w:pPr>
              <w:ind w:left="100"/>
              <w:spacing w:after="0"/>
              <w:rPr>
                <w:sz w:val="20"/>
                <w:szCs w:val="20"/>
                <w:color w:val="auto"/>
              </w:rPr>
            </w:pPr>
            <w:r>
              <w:rPr>
                <w:rFonts w:ascii="Arial" w:cs="Arial" w:eastAsia="Arial" w:hAnsi="Arial"/>
                <w:sz w:val="16"/>
                <w:szCs w:val="16"/>
                <w:color w:val="auto"/>
              </w:rPr>
              <w:t>Senior Management Severance Plan</w:t>
            </w:r>
          </w:p>
        </w:tc>
      </w:tr>
      <w:tr>
        <w:trPr>
          <w:trHeight w:val="270"/>
        </w:trPr>
        <w:tc>
          <w:tcPr>
            <w:tcW w:w="720" w:type="dxa"/>
            <w:vAlign w:val="bottom"/>
          </w:tcPr>
          <w:p>
            <w:pPr>
              <w:ind w:left="20"/>
              <w:spacing w:after="0"/>
              <w:rPr>
                <w:sz w:val="20"/>
                <w:szCs w:val="20"/>
                <w:color w:val="auto"/>
              </w:rPr>
            </w:pPr>
            <w:r>
              <w:rPr>
                <w:rFonts w:ascii="Arial" w:cs="Arial" w:eastAsia="Arial" w:hAnsi="Arial"/>
                <w:sz w:val="16"/>
                <w:szCs w:val="16"/>
                <w:b w:val="1"/>
                <w:bCs w:val="1"/>
                <w:color w:val="auto"/>
              </w:rPr>
              <w:t>ESG</w:t>
            </w:r>
          </w:p>
        </w:tc>
        <w:tc>
          <w:tcPr>
            <w:tcW w:w="4540" w:type="dxa"/>
            <w:vAlign w:val="bottom"/>
          </w:tcPr>
          <w:p>
            <w:pPr>
              <w:ind w:left="460"/>
              <w:spacing w:after="0"/>
              <w:rPr>
                <w:sz w:val="20"/>
                <w:szCs w:val="20"/>
                <w:color w:val="auto"/>
              </w:rPr>
            </w:pPr>
            <w:r>
              <w:rPr>
                <w:rFonts w:ascii="Arial" w:cs="Arial" w:eastAsia="Arial" w:hAnsi="Arial"/>
                <w:sz w:val="16"/>
                <w:szCs w:val="16"/>
                <w:color w:val="auto"/>
              </w:rPr>
              <w:t>Environment, social and governance</w:t>
            </w:r>
          </w:p>
        </w:tc>
        <w:tc>
          <w:tcPr>
            <w:tcW w:w="1140" w:type="dxa"/>
            <w:vAlign w:val="bottom"/>
          </w:tcPr>
          <w:p>
            <w:pPr>
              <w:ind w:left="440"/>
              <w:spacing w:after="0"/>
              <w:rPr>
                <w:sz w:val="20"/>
                <w:szCs w:val="20"/>
                <w:color w:val="auto"/>
              </w:rPr>
            </w:pPr>
            <w:r>
              <w:rPr>
                <w:rFonts w:ascii="Arial" w:cs="Arial" w:eastAsia="Arial" w:hAnsi="Arial"/>
                <w:sz w:val="16"/>
                <w:szCs w:val="16"/>
                <w:color w:val="auto"/>
              </w:rPr>
              <w:t>STEM</w:t>
            </w:r>
          </w:p>
        </w:tc>
        <w:tc>
          <w:tcPr>
            <w:tcW w:w="4000" w:type="dxa"/>
            <w:vAlign w:val="bottom"/>
          </w:tcPr>
          <w:p>
            <w:pPr>
              <w:ind w:left="100"/>
              <w:spacing w:after="0"/>
              <w:rPr>
                <w:sz w:val="20"/>
                <w:szCs w:val="20"/>
                <w:color w:val="auto"/>
              </w:rPr>
            </w:pPr>
            <w:r>
              <w:rPr>
                <w:rFonts w:ascii="Arial" w:cs="Arial" w:eastAsia="Arial" w:hAnsi="Arial"/>
                <w:sz w:val="16"/>
                <w:szCs w:val="16"/>
                <w:color w:val="auto"/>
              </w:rPr>
              <w:t>Science, technology, engineering, and mathematics</w:t>
            </w:r>
          </w:p>
        </w:tc>
      </w:tr>
      <w:tr>
        <w:trPr>
          <w:trHeight w:val="270"/>
        </w:trPr>
        <w:tc>
          <w:tcPr>
            <w:tcW w:w="720" w:type="dxa"/>
            <w:vAlign w:val="bottom"/>
          </w:tcPr>
          <w:p>
            <w:pPr>
              <w:ind w:left="20"/>
              <w:spacing w:after="0"/>
              <w:rPr>
                <w:sz w:val="20"/>
                <w:szCs w:val="20"/>
                <w:color w:val="auto"/>
              </w:rPr>
            </w:pPr>
            <w:r>
              <w:rPr>
                <w:rFonts w:ascii="Arial" w:cs="Arial" w:eastAsia="Arial" w:hAnsi="Arial"/>
                <w:sz w:val="16"/>
                <w:szCs w:val="16"/>
                <w:b w:val="1"/>
                <w:bCs w:val="1"/>
                <w:color w:val="auto"/>
              </w:rPr>
              <w:t>FASB</w:t>
            </w:r>
          </w:p>
        </w:tc>
        <w:tc>
          <w:tcPr>
            <w:tcW w:w="4540" w:type="dxa"/>
            <w:vAlign w:val="bottom"/>
          </w:tcPr>
          <w:p>
            <w:pPr>
              <w:ind w:left="460"/>
              <w:spacing w:after="0"/>
              <w:rPr>
                <w:sz w:val="20"/>
                <w:szCs w:val="20"/>
                <w:color w:val="auto"/>
              </w:rPr>
            </w:pPr>
            <w:r>
              <w:rPr>
                <w:rFonts w:ascii="Arial" w:cs="Arial" w:eastAsia="Arial" w:hAnsi="Arial"/>
                <w:sz w:val="16"/>
                <w:szCs w:val="16"/>
                <w:color w:val="auto"/>
              </w:rPr>
              <w:t>Financial Accounting Standards Board</w:t>
            </w:r>
          </w:p>
        </w:tc>
        <w:tc>
          <w:tcPr>
            <w:tcW w:w="1140" w:type="dxa"/>
            <w:vAlign w:val="bottom"/>
          </w:tcPr>
          <w:p>
            <w:pPr>
              <w:ind w:left="440"/>
              <w:spacing w:after="0"/>
              <w:rPr>
                <w:sz w:val="20"/>
                <w:szCs w:val="20"/>
                <w:color w:val="auto"/>
              </w:rPr>
            </w:pPr>
            <w:r>
              <w:rPr>
                <w:rFonts w:ascii="Arial" w:cs="Arial" w:eastAsia="Arial" w:hAnsi="Arial"/>
                <w:sz w:val="16"/>
                <w:szCs w:val="16"/>
                <w:color w:val="auto"/>
              </w:rPr>
              <w:t>T&amp;D</w:t>
            </w:r>
          </w:p>
        </w:tc>
        <w:tc>
          <w:tcPr>
            <w:tcW w:w="4000" w:type="dxa"/>
            <w:vAlign w:val="bottom"/>
          </w:tcPr>
          <w:p>
            <w:pPr>
              <w:ind w:left="100"/>
              <w:spacing w:after="0"/>
              <w:rPr>
                <w:sz w:val="20"/>
                <w:szCs w:val="20"/>
                <w:color w:val="auto"/>
              </w:rPr>
            </w:pPr>
            <w:r>
              <w:rPr>
                <w:rFonts w:ascii="Arial" w:cs="Arial" w:eastAsia="Arial" w:hAnsi="Arial"/>
                <w:sz w:val="16"/>
                <w:szCs w:val="16"/>
                <w:color w:val="auto"/>
              </w:rPr>
              <w:t>Transmission and distribution</w:t>
            </w:r>
          </w:p>
        </w:tc>
      </w:tr>
      <w:tr>
        <w:trPr>
          <w:trHeight w:val="270"/>
        </w:trPr>
        <w:tc>
          <w:tcPr>
            <w:tcW w:w="720" w:type="dxa"/>
            <w:vAlign w:val="bottom"/>
          </w:tcPr>
          <w:p>
            <w:pPr>
              <w:ind w:left="20"/>
              <w:spacing w:after="0"/>
              <w:rPr>
                <w:sz w:val="20"/>
                <w:szCs w:val="20"/>
                <w:color w:val="auto"/>
              </w:rPr>
            </w:pPr>
            <w:r>
              <w:rPr>
                <w:rFonts w:ascii="Arial" w:cs="Arial" w:eastAsia="Arial" w:hAnsi="Arial"/>
                <w:sz w:val="16"/>
                <w:szCs w:val="16"/>
                <w:b w:val="1"/>
                <w:bCs w:val="1"/>
                <w:color w:val="auto"/>
              </w:rPr>
              <w:t>FERC</w:t>
            </w:r>
          </w:p>
        </w:tc>
        <w:tc>
          <w:tcPr>
            <w:tcW w:w="4540" w:type="dxa"/>
            <w:vAlign w:val="bottom"/>
          </w:tcPr>
          <w:p>
            <w:pPr>
              <w:ind w:left="460"/>
              <w:spacing w:after="0"/>
              <w:rPr>
                <w:sz w:val="20"/>
                <w:szCs w:val="20"/>
                <w:color w:val="auto"/>
              </w:rPr>
            </w:pPr>
            <w:r>
              <w:rPr>
                <w:rFonts w:ascii="Arial" w:cs="Arial" w:eastAsia="Arial" w:hAnsi="Arial"/>
                <w:sz w:val="16"/>
                <w:szCs w:val="16"/>
                <w:color w:val="auto"/>
              </w:rPr>
              <w:t>Federal Energy Regulatory Commission</w:t>
            </w:r>
          </w:p>
        </w:tc>
        <w:tc>
          <w:tcPr>
            <w:tcW w:w="1140" w:type="dxa"/>
            <w:vAlign w:val="bottom"/>
          </w:tcPr>
          <w:p>
            <w:pPr>
              <w:ind w:left="440"/>
              <w:spacing w:after="0"/>
              <w:rPr>
                <w:sz w:val="20"/>
                <w:szCs w:val="20"/>
                <w:color w:val="auto"/>
              </w:rPr>
            </w:pPr>
            <w:r>
              <w:rPr>
                <w:rFonts w:ascii="Arial" w:cs="Arial" w:eastAsia="Arial" w:hAnsi="Arial"/>
                <w:sz w:val="16"/>
                <w:szCs w:val="16"/>
                <w:color w:val="auto"/>
              </w:rPr>
              <w:t>TCFD</w:t>
            </w:r>
          </w:p>
        </w:tc>
        <w:tc>
          <w:tcPr>
            <w:tcW w:w="4000" w:type="dxa"/>
            <w:vAlign w:val="bottom"/>
          </w:tcPr>
          <w:p>
            <w:pPr>
              <w:ind w:left="100"/>
              <w:spacing w:after="0"/>
              <w:rPr>
                <w:sz w:val="20"/>
                <w:szCs w:val="20"/>
                <w:color w:val="auto"/>
              </w:rPr>
            </w:pPr>
            <w:r>
              <w:rPr>
                <w:rFonts w:ascii="Arial" w:cs="Arial" w:eastAsia="Arial" w:hAnsi="Arial"/>
                <w:sz w:val="16"/>
                <w:szCs w:val="16"/>
                <w:color w:val="auto"/>
              </w:rPr>
              <w:t>Task Force on Climate-Related Financial Disclosures</w:t>
            </w:r>
          </w:p>
        </w:tc>
      </w:tr>
      <w:tr>
        <w:trPr>
          <w:trHeight w:val="270"/>
        </w:trPr>
        <w:tc>
          <w:tcPr>
            <w:tcW w:w="720" w:type="dxa"/>
            <w:vAlign w:val="bottom"/>
          </w:tcPr>
          <w:p>
            <w:pPr>
              <w:ind w:left="20"/>
              <w:spacing w:after="0"/>
              <w:rPr>
                <w:sz w:val="20"/>
                <w:szCs w:val="20"/>
                <w:color w:val="auto"/>
              </w:rPr>
            </w:pPr>
            <w:r>
              <w:rPr>
                <w:rFonts w:ascii="Arial" w:cs="Arial" w:eastAsia="Arial" w:hAnsi="Arial"/>
                <w:sz w:val="16"/>
                <w:szCs w:val="16"/>
                <w:b w:val="1"/>
                <w:bCs w:val="1"/>
                <w:color w:val="auto"/>
              </w:rPr>
              <w:t>FFO</w:t>
            </w:r>
          </w:p>
        </w:tc>
        <w:tc>
          <w:tcPr>
            <w:tcW w:w="4540" w:type="dxa"/>
            <w:vAlign w:val="bottom"/>
          </w:tcPr>
          <w:p>
            <w:pPr>
              <w:ind w:left="460"/>
              <w:spacing w:after="0"/>
              <w:rPr>
                <w:sz w:val="20"/>
                <w:szCs w:val="20"/>
                <w:color w:val="auto"/>
              </w:rPr>
            </w:pPr>
            <w:r>
              <w:rPr>
                <w:rFonts w:ascii="Arial" w:cs="Arial" w:eastAsia="Arial" w:hAnsi="Arial"/>
                <w:sz w:val="16"/>
                <w:szCs w:val="16"/>
                <w:color w:val="auto"/>
              </w:rPr>
              <w:t>Funds from operations</w:t>
            </w:r>
          </w:p>
        </w:tc>
        <w:tc>
          <w:tcPr>
            <w:tcW w:w="1140" w:type="dxa"/>
            <w:vAlign w:val="bottom"/>
          </w:tcPr>
          <w:p>
            <w:pPr>
              <w:ind w:left="440"/>
              <w:spacing w:after="0"/>
              <w:rPr>
                <w:sz w:val="20"/>
                <w:szCs w:val="20"/>
                <w:color w:val="auto"/>
              </w:rPr>
            </w:pPr>
            <w:r>
              <w:rPr>
                <w:rFonts w:ascii="Arial" w:cs="Arial" w:eastAsia="Arial" w:hAnsi="Arial"/>
                <w:sz w:val="16"/>
                <w:szCs w:val="16"/>
                <w:color w:val="auto"/>
              </w:rPr>
              <w:t>TMCC</w:t>
            </w:r>
          </w:p>
        </w:tc>
        <w:tc>
          <w:tcPr>
            <w:tcW w:w="4000" w:type="dxa"/>
            <w:vAlign w:val="bottom"/>
          </w:tcPr>
          <w:p>
            <w:pPr>
              <w:ind w:left="100"/>
              <w:spacing w:after="0"/>
              <w:rPr>
                <w:sz w:val="20"/>
                <w:szCs w:val="20"/>
                <w:color w:val="auto"/>
              </w:rPr>
            </w:pPr>
            <w:r>
              <w:rPr>
                <w:rFonts w:ascii="Arial" w:cs="Arial" w:eastAsia="Arial" w:hAnsi="Arial"/>
                <w:sz w:val="16"/>
                <w:szCs w:val="16"/>
                <w:color w:val="auto"/>
              </w:rPr>
              <w:t>Talent Management and Compensation Committee</w:t>
            </w:r>
          </w:p>
        </w:tc>
      </w:tr>
      <w:tr>
        <w:trPr>
          <w:trHeight w:val="270"/>
        </w:trPr>
        <w:tc>
          <w:tcPr>
            <w:tcW w:w="720" w:type="dxa"/>
            <w:vAlign w:val="bottom"/>
          </w:tcPr>
          <w:p>
            <w:pPr>
              <w:ind w:left="20"/>
              <w:spacing w:after="0"/>
              <w:rPr>
                <w:sz w:val="20"/>
                <w:szCs w:val="20"/>
                <w:color w:val="auto"/>
              </w:rPr>
            </w:pPr>
            <w:r>
              <w:rPr>
                <w:rFonts w:ascii="Arial" w:cs="Arial" w:eastAsia="Arial" w:hAnsi="Arial"/>
                <w:sz w:val="16"/>
                <w:szCs w:val="16"/>
                <w:b w:val="1"/>
                <w:bCs w:val="1"/>
                <w:color w:val="auto"/>
              </w:rPr>
              <w:t>GAAP</w:t>
            </w:r>
          </w:p>
        </w:tc>
        <w:tc>
          <w:tcPr>
            <w:tcW w:w="4540" w:type="dxa"/>
            <w:vAlign w:val="bottom"/>
          </w:tcPr>
          <w:p>
            <w:pPr>
              <w:ind w:left="460"/>
              <w:spacing w:after="0"/>
              <w:rPr>
                <w:sz w:val="20"/>
                <w:szCs w:val="20"/>
                <w:color w:val="auto"/>
              </w:rPr>
            </w:pPr>
            <w:r>
              <w:rPr>
                <w:rFonts w:ascii="Arial" w:cs="Arial" w:eastAsia="Arial" w:hAnsi="Arial"/>
                <w:sz w:val="16"/>
                <w:szCs w:val="16"/>
                <w:color w:val="auto"/>
              </w:rPr>
              <w:t>U.S. Generally Accepted Accounting Principles</w:t>
            </w:r>
          </w:p>
        </w:tc>
        <w:tc>
          <w:tcPr>
            <w:tcW w:w="1140" w:type="dxa"/>
            <w:vAlign w:val="bottom"/>
          </w:tcPr>
          <w:p>
            <w:pPr>
              <w:ind w:left="440"/>
              <w:spacing w:after="0"/>
              <w:rPr>
                <w:sz w:val="20"/>
                <w:szCs w:val="20"/>
                <w:color w:val="auto"/>
              </w:rPr>
            </w:pPr>
            <w:r>
              <w:rPr>
                <w:rFonts w:ascii="Arial" w:cs="Arial" w:eastAsia="Arial" w:hAnsi="Arial"/>
                <w:sz w:val="16"/>
                <w:szCs w:val="16"/>
                <w:color w:val="auto"/>
              </w:rPr>
              <w:t>TSR</w:t>
            </w:r>
          </w:p>
        </w:tc>
        <w:tc>
          <w:tcPr>
            <w:tcW w:w="4000" w:type="dxa"/>
            <w:vAlign w:val="bottom"/>
          </w:tcPr>
          <w:p>
            <w:pPr>
              <w:ind w:left="100"/>
              <w:spacing w:after="0"/>
              <w:rPr>
                <w:sz w:val="20"/>
                <w:szCs w:val="20"/>
                <w:color w:val="auto"/>
              </w:rPr>
            </w:pPr>
            <w:r>
              <w:rPr>
                <w:rFonts w:ascii="Arial" w:cs="Arial" w:eastAsia="Arial" w:hAnsi="Arial"/>
                <w:sz w:val="16"/>
                <w:szCs w:val="16"/>
                <w:color w:val="auto"/>
              </w:rPr>
              <w:t>Total shareholder return</w:t>
            </w:r>
          </w:p>
        </w:tc>
      </w:tr>
      <w:tr>
        <w:trPr>
          <w:trHeight w:val="270"/>
        </w:trPr>
        <w:tc>
          <w:tcPr>
            <w:tcW w:w="720" w:type="dxa"/>
            <w:vAlign w:val="bottom"/>
          </w:tcPr>
          <w:p>
            <w:pPr>
              <w:ind w:left="20"/>
              <w:spacing w:after="0"/>
              <w:rPr>
                <w:sz w:val="20"/>
                <w:szCs w:val="20"/>
                <w:color w:val="auto"/>
              </w:rPr>
            </w:pPr>
            <w:r>
              <w:rPr>
                <w:rFonts w:ascii="Arial" w:cs="Arial" w:eastAsia="Arial" w:hAnsi="Arial"/>
                <w:sz w:val="16"/>
                <w:szCs w:val="16"/>
                <w:b w:val="1"/>
                <w:bCs w:val="1"/>
                <w:color w:val="auto"/>
              </w:rPr>
              <w:t>GHG</w:t>
            </w:r>
          </w:p>
        </w:tc>
        <w:tc>
          <w:tcPr>
            <w:tcW w:w="4540" w:type="dxa"/>
            <w:vAlign w:val="bottom"/>
          </w:tcPr>
          <w:p>
            <w:pPr>
              <w:ind w:left="460"/>
              <w:spacing w:after="0"/>
              <w:rPr>
                <w:sz w:val="20"/>
                <w:szCs w:val="20"/>
                <w:color w:val="auto"/>
              </w:rPr>
            </w:pPr>
            <w:r>
              <w:rPr>
                <w:rFonts w:ascii="Arial" w:cs="Arial" w:eastAsia="Arial" w:hAnsi="Arial"/>
                <w:sz w:val="16"/>
                <w:szCs w:val="16"/>
                <w:color w:val="auto"/>
              </w:rPr>
              <w:t>Greenhouse gases</w:t>
            </w:r>
          </w:p>
        </w:tc>
        <w:tc>
          <w:tcPr>
            <w:tcW w:w="1140" w:type="dxa"/>
            <w:vAlign w:val="bottom"/>
          </w:tcPr>
          <w:p>
            <w:pPr>
              <w:ind w:left="440"/>
              <w:spacing w:after="0"/>
              <w:rPr>
                <w:sz w:val="20"/>
                <w:szCs w:val="20"/>
                <w:color w:val="auto"/>
              </w:rPr>
            </w:pPr>
            <w:r>
              <w:rPr>
                <w:rFonts w:ascii="Arial" w:cs="Arial" w:eastAsia="Arial" w:hAnsi="Arial"/>
                <w:sz w:val="16"/>
                <w:szCs w:val="16"/>
                <w:color w:val="auto"/>
              </w:rPr>
              <w:t>UTY</w:t>
            </w:r>
          </w:p>
        </w:tc>
        <w:tc>
          <w:tcPr>
            <w:tcW w:w="4000" w:type="dxa"/>
            <w:vAlign w:val="bottom"/>
          </w:tcPr>
          <w:p>
            <w:pPr>
              <w:ind w:left="100"/>
              <w:spacing w:after="0"/>
              <w:rPr>
                <w:sz w:val="20"/>
                <w:szCs w:val="20"/>
                <w:color w:val="auto"/>
              </w:rPr>
            </w:pPr>
            <w:r>
              <w:rPr>
                <w:rFonts w:ascii="Arial" w:cs="Arial" w:eastAsia="Arial" w:hAnsi="Arial"/>
                <w:sz w:val="16"/>
                <w:szCs w:val="16"/>
                <w:color w:val="auto"/>
              </w:rPr>
              <w:t>PHLX utility sector index</w:t>
            </w:r>
          </w:p>
        </w:tc>
      </w:tr>
      <w:tr>
        <w:trPr>
          <w:trHeight w:val="270"/>
        </w:trPr>
        <w:tc>
          <w:tcPr>
            <w:tcW w:w="720" w:type="dxa"/>
            <w:vAlign w:val="bottom"/>
          </w:tcPr>
          <w:p>
            <w:pPr>
              <w:ind w:left="20"/>
              <w:spacing w:after="0"/>
              <w:rPr>
                <w:sz w:val="20"/>
                <w:szCs w:val="20"/>
                <w:color w:val="auto"/>
              </w:rPr>
            </w:pPr>
            <w:r>
              <w:rPr>
                <w:rFonts w:ascii="Arial" w:cs="Arial" w:eastAsia="Arial" w:hAnsi="Arial"/>
                <w:sz w:val="16"/>
                <w:szCs w:val="16"/>
                <w:b w:val="1"/>
                <w:bCs w:val="1"/>
                <w:color w:val="auto"/>
              </w:rPr>
              <w:t>GRI</w:t>
            </w:r>
          </w:p>
        </w:tc>
        <w:tc>
          <w:tcPr>
            <w:tcW w:w="4540" w:type="dxa"/>
            <w:vAlign w:val="bottom"/>
          </w:tcPr>
          <w:p>
            <w:pPr>
              <w:ind w:left="460"/>
              <w:spacing w:after="0"/>
              <w:rPr>
                <w:sz w:val="20"/>
                <w:szCs w:val="20"/>
                <w:color w:val="auto"/>
              </w:rPr>
            </w:pPr>
            <w:r>
              <w:rPr>
                <w:rFonts w:ascii="Arial" w:cs="Arial" w:eastAsia="Arial" w:hAnsi="Arial"/>
                <w:sz w:val="16"/>
                <w:szCs w:val="16"/>
                <w:color w:val="auto"/>
              </w:rPr>
              <w:t>Global Reporting Initiative</w:t>
            </w:r>
          </w:p>
        </w:tc>
        <w:tc>
          <w:tcPr>
            <w:tcW w:w="1140" w:type="dxa"/>
            <w:vAlign w:val="bottom"/>
          </w:tcPr>
          <w:p>
            <w:pPr>
              <w:ind w:left="440"/>
              <w:spacing w:after="0"/>
              <w:rPr>
                <w:sz w:val="20"/>
                <w:szCs w:val="20"/>
                <w:color w:val="auto"/>
              </w:rPr>
            </w:pPr>
            <w:r>
              <w:rPr>
                <w:rFonts w:ascii="Arial" w:cs="Arial" w:eastAsia="Arial" w:hAnsi="Arial"/>
                <w:sz w:val="16"/>
                <w:szCs w:val="16"/>
                <w:color w:val="auto"/>
              </w:rPr>
              <w:t>VIF</w:t>
            </w:r>
          </w:p>
        </w:tc>
        <w:tc>
          <w:tcPr>
            <w:tcW w:w="4000" w:type="dxa"/>
            <w:vAlign w:val="bottom"/>
          </w:tcPr>
          <w:p>
            <w:pPr>
              <w:ind w:left="100"/>
              <w:spacing w:after="0"/>
              <w:rPr>
                <w:sz w:val="20"/>
                <w:szCs w:val="20"/>
                <w:color w:val="auto"/>
              </w:rPr>
            </w:pPr>
            <w:r>
              <w:rPr>
                <w:rFonts w:ascii="Arial" w:cs="Arial" w:eastAsia="Arial" w:hAnsi="Arial"/>
                <w:sz w:val="16"/>
                <w:szCs w:val="16"/>
                <w:color w:val="auto"/>
              </w:rPr>
              <w:t>Voting instruction form</w:t>
            </w:r>
          </w:p>
        </w:tc>
      </w:tr>
      <w:tr>
        <w:trPr>
          <w:trHeight w:val="262"/>
        </w:trPr>
        <w:tc>
          <w:tcPr>
            <w:tcW w:w="720" w:type="dxa"/>
            <w:vAlign w:val="bottom"/>
          </w:tcPr>
          <w:p>
            <w:pPr>
              <w:ind w:left="20"/>
              <w:spacing w:after="0"/>
              <w:rPr>
                <w:sz w:val="20"/>
                <w:szCs w:val="20"/>
                <w:color w:val="auto"/>
              </w:rPr>
            </w:pPr>
            <w:r>
              <w:rPr>
                <w:rFonts w:ascii="Arial" w:cs="Arial" w:eastAsia="Arial" w:hAnsi="Arial"/>
                <w:sz w:val="16"/>
                <w:szCs w:val="16"/>
                <w:color w:val="auto"/>
              </w:rPr>
              <w:t>IRS</w:t>
            </w:r>
          </w:p>
        </w:tc>
        <w:tc>
          <w:tcPr>
            <w:tcW w:w="4540" w:type="dxa"/>
            <w:vAlign w:val="bottom"/>
          </w:tcPr>
          <w:p>
            <w:pPr>
              <w:ind w:left="460"/>
              <w:spacing w:after="0"/>
              <w:rPr>
                <w:sz w:val="20"/>
                <w:szCs w:val="20"/>
                <w:color w:val="auto"/>
              </w:rPr>
            </w:pPr>
            <w:r>
              <w:rPr>
                <w:rFonts w:ascii="Arial" w:cs="Arial" w:eastAsia="Arial" w:hAnsi="Arial"/>
                <w:sz w:val="16"/>
                <w:szCs w:val="16"/>
                <w:color w:val="auto"/>
              </w:rPr>
              <w:t>Internal Revenue Service</w:t>
            </w:r>
          </w:p>
        </w:tc>
        <w:tc>
          <w:tcPr>
            <w:tcW w:w="1140" w:type="dxa"/>
            <w:vAlign w:val="bottom"/>
          </w:tcPr>
          <w:p>
            <w:pPr>
              <w:spacing w:after="0"/>
              <w:rPr>
                <w:sz w:val="22"/>
                <w:szCs w:val="22"/>
                <w:color w:val="auto"/>
              </w:rPr>
            </w:pPr>
          </w:p>
        </w:tc>
        <w:tc>
          <w:tcPr>
            <w:tcW w:w="40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80" w:hanging="454"/>
        <w:spacing w:after="0"/>
        <w:tabs>
          <w:tab w:leader="none" w:pos="480" w:val="left"/>
        </w:tabs>
        <w:numPr>
          <w:ilvl w:val="0"/>
          <w:numId w:val="16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2025 ׀ Exelon </w:t>
      </w:r>
      <w:r>
        <w:rPr>
          <w:rFonts w:ascii="Arial" w:cs="Arial" w:eastAsia="Arial" w:hAnsi="Arial"/>
          <w:sz w:val="14"/>
          <w:szCs w:val="14"/>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302" w:right="1179" w:bottom="1440" w:gutter="0" w:footer="0" w:header="0"/>
        </w:sectPr>
      </w:pPr>
    </w:p>
    <w:bookmarkStart w:id="90" w:name="page91"/>
    <w:bookmarkEnd w:id="90"/>
    <w:p>
      <w:pPr>
        <w:ind w:left="820" w:right="4700"/>
        <w:spacing w:after="0" w:line="304" w:lineRule="auto"/>
        <w:rPr>
          <w:sz w:val="20"/>
          <w:szCs w:val="20"/>
          <w:color w:val="auto"/>
        </w:rPr>
      </w:pPr>
      <w:r>
        <w:rPr>
          <w:rFonts w:ascii="Arial" w:cs="Arial" w:eastAsia="Arial" w:hAnsi="Arial"/>
          <w:sz w:val="64"/>
          <w:szCs w:val="64"/>
          <w:color w:val="170D67"/>
        </w:rPr>
        <w:t>Thank you for being a shareholder!</w:t>
      </w:r>
    </w:p>
    <w:p>
      <w:pPr>
        <w:spacing w:after="0" w:line="109" w:lineRule="exact"/>
        <w:rPr>
          <w:sz w:val="20"/>
          <w:szCs w:val="20"/>
          <w:color w:val="auto"/>
        </w:rPr>
      </w:pPr>
    </w:p>
    <w:p>
      <w:pPr>
        <w:ind w:left="820"/>
        <w:spacing w:after="0"/>
        <w:rPr>
          <w:sz w:val="20"/>
          <w:szCs w:val="20"/>
          <w:color w:val="auto"/>
        </w:rPr>
      </w:pPr>
      <w:r>
        <w:rPr>
          <w:rFonts w:ascii="Arial" w:cs="Arial" w:eastAsia="Arial" w:hAnsi="Arial"/>
          <w:sz w:val="27"/>
          <w:szCs w:val="27"/>
          <w:color w:val="6E06C1"/>
        </w:rPr>
        <w:t>Useful Links &amp; Phone Numbers:</w:t>
      </w:r>
    </w:p>
    <w:p>
      <w:pPr>
        <w:spacing w:after="0" w:line="189"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170D67"/>
        </w:rPr>
        <w:t>Resources for the 2025 Annual Meeting:</w:t>
      </w:r>
    </w:p>
    <w:p>
      <w:pPr>
        <w:spacing w:after="0" w:line="59" w:lineRule="exact"/>
        <w:rPr>
          <w:sz w:val="20"/>
          <w:szCs w:val="20"/>
          <w:color w:val="auto"/>
        </w:rPr>
      </w:pPr>
    </w:p>
    <w:p>
      <w:pPr>
        <w:ind w:left="840"/>
        <w:spacing w:after="0"/>
        <w:rPr>
          <w:sz w:val="20"/>
          <w:szCs w:val="20"/>
          <w:color w:val="auto"/>
        </w:rPr>
      </w:pPr>
      <w:r>
        <w:rPr>
          <w:rFonts w:ascii="Arial" w:cs="Arial" w:eastAsia="Arial" w:hAnsi="Arial"/>
          <w:sz w:val="16"/>
          <w:szCs w:val="16"/>
          <w:color w:val="auto"/>
        </w:rPr>
        <w:t xml:space="preserve">To vote in advance of the 2025 Annual Meeting:  </w:t>
      </w:r>
      <w:r>
        <w:rPr>
          <w:rFonts w:ascii="Arial" w:cs="Arial" w:eastAsia="Arial" w:hAnsi="Arial"/>
          <w:sz w:val="16"/>
          <w:szCs w:val="16"/>
          <w:b w:val="1"/>
          <w:bCs w:val="1"/>
          <w:color w:val="3A5CFF"/>
        </w:rPr>
        <w:t>proxyvote.com</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80" w:type="dxa"/>
            <w:vAlign w:val="bottom"/>
          </w:tcPr>
          <w:p>
            <w:pPr>
              <w:ind w:left="840"/>
              <w:spacing w:after="0"/>
              <w:rPr>
                <w:sz w:val="20"/>
                <w:szCs w:val="20"/>
                <w:color w:val="auto"/>
              </w:rPr>
            </w:pPr>
            <w:r>
              <w:rPr>
                <w:rFonts w:ascii="Arial" w:cs="Arial" w:eastAsia="Arial" w:hAnsi="Arial"/>
                <w:sz w:val="16"/>
                <w:szCs w:val="16"/>
                <w:color w:val="auto"/>
              </w:rPr>
              <w:t>To attend the 2025 Annual Meeting:</w:t>
            </w:r>
          </w:p>
        </w:tc>
        <w:tc>
          <w:tcPr>
            <w:tcW w:w="6960" w:type="dxa"/>
            <w:vAlign w:val="bottom"/>
          </w:tcPr>
          <w:p>
            <w:pPr>
              <w:ind w:left="100"/>
              <w:spacing w:after="0"/>
              <w:rPr>
                <w:sz w:val="20"/>
                <w:szCs w:val="20"/>
                <w:color w:val="auto"/>
              </w:rPr>
            </w:pPr>
            <w:r>
              <w:rPr>
                <w:rFonts w:ascii="Arial" w:cs="Arial" w:eastAsia="Arial" w:hAnsi="Arial"/>
                <w:sz w:val="16"/>
                <w:szCs w:val="16"/>
                <w:b w:val="1"/>
                <w:bCs w:val="1"/>
                <w:color w:val="3A5CFF"/>
              </w:rPr>
              <w:t>virtualshareholdermeeting.com/EXC2025</w:t>
            </w:r>
          </w:p>
        </w:tc>
      </w:tr>
      <w:tr>
        <w:trPr>
          <w:trHeight w:val="270"/>
        </w:trPr>
        <w:tc>
          <w:tcPr>
            <w:tcW w:w="4280" w:type="dxa"/>
            <w:vAlign w:val="bottom"/>
          </w:tcPr>
          <w:p>
            <w:pPr>
              <w:ind w:left="840"/>
              <w:spacing w:after="0"/>
              <w:rPr>
                <w:sz w:val="20"/>
                <w:szCs w:val="20"/>
                <w:color w:val="auto"/>
              </w:rPr>
            </w:pPr>
            <w:r>
              <w:rPr>
                <w:rFonts w:ascii="Arial" w:cs="Arial" w:eastAsia="Arial" w:hAnsi="Arial"/>
                <w:sz w:val="16"/>
                <w:szCs w:val="16"/>
                <w:color w:val="auto"/>
              </w:rPr>
              <w:t>To view shareholder Q&amp;A:</w:t>
            </w:r>
          </w:p>
        </w:tc>
        <w:tc>
          <w:tcPr>
            <w:tcW w:w="6960" w:type="dxa"/>
            <w:vAlign w:val="bottom"/>
          </w:tcPr>
          <w:p>
            <w:pPr>
              <w:ind w:left="100"/>
              <w:spacing w:after="0"/>
              <w:rPr>
                <w:sz w:val="20"/>
                <w:szCs w:val="20"/>
                <w:color w:val="auto"/>
              </w:rPr>
            </w:pPr>
            <w:r>
              <w:rPr>
                <w:rFonts w:ascii="Arial" w:cs="Arial" w:eastAsia="Arial" w:hAnsi="Arial"/>
                <w:sz w:val="16"/>
                <w:szCs w:val="16"/>
                <w:b w:val="1"/>
                <w:bCs w:val="1"/>
                <w:color w:val="3A5CFF"/>
              </w:rPr>
              <w:t>investors.exeloncorp.com/events-and-presentations</w:t>
            </w:r>
          </w:p>
        </w:tc>
      </w:tr>
      <w:tr>
        <w:trPr>
          <w:trHeight w:val="270"/>
        </w:trPr>
        <w:tc>
          <w:tcPr>
            <w:tcW w:w="4280" w:type="dxa"/>
            <w:vAlign w:val="bottom"/>
          </w:tcPr>
          <w:p>
            <w:pPr>
              <w:ind w:left="840"/>
              <w:spacing w:after="0"/>
              <w:rPr>
                <w:sz w:val="20"/>
                <w:szCs w:val="20"/>
                <w:color w:val="auto"/>
              </w:rPr>
            </w:pPr>
            <w:r>
              <w:rPr>
                <w:rFonts w:ascii="Arial" w:cs="Arial" w:eastAsia="Arial" w:hAnsi="Arial"/>
                <w:sz w:val="16"/>
                <w:szCs w:val="16"/>
                <w:color w:val="auto"/>
              </w:rPr>
              <w:t>To view a replay of the 2025 meeting:</w:t>
            </w:r>
          </w:p>
        </w:tc>
        <w:tc>
          <w:tcPr>
            <w:tcW w:w="6960" w:type="dxa"/>
            <w:vAlign w:val="bottom"/>
          </w:tcPr>
          <w:p>
            <w:pPr>
              <w:ind w:left="100"/>
              <w:spacing w:after="0"/>
              <w:rPr>
                <w:sz w:val="20"/>
                <w:szCs w:val="20"/>
                <w:color w:val="auto"/>
              </w:rPr>
            </w:pPr>
            <w:r>
              <w:rPr>
                <w:rFonts w:ascii="Arial" w:cs="Arial" w:eastAsia="Arial" w:hAnsi="Arial"/>
                <w:sz w:val="16"/>
                <w:szCs w:val="16"/>
                <w:b w:val="1"/>
                <w:bCs w:val="1"/>
                <w:color w:val="3A5CFF"/>
              </w:rPr>
              <w:t>investors.exeloncorp.com/events-and-presentations</w:t>
            </w:r>
          </w:p>
        </w:tc>
      </w:tr>
      <w:tr>
        <w:trPr>
          <w:trHeight w:val="262"/>
        </w:trPr>
        <w:tc>
          <w:tcPr>
            <w:tcW w:w="4280" w:type="dxa"/>
            <w:vAlign w:val="bottom"/>
          </w:tcPr>
          <w:p>
            <w:pPr>
              <w:ind w:left="840"/>
              <w:spacing w:after="0"/>
              <w:rPr>
                <w:sz w:val="20"/>
                <w:szCs w:val="20"/>
                <w:color w:val="auto"/>
              </w:rPr>
            </w:pPr>
            <w:r>
              <w:rPr>
                <w:rFonts w:ascii="Arial" w:cs="Arial" w:eastAsia="Arial" w:hAnsi="Arial"/>
                <w:sz w:val="16"/>
                <w:szCs w:val="16"/>
                <w:color w:val="auto"/>
              </w:rPr>
              <w:t>To vote your shares over the phone:</w:t>
            </w:r>
          </w:p>
        </w:tc>
        <w:tc>
          <w:tcPr>
            <w:tcW w:w="6960" w:type="dxa"/>
            <w:vAlign w:val="bottom"/>
          </w:tcPr>
          <w:p>
            <w:pPr>
              <w:ind w:left="100"/>
              <w:spacing w:after="0"/>
              <w:rPr>
                <w:sz w:val="20"/>
                <w:szCs w:val="20"/>
                <w:color w:val="auto"/>
              </w:rPr>
            </w:pPr>
            <w:r>
              <w:rPr>
                <w:rFonts w:ascii="Arial" w:cs="Arial" w:eastAsia="Arial" w:hAnsi="Arial"/>
                <w:sz w:val="16"/>
                <w:szCs w:val="16"/>
                <w:color w:val="auto"/>
              </w:rPr>
              <w:t>1-800-690-6903</w:t>
            </w:r>
          </w:p>
        </w:tc>
      </w:tr>
      <w:tr>
        <w:trPr>
          <w:trHeight w:val="643"/>
        </w:trPr>
        <w:tc>
          <w:tcPr>
            <w:tcW w:w="4280" w:type="dxa"/>
            <w:vAlign w:val="bottom"/>
          </w:tcPr>
          <w:p>
            <w:pPr>
              <w:ind w:left="840"/>
              <w:spacing w:after="0"/>
              <w:rPr>
                <w:sz w:val="20"/>
                <w:szCs w:val="20"/>
                <w:color w:val="auto"/>
              </w:rPr>
            </w:pPr>
            <w:r>
              <w:rPr>
                <w:rFonts w:ascii="Arial" w:cs="Arial" w:eastAsia="Arial" w:hAnsi="Arial"/>
                <w:sz w:val="16"/>
                <w:szCs w:val="16"/>
                <w:b w:val="1"/>
                <w:bCs w:val="1"/>
                <w:color w:val="170D67"/>
              </w:rPr>
              <w:t>Other Resources:</w:t>
            </w:r>
          </w:p>
        </w:tc>
        <w:tc>
          <w:tcPr>
            <w:tcW w:w="6960" w:type="dxa"/>
            <w:vAlign w:val="bottom"/>
          </w:tcPr>
          <w:p>
            <w:pPr>
              <w:spacing w:after="0"/>
              <w:rPr>
                <w:sz w:val="24"/>
                <w:szCs w:val="24"/>
                <w:color w:val="auto"/>
              </w:rPr>
            </w:pPr>
          </w:p>
        </w:tc>
      </w:tr>
      <w:tr>
        <w:trPr>
          <w:trHeight w:val="223"/>
        </w:trPr>
        <w:tc>
          <w:tcPr>
            <w:tcW w:w="4280" w:type="dxa"/>
            <w:vAlign w:val="bottom"/>
          </w:tcPr>
          <w:p>
            <w:pPr>
              <w:spacing w:after="0"/>
              <w:rPr>
                <w:sz w:val="19"/>
                <w:szCs w:val="19"/>
                <w:color w:val="auto"/>
              </w:rPr>
            </w:pPr>
          </w:p>
        </w:tc>
        <w:tc>
          <w:tcPr>
            <w:tcW w:w="6960" w:type="dxa"/>
            <w:vAlign w:val="bottom"/>
          </w:tcPr>
          <w:p>
            <w:pPr>
              <w:ind w:left="100"/>
              <w:spacing w:after="0"/>
              <w:rPr>
                <w:sz w:val="20"/>
                <w:szCs w:val="20"/>
                <w:color w:val="auto"/>
              </w:rPr>
            </w:pPr>
            <w:r>
              <w:rPr>
                <w:rFonts w:ascii="Arial" w:cs="Arial" w:eastAsia="Arial" w:hAnsi="Arial"/>
                <w:sz w:val="16"/>
                <w:szCs w:val="16"/>
                <w:b w:val="1"/>
                <w:bCs w:val="1"/>
                <w:color w:val="3A5CFF"/>
              </w:rPr>
              <w:t>exeloncorp.com/leadership-and-governance/governance-</w:t>
            </w:r>
          </w:p>
        </w:tc>
      </w:tr>
      <w:tr>
        <w:trPr>
          <w:trHeight w:val="223"/>
        </w:trPr>
        <w:tc>
          <w:tcPr>
            <w:tcW w:w="4280" w:type="dxa"/>
            <w:vAlign w:val="bottom"/>
          </w:tcPr>
          <w:p>
            <w:pPr>
              <w:ind w:left="840"/>
              <w:spacing w:after="0"/>
              <w:rPr>
                <w:sz w:val="20"/>
                <w:szCs w:val="20"/>
                <w:color w:val="auto"/>
              </w:rPr>
            </w:pPr>
            <w:r>
              <w:rPr>
                <w:rFonts w:ascii="Arial" w:cs="Arial" w:eastAsia="Arial" w:hAnsi="Arial"/>
                <w:sz w:val="16"/>
                <w:szCs w:val="16"/>
                <w:color w:val="auto"/>
              </w:rPr>
              <w:t>To view copies of our corporate documents:</w:t>
            </w:r>
          </w:p>
        </w:tc>
        <w:tc>
          <w:tcPr>
            <w:tcW w:w="6960" w:type="dxa"/>
            <w:vAlign w:val="bottom"/>
          </w:tcPr>
          <w:p>
            <w:pPr>
              <w:ind w:left="100"/>
              <w:spacing w:after="0"/>
              <w:rPr>
                <w:sz w:val="20"/>
                <w:szCs w:val="20"/>
                <w:color w:val="auto"/>
              </w:rPr>
            </w:pPr>
            <w:r>
              <w:rPr>
                <w:rFonts w:ascii="Arial" w:cs="Arial" w:eastAsia="Arial" w:hAnsi="Arial"/>
                <w:sz w:val="16"/>
                <w:szCs w:val="16"/>
                <w:b w:val="1"/>
                <w:bCs w:val="1"/>
                <w:color w:val="3A5CFF"/>
              </w:rPr>
              <w:t>overview</w:t>
            </w:r>
          </w:p>
        </w:tc>
      </w:tr>
      <w:tr>
        <w:trPr>
          <w:trHeight w:val="270"/>
        </w:trPr>
        <w:tc>
          <w:tcPr>
            <w:tcW w:w="4280" w:type="dxa"/>
            <w:vAlign w:val="bottom"/>
          </w:tcPr>
          <w:p>
            <w:pPr>
              <w:ind w:left="840"/>
              <w:spacing w:after="0"/>
              <w:rPr>
                <w:sz w:val="20"/>
                <w:szCs w:val="20"/>
                <w:color w:val="auto"/>
              </w:rPr>
            </w:pPr>
            <w:r>
              <w:rPr>
                <w:rFonts w:ascii="Arial" w:cs="Arial" w:eastAsia="Arial" w:hAnsi="Arial"/>
                <w:sz w:val="16"/>
                <w:szCs w:val="16"/>
                <w:color w:val="auto"/>
              </w:rPr>
              <w:t>To view our latest Sustainability Report:</w:t>
            </w:r>
          </w:p>
        </w:tc>
        <w:tc>
          <w:tcPr>
            <w:tcW w:w="6960" w:type="dxa"/>
            <w:vAlign w:val="bottom"/>
          </w:tcPr>
          <w:p>
            <w:pPr>
              <w:ind w:left="100"/>
              <w:spacing w:after="0"/>
              <w:rPr>
                <w:sz w:val="20"/>
                <w:szCs w:val="20"/>
                <w:color w:val="auto"/>
              </w:rPr>
            </w:pPr>
            <w:r>
              <w:rPr>
                <w:rFonts w:ascii="Arial" w:cs="Arial" w:eastAsia="Arial" w:hAnsi="Arial"/>
                <w:sz w:val="16"/>
                <w:szCs w:val="16"/>
                <w:b w:val="1"/>
                <w:bCs w:val="1"/>
                <w:color w:val="3A5CFF"/>
              </w:rPr>
              <w:t>exeloncorp.com/sustainability</w:t>
            </w:r>
          </w:p>
        </w:tc>
      </w:tr>
      <w:tr>
        <w:trPr>
          <w:trHeight w:val="262"/>
        </w:trPr>
        <w:tc>
          <w:tcPr>
            <w:tcW w:w="4280" w:type="dxa"/>
            <w:vAlign w:val="bottom"/>
          </w:tcPr>
          <w:p>
            <w:pPr>
              <w:ind w:left="840"/>
              <w:spacing w:after="0"/>
              <w:rPr>
                <w:sz w:val="20"/>
                <w:szCs w:val="20"/>
                <w:color w:val="auto"/>
              </w:rPr>
            </w:pPr>
            <w:r>
              <w:rPr>
                <w:rFonts w:ascii="Arial" w:cs="Arial" w:eastAsia="Arial" w:hAnsi="Arial"/>
                <w:sz w:val="16"/>
                <w:szCs w:val="16"/>
                <w:color w:val="auto"/>
              </w:rPr>
              <w:t>To change your householding election:</w:t>
            </w:r>
          </w:p>
        </w:tc>
        <w:tc>
          <w:tcPr>
            <w:tcW w:w="6960" w:type="dxa"/>
            <w:vAlign w:val="bottom"/>
          </w:tcPr>
          <w:p>
            <w:pPr>
              <w:ind w:left="100"/>
              <w:spacing w:after="0"/>
              <w:rPr>
                <w:sz w:val="20"/>
                <w:szCs w:val="20"/>
                <w:color w:val="auto"/>
              </w:rPr>
            </w:pPr>
            <w:r>
              <w:rPr>
                <w:rFonts w:ascii="Arial" w:cs="Arial" w:eastAsia="Arial" w:hAnsi="Arial"/>
                <w:sz w:val="16"/>
                <w:szCs w:val="16"/>
                <w:color w:val="auto"/>
              </w:rPr>
              <w:t>1-866-540-7095 (Broadridge Financial Solutions)</w:t>
            </w:r>
          </w:p>
        </w:tc>
      </w:tr>
      <w:tr>
        <w:trPr>
          <w:trHeight w:val="270"/>
        </w:trPr>
        <w:tc>
          <w:tcPr>
            <w:tcW w:w="4280" w:type="dxa"/>
            <w:vAlign w:val="bottom"/>
          </w:tcPr>
          <w:p>
            <w:pPr>
              <w:ind w:left="840"/>
              <w:spacing w:after="0"/>
              <w:rPr>
                <w:sz w:val="20"/>
                <w:szCs w:val="20"/>
                <w:color w:val="auto"/>
              </w:rPr>
            </w:pPr>
            <w:r>
              <w:rPr>
                <w:rFonts w:ascii="Arial" w:cs="Arial" w:eastAsia="Arial" w:hAnsi="Arial"/>
                <w:sz w:val="16"/>
                <w:szCs w:val="16"/>
                <w:color w:val="auto"/>
              </w:rPr>
              <w:t>To contact our transfer agent:</w:t>
            </w:r>
          </w:p>
        </w:tc>
        <w:tc>
          <w:tcPr>
            <w:tcW w:w="6960" w:type="dxa"/>
            <w:vAlign w:val="bottom"/>
          </w:tcPr>
          <w:p>
            <w:pPr>
              <w:ind w:left="100"/>
              <w:spacing w:after="0"/>
              <w:rPr>
                <w:sz w:val="20"/>
                <w:szCs w:val="20"/>
                <w:color w:val="auto"/>
              </w:rPr>
            </w:pPr>
            <w:r>
              <w:rPr>
                <w:rFonts w:ascii="Arial" w:cs="Arial" w:eastAsia="Arial" w:hAnsi="Arial"/>
                <w:sz w:val="16"/>
                <w:szCs w:val="16"/>
                <w:color w:val="auto"/>
              </w:rPr>
              <w:t>1-800-626-8729 (EQ Shareowner Services)</w:t>
            </w:r>
          </w:p>
        </w:tc>
      </w:tr>
      <w:tr>
        <w:trPr>
          <w:trHeight w:val="270"/>
        </w:trPr>
        <w:tc>
          <w:tcPr>
            <w:tcW w:w="4280" w:type="dxa"/>
            <w:vAlign w:val="bottom"/>
          </w:tcPr>
          <w:p>
            <w:pPr>
              <w:ind w:left="840"/>
              <w:spacing w:after="0"/>
              <w:rPr>
                <w:sz w:val="20"/>
                <w:szCs w:val="20"/>
                <w:color w:val="auto"/>
              </w:rPr>
            </w:pPr>
            <w:r>
              <w:rPr>
                <w:rFonts w:ascii="Arial" w:cs="Arial" w:eastAsia="Arial" w:hAnsi="Arial"/>
                <w:sz w:val="16"/>
                <w:szCs w:val="16"/>
                <w:color w:val="auto"/>
              </w:rPr>
              <w:t>For institutional analysts and investor inquiries:</w:t>
            </w:r>
          </w:p>
        </w:tc>
        <w:tc>
          <w:tcPr>
            <w:tcW w:w="6960" w:type="dxa"/>
            <w:vAlign w:val="bottom"/>
          </w:tcPr>
          <w:p>
            <w:pPr>
              <w:ind w:left="100"/>
              <w:spacing w:after="0"/>
              <w:rPr>
                <w:sz w:val="20"/>
                <w:szCs w:val="20"/>
                <w:color w:val="auto"/>
              </w:rPr>
            </w:pPr>
            <w:r>
              <w:rPr>
                <w:rFonts w:ascii="Arial" w:cs="Arial" w:eastAsia="Arial" w:hAnsi="Arial"/>
                <w:sz w:val="16"/>
                <w:szCs w:val="16"/>
                <w:color w:val="auto"/>
              </w:rPr>
              <w:t>1-312-394-2345</w:t>
            </w:r>
          </w:p>
        </w:tc>
      </w:tr>
      <w:tr>
        <w:trPr>
          <w:trHeight w:val="270"/>
        </w:trPr>
        <w:tc>
          <w:tcPr>
            <w:tcW w:w="4280" w:type="dxa"/>
            <w:vAlign w:val="bottom"/>
          </w:tcPr>
          <w:p>
            <w:pPr>
              <w:ind w:left="840"/>
              <w:spacing w:after="0"/>
              <w:rPr>
                <w:sz w:val="20"/>
                <w:szCs w:val="20"/>
                <w:color w:val="auto"/>
              </w:rPr>
            </w:pPr>
            <w:r>
              <w:rPr>
                <w:rFonts w:ascii="Arial" w:cs="Arial" w:eastAsia="Arial" w:hAnsi="Arial"/>
                <w:sz w:val="16"/>
                <w:szCs w:val="16"/>
                <w:color w:val="auto"/>
              </w:rPr>
              <w:t>To report an ethics concern or question:</w:t>
            </w:r>
          </w:p>
        </w:tc>
        <w:tc>
          <w:tcPr>
            <w:tcW w:w="6960" w:type="dxa"/>
            <w:vAlign w:val="bottom"/>
          </w:tcPr>
          <w:p>
            <w:pPr>
              <w:ind w:left="100"/>
              <w:spacing w:after="0"/>
              <w:rPr>
                <w:sz w:val="20"/>
                <w:szCs w:val="20"/>
                <w:color w:val="auto"/>
              </w:rPr>
            </w:pPr>
            <w:r>
              <w:rPr>
                <w:rFonts w:ascii="Arial" w:cs="Arial" w:eastAsia="Arial" w:hAnsi="Arial"/>
                <w:sz w:val="16"/>
                <w:szCs w:val="16"/>
                <w:color w:val="auto"/>
              </w:rPr>
              <w:t>1-800-233-8442</w:t>
            </w:r>
          </w:p>
        </w:tc>
      </w:tr>
      <w:tr>
        <w:trPr>
          <w:trHeight w:val="778"/>
        </w:trPr>
        <w:tc>
          <w:tcPr>
            <w:tcW w:w="4280" w:type="dxa"/>
            <w:vAlign w:val="bottom"/>
            <w:tcBorders>
              <w:bottom w:val="single" w:sz="8" w:color="9A9A9A"/>
            </w:tcBorders>
          </w:tcPr>
          <w:p>
            <w:pPr>
              <w:spacing w:after="0"/>
              <w:rPr>
                <w:sz w:val="24"/>
                <w:szCs w:val="24"/>
                <w:color w:val="auto"/>
              </w:rPr>
            </w:pPr>
          </w:p>
        </w:tc>
        <w:tc>
          <w:tcPr>
            <w:tcW w:w="6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843280</wp:posOffset>
            </wp:positionV>
            <wp:extent cx="7157720" cy="421322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13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89369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8936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6789420" cy="87782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78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EA1109"/>
    <w:multiLevelType w:val="hybridMultilevel"/>
    <w:lvl w:ilvl="0">
      <w:lvlJc w:val="left"/>
      <w:lvlText w:val="☑"/>
      <w:numFmt w:val="bullet"/>
      <w:start w:val="1"/>
    </w:lvl>
  </w:abstractNum>
  <w:abstractNum w:abstractNumId="1">
    <w:nsid w:val="100F59DC"/>
    <w:multiLevelType w:val="hybridMultilevel"/>
    <w:lvl w:ilvl="0">
      <w:lvlJc w:val="left"/>
      <w:lvlText w:val="☐"/>
      <w:numFmt w:val="bullet"/>
      <w:start w:val="1"/>
    </w:lvl>
  </w:abstractNum>
  <w:abstractNum w:abstractNumId="2">
    <w:nsid w:val="7FB7E0AA"/>
    <w:multiLevelType w:val="hybridMultilevel"/>
    <w:lvl w:ilvl="0">
      <w:lvlJc w:val="left"/>
      <w:lvlText w:val="☐"/>
      <w:numFmt w:val="bullet"/>
      <w:start w:val="1"/>
    </w:lvl>
  </w:abstractNum>
  <w:abstractNum w:abstractNumId="3">
    <w:nsid w:val="6EB5BD4"/>
    <w:multiLevelType w:val="hybridMultilevel"/>
    <w:lvl w:ilvl="0">
      <w:lvlJc w:val="left"/>
      <w:lvlText w:val="☑"/>
      <w:numFmt w:val="bullet"/>
      <w:start w:val="1"/>
    </w:lvl>
  </w:abstractNum>
  <w:abstractNum w:abstractNumId="4">
    <w:nsid w:val="6F6DD9AC"/>
    <w:multiLevelType w:val="hybridMultilevel"/>
    <w:lvl w:ilvl="0">
      <w:lvlJc w:val="left"/>
      <w:lvlText w:val="☐"/>
      <w:numFmt w:val="bullet"/>
      <w:start w:val="1"/>
    </w:lvl>
  </w:abstractNum>
  <w:abstractNum w:abstractNumId="5">
    <w:nsid w:val="94211F2"/>
    <w:multiLevelType w:val="hybridMultilevel"/>
    <w:lvl w:ilvl="0">
      <w:lvlJc w:val="left"/>
      <w:lvlText w:val="2"/>
      <w:numFmt w:val="bullet"/>
      <w:start w:val="1"/>
    </w:lvl>
  </w:abstractNum>
  <w:abstractNum w:abstractNumId="6">
    <w:nsid w:val="885E1B"/>
    <w:multiLevelType w:val="hybridMultilevel"/>
    <w:lvl w:ilvl="0">
      <w:lvlJc w:val="left"/>
      <w:lvlText w:val="4"/>
      <w:numFmt w:val="bullet"/>
      <w:start w:val="1"/>
    </w:lvl>
  </w:abstractNum>
  <w:abstractNum w:abstractNumId="7">
    <w:nsid w:val="76272110"/>
    <w:multiLevelType w:val="hybridMultilevel"/>
    <w:lvl w:ilvl="0">
      <w:lvlJc w:val="left"/>
      <w:lvlText w:val="•"/>
      <w:numFmt w:val="bullet"/>
      <w:start w:val="1"/>
    </w:lvl>
  </w:abstractNum>
  <w:abstractNum w:abstractNumId="8">
    <w:nsid w:val="4C04A8AF"/>
    <w:multiLevelType w:val="hybridMultilevel"/>
    <w:lvl w:ilvl="0">
      <w:lvlJc w:val="left"/>
      <w:lvlText w:val="(%1)"/>
      <w:numFmt w:val="decimal"/>
      <w:start w:val="1"/>
    </w:lvl>
  </w:abstractNum>
  <w:abstractNum w:abstractNumId="9">
    <w:nsid w:val="1716703B"/>
    <w:multiLevelType w:val="hybridMultilevel"/>
    <w:lvl w:ilvl="0">
      <w:lvlJc w:val="left"/>
      <w:lvlText w:val="•"/>
      <w:numFmt w:val="bullet"/>
      <w:start w:val="1"/>
    </w:lvl>
  </w:abstractNum>
  <w:abstractNum w:abstractNumId="10">
    <w:nsid w:val="14E17E33"/>
    <w:multiLevelType w:val="hybridMultilevel"/>
    <w:lvl w:ilvl="0">
      <w:lvlJc w:val="left"/>
      <w:lvlText w:val="•"/>
      <w:numFmt w:val="bullet"/>
      <w:start w:val="1"/>
    </w:lvl>
  </w:abstractNum>
  <w:abstractNum w:abstractNumId="11">
    <w:nsid w:val="3222E7CD"/>
    <w:multiLevelType w:val="hybridMultilevel"/>
    <w:lvl w:ilvl="0">
      <w:lvlJc w:val="left"/>
      <w:lvlText w:val="6"/>
      <w:numFmt w:val="bullet"/>
      <w:start w:val="1"/>
    </w:lvl>
  </w:abstractNum>
  <w:abstractNum w:abstractNumId="12">
    <w:nsid w:val="74DE0EE3"/>
    <w:multiLevelType w:val="hybridMultilevel"/>
    <w:lvl w:ilvl="0">
      <w:lvlJc w:val="left"/>
      <w:lvlText w:val="8"/>
      <w:numFmt w:val="bullet"/>
      <w:start w:val="1"/>
    </w:lvl>
  </w:abstractNum>
  <w:abstractNum w:abstractNumId="13">
    <w:nsid w:val="68EBC550"/>
    <w:multiLevelType w:val="hybridMultilevel"/>
    <w:lvl w:ilvl="0">
      <w:lvlJc w:val="left"/>
      <w:lvlText w:val="•"/>
      <w:numFmt w:val="bullet"/>
      <w:start w:val="1"/>
    </w:lvl>
  </w:abstractNum>
  <w:abstractNum w:abstractNumId="14">
    <w:nsid w:val="2DF6D648"/>
    <w:multiLevelType w:val="hybridMultilevel"/>
    <w:lvl w:ilvl="0">
      <w:lvlJc w:val="left"/>
      <w:lvlText w:val="•"/>
      <w:numFmt w:val="bullet"/>
      <w:start w:val="1"/>
    </w:lvl>
  </w:abstractNum>
  <w:abstractNum w:abstractNumId="15">
    <w:nsid w:val="46B7D447"/>
    <w:multiLevelType w:val="hybridMultilevel"/>
    <w:lvl w:ilvl="0">
      <w:lvlJc w:val="left"/>
      <w:lvlText w:val="%1"/>
      <w:numFmt w:val="decimal"/>
      <w:start w:val="10"/>
    </w:lvl>
  </w:abstractNum>
  <w:abstractNum w:abstractNumId="16">
    <w:nsid w:val="4A2AC315"/>
    <w:multiLevelType w:val="hybridMultilevel"/>
    <w:lvl w:ilvl="0">
      <w:lvlJc w:val="left"/>
      <w:lvlText w:val="1"/>
      <w:numFmt w:val="bullet"/>
      <w:start w:val="1"/>
    </w:lvl>
  </w:abstractNum>
  <w:abstractNum w:abstractNumId="17">
    <w:nsid w:val="39EE015C"/>
    <w:multiLevelType w:val="hybridMultilevel"/>
    <w:lvl w:ilvl="0">
      <w:lvlJc w:val="left"/>
      <w:lvlText w:val="(%1)"/>
      <w:numFmt w:val="decimal"/>
      <w:start w:val="1"/>
    </w:lvl>
  </w:abstractNum>
  <w:abstractNum w:abstractNumId="18">
    <w:nsid w:val="57FC4FBB"/>
    <w:multiLevelType w:val="hybridMultilevel"/>
    <w:lvl w:ilvl="0">
      <w:lvlJc w:val="left"/>
      <w:lvlText w:val="%1"/>
      <w:numFmt w:val="decimal"/>
      <w:start w:val="12"/>
    </w:lvl>
  </w:abstractNum>
  <w:abstractNum w:abstractNumId="19">
    <w:nsid w:val="CC1016F"/>
    <w:multiLevelType w:val="hybridMultilevel"/>
    <w:lvl w:ilvl="0">
      <w:lvlJc w:val="left"/>
      <w:lvlText w:val="(%1)"/>
      <w:numFmt w:val="decimal"/>
      <w:start w:val="1"/>
    </w:lvl>
  </w:abstractNum>
  <w:abstractNum w:abstractNumId="20">
    <w:nsid w:val="43F18422"/>
    <w:multiLevelType w:val="hybridMultilevel"/>
    <w:lvl w:ilvl="0">
      <w:lvlJc w:val="left"/>
      <w:lvlText w:val="2"/>
      <w:numFmt w:val="bullet"/>
      <w:start w:val="1"/>
    </w:lvl>
  </w:abstractNum>
  <w:abstractNum w:abstractNumId="21">
    <w:nsid w:val="60EF0119"/>
    <w:multiLevelType w:val="hybridMultilevel"/>
    <w:lvl w:ilvl="0">
      <w:lvlJc w:val="left"/>
      <w:lvlText w:val="%1"/>
      <w:numFmt w:val="decimal"/>
      <w:start w:val="14"/>
    </w:lvl>
  </w:abstractNum>
  <w:abstractNum w:abstractNumId="22">
    <w:nsid w:val="26F324BA"/>
    <w:multiLevelType w:val="hybridMultilevel"/>
    <w:lvl w:ilvl="0">
      <w:lvlJc w:val="left"/>
      <w:lvlText w:val="%1"/>
      <w:numFmt w:val="decimal"/>
      <w:start w:val="16"/>
    </w:lvl>
  </w:abstractNum>
  <w:abstractNum w:abstractNumId="23">
    <w:nsid w:val="7F01579B"/>
    <w:multiLevelType w:val="hybridMultilevel"/>
    <w:lvl w:ilvl="0">
      <w:lvlJc w:val="left"/>
      <w:lvlText w:val="•"/>
      <w:numFmt w:val="bullet"/>
      <w:start w:val="1"/>
    </w:lvl>
  </w:abstractNum>
  <w:abstractNum w:abstractNumId="24">
    <w:nsid w:val="49DA307D"/>
    <w:multiLevelType w:val="hybridMultilevel"/>
    <w:lvl w:ilvl="0">
      <w:lvlJc w:val="left"/>
      <w:lvlText w:val="(%1)"/>
      <w:numFmt w:val="decimal"/>
      <w:start w:val="1"/>
    </w:lvl>
  </w:abstractNum>
  <w:abstractNum w:abstractNumId="25">
    <w:nsid w:val="7055A5F5"/>
    <w:multiLevelType w:val="hybridMultilevel"/>
    <w:lvl w:ilvl="0">
      <w:lvlJc w:val="left"/>
      <w:lvlText w:val="%1"/>
      <w:numFmt w:val="decimal"/>
      <w:start w:val="18"/>
    </w:lvl>
  </w:abstractNum>
  <w:abstractNum w:abstractNumId="26">
    <w:nsid w:val="5FB8370B"/>
    <w:multiLevelType w:val="hybridMultilevel"/>
    <w:lvl w:ilvl="0">
      <w:lvlJc w:val="left"/>
      <w:lvlText w:val="•"/>
      <w:numFmt w:val="bullet"/>
      <w:start w:val="1"/>
    </w:lvl>
  </w:abstractNum>
  <w:abstractNum w:abstractNumId="27">
    <w:nsid w:val="50801EE1"/>
    <w:multiLevelType w:val="hybridMultilevel"/>
    <w:lvl w:ilvl="0">
      <w:lvlJc w:val="left"/>
      <w:lvlText w:val="•"/>
      <w:numFmt w:val="bullet"/>
      <w:start w:val="1"/>
    </w:lvl>
  </w:abstractNum>
  <w:abstractNum w:abstractNumId="28">
    <w:nsid w:val="488AC1A"/>
    <w:multiLevelType w:val="hybridMultilevel"/>
    <w:lvl w:ilvl="0">
      <w:lvlJc w:val="left"/>
      <w:lvlText w:val="•"/>
      <w:numFmt w:val="bullet"/>
      <w:start w:val="1"/>
    </w:lvl>
  </w:abstractNum>
  <w:abstractNum w:abstractNumId="29">
    <w:nsid w:val="5FB8011C"/>
    <w:multiLevelType w:val="hybridMultilevel"/>
    <w:lvl w:ilvl="0">
      <w:lvlJc w:val="left"/>
      <w:lvlText w:val="•"/>
      <w:numFmt w:val="bullet"/>
      <w:start w:val="1"/>
    </w:lvl>
  </w:abstractNum>
  <w:abstractNum w:abstractNumId="30">
    <w:nsid w:val="6AA78F7F"/>
    <w:multiLevelType w:val="hybridMultilevel"/>
    <w:lvl w:ilvl="0">
      <w:lvlJc w:val="left"/>
      <w:lvlText w:val="•"/>
      <w:numFmt w:val="bullet"/>
      <w:start w:val="1"/>
    </w:lvl>
  </w:abstractNum>
  <w:abstractNum w:abstractNumId="31">
    <w:nsid w:val="7672BD23"/>
    <w:multiLevelType w:val="hybridMultilevel"/>
    <w:lvl w:ilvl="0">
      <w:lvlJc w:val="left"/>
      <w:lvlText w:val="•"/>
      <w:numFmt w:val="bullet"/>
      <w:start w:val="1"/>
    </w:lvl>
    <w:lvl w:ilvl="1">
      <w:lvlJc w:val="left"/>
      <w:lvlText w:val="•"/>
      <w:numFmt w:val="bullet"/>
      <w:start w:val="1"/>
    </w:lvl>
  </w:abstractNum>
  <w:abstractNum w:abstractNumId="32">
    <w:nsid w:val="6FC75AF8"/>
    <w:multiLevelType w:val="hybridMultilevel"/>
    <w:lvl w:ilvl="0">
      <w:lvlJc w:val="left"/>
      <w:lvlText w:val="•"/>
      <w:numFmt w:val="bullet"/>
      <w:start w:val="1"/>
    </w:lvl>
  </w:abstractNum>
  <w:abstractNum w:abstractNumId="33">
    <w:nsid w:val="6A5F7029"/>
    <w:multiLevelType w:val="hybridMultilevel"/>
    <w:lvl w:ilvl="0">
      <w:lvlJc w:val="left"/>
      <w:lvlText w:val="•"/>
      <w:numFmt w:val="bullet"/>
      <w:start w:val="1"/>
    </w:lvl>
  </w:abstractNum>
  <w:abstractNum w:abstractNumId="34">
    <w:nsid w:val="7D5E18F8"/>
    <w:multiLevelType w:val="hybridMultilevel"/>
    <w:lvl w:ilvl="0">
      <w:lvlJc w:val="left"/>
      <w:lvlText w:val="•"/>
      <w:numFmt w:val="bullet"/>
      <w:start w:val="1"/>
    </w:lvl>
  </w:abstractNum>
  <w:abstractNum w:abstractNumId="35">
    <w:nsid w:val="5F3534A4"/>
    <w:multiLevelType w:val="hybridMultilevel"/>
    <w:lvl w:ilvl="0">
      <w:lvlJc w:val="left"/>
      <w:lvlText w:val="•"/>
      <w:numFmt w:val="bullet"/>
      <w:start w:val="1"/>
    </w:lvl>
  </w:abstractNum>
  <w:abstractNum w:abstractNumId="36">
    <w:nsid w:val="73A1821B"/>
    <w:multiLevelType w:val="hybridMultilevel"/>
    <w:lvl w:ilvl="0">
      <w:lvlJc w:val="left"/>
      <w:lvlText w:val="•"/>
      <w:numFmt w:val="bullet"/>
      <w:start w:val="1"/>
    </w:lvl>
  </w:abstractNum>
  <w:abstractNum w:abstractNumId="37">
    <w:nsid w:val="7DE67713"/>
    <w:multiLevelType w:val="hybridMultilevel"/>
    <w:lvl w:ilvl="0">
      <w:lvlJc w:val="left"/>
      <w:lvlText w:val="%1"/>
      <w:numFmt w:val="decimal"/>
      <w:start w:val="20"/>
    </w:lvl>
  </w:abstractNum>
  <w:abstractNum w:abstractNumId="38">
    <w:nsid w:val="555C55B5"/>
    <w:multiLevelType w:val="hybridMultilevel"/>
    <w:lvl w:ilvl="0">
      <w:lvlJc w:val="left"/>
      <w:lvlText w:val="•"/>
      <w:numFmt w:val="bullet"/>
      <w:start w:val="1"/>
    </w:lvl>
  </w:abstractNum>
  <w:abstractNum w:abstractNumId="39">
    <w:nsid w:val="3FA62ACA"/>
    <w:multiLevelType w:val="hybridMultilevel"/>
    <w:lvl w:ilvl="0">
      <w:lvlJc w:val="left"/>
      <w:lvlText w:val="•"/>
      <w:numFmt w:val="bullet"/>
      <w:start w:val="1"/>
    </w:lvl>
  </w:abstractNum>
  <w:abstractNum w:abstractNumId="40">
    <w:nsid w:val="14FCE74E"/>
    <w:multiLevelType w:val="hybridMultilevel"/>
    <w:lvl w:ilvl="0">
      <w:lvlJc w:val="left"/>
      <w:lvlText w:val="•"/>
      <w:numFmt w:val="bullet"/>
      <w:start w:val="1"/>
    </w:lvl>
  </w:abstractNum>
  <w:abstractNum w:abstractNumId="41">
    <w:nsid w:val="6A3DD3E8"/>
    <w:multiLevelType w:val="hybridMultilevel"/>
    <w:lvl w:ilvl="0">
      <w:lvlJc w:val="left"/>
      <w:lvlText w:val="•"/>
      <w:numFmt w:val="bullet"/>
      <w:start w:val="1"/>
    </w:lvl>
  </w:abstractNum>
  <w:abstractNum w:abstractNumId="42">
    <w:nsid w:val="71C91298"/>
    <w:multiLevelType w:val="hybridMultilevel"/>
    <w:lvl w:ilvl="0">
      <w:lvlJc w:val="left"/>
      <w:lvlText w:val="•"/>
      <w:numFmt w:val="bullet"/>
      <w:start w:val="1"/>
    </w:lvl>
  </w:abstractNum>
  <w:abstractNum w:abstractNumId="43">
    <w:nsid w:val="9DAF632"/>
    <w:multiLevelType w:val="hybridMultilevel"/>
    <w:lvl w:ilvl="0">
      <w:lvlJc w:val="left"/>
      <w:lvlText w:val="•"/>
      <w:numFmt w:val="bullet"/>
      <w:start w:val="1"/>
    </w:lvl>
  </w:abstractNum>
  <w:abstractNum w:abstractNumId="44">
    <w:nsid w:val="53299938"/>
    <w:multiLevelType w:val="hybridMultilevel"/>
    <w:lvl w:ilvl="0">
      <w:lvlJc w:val="left"/>
      <w:lvlText w:val="•"/>
      <w:numFmt w:val="bullet"/>
      <w:start w:val="1"/>
    </w:lvl>
  </w:abstractNum>
  <w:abstractNum w:abstractNumId="45">
    <w:nsid w:val="1FBFE8E0"/>
    <w:multiLevelType w:val="hybridMultilevel"/>
    <w:lvl w:ilvl="0">
      <w:lvlJc w:val="left"/>
      <w:lvlText w:val="•"/>
      <w:numFmt w:val="bullet"/>
      <w:start w:val="1"/>
    </w:lvl>
  </w:abstractNum>
  <w:abstractNum w:abstractNumId="46">
    <w:nsid w:val="5092CA79"/>
    <w:multiLevelType w:val="hybridMultilevel"/>
    <w:lvl w:ilvl="0">
      <w:lvlJc w:val="left"/>
      <w:lvlText w:val="•"/>
      <w:numFmt w:val="bullet"/>
      <w:start w:val="1"/>
    </w:lvl>
  </w:abstractNum>
  <w:abstractNum w:abstractNumId="47">
    <w:nsid w:val="1D545C4D"/>
    <w:multiLevelType w:val="hybridMultilevel"/>
    <w:lvl w:ilvl="0">
      <w:lvlJc w:val="left"/>
      <w:lvlText w:val="•"/>
      <w:numFmt w:val="bullet"/>
      <w:start w:val="1"/>
    </w:lvl>
  </w:abstractNum>
  <w:abstractNum w:abstractNumId="48">
    <w:nsid w:val="59ADEA3D"/>
    <w:multiLevelType w:val="hybridMultilevel"/>
    <w:lvl w:ilvl="0">
      <w:lvlJc w:val="left"/>
      <w:lvlText w:val="•"/>
      <w:numFmt w:val="bullet"/>
      <w:start w:val="1"/>
    </w:lvl>
  </w:abstractNum>
  <w:abstractNum w:abstractNumId="49">
    <w:nsid w:val="288F1A34"/>
    <w:multiLevelType w:val="hybridMultilevel"/>
    <w:lvl w:ilvl="0">
      <w:lvlJc w:val="left"/>
      <w:lvlText w:val="•"/>
      <w:numFmt w:val="bullet"/>
      <w:start w:val="1"/>
    </w:lvl>
  </w:abstractNum>
  <w:abstractNum w:abstractNumId="50">
    <w:nsid w:val="2A155DBC"/>
    <w:multiLevelType w:val="hybridMultilevel"/>
    <w:lvl w:ilvl="0">
      <w:lvlJc w:val="left"/>
      <w:lvlText w:val="•"/>
      <w:numFmt w:val="bullet"/>
      <w:start w:val="1"/>
    </w:lvl>
  </w:abstractNum>
  <w:abstractNum w:abstractNumId="51">
    <w:nsid w:val="1D9F6E5F"/>
    <w:multiLevelType w:val="hybridMultilevel"/>
    <w:lvl w:ilvl="0">
      <w:lvlJc w:val="left"/>
      <w:lvlText w:val="•"/>
      <w:numFmt w:val="bullet"/>
      <w:start w:val="1"/>
    </w:lvl>
  </w:abstractNum>
  <w:abstractNum w:abstractNumId="52">
    <w:nsid w:val="97E1B4E"/>
    <w:multiLevelType w:val="hybridMultilevel"/>
    <w:lvl w:ilvl="0">
      <w:lvlJc w:val="left"/>
      <w:lvlText w:val="%1"/>
      <w:numFmt w:val="decimal"/>
      <w:start w:val="22"/>
    </w:lvl>
  </w:abstractNum>
  <w:abstractNum w:abstractNumId="53">
    <w:nsid w:val="51088277"/>
    <w:multiLevelType w:val="hybridMultilevel"/>
    <w:lvl w:ilvl="0">
      <w:lvlJc w:val="left"/>
      <w:lvlText w:val="•"/>
      <w:numFmt w:val="bullet"/>
      <w:start w:val="1"/>
    </w:lvl>
  </w:abstractNum>
  <w:abstractNum w:abstractNumId="54">
    <w:nsid w:val="1CA0C5FA"/>
    <w:multiLevelType w:val="hybridMultilevel"/>
    <w:lvl w:ilvl="0">
      <w:lvlJc w:val="left"/>
      <w:lvlText w:val="•"/>
      <w:numFmt w:val="bullet"/>
      <w:start w:val="1"/>
    </w:lvl>
    <w:lvl w:ilvl="1">
      <w:lvlJc w:val="left"/>
      <w:lvlText w:val="\endash "/>
      <w:numFmt w:val="bullet"/>
      <w:start w:val="1"/>
    </w:lvl>
  </w:abstractNum>
  <w:abstractNum w:abstractNumId="55">
    <w:nsid w:val="53584BCB"/>
    <w:multiLevelType w:val="hybridMultilevel"/>
    <w:lvl w:ilvl="0">
      <w:lvlJc w:val="left"/>
      <w:lvlText w:val="•"/>
      <w:numFmt w:val="bullet"/>
      <w:start w:val="1"/>
    </w:lvl>
  </w:abstractNum>
  <w:abstractNum w:abstractNumId="56">
    <w:nsid w:val="415E286C"/>
    <w:multiLevelType w:val="hybridMultilevel"/>
    <w:lvl w:ilvl="0">
      <w:lvlJc w:val="left"/>
      <w:lvlText w:val="•"/>
      <w:numFmt w:val="bullet"/>
      <w:start w:val="1"/>
    </w:lvl>
  </w:abstractNum>
  <w:abstractNum w:abstractNumId="57">
    <w:nsid w:val="7C58FD05"/>
    <w:multiLevelType w:val="hybridMultilevel"/>
    <w:lvl w:ilvl="0">
      <w:lvlJc w:val="left"/>
      <w:lvlText w:val="•"/>
      <w:numFmt w:val="bullet"/>
      <w:start w:val="1"/>
    </w:lvl>
  </w:abstractNum>
  <w:abstractNum w:abstractNumId="58">
    <w:nsid w:val="23D86AAC"/>
    <w:multiLevelType w:val="hybridMultilevel"/>
    <w:lvl w:ilvl="0">
      <w:lvlJc w:val="left"/>
      <w:lvlText w:val="•"/>
      <w:numFmt w:val="bullet"/>
      <w:start w:val="1"/>
    </w:lvl>
  </w:abstractNum>
  <w:abstractNum w:abstractNumId="59">
    <w:nsid w:val="45E6D486"/>
    <w:multiLevelType w:val="hybridMultilevel"/>
    <w:lvl w:ilvl="0">
      <w:lvlJc w:val="left"/>
      <w:lvlText w:val="•"/>
      <w:numFmt w:val="bullet"/>
      <w:start w:val="1"/>
    </w:lvl>
  </w:abstractNum>
  <w:abstractNum w:abstractNumId="60">
    <w:nsid w:val="5C10FE21"/>
    <w:multiLevelType w:val="hybridMultilevel"/>
    <w:lvl w:ilvl="0">
      <w:lvlJc w:val="left"/>
      <w:lvlText w:val="•"/>
      <w:numFmt w:val="bullet"/>
      <w:start w:val="1"/>
    </w:lvl>
  </w:abstractNum>
  <w:abstractNum w:abstractNumId="61">
    <w:nsid w:val="E7FFA2B"/>
    <w:multiLevelType w:val="hybridMultilevel"/>
    <w:lvl w:ilvl="0">
      <w:lvlJc w:val="left"/>
      <w:lvlText w:val="•"/>
      <w:numFmt w:val="bullet"/>
      <w:start w:val="1"/>
    </w:lvl>
  </w:abstractNum>
  <w:abstractNum w:abstractNumId="62">
    <w:nsid w:val="3C5991AA"/>
    <w:multiLevelType w:val="hybridMultilevel"/>
    <w:lvl w:ilvl="0">
      <w:lvlJc w:val="left"/>
      <w:lvlText w:val="•"/>
      <w:numFmt w:val="bullet"/>
      <w:start w:val="1"/>
    </w:lvl>
  </w:abstractNum>
  <w:abstractNum w:abstractNumId="63">
    <w:nsid w:val="4BD8591A"/>
    <w:multiLevelType w:val="hybridMultilevel"/>
    <w:lvl w:ilvl="0">
      <w:lvlJc w:val="left"/>
      <w:lvlText w:val="•"/>
      <w:numFmt w:val="bullet"/>
      <w:start w:val="1"/>
    </w:lvl>
  </w:abstractNum>
  <w:abstractNum w:abstractNumId="64">
    <w:nsid w:val="78DF6A55"/>
    <w:multiLevelType w:val="hybridMultilevel"/>
    <w:lvl w:ilvl="0">
      <w:lvlJc w:val="left"/>
      <w:lvlText w:val="%1"/>
      <w:numFmt w:val="decimal"/>
      <w:start w:val="24"/>
    </w:lvl>
  </w:abstractNum>
  <w:abstractNum w:abstractNumId="65">
    <w:nsid w:val="39B7AAA2"/>
    <w:multiLevelType w:val="hybridMultilevel"/>
    <w:lvl w:ilvl="0">
      <w:lvlJc w:val="left"/>
      <w:lvlText w:val="•"/>
      <w:numFmt w:val="bullet"/>
      <w:start w:val="1"/>
    </w:lvl>
  </w:abstractNum>
  <w:abstractNum w:abstractNumId="66">
    <w:nsid w:val="2B0D8DBE"/>
    <w:multiLevelType w:val="hybridMultilevel"/>
    <w:lvl w:ilvl="0">
      <w:lvlJc w:val="left"/>
      <w:lvlText w:val="•"/>
      <w:numFmt w:val="bullet"/>
      <w:start w:val="1"/>
    </w:lvl>
  </w:abstractNum>
  <w:abstractNum w:abstractNumId="67">
    <w:nsid w:val="6C80EC70"/>
    <w:multiLevelType w:val="hybridMultilevel"/>
    <w:lvl w:ilvl="0">
      <w:lvlJc w:val="left"/>
      <w:lvlText w:val="•"/>
      <w:numFmt w:val="bullet"/>
      <w:start w:val="1"/>
    </w:lvl>
  </w:abstractNum>
  <w:abstractNum w:abstractNumId="68">
    <w:nsid w:val="379E21B5"/>
    <w:multiLevelType w:val="hybridMultilevel"/>
    <w:lvl w:ilvl="0">
      <w:lvlJc w:val="left"/>
      <w:lvlText w:val="•"/>
      <w:numFmt w:val="bullet"/>
      <w:start w:val="1"/>
    </w:lvl>
  </w:abstractNum>
  <w:abstractNum w:abstractNumId="69">
    <w:nsid w:val="69E373"/>
    <w:multiLevelType w:val="hybridMultilevel"/>
    <w:lvl w:ilvl="0">
      <w:lvlJc w:val="left"/>
      <w:lvlText w:val="•"/>
      <w:numFmt w:val="bullet"/>
      <w:start w:val="1"/>
    </w:lvl>
  </w:abstractNum>
  <w:abstractNum w:abstractNumId="70">
    <w:nsid w:val="2C27173B"/>
    <w:multiLevelType w:val="hybridMultilevel"/>
    <w:lvl w:ilvl="0">
      <w:lvlJc w:val="left"/>
      <w:lvlText w:val="•"/>
      <w:numFmt w:val="bullet"/>
      <w:start w:val="1"/>
    </w:lvl>
  </w:abstractNum>
  <w:abstractNum w:abstractNumId="71">
    <w:nsid w:val="4C9B0904"/>
    <w:multiLevelType w:val="hybridMultilevel"/>
    <w:lvl w:ilvl="0">
      <w:lvlJc w:val="left"/>
      <w:lvlText w:val="•"/>
      <w:numFmt w:val="bullet"/>
      <w:start w:val="1"/>
    </w:lvl>
  </w:abstractNum>
  <w:abstractNum w:abstractNumId="72">
    <w:nsid w:val="6AA7B75C"/>
    <w:multiLevelType w:val="hybridMultilevel"/>
    <w:lvl w:ilvl="0">
      <w:lvlJc w:val="left"/>
      <w:lvlText w:val="•"/>
      <w:numFmt w:val="bullet"/>
      <w:start w:val="1"/>
    </w:lvl>
  </w:abstractNum>
  <w:abstractNum w:abstractNumId="73">
    <w:nsid w:val="1DF029D3"/>
    <w:multiLevelType w:val="hybridMultilevel"/>
    <w:lvl w:ilvl="0">
      <w:lvlJc w:val="left"/>
      <w:lvlText w:val="•"/>
      <w:numFmt w:val="bullet"/>
      <w:start w:val="1"/>
    </w:lvl>
  </w:abstractNum>
  <w:abstractNum w:abstractNumId="74">
    <w:nsid w:val="5675FF36"/>
    <w:multiLevelType w:val="hybridMultilevel"/>
    <w:lvl w:ilvl="0">
      <w:lvlJc w:val="left"/>
      <w:lvlText w:val="%1"/>
      <w:numFmt w:val="decimal"/>
      <w:start w:val="26"/>
    </w:lvl>
  </w:abstractNum>
  <w:abstractNum w:abstractNumId="75">
    <w:nsid w:val="3DD15094"/>
    <w:multiLevelType w:val="hybridMultilevel"/>
    <w:lvl w:ilvl="0">
      <w:lvlJc w:val="left"/>
      <w:lvlText w:val="•"/>
      <w:numFmt w:val="bullet"/>
      <w:start w:val="1"/>
    </w:lvl>
  </w:abstractNum>
  <w:abstractNum w:abstractNumId="76">
    <w:nsid w:val="3DB012B3"/>
    <w:multiLevelType w:val="hybridMultilevel"/>
    <w:lvl w:ilvl="0">
      <w:lvlJc w:val="left"/>
      <w:lvlText w:val="%1"/>
      <w:numFmt w:val="decimal"/>
      <w:start w:val="28"/>
    </w:lvl>
  </w:abstractNum>
  <w:abstractNum w:abstractNumId="77">
    <w:nsid w:val="2708C9AF"/>
    <w:multiLevelType w:val="hybridMultilevel"/>
    <w:lvl w:ilvl="0">
      <w:lvlJc w:val="left"/>
      <w:lvlText w:val="%1"/>
      <w:numFmt w:val="decimal"/>
      <w:start w:val="30"/>
    </w:lvl>
  </w:abstractNum>
  <w:abstractNum w:abstractNumId="78">
    <w:nsid w:val="5B25ACE2"/>
    <w:multiLevelType w:val="hybridMultilevel"/>
    <w:lvl w:ilvl="0">
      <w:lvlJc w:val="left"/>
      <w:lvlText w:val="•"/>
      <w:numFmt w:val="bullet"/>
      <w:start w:val="1"/>
    </w:lvl>
  </w:abstractNum>
  <w:abstractNum w:abstractNumId="79">
    <w:nsid w:val="175DFCF0"/>
    <w:multiLevelType w:val="hybridMultilevel"/>
    <w:lvl w:ilvl="0">
      <w:lvlJc w:val="left"/>
      <w:lvlText w:val="•"/>
      <w:numFmt w:val="bullet"/>
      <w:start w:val="1"/>
    </w:lvl>
  </w:abstractNum>
  <w:abstractNum w:abstractNumId="80">
    <w:nsid w:val="4F97E3E4"/>
    <w:multiLevelType w:val="hybridMultilevel"/>
    <w:lvl w:ilvl="0">
      <w:lvlJc w:val="left"/>
      <w:lvlText w:val="(%1)"/>
      <w:numFmt w:val="decimal"/>
      <w:start w:val="1"/>
    </w:lvl>
  </w:abstractNum>
  <w:abstractNum w:abstractNumId="81">
    <w:nsid w:val="53B0A9E"/>
    <w:multiLevelType w:val="hybridMultilevel"/>
    <w:lvl w:ilvl="0">
      <w:lvlJc w:val="left"/>
      <w:lvlText w:val="•"/>
      <w:numFmt w:val="bullet"/>
      <w:start w:val="1"/>
    </w:lvl>
  </w:abstractNum>
  <w:abstractNum w:abstractNumId="82">
    <w:nsid w:val="34FD6B4F"/>
    <w:multiLevelType w:val="hybridMultilevel"/>
    <w:lvl w:ilvl="0">
      <w:lvlJc w:val="left"/>
      <w:lvlText w:val="%1"/>
      <w:numFmt w:val="decimal"/>
      <w:start w:val="32"/>
    </w:lvl>
  </w:abstractNum>
  <w:abstractNum w:abstractNumId="83">
    <w:nsid w:val="5915FF32"/>
    <w:multiLevelType w:val="hybridMultilevel"/>
    <w:lvl w:ilvl="0">
      <w:lvlJc w:val="left"/>
      <w:lvlText w:val="•"/>
      <w:numFmt w:val="bullet"/>
      <w:start w:val="1"/>
    </w:lvl>
  </w:abstractNum>
  <w:abstractNum w:abstractNumId="84">
    <w:nsid w:val="56438D15"/>
    <w:multiLevelType w:val="hybridMultilevel"/>
    <w:lvl w:ilvl="0">
      <w:lvlJc w:val="left"/>
      <w:lvlText w:val="•"/>
      <w:numFmt w:val="bullet"/>
      <w:start w:val="1"/>
    </w:lvl>
  </w:abstractNum>
  <w:abstractNum w:abstractNumId="85">
    <w:nsid w:val="519E3149"/>
    <w:multiLevelType w:val="hybridMultilevel"/>
    <w:lvl w:ilvl="0">
      <w:lvlJc w:val="left"/>
      <w:lvlText w:val="•"/>
      <w:numFmt w:val="bullet"/>
      <w:start w:val="1"/>
    </w:lvl>
  </w:abstractNum>
  <w:abstractNum w:abstractNumId="86">
    <w:nsid w:val="2C6E4AFD"/>
    <w:multiLevelType w:val="hybridMultilevel"/>
    <w:lvl w:ilvl="0">
      <w:lvlJc w:val="left"/>
      <w:lvlText w:val="%1"/>
      <w:numFmt w:val="decimal"/>
      <w:start w:val="34"/>
    </w:lvl>
  </w:abstractNum>
  <w:abstractNum w:abstractNumId="87">
    <w:nsid w:val="17A1B582"/>
    <w:multiLevelType w:val="hybridMultilevel"/>
    <w:lvl w:ilvl="0">
      <w:lvlJc w:val="left"/>
      <w:lvlText w:val="%1"/>
      <w:numFmt w:val="decimal"/>
      <w:start w:val="36"/>
    </w:lvl>
  </w:abstractNum>
  <w:abstractNum w:abstractNumId="88">
    <w:nsid w:val="4DF72E4E"/>
    <w:multiLevelType w:val="hybridMultilevel"/>
    <w:lvl w:ilvl="0">
      <w:lvlJc w:val="left"/>
      <w:lvlText w:val="(%1)"/>
      <w:numFmt w:val="decimal"/>
      <w:start w:val="1"/>
    </w:lvl>
  </w:abstractNum>
  <w:abstractNum w:abstractNumId="89">
    <w:nsid w:val="5046B5A9"/>
    <w:multiLevelType w:val="hybridMultilevel"/>
    <w:lvl w:ilvl="0">
      <w:lvlJc w:val="left"/>
      <w:lvlText w:val="2"/>
      <w:numFmt w:val="bullet"/>
      <w:start w:val="1"/>
    </w:lvl>
  </w:abstractNum>
  <w:abstractNum w:abstractNumId="90">
    <w:nsid w:val="5D888A08"/>
    <w:multiLevelType w:val="hybridMultilevel"/>
    <w:lvl w:ilvl="0">
      <w:lvlJc w:val="left"/>
      <w:lvlText w:val="•"/>
      <w:numFmt w:val="bullet"/>
      <w:start w:val="1"/>
    </w:lvl>
  </w:abstractNum>
  <w:abstractNum w:abstractNumId="91">
    <w:nsid w:val="2A082C70"/>
    <w:multiLevelType w:val="hybridMultilevel"/>
    <w:lvl w:ilvl="0">
      <w:lvlJc w:val="left"/>
      <w:lvlText w:val="•"/>
      <w:numFmt w:val="bullet"/>
      <w:start w:val="1"/>
    </w:lvl>
  </w:abstractNum>
  <w:abstractNum w:abstractNumId="92">
    <w:nsid w:val="5EC6AFD4"/>
    <w:multiLevelType w:val="hybridMultilevel"/>
    <w:lvl w:ilvl="0">
      <w:lvlJc w:val="left"/>
      <w:lvlText w:val="%1"/>
      <w:numFmt w:val="decimal"/>
      <w:start w:val="38"/>
    </w:lvl>
  </w:abstractNum>
  <w:abstractNum w:abstractNumId="93">
    <w:nsid w:val="19E21BB2"/>
    <w:multiLevelType w:val="hybridMultilevel"/>
    <w:lvl w:ilvl="0">
      <w:lvlJc w:val="left"/>
      <w:lvlText w:val="•"/>
      <w:numFmt w:val="bullet"/>
      <w:start w:val="1"/>
    </w:lvl>
  </w:abstractNum>
  <w:abstractNum w:abstractNumId="94">
    <w:nsid w:val="75E0858A"/>
    <w:multiLevelType w:val="hybridMultilevel"/>
    <w:lvl w:ilvl="0">
      <w:lvlJc w:val="left"/>
      <w:lvlText w:val="•"/>
      <w:numFmt w:val="bullet"/>
      <w:start w:val="1"/>
    </w:lvl>
  </w:abstractNum>
  <w:abstractNum w:abstractNumId="95">
    <w:nsid w:val="57A61A29"/>
    <w:multiLevelType w:val="hybridMultilevel"/>
    <w:lvl w:ilvl="0">
      <w:lvlJc w:val="left"/>
      <w:lvlText w:val="%1"/>
      <w:numFmt w:val="decimal"/>
      <w:start w:val="40"/>
    </w:lvl>
  </w:abstractNum>
  <w:abstractNum w:abstractNumId="96">
    <w:nsid w:val="5399C654"/>
    <w:multiLevelType w:val="hybridMultilevel"/>
    <w:lvl w:ilvl="0">
      <w:lvlJc w:val="left"/>
      <w:lvlText w:val="(%1)"/>
      <w:numFmt w:val="decimal"/>
      <w:start w:val="1"/>
    </w:lvl>
  </w:abstractNum>
  <w:abstractNum w:abstractNumId="97">
    <w:nsid w:val="20EE1348"/>
    <w:multiLevelType w:val="hybridMultilevel"/>
    <w:lvl w:ilvl="0">
      <w:lvlJc w:val="left"/>
      <w:lvlText w:val="•"/>
      <w:numFmt w:val="bullet"/>
      <w:start w:val="1"/>
    </w:lvl>
  </w:abstractNum>
  <w:abstractNum w:abstractNumId="98">
    <w:nsid w:val="4427069A"/>
    <w:multiLevelType w:val="hybridMultilevel"/>
    <w:lvl w:ilvl="0">
      <w:lvlJc w:val="left"/>
      <w:lvlText w:val="%1"/>
      <w:numFmt w:val="decimal"/>
      <w:start w:val="42"/>
    </w:lvl>
  </w:abstractNum>
  <w:abstractNum w:abstractNumId="99">
    <w:nsid w:val="B37E80A"/>
    <w:multiLevelType w:val="hybridMultilevel"/>
    <w:lvl w:ilvl="0">
      <w:lvlJc w:val="left"/>
      <w:lvlText w:val="3"/>
      <w:numFmt w:val="bullet"/>
      <w:start w:val="1"/>
    </w:lvl>
  </w:abstractNum>
  <w:abstractNum w:abstractNumId="100">
    <w:nsid w:val="2157F6BC"/>
    <w:multiLevelType w:val="hybridMultilevel"/>
    <w:lvl w:ilvl="0">
      <w:lvlJc w:val="left"/>
      <w:lvlText w:val="%1"/>
      <w:numFmt w:val="decimal"/>
      <w:start w:val="44"/>
    </w:lvl>
  </w:abstractNum>
  <w:abstractNum w:abstractNumId="101">
    <w:nsid w:val="704E1DD5"/>
    <w:multiLevelType w:val="hybridMultilevel"/>
    <w:lvl w:ilvl="0">
      <w:lvlJc w:val="left"/>
      <w:lvlText w:val="•"/>
      <w:numFmt w:val="bullet"/>
      <w:start w:val="1"/>
    </w:lvl>
  </w:abstractNum>
  <w:abstractNum w:abstractNumId="102">
    <w:nsid w:val="57D2F10E"/>
    <w:multiLevelType w:val="hybridMultilevel"/>
    <w:lvl w:ilvl="0">
      <w:lvlJc w:val="left"/>
      <w:lvlText w:val="•"/>
      <w:numFmt w:val="bullet"/>
      <w:start w:val="1"/>
    </w:lvl>
  </w:abstractNum>
  <w:abstractNum w:abstractNumId="103">
    <w:nsid w:val="BFFAE18"/>
    <w:multiLevelType w:val="hybridMultilevel"/>
    <w:lvl w:ilvl="0">
      <w:lvlJc w:val="left"/>
      <w:lvlText w:val="%1"/>
      <w:numFmt w:val="decimal"/>
      <w:start w:val="46"/>
    </w:lvl>
  </w:abstractNum>
  <w:abstractNum w:abstractNumId="104">
    <w:nsid w:val="E3E47A8"/>
    <w:multiLevelType w:val="hybridMultilevel"/>
    <w:lvl w:ilvl="0">
      <w:lvlJc w:val="left"/>
      <w:lvlText w:val="(%1)"/>
      <w:numFmt w:val="decimal"/>
      <w:start w:val="1"/>
    </w:lvl>
  </w:abstractNum>
  <w:abstractNum w:abstractNumId="105">
    <w:nsid w:val="2E48F044"/>
    <w:multiLevelType w:val="hybridMultilevel"/>
    <w:lvl w:ilvl="0">
      <w:lvlJc w:val="left"/>
      <w:lvlText w:val="•"/>
      <w:numFmt w:val="bullet"/>
      <w:start w:val="1"/>
    </w:lvl>
  </w:abstractNum>
  <w:abstractNum w:abstractNumId="106">
    <w:nsid w:val="49D0FEAC"/>
    <w:multiLevelType w:val="hybridMultilevel"/>
    <w:lvl w:ilvl="0">
      <w:lvlJc w:val="left"/>
      <w:lvlText w:val="•"/>
      <w:numFmt w:val="bullet"/>
      <w:start w:val="1"/>
    </w:lvl>
  </w:abstractNum>
  <w:abstractNum w:abstractNumId="107">
    <w:nsid w:val="4BEE5A5B"/>
    <w:multiLevelType w:val="hybridMultilevel"/>
    <w:lvl w:ilvl="0">
      <w:lvlJc w:val="left"/>
      <w:lvlText w:val="%1"/>
      <w:numFmt w:val="decimal"/>
      <w:start w:val="48"/>
    </w:lvl>
  </w:abstractNum>
  <w:abstractNum w:abstractNumId="108">
    <w:nsid w:val="5551B9F3"/>
    <w:multiLevelType w:val="hybridMultilevel"/>
    <w:lvl w:ilvl="0">
      <w:lvlJc w:val="left"/>
      <w:lvlText w:val="(%1)"/>
      <w:numFmt w:val="decimal"/>
      <w:start w:val="1"/>
    </w:lvl>
  </w:abstractNum>
  <w:abstractNum w:abstractNumId="109">
    <w:nsid w:val="24F6AB8E"/>
    <w:multiLevelType w:val="hybridMultilevel"/>
    <w:lvl w:ilvl="0">
      <w:lvlJc w:val="left"/>
      <w:lvlText w:val="%1"/>
      <w:numFmt w:val="decimal"/>
      <w:start w:val="50"/>
    </w:lvl>
  </w:abstractNum>
  <w:abstractNum w:abstractNumId="110">
    <w:nsid w:val="634C574C"/>
    <w:multiLevelType w:val="hybridMultilevel"/>
    <w:lvl w:ilvl="0">
      <w:lvlJc w:val="left"/>
      <w:lvlText w:val="•"/>
      <w:numFmt w:val="bullet"/>
      <w:start w:val="1"/>
    </w:lvl>
  </w:abstractNum>
  <w:abstractNum w:abstractNumId="111">
    <w:nsid w:val="24E99DD7"/>
    <w:multiLevelType w:val="hybridMultilevel"/>
    <w:lvl w:ilvl="0">
      <w:lvlJc w:val="left"/>
      <w:lvlText w:val="(%1)"/>
      <w:numFmt w:val="decimal"/>
      <w:start w:val="1"/>
    </w:lvl>
  </w:abstractNum>
  <w:abstractNum w:abstractNumId="112">
    <w:nsid w:val="2A31B62D"/>
    <w:multiLevelType w:val="hybridMultilevel"/>
    <w:lvl w:ilvl="0">
      <w:lvlJc w:val="left"/>
      <w:lvlText w:val="%1"/>
      <w:numFmt w:val="decimal"/>
      <w:start w:val="52"/>
    </w:lvl>
  </w:abstractNum>
  <w:abstractNum w:abstractNumId="113">
    <w:nsid w:val="1849C29B"/>
    <w:multiLevelType w:val="hybridMultilevel"/>
    <w:lvl w:ilvl="0">
      <w:lvlJc w:val="left"/>
      <w:lvlText w:val="•"/>
      <w:numFmt w:val="bullet"/>
      <w:start w:val="1"/>
    </w:lvl>
  </w:abstractNum>
  <w:abstractNum w:abstractNumId="114">
    <w:nsid w:val="7DFF9D09"/>
    <w:multiLevelType w:val="hybridMultilevel"/>
    <w:lvl w:ilvl="0">
      <w:lvlJc w:val="left"/>
      <w:lvlText w:val="(%1)"/>
      <w:numFmt w:val="decimal"/>
      <w:start w:val="1"/>
    </w:lvl>
  </w:abstractNum>
  <w:abstractNum w:abstractNumId="115">
    <w:nsid w:val="754342"/>
    <w:multiLevelType w:val="hybridMultilevel"/>
    <w:lvl w:ilvl="0">
      <w:lvlJc w:val="left"/>
      <w:lvlText w:val="%1"/>
      <w:numFmt w:val="decimal"/>
      <w:start w:val="54"/>
    </w:lvl>
  </w:abstractNum>
  <w:abstractNum w:abstractNumId="116">
    <w:nsid w:val="69E7F3E5"/>
    <w:multiLevelType w:val="hybridMultilevel"/>
    <w:lvl w:ilvl="0">
      <w:lvlJc w:val="left"/>
      <w:lvlText w:val="•"/>
      <w:numFmt w:val="bullet"/>
      <w:start w:val="1"/>
    </w:lvl>
  </w:abstractNum>
  <w:abstractNum w:abstractNumId="117">
    <w:nsid w:val="2A6DE806"/>
    <w:multiLevelType w:val="hybridMultilevel"/>
    <w:lvl w:ilvl="0">
      <w:lvlJc w:val="left"/>
      <w:lvlText w:val="•"/>
      <w:numFmt w:val="bullet"/>
      <w:start w:val="1"/>
    </w:lvl>
  </w:abstractNum>
  <w:abstractNum w:abstractNumId="118">
    <w:nsid w:val="1816F8C4"/>
    <w:multiLevelType w:val="hybridMultilevel"/>
    <w:lvl w:ilvl="0">
      <w:lvlJc w:val="left"/>
      <w:lvlText w:val="%1"/>
      <w:numFmt w:val="decimal"/>
      <w:start w:val="56"/>
    </w:lvl>
  </w:abstractNum>
  <w:abstractNum w:abstractNumId="119">
    <w:nsid w:val="37DF2233"/>
    <w:multiLevelType w:val="hybridMultilevel"/>
    <w:lvl w:ilvl="0">
      <w:lvlJc w:val="left"/>
      <w:lvlText w:val="(%1)"/>
      <w:numFmt w:val="decimal"/>
      <w:start w:val="1"/>
    </w:lvl>
  </w:abstractNum>
  <w:abstractNum w:abstractNumId="120">
    <w:nsid w:val="7AB49DAF"/>
    <w:multiLevelType w:val="hybridMultilevel"/>
    <w:lvl w:ilvl="0">
      <w:lvlJc w:val="left"/>
      <w:lvlText w:val="•"/>
      <w:numFmt w:val="bullet"/>
      <w:start w:val="1"/>
    </w:lvl>
  </w:abstractNum>
  <w:abstractNum w:abstractNumId="121">
    <w:nsid w:val="759F82CD"/>
    <w:multiLevelType w:val="hybridMultilevel"/>
    <w:lvl w:ilvl="0">
      <w:lvlJc w:val="left"/>
      <w:lvlText w:val="%1"/>
      <w:numFmt w:val="decimal"/>
      <w:start w:val="58"/>
    </w:lvl>
  </w:abstractNum>
  <w:abstractNum w:abstractNumId="122">
    <w:nsid w:val="61E74EA3"/>
    <w:multiLevelType w:val="hybridMultilevel"/>
    <w:lvl w:ilvl="0">
      <w:lvlJc w:val="left"/>
      <w:lvlText w:val="(%1)"/>
      <w:numFmt w:val="decimal"/>
      <w:start w:val="1"/>
    </w:lvl>
  </w:abstractNum>
  <w:abstractNum w:abstractNumId="123">
    <w:nsid w:val="597B4D84"/>
    <w:multiLevelType w:val="hybridMultilevel"/>
    <w:lvl w:ilvl="0">
      <w:lvlJc w:val="left"/>
      <w:lvlText w:val="(%1)"/>
      <w:numFmt w:val="decimal"/>
      <w:start w:val="4"/>
    </w:lvl>
  </w:abstractNum>
  <w:abstractNum w:abstractNumId="124">
    <w:nsid w:val="F819E7F"/>
    <w:multiLevelType w:val="hybridMultilevel"/>
    <w:lvl w:ilvl="0">
      <w:lvlJc w:val="left"/>
      <w:lvlText w:val="%1"/>
      <w:numFmt w:val="decimal"/>
      <w:start w:val="60"/>
    </w:lvl>
  </w:abstractNum>
  <w:abstractNum w:abstractNumId="125">
    <w:nsid w:val="57C7D42D"/>
    <w:multiLevelType w:val="hybridMultilevel"/>
    <w:lvl w:ilvl="0">
      <w:lvlJc w:val="left"/>
      <w:lvlText w:val="(%1)"/>
      <w:numFmt w:val="decimal"/>
      <w:start w:val="6"/>
    </w:lvl>
  </w:abstractNum>
  <w:abstractNum w:abstractNumId="126">
    <w:nsid w:val="312167AD"/>
    <w:multiLevelType w:val="hybridMultilevel"/>
    <w:lvl w:ilvl="0">
      <w:lvlJc w:val="left"/>
      <w:lvlText w:val="%1"/>
      <w:numFmt w:val="decimal"/>
      <w:start w:val="1"/>
    </w:lvl>
    <w:lvl w:ilvl="1">
      <w:lvlJc w:val="left"/>
      <w:lvlText w:val="(%2)"/>
      <w:numFmt w:val="lowerLetter"/>
      <w:start w:val="2"/>
    </w:lvl>
  </w:abstractNum>
  <w:abstractNum w:abstractNumId="127">
    <w:nsid w:val="631B64D4"/>
    <w:multiLevelType w:val="hybridMultilevel"/>
    <w:lvl w:ilvl="0">
      <w:lvlJc w:val="left"/>
      <w:lvlText w:val="(%1)"/>
      <w:numFmt w:val="decimal"/>
      <w:start w:val="7"/>
    </w:lvl>
    <w:lvl w:ilvl="1">
      <w:lvlJc w:val="left"/>
      <w:lvlText w:val="%2"/>
      <w:numFmt w:val="lowerLetter"/>
      <w:start w:val="1"/>
    </w:lvl>
  </w:abstractNum>
  <w:abstractNum w:abstractNumId="128">
    <w:nsid w:val="78B5E776"/>
    <w:multiLevelType w:val="hybridMultilevel"/>
    <w:lvl w:ilvl="0">
      <w:lvlJc w:val="left"/>
      <w:lvlText w:val="(%1)"/>
      <w:numFmt w:val="decimal"/>
      <w:start w:val="1"/>
    </w:lvl>
  </w:abstractNum>
  <w:abstractNum w:abstractNumId="129">
    <w:nsid w:val="75486E47"/>
    <w:multiLevelType w:val="hybridMultilevel"/>
    <w:lvl w:ilvl="0">
      <w:lvlJc w:val="left"/>
      <w:lvlText w:val="%1"/>
      <w:numFmt w:val="decimal"/>
      <w:start w:val="62"/>
    </w:lvl>
  </w:abstractNum>
  <w:abstractNum w:abstractNumId="130">
    <w:nsid w:val="6E534CDE"/>
    <w:multiLevelType w:val="hybridMultilevel"/>
    <w:lvl w:ilvl="0">
      <w:lvlJc w:val="left"/>
      <w:lvlText w:val="(%1)"/>
      <w:numFmt w:val="decimal"/>
      <w:start w:val="1"/>
    </w:lvl>
  </w:abstractNum>
  <w:abstractNum w:abstractNumId="131">
    <w:nsid w:val="1A0DDE32"/>
    <w:multiLevelType w:val="hybridMultilevel"/>
    <w:lvl w:ilvl="0">
      <w:lvlJc w:val="left"/>
      <w:lvlText w:val="(%1)"/>
      <w:numFmt w:val="decimal"/>
      <w:start w:val="1"/>
    </w:lvl>
  </w:abstractNum>
  <w:abstractNum w:abstractNumId="132">
    <w:nsid w:val="65968C1C"/>
    <w:multiLevelType w:val="hybridMultilevel"/>
    <w:lvl w:ilvl="0">
      <w:lvlJc w:val="left"/>
      <w:lvlText w:val="%1"/>
      <w:numFmt w:val="decimal"/>
      <w:start w:val="64"/>
    </w:lvl>
  </w:abstractNum>
  <w:abstractNum w:abstractNumId="133">
    <w:nsid w:val="46263DEC"/>
    <w:multiLevelType w:val="hybridMultilevel"/>
    <w:lvl w:ilvl="0">
      <w:lvlJc w:val="left"/>
      <w:lvlText w:val="(%1)"/>
      <w:numFmt w:val="decimal"/>
      <w:start w:val="1"/>
    </w:lvl>
  </w:abstractNum>
  <w:abstractNum w:abstractNumId="134">
    <w:nsid w:val="260D8C4A"/>
    <w:multiLevelType w:val="hybridMultilevel"/>
    <w:lvl w:ilvl="0">
      <w:lvlJc w:val="left"/>
      <w:lvlText w:val="(%1)"/>
      <w:numFmt w:val="decimal"/>
      <w:start w:val="1"/>
    </w:lvl>
  </w:abstractNum>
  <w:abstractNum w:abstractNumId="135">
    <w:nsid w:val="73D4D3C4"/>
    <w:multiLevelType w:val="hybridMultilevel"/>
    <w:lvl w:ilvl="0">
      <w:lvlJc w:val="left"/>
      <w:lvlText w:val="%1"/>
      <w:numFmt w:val="decimal"/>
      <w:start w:val="66"/>
    </w:lvl>
  </w:abstractNum>
  <w:abstractNum w:abstractNumId="136">
    <w:nsid w:val="746F2E30"/>
    <w:multiLevelType w:val="hybridMultilevel"/>
    <w:lvl w:ilvl="0">
      <w:lvlJc w:val="left"/>
      <w:lvlText w:val="(%1)"/>
      <w:numFmt w:val="decimal"/>
      <w:start w:val="1"/>
    </w:lvl>
  </w:abstractNum>
  <w:abstractNum w:abstractNumId="137">
    <w:nsid w:val="6FDE8AF6"/>
    <w:multiLevelType w:val="hybridMultilevel"/>
    <w:lvl w:ilvl="0">
      <w:lvlJc w:val="left"/>
      <w:lvlText w:val="(%1)"/>
      <w:numFmt w:val="decimal"/>
      <w:start w:val="1"/>
    </w:lvl>
  </w:abstractNum>
  <w:abstractNum w:abstractNumId="138">
    <w:nsid w:val="3FC32E20"/>
    <w:multiLevelType w:val="hybridMultilevel"/>
    <w:lvl w:ilvl="0">
      <w:lvlJc w:val="left"/>
      <w:lvlText w:val="(%1)"/>
      <w:numFmt w:val="decimal"/>
      <w:start w:val="1"/>
    </w:lvl>
  </w:abstractNum>
  <w:abstractNum w:abstractNumId="139">
    <w:nsid w:val="49C0E823"/>
    <w:multiLevelType w:val="hybridMultilevel"/>
    <w:lvl w:ilvl="0">
      <w:lvlJc w:val="left"/>
      <w:lvlText w:val="%1"/>
      <w:numFmt w:val="decimal"/>
      <w:start w:val="68"/>
    </w:lvl>
  </w:abstractNum>
  <w:abstractNum w:abstractNumId="140">
    <w:nsid w:val="14D53685"/>
    <w:multiLevelType w:val="hybridMultilevel"/>
    <w:lvl w:ilvl="0">
      <w:lvlJc w:val="left"/>
      <w:lvlText w:val="(%1)"/>
      <w:numFmt w:val="decimal"/>
      <w:start w:val="1"/>
    </w:lvl>
  </w:abstractNum>
  <w:abstractNum w:abstractNumId="141">
    <w:nsid w:val="230F856C"/>
    <w:multiLevelType w:val="hybridMultilevel"/>
    <w:lvl w:ilvl="0">
      <w:lvlJc w:val="left"/>
      <w:lvlText w:val="(%1)"/>
      <w:numFmt w:val="decimal"/>
      <w:start w:val="1"/>
    </w:lvl>
  </w:abstractNum>
  <w:abstractNum w:abstractNumId="142">
    <w:nsid w:val="6EAA85FB"/>
    <w:multiLevelType w:val="hybridMultilevel"/>
    <w:lvl w:ilvl="0">
      <w:lvlJc w:val="left"/>
      <w:lvlText w:val="(%1)"/>
      <w:numFmt w:val="decimal"/>
      <w:start w:val="3"/>
    </w:lvl>
  </w:abstractNum>
  <w:abstractNum w:abstractNumId="143">
    <w:nsid w:val="3F06ECB2"/>
    <w:multiLevelType w:val="hybridMultilevel"/>
    <w:lvl w:ilvl="0">
      <w:lvlJc w:val="left"/>
      <w:lvlText w:val="(%1)"/>
      <w:numFmt w:val="decimal"/>
      <w:start w:val="1"/>
    </w:lvl>
  </w:abstractNum>
  <w:abstractNum w:abstractNumId="144">
    <w:nsid w:val="3B594807"/>
    <w:multiLevelType w:val="hybridMultilevel"/>
    <w:lvl w:ilvl="0">
      <w:lvlJc w:val="left"/>
      <w:lvlText w:val="%1"/>
      <w:numFmt w:val="decimal"/>
      <w:start w:val="70"/>
    </w:lvl>
  </w:abstractNum>
  <w:abstractNum w:abstractNumId="145">
    <w:nsid w:val="6CAA2304"/>
    <w:multiLevelType w:val="hybridMultilevel"/>
    <w:lvl w:ilvl="0">
      <w:lvlJc w:val="left"/>
      <w:lvlText w:val="(%1)"/>
      <w:numFmt w:val="decimal"/>
      <w:start w:val="1"/>
    </w:lvl>
  </w:abstractNum>
  <w:abstractNum w:abstractNumId="146">
    <w:nsid w:val="3F7C2FF4"/>
    <w:multiLevelType w:val="hybridMultilevel"/>
    <w:lvl w:ilvl="0">
      <w:lvlJc w:val="left"/>
      <w:lvlText w:val="%1"/>
      <w:numFmt w:val="decimal"/>
      <w:start w:val="72"/>
    </w:lvl>
  </w:abstractNum>
  <w:abstractNum w:abstractNumId="147">
    <w:nsid w:val="25413BEC"/>
    <w:multiLevelType w:val="hybridMultilevel"/>
    <w:lvl w:ilvl="0">
      <w:lvlJc w:val="left"/>
      <w:lvlText w:val="(%1)"/>
      <w:numFmt w:val="lowerLetter"/>
      <w:start w:val="1"/>
    </w:lvl>
  </w:abstractNum>
  <w:abstractNum w:abstractNumId="148">
    <w:nsid w:val="17180B0B"/>
    <w:multiLevelType w:val="hybridMultilevel"/>
    <w:lvl w:ilvl="0">
      <w:lvlJc w:val="left"/>
      <w:lvlText w:val="(%1)"/>
      <w:numFmt w:val="lowerLetter"/>
      <w:start w:val="3"/>
    </w:lvl>
  </w:abstractNum>
  <w:abstractNum w:abstractNumId="149">
    <w:nsid w:val="579328B9"/>
    <w:multiLevelType w:val="hybridMultilevel"/>
    <w:lvl w:ilvl="0">
      <w:lvlJc w:val="left"/>
      <w:lvlText w:val="(%1)"/>
      <w:numFmt w:val="decimal"/>
      <w:start w:val="4"/>
    </w:lvl>
  </w:abstractNum>
  <w:abstractNum w:abstractNumId="150">
    <w:nsid w:val="5D205E20"/>
    <w:multiLevelType w:val="hybridMultilevel"/>
    <w:lvl w:ilvl="0">
      <w:lvlJc w:val="left"/>
      <w:lvlText w:val="(%1)"/>
      <w:numFmt w:val="decimal"/>
      <w:start w:val="5"/>
    </w:lvl>
  </w:abstractNum>
  <w:abstractNum w:abstractNumId="151">
    <w:nsid w:val="11CCA8BA"/>
    <w:multiLevelType w:val="hybridMultilevel"/>
    <w:lvl w:ilvl="0">
      <w:lvlJc w:val="left"/>
      <w:lvlText w:val="(%1)"/>
      <w:numFmt w:val="decimal"/>
      <w:start w:val="6"/>
    </w:lvl>
  </w:abstractNum>
  <w:abstractNum w:abstractNumId="152">
    <w:nsid w:val="4D32AB86"/>
    <w:multiLevelType w:val="hybridMultilevel"/>
    <w:lvl w:ilvl="0">
      <w:lvlJc w:val="left"/>
      <w:lvlText w:val="%1"/>
      <w:numFmt w:val="decimal"/>
      <w:start w:val="74"/>
    </w:lvl>
  </w:abstractNum>
  <w:abstractNum w:abstractNumId="153">
    <w:nsid w:val="3F07ACC3"/>
    <w:multiLevelType w:val="hybridMultilevel"/>
    <w:lvl w:ilvl="0">
      <w:lvlJc w:val="left"/>
      <w:lvlText w:val="(%1)"/>
      <w:numFmt w:val="decimal"/>
      <w:start w:val="9"/>
    </w:lvl>
  </w:abstractNum>
  <w:abstractNum w:abstractNumId="154">
    <w:nsid w:val="6B47F63E"/>
    <w:multiLevelType w:val="hybridMultilevel"/>
    <w:lvl w:ilvl="0">
      <w:lvlJc w:val="left"/>
      <w:lvlText w:val="%1"/>
      <w:numFmt w:val="decimal"/>
      <w:start w:val="76"/>
    </w:lvl>
  </w:abstractNum>
  <w:abstractNum w:abstractNumId="155">
    <w:nsid w:val="5CB44A05"/>
    <w:multiLevelType w:val="hybridMultilevel"/>
    <w:lvl w:ilvl="0">
      <w:lvlJc w:val="left"/>
      <w:lvlText w:val="(%1)"/>
      <w:numFmt w:val="decimal"/>
      <w:start w:val="1"/>
    </w:lvl>
  </w:abstractNum>
  <w:abstractNum w:abstractNumId="156">
    <w:nsid w:val="16CF80F1"/>
    <w:multiLevelType w:val="hybridMultilevel"/>
    <w:lvl w:ilvl="0">
      <w:lvlJc w:val="left"/>
      <w:lvlText w:val="•"/>
      <w:numFmt w:val="bullet"/>
      <w:start w:val="1"/>
    </w:lvl>
  </w:abstractNum>
  <w:abstractNum w:abstractNumId="157">
    <w:nsid w:val="1C695DEC"/>
    <w:multiLevelType w:val="hybridMultilevel"/>
    <w:lvl w:ilvl="0">
      <w:lvlJc w:val="left"/>
      <w:lvlText w:val="(%1)"/>
      <w:numFmt w:val="decimal"/>
      <w:start w:val="1"/>
    </w:lvl>
  </w:abstractNum>
  <w:abstractNum w:abstractNumId="158">
    <w:nsid w:val="3FCFAED9"/>
    <w:multiLevelType w:val="hybridMultilevel"/>
    <w:lvl w:ilvl="0">
      <w:lvlJc w:val="left"/>
      <w:lvlText w:val="%1"/>
      <w:numFmt w:val="decimal"/>
      <w:start w:val="78"/>
    </w:lvl>
  </w:abstractNum>
  <w:abstractNum w:abstractNumId="159">
    <w:nsid w:val="F856867"/>
    <w:multiLevelType w:val="hybridMultilevel"/>
    <w:lvl w:ilvl="0">
      <w:lvlJc w:val="left"/>
      <w:lvlText w:val="•"/>
      <w:numFmt w:val="bullet"/>
      <w:start w:val="1"/>
    </w:lvl>
  </w:abstractNum>
  <w:abstractNum w:abstractNumId="160">
    <w:nsid w:val="11B1CC33"/>
    <w:multiLevelType w:val="hybridMultilevel"/>
    <w:lvl w:ilvl="0">
      <w:lvlJc w:val="left"/>
      <w:lvlText w:val="•"/>
      <w:numFmt w:val="bullet"/>
      <w:start w:val="1"/>
    </w:lvl>
  </w:abstractNum>
  <w:abstractNum w:abstractNumId="161">
    <w:nsid w:val="2E22FBB7"/>
    <w:multiLevelType w:val="hybridMultilevel"/>
    <w:lvl w:ilvl="0">
      <w:lvlJc w:val="left"/>
      <w:lvlText w:val="%1"/>
      <w:numFmt w:val="decimal"/>
      <w:start w:val="80"/>
    </w:lvl>
  </w:abstractNum>
  <w:abstractNum w:abstractNumId="162">
    <w:nsid w:val="29934699"/>
    <w:multiLevelType w:val="hybridMultilevel"/>
    <w:lvl w:ilvl="0">
      <w:lvlJc w:val="left"/>
      <w:lvlText w:val="%1"/>
      <w:numFmt w:val="decimal"/>
      <w:start w:val="82"/>
    </w:lvl>
  </w:abstractNum>
  <w:abstractNum w:abstractNumId="163">
    <w:nsid w:val="77485850"/>
    <w:multiLevelType w:val="hybridMultilevel"/>
    <w:lvl w:ilvl="0">
      <w:lvlJc w:val="left"/>
      <w:lvlText w:val="%1:"/>
      <w:numFmt w:val="upperLetter"/>
      <w:start w:val="17"/>
    </w:lvl>
  </w:abstractNum>
  <w:abstractNum w:abstractNumId="164">
    <w:nsid w:val="744939A3"/>
    <w:multiLevelType w:val="hybridMultilevel"/>
    <w:lvl w:ilvl="0">
      <w:lvlJc w:val="left"/>
      <w:lvlText w:val="%1"/>
      <w:numFmt w:val="decimal"/>
      <w:start w:val="84"/>
    </w:lvl>
  </w:abstractNum>
  <w:abstractNum w:abstractNumId="165">
    <w:nsid w:val="4FA0D2E3"/>
    <w:multiLevelType w:val="hybridMultilevel"/>
    <w:lvl w:ilvl="0">
      <w:lvlJc w:val="left"/>
      <w:lvlText w:val="%1"/>
      <w:numFmt w:val="decimal"/>
      <w:start w:val="8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jpe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jpe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jpe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jpeg"/><Relationship Id="rId431" Type="http://schemas.openxmlformats.org/officeDocument/2006/relationships/image" Target="media/image424.jpeg"/><Relationship Id="rId432" Type="http://schemas.openxmlformats.org/officeDocument/2006/relationships/image" Target="media/image425.jpe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2025-03-19T14:15:47Z</dcterms:created>
  <dcterms:modified xsi:type="dcterms:W3CDTF">2025-03-19T14:15:47Z</dcterms:modified>
</cp:coreProperties>
</file>