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April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5"/>
        <w:gridCol w:w="317"/>
        <w:gridCol w:w="109"/>
        <w:gridCol w:w="109"/>
        <w:gridCol w:w="109"/>
        <w:gridCol w:w="2240"/>
        <w:gridCol w:w="2123"/>
        <w:gridCol w:w="2129"/>
        <w:gridCol w:w="109"/>
        <w:gridCol w:w="109"/>
        <w:gridCol w:w="109"/>
        <w:gridCol w:w="604"/>
        <w:gridCol w:w="604"/>
        <w:gridCol w:w="86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001-16169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EXELON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23-2990190</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 South Dearborn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P.O. Box 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Chicago, Illinois 60680-5379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(800) 483-3220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8951" w:type="dxa"/>
        <w:jc w:val="center"/>
        <w:tblInd w:w="0" w:type="dxa"/>
        <w:tblLayout w:type="fixed"/>
        <w:tblCellMar>
          <w:top w:w="28" w:type="dxa"/>
          <w:left w:w="28" w:type="dxa"/>
          <w:bottom w:w="28" w:type="dxa"/>
          <w:right w:w="28" w:type="dxa"/>
        </w:tblCellMar>
      </w:tblPr>
      <w:tblGrid>
        <w:gridCol w:w="1384"/>
        <w:gridCol w:w="733"/>
        <w:gridCol w:w="733"/>
        <w:gridCol w:w="307"/>
        <w:gridCol w:w="307"/>
        <w:gridCol w:w="307"/>
        <w:gridCol w:w="425"/>
        <w:gridCol w:w="425"/>
        <w:gridCol w:w="425"/>
        <w:gridCol w:w="307"/>
        <w:gridCol w:w="307"/>
        <w:gridCol w:w="307"/>
        <w:gridCol w:w="874"/>
        <w:gridCol w:w="874"/>
        <w:gridCol w:w="1236"/>
      </w:tblGrid>
      <w:tr>
        <w:trPr/>
        <w:tc>
          <w:tcPr>
            <w:tcW w:w="138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895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EXC</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any of the registrants are emerging growth companies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any of the registrants have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Annual Meeting of Shareholders (the “Annual Meeting”) of Exelon Corporation (“Exelon” or the “Company”) was held on April 28, 2026. Shareholders of record as of March 2, 2026, were entitled to receive notice and vote at the Annual Meeting.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following tables present the votes cast with respect to each item of business properly presented at the meeting.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1.Each of the nominees for election to the Board of Directors were elected based on the following votes:</w:t>
      </w:r>
    </w:p>
    <w:p>
      <w:pPr>
        <w:pStyle w:val="TextBody"/>
        <w:bidi w:val="0"/>
        <w:spacing w:before="0" w:after="0"/>
        <w:jc w:val="left"/>
        <w:rPr/>
      </w:pPr>
      <w:r>
        <w:rPr/>
      </w:r>
    </w:p>
    <w:tbl>
      <w:tblPr>
        <w:tblW w:w="8029" w:type="dxa"/>
        <w:jc w:val="left"/>
        <w:tblInd w:w="0" w:type="dxa"/>
        <w:tblLayout w:type="fixed"/>
        <w:tblCellMar>
          <w:top w:w="28" w:type="dxa"/>
          <w:left w:w="28" w:type="dxa"/>
          <w:bottom w:w="28" w:type="dxa"/>
          <w:right w:w="28" w:type="dxa"/>
        </w:tblCellMar>
      </w:tblPr>
      <w:tblGrid>
        <w:gridCol w:w="847"/>
        <w:gridCol w:w="744"/>
        <w:gridCol w:w="749"/>
        <w:gridCol w:w="379"/>
        <w:gridCol w:w="379"/>
        <w:gridCol w:w="383"/>
        <w:gridCol w:w="215"/>
        <w:gridCol w:w="215"/>
        <w:gridCol w:w="216"/>
        <w:gridCol w:w="344"/>
        <w:gridCol w:w="344"/>
        <w:gridCol w:w="348"/>
        <w:gridCol w:w="309"/>
        <w:gridCol w:w="309"/>
        <w:gridCol w:w="313"/>
        <w:gridCol w:w="567"/>
        <w:gridCol w:w="567"/>
        <w:gridCol w:w="801"/>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DIRECTOR</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 Paul Bowers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819,989,796</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96.8%</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27,354,597</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1,239,043</w:t>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Calvin G. Butler, Jr.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840,779,094</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6,520,210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1,284,132</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Marjorie Rodgers Cheshire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818,877,241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96.6%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28,462,918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1,243,277</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DeWalt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841,136,910</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6,160,676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1,285,850</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Linda Jojo</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786,667,114</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60,671,031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1,245,291</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Charisse Lillie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839,495,545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7,811,074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1,276,817</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Anna Richo</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834,116,409</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13,206,199</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1,260,828</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Rogers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834,892,665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12,467,845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1,222,926</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Segedi</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828,769,510</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18,503,034</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1,310,892</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2.The proposal to ratify the appointment of PricewaterhouseCoopers LLP as the Company's independent auditor for 2026 was approved based upon the following votes:</w:t>
      </w:r>
    </w:p>
    <w:p>
      <w:pPr>
        <w:pStyle w:val="TextBody"/>
        <w:bidi w:val="0"/>
        <w:spacing w:before="0" w:after="0"/>
        <w:jc w:val="left"/>
        <w:rPr/>
      </w:pPr>
      <w:r>
        <w:rPr/>
      </w:r>
    </w:p>
    <w:tbl>
      <w:tblPr>
        <w:tblW w:w="5809" w:type="dxa"/>
        <w:jc w:val="left"/>
        <w:tblInd w:w="0" w:type="dxa"/>
        <w:tblLayout w:type="fixed"/>
        <w:tblCellMar>
          <w:top w:w="28" w:type="dxa"/>
          <w:left w:w="28" w:type="dxa"/>
          <w:bottom w:w="28" w:type="dxa"/>
          <w:right w:w="28" w:type="dxa"/>
        </w:tblCellMar>
      </w:tblPr>
      <w:tblGrid>
        <w:gridCol w:w="417"/>
        <w:gridCol w:w="368"/>
        <w:gridCol w:w="371"/>
        <w:gridCol w:w="215"/>
        <w:gridCol w:w="215"/>
        <w:gridCol w:w="216"/>
        <w:gridCol w:w="379"/>
        <w:gridCol w:w="379"/>
        <w:gridCol w:w="383"/>
        <w:gridCol w:w="309"/>
        <w:gridCol w:w="309"/>
        <w:gridCol w:w="313"/>
        <w:gridCol w:w="567"/>
        <w:gridCol w:w="567"/>
        <w:gridCol w:w="80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818,550,440</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89.0%</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101,107,041</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1,281,589</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proposal to approve, on an advisory basis, the compensation of the Company's named executive officers was approved based upon the following votes:</w:t>
      </w:r>
    </w:p>
    <w:p>
      <w:pPr>
        <w:pStyle w:val="TextBody"/>
        <w:bidi w:val="0"/>
        <w:spacing w:before="0" w:after="0"/>
        <w:jc w:val="left"/>
        <w:rPr/>
      </w:pPr>
      <w:r>
        <w:rPr/>
      </w:r>
    </w:p>
    <w:tbl>
      <w:tblPr>
        <w:tblW w:w="5704" w:type="dxa"/>
        <w:jc w:val="left"/>
        <w:tblInd w:w="0" w:type="dxa"/>
        <w:tblLayout w:type="fixed"/>
        <w:tblCellMar>
          <w:top w:w="28" w:type="dxa"/>
          <w:left w:w="28" w:type="dxa"/>
          <w:bottom w:w="28" w:type="dxa"/>
          <w:right w:w="28" w:type="dxa"/>
        </w:tblCellMar>
      </w:tblPr>
      <w:tblGrid>
        <w:gridCol w:w="417"/>
        <w:gridCol w:w="368"/>
        <w:gridCol w:w="371"/>
        <w:gridCol w:w="215"/>
        <w:gridCol w:w="215"/>
        <w:gridCol w:w="216"/>
        <w:gridCol w:w="344"/>
        <w:gridCol w:w="344"/>
        <w:gridCol w:w="348"/>
        <w:gridCol w:w="309"/>
        <w:gridCol w:w="309"/>
        <w:gridCol w:w="313"/>
        <w:gridCol w:w="567"/>
        <w:gridCol w:w="567"/>
        <w:gridCol w:w="80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764,185,640</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80,018,716</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4,379,080</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72,355,634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7257" w:type="dxa"/>
        <w:jc w:val="center"/>
        <w:tblInd w:w="0" w:type="dxa"/>
        <w:tblLayout w:type="fixed"/>
        <w:tblCellMar>
          <w:top w:w="28" w:type="dxa"/>
          <w:left w:w="28" w:type="dxa"/>
          <w:bottom w:w="28" w:type="dxa"/>
          <w:right w:w="28" w:type="dxa"/>
        </w:tblCellMar>
      </w:tblPr>
      <w:tblGrid>
        <w:gridCol w:w="124"/>
        <w:gridCol w:w="109"/>
        <w:gridCol w:w="109"/>
        <w:gridCol w:w="2023"/>
        <w:gridCol w:w="2023"/>
        <w:gridCol w:w="2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Colette D. Honorable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Legal Officer, Compliance and Corporate Secretary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April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1"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570</Words>
  <Characters>3336</Characters>
  <CharactersWithSpaces>3776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