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327" w:type="dxa"/>
        <w:jc w:val="center"/>
        <w:tblInd w:w="0" w:type="dxa"/>
        <w:tblLayout w:type="fixed"/>
        <w:tblCellMar>
          <w:top w:w="28" w:type="dxa"/>
          <w:left w:w="28" w:type="dxa"/>
          <w:bottom w:w="28" w:type="dxa"/>
          <w:right w:w="28" w:type="dxa"/>
        </w:tblCellMar>
      </w:tblPr>
      <w:tblGrid>
        <w:gridCol w:w="124"/>
        <w:gridCol w:w="109"/>
        <w:gridCol w:w="109"/>
        <w:gridCol w:w="1099"/>
        <w:gridCol w:w="1099"/>
        <w:gridCol w:w="1099"/>
        <w:gridCol w:w="1099"/>
        <w:gridCol w:w="1099"/>
        <w:gridCol w:w="11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 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3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July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4"/>
        <w:gridCol w:w="316"/>
        <w:gridCol w:w="109"/>
        <w:gridCol w:w="109"/>
        <w:gridCol w:w="109"/>
        <w:gridCol w:w="2294"/>
        <w:gridCol w:w="2103"/>
        <w:gridCol w:w="2109"/>
        <w:gridCol w:w="109"/>
        <w:gridCol w:w="109"/>
        <w:gridCol w:w="109"/>
        <w:gridCol w:w="600"/>
        <w:gridCol w:w="600"/>
        <w:gridCol w:w="856"/>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IRS Employer Identification Number</w:t>
            </w:r>
          </w:p>
        </w:tc>
      </w:tr>
      <w:tr>
        <w:trPr/>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001-16169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EXELON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23-2990190</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 South Dearborn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P.O. Box 805379</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Chicago, Illinois 60680-5379</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(800) 483-3220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001-01839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COMMONWEALTH EDISON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36-0938600</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(an Illinois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 South Dearborn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Chicago, Illinois 60603-2300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(312) 394-4321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000-16844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PECO ENERGY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23-0970240</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2301 Market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P.O. Box 8699</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Philadelphia, Pennsylvania 19101-8699</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(215) 841-4000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001-01910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BALTIMORE GAS AND ELECTRIC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52-0280210</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Maryland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 Center Plaza</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110 West Fayette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Baltimore, Maryland 21201-3708</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(410) 234-5000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001-31403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PEPCO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52-2297449</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Delaware limited liability company)</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701 Ninth Street, N.W.</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Washington, District of Columbia 20068-0001</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 872-2000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001-01072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POTOMAC ELECTRIC POWER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53-0127880</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District of Columbia and Virginia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701 Ninth Street, N.W.</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Washington, District of Columbia 20068-0001</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 872-2000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001-01405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DELMARVA POWER &amp; LIGHT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51-0084283</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Delaware and Virginia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500 North Wakefield Drive</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Newark, Delaware 19702-5440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 872-2000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001-03559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ATLANTIC CITY ELECTRIC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21-0398280</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New Jersey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500 North Wakefield Drive</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Newark, Delaware 19702-5440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 872-2000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68"/>
        <w:gridCol w:w="1292"/>
        <w:gridCol w:w="1292"/>
        <w:gridCol w:w="2114"/>
        <w:gridCol w:w="1669"/>
        <w:gridCol w:w="237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8951" w:type="dxa"/>
        <w:jc w:val="center"/>
        <w:tblInd w:w="0" w:type="dxa"/>
        <w:tblLayout w:type="fixed"/>
        <w:tblCellMar>
          <w:top w:w="28" w:type="dxa"/>
          <w:left w:w="28" w:type="dxa"/>
          <w:bottom w:w="28" w:type="dxa"/>
          <w:right w:w="28" w:type="dxa"/>
        </w:tblCellMar>
      </w:tblPr>
      <w:tblGrid>
        <w:gridCol w:w="1384"/>
        <w:gridCol w:w="733"/>
        <w:gridCol w:w="733"/>
        <w:gridCol w:w="307"/>
        <w:gridCol w:w="307"/>
        <w:gridCol w:w="307"/>
        <w:gridCol w:w="425"/>
        <w:gridCol w:w="425"/>
        <w:gridCol w:w="425"/>
        <w:gridCol w:w="307"/>
        <w:gridCol w:w="307"/>
        <w:gridCol w:w="307"/>
        <w:gridCol w:w="874"/>
        <w:gridCol w:w="874"/>
        <w:gridCol w:w="1236"/>
      </w:tblGrid>
      <w:tr>
        <w:trPr/>
        <w:tc>
          <w:tcPr>
            <w:tcW w:w="138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895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each class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28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EXELON CORPORATION:</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without par value</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EXC</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any of the registrants are emerging growth companies as defined in Rule 405 of the Securities Act of 1933 (§230.405 of this chapter) or Rule 12b-2 of the Securities Exchange Act of 1934 (§240.12b-2 of this chapter). Emerging growth company ☐</w:t>
            </w:r>
          </w:p>
        </w:tc>
      </w:tr>
    </w:tbl>
    <w:tbl>
      <w:tblPr>
        <w:tblW w:w="10205" w:type="dxa"/>
        <w:jc w:val="center"/>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any of the registrants have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7.01. Regulation FD Disclosure.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July 30, 2026, Exelon Corporation (Exelon) announced via press release its results for the second quarter ended June 30, 2026. A copy of the press release and related attachments are attached hereto as Exhibit 99.1. Also attached as Exhibit 99.2 to this Current Report on Form 8-K are the presentation slides to be used at the second quarter 2026 earnings conference call. This Form 8-K and the attached exhibits are provided under Items 2.02, 7.01 and 9.01 of Form 8-K and are furnished to, but not filed with, the Securities and Exchange Commission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Exelon has scheduled the conference call for 9:00 AM CT (10:00 AM ET) on July 30, 2026. Participants who would like to join the call to ask a question may register at the link found on the Investor Relations page of Exelon's website: investors.exeloncorp.com. Media representatives are invited to participate on a listen-only basis. The call will be archived and available for replay.</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(d)    Exhibits.</w:t>
      </w:r>
    </w:p>
    <w:tbl>
      <w:tblPr>
        <w:tblW w:w="10205" w:type="dxa"/>
        <w:jc w:val="left"/>
        <w:tblInd w:w="0" w:type="dxa"/>
        <w:tblLayout w:type="fixed"/>
        <w:tblCellMar>
          <w:top w:w="28" w:type="dxa"/>
          <w:left w:w="28" w:type="dxa"/>
          <w:bottom w:w="28" w:type="dxa"/>
          <w:right w:w="28" w:type="dxa"/>
        </w:tblCellMar>
      </w:tblPr>
      <w:tblGrid>
        <w:gridCol w:w="361"/>
        <w:gridCol w:w="316"/>
        <w:gridCol w:w="318"/>
        <w:gridCol w:w="109"/>
        <w:gridCol w:w="109"/>
        <w:gridCol w:w="109"/>
        <w:gridCol w:w="2592"/>
        <w:gridCol w:w="2591"/>
        <w:gridCol w:w="3700"/>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730ex991.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730ex991.htm">
              <w:r>
                <w:rPr>
                  <w:rStyle w:val="InternetLink"/>
                  <w:rFonts w:ascii="Arial;sans-serif" w:hAnsi="Arial;sans-serif"/>
                  <w:b w:val="false"/>
                  <w:color w:val="0000FF"/>
                  <w:sz w:val="18"/>
                  <w:u w:val="single"/>
                </w:rPr>
                <w:t>Press release and earnings release attachments</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730ex992.htm">
              <w:r>
                <w:rPr>
                  <w:rStyle w:val="InternetLink"/>
                  <w:rFonts w:ascii="Arial;sans-serif" w:hAnsi="Arial;sans-serif"/>
                  <w:b w:val="false"/>
                  <w:color w:val="0000FF"/>
                  <w:sz w:val="18"/>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730ex992.htm">
              <w:r>
                <w:rPr>
                  <w:rStyle w:val="InternetLink"/>
                  <w:rFonts w:ascii="Arial;sans-serif" w:hAnsi="Arial;sans-serif"/>
                  <w:b w:val="false"/>
                  <w:color w:val="0000FF"/>
                  <w:sz w:val="18"/>
                  <w:u w:val="single"/>
                </w:rPr>
                <w:t>Earnings conference call presentation slides</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 * * *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combined Current Report on Form 8-K is being furnished separately by Exelon, Commonwealth Edison Company, PECO Energy Company, Baltimore Gas and Electric Company, Pepco Holdings LLC, Potomac Electric Power Company, Delmarva Power &amp; Light Company, and Atlantic City Electric Company (Registrants). Information contained herein relating to any individual Registrant has been furnished by such Registrant on its own behalf. No Registrant makes any representation as to information relating to any other Registrant.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This Current Report contains certain forward-looking statements within the meaning of federal securities laws</w:t>
      </w:r>
      <w:r>
        <w:rPr>
          <w:color w:val="000000"/>
          <w:shd w:fill="FFFFFF" w:val="clear"/>
        </w:rPr>
        <w:t xml:space="preserve"> </w:t>
      </w:r>
      <w:r>
        <w:rPr>
          <w:rFonts w:ascii="Arial;sans-serif" w:hAnsi="Arial;sans-serif"/>
          <w:b w:val="false"/>
          <w:color w:val="000000"/>
          <w:sz w:val="18"/>
          <w:shd w:fill="FFFFFF" w:val="clear"/>
        </w:rPr>
        <w:t xml:space="preserve">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physical security and cybersecurity risks; extreme weather events, natural disasters, operational accidents such as wildfires or natural gas explosions, war, acts and threats of terrorism, public health crises, epidemics, pandemics, or other significant events; disruptions or cost increases in the supply chain, including shortages in labor, materials or parts, or significant increases in relevant tariffs; lack of sufficient power generation resources to meet actual or forecasted demand or disruptions at generation facilities owned by third parties; emerging technologies that could affect or transform the energy industry; instability in capital and credit markets; a downgrade of any Registrant's credit ratings or other failure to satisfy the credit standards in the Registrants' agreements or regulatory financial requirements; significant economic downturns or increases in customer rates; impacts of climate change and weather on energy usage and maintenance and capital costs; and impairment of long-lived assets, goodwill, and other assets.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with respect to each of the Registrants in the Registrants' most recent Annual Report on Form 10-K, including in Part I, ITEM 1A, any subsequent Quarterly Reports on Form 10-Q, and in other reports filed by the Registrants from time to time with the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Investors are cautioned not to place undue reliance on these forward-looking statements, whether written or oral, which apply only as of the date of this Current Report. None of the Registrants undertakes any obligation to publicly release any revision to its forward-looking statements to reflect events or circumstances after the date of this Current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each Registrant has duly caused this report to be signed on its behalf by the undersigned hereunto duly authorized.</w:t>
      </w:r>
    </w:p>
    <w:tbl>
      <w:tblPr>
        <w:tblW w:w="5592" w:type="dxa"/>
        <w:jc w:val="center"/>
        <w:tblInd w:w="0" w:type="dxa"/>
        <w:tblLayout w:type="fixed"/>
        <w:tblCellMar>
          <w:top w:w="28" w:type="dxa"/>
          <w:left w:w="28" w:type="dxa"/>
          <w:bottom w:w="28" w:type="dxa"/>
          <w:right w:w="28" w:type="dxa"/>
        </w:tblCellMar>
      </w:tblPr>
      <w:tblGrid>
        <w:gridCol w:w="124"/>
        <w:gridCol w:w="109"/>
        <w:gridCol w:w="109"/>
        <w:gridCol w:w="1536"/>
        <w:gridCol w:w="1536"/>
        <w:gridCol w:w="21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EXELON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JEANNE M.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Jeanne M. Jones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Chief Finance Officer, Audit and Risk</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COMMONWEALTH EDISON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JOSHUA S. LEVIN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Joshua S. Levin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PECO ENERGY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MARISSA E. HUMPHREY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Marissa E. Humphrey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BALTIMORE GAS AND ELECTRIC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MICHAEL J. CLOYD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J. Cloyd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25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52" w:type="dxa"/>
        <w:jc w:val="center"/>
        <w:tblInd w:w="0" w:type="dxa"/>
        <w:tblLayout w:type="fixed"/>
        <w:tblCellMar>
          <w:top w:w="28" w:type="dxa"/>
          <w:left w:w="28" w:type="dxa"/>
          <w:bottom w:w="28" w:type="dxa"/>
          <w:right w:w="28" w:type="dxa"/>
        </w:tblCellMar>
      </w:tblPr>
      <w:tblGrid>
        <w:gridCol w:w="124"/>
        <w:gridCol w:w="109"/>
        <w:gridCol w:w="109"/>
        <w:gridCol w:w="1467"/>
        <w:gridCol w:w="1467"/>
        <w:gridCol w:w="2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PEPCO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ELIZABETH MORGAN DOWNS O'DONNELL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Elizabeth Morgan Downs O'Donnell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01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POTOMAC ELECTRIC POWER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ELIZABETH MORGAN DOWNS O'DONNELL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Elizabeth Morgan Downs O'Donnell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01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DELMARVA POWER &amp; LIGHT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ELIZABETH MORGAN DOWNS O'DONNELL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Elizabeth Morgan Downs O'Donnell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01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ATLANTIC CITY ELECTRIC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ELIZABETH MORGAN DOWNS O'DONNELL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Elizabeth Morgan Downs O'Donnell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Vice President, Chief Financial Officer and Treasurer</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0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July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61"/>
        <w:gridCol w:w="316"/>
        <w:gridCol w:w="318"/>
        <w:gridCol w:w="109"/>
        <w:gridCol w:w="109"/>
        <w:gridCol w:w="109"/>
        <w:gridCol w:w="2592"/>
        <w:gridCol w:w="2591"/>
        <w:gridCol w:w="3700"/>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2"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3700"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730ex991.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730ex991.htm">
              <w:r>
                <w:rPr>
                  <w:rStyle w:val="InternetLink"/>
                  <w:rFonts w:ascii="Arial;sans-serif" w:hAnsi="Arial;sans-serif"/>
                  <w:b w:val="false"/>
                  <w:color w:val="0000FF"/>
                  <w:sz w:val="18"/>
                  <w:u w:val="single"/>
                </w:rPr>
                <w:t>Press release and earnings release attachments</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730ex992.htm">
              <w:r>
                <w:rPr>
                  <w:rStyle w:val="InternetLink"/>
                  <w:rFonts w:ascii="Arial;sans-serif" w:hAnsi="Arial;sans-serif"/>
                  <w:b w:val="false"/>
                  <w:color w:val="0000FF"/>
                  <w:sz w:val="18"/>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c-20260730ex992.htm">
              <w:r>
                <w:rPr>
                  <w:rStyle w:val="InternetLink"/>
                  <w:rFonts w:ascii="Arial;sans-serif" w:hAnsi="Arial;sans-serif"/>
                  <w:b w:val="false"/>
                  <w:color w:val="0000FF"/>
                  <w:sz w:val="18"/>
                  <w:u w:val="single"/>
                </w:rPr>
                <w:t>Earnings conference call presentation slides</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News Release</w:t>
      </w:r>
    </w:p>
    <w:p>
      <w:pPr>
        <w:pStyle w:val="TextBody"/>
        <w:bidi w:val="0"/>
        <w:spacing w:before="0" w:after="0"/>
        <w:jc w:val="left"/>
        <w:rPr/>
      </w:pPr>
      <w:r>
        <w:rPr/>
      </w:r>
    </w:p>
    <w:p>
      <w:pPr>
        <w:pStyle w:val="TextBody"/>
        <w:bidi w:val="0"/>
        <w:spacing w:before="0" w:after="0"/>
        <w:jc w:val="left"/>
        <w:rPr/>
      </w:pPr>
      <w:r>
        <w:rPr/>
        <w:drawing>
          <wp:inline distT="0" distB="0" distL="0" distR="0">
            <wp:extent cx="2505075" cy="6477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2505075" cy="647700"/>
                    </a:xfrm>
                    <a:prstGeom prst="rect">
                      <a:avLst/>
                    </a:prstGeom>
                  </pic:spPr>
                </pic:pic>
              </a:graphicData>
            </a:graphic>
          </wp:inline>
        </w:drawing>
      </w:r>
    </w:p>
    <w:tbl>
      <w:tblPr>
        <w:tblW w:w="4092" w:type="dxa"/>
        <w:jc w:val="left"/>
        <w:tblInd w:w="0" w:type="dxa"/>
        <w:tblLayout w:type="fixed"/>
        <w:tblCellMar>
          <w:top w:w="28" w:type="dxa"/>
          <w:left w:w="28" w:type="dxa"/>
          <w:bottom w:w="28" w:type="dxa"/>
          <w:right w:w="28" w:type="dxa"/>
        </w:tblCellMar>
      </w:tblPr>
      <w:tblGrid>
        <w:gridCol w:w="364"/>
        <w:gridCol w:w="319"/>
        <w:gridCol w:w="322"/>
        <w:gridCol w:w="109"/>
        <w:gridCol w:w="109"/>
        <w:gridCol w:w="109"/>
        <w:gridCol w:w="808"/>
        <w:gridCol w:w="808"/>
        <w:gridCol w:w="114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661DE8"/>
                <w:sz w:val="24"/>
              </w:rPr>
            </w:pPr>
            <w:r>
              <w:rPr>
                <w:rFonts w:ascii="Times New Roman;serif" w:hAnsi="Times New Roman;serif"/>
                <w:b/>
                <w:color w:val="661DE8"/>
                <w:sz w:val="24"/>
              </w:rPr>
              <w:t>Contact: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24"/>
              </w:rPr>
              <w:t>Khanya Brann</w:t>
              <w:br/>
              <w:t>Corporate Communications</w:t>
              <w:br/>
              <w:t>301-535-3292</w:t>
              <w:br/>
            </w:r>
            <w:r>
              <w:rPr>
                <w:rFonts w:ascii="Times New Roman;serif" w:hAnsi="Times New Roman;serif"/>
                <w:b w:val="false"/>
                <w:sz w:val="24"/>
              </w:rPr>
              <w:br/>
            </w:r>
            <w:r>
              <w:rPr>
                <w:rFonts w:ascii="Times New Roman;serif" w:hAnsi="Times New Roman;serif"/>
                <w:b w:val="false"/>
                <w:color w:val="000000"/>
                <w:sz w:val="24"/>
              </w:rPr>
              <w:t>Ryan Brown</w:t>
              <w:br/>
              <w:t>Investor Relations</w:t>
              <w:br/>
              <w:t>779-231-0017</w:t>
            </w:r>
          </w:p>
        </w:tc>
      </w:tr>
    </w:tbl>
    <w:p>
      <w:pPr>
        <w:pStyle w:val="TextBody"/>
        <w:bidi w:val="0"/>
        <w:spacing w:lineRule="auto" w:line="288" w:before="80" w:after="360"/>
        <w:jc w:val="center"/>
        <w:rPr>
          <w:rFonts w:ascii="Times New Roman;serif" w:hAnsi="Times New Roman;serif"/>
          <w:b/>
          <w:color w:val="000000"/>
          <w:sz w:val="28"/>
        </w:rPr>
      </w:pPr>
      <w:r>
        <w:rPr>
          <w:rFonts w:ascii="Times New Roman;serif" w:hAnsi="Times New Roman;serif"/>
          <w:b/>
          <w:color w:val="000000"/>
          <w:sz w:val="28"/>
        </w:rPr>
        <w:t>EXELON REPORTS SECOND QUARTER 2026 RESULTS</w:t>
      </w:r>
    </w:p>
    <w:p>
      <w:pPr>
        <w:pStyle w:val="TextBody"/>
        <w:bidi w:val="0"/>
        <w:spacing w:lineRule="auto" w:line="288" w:before="180" w:after="180"/>
        <w:jc w:val="left"/>
        <w:rPr>
          <w:rFonts w:ascii="Times New Roman;serif" w:hAnsi="Times New Roman;serif"/>
          <w:b/>
          <w:color w:val="000000"/>
          <w:sz w:val="24"/>
        </w:rPr>
      </w:pPr>
      <w:r>
        <w:rPr>
          <w:rFonts w:ascii="Times New Roman;serif" w:hAnsi="Times New Roman;serif"/>
          <w:b/>
          <w:color w:val="000000"/>
          <w:sz w:val="24"/>
        </w:rPr>
        <w:t>Earnings Release Highlights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 xml:space="preserve">GAAP net income of $0.39 per share and Adjusted (non-GAAP) operating earnings of $0.43 per share for the second quarter of 2026, in line with expectations </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Affirming full year 2026 Adjusted (non-GAAP) operating earnings guidance range of $2.81-$2.91 per share and operating EPS compounded annual growth near top end of 5-7% from 2025 to 2029</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All utilities projecting top quartile reliability performance, with ComEd and PHI in the top decile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BGE filed an electric distribution rate case with the Maryland Public Service Commission (MDPSC) in July, requesting the funding of investments and operating costs necessary to maintain a safe and reliable electric system, cost of capital, and storm event recovery</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ACE filed a transmission-connected battery storage proposal with the New Jersey Board of Public Utilities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4"/>
        </w:rPr>
        <w:t>Executed ~86% of 2026 planned debt financings, supporting continued investment across the utilities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CHICAGO (July 30, 2026)</w:t>
      </w:r>
      <w:r>
        <w:rPr>
          <w:color w:val="000000"/>
        </w:rPr>
        <w:t xml:space="preserve"> — </w:t>
      </w:r>
      <w:r>
        <w:rPr>
          <w:rFonts w:ascii="Times New Roman;serif" w:hAnsi="Times New Roman;serif"/>
          <w:b w:val="false"/>
          <w:color w:val="000000"/>
          <w:sz w:val="24"/>
        </w:rPr>
        <w:t>Exelon Corporation (Nasdaq: EXC) today reported its financial results for the second quarter of 2026.</w:t>
      </w:r>
    </w:p>
    <w:p>
      <w:pPr>
        <w:pStyle w:val="TextBody"/>
        <w:bidi w:val="0"/>
        <w:spacing w:lineRule="auto" w:line="288" w:before="180" w:after="180"/>
        <w:jc w:val="both"/>
        <w:rPr>
          <w:color w:val="000000"/>
        </w:rPr>
      </w:pPr>
      <w:r>
        <w:rPr>
          <w:color w:val="000000"/>
        </w:rPr>
        <w:t>“</w:t>
      </w:r>
      <w:r>
        <w:rPr>
          <w:rFonts w:ascii="Times New Roman;serif" w:hAnsi="Times New Roman;serif"/>
          <w:b w:val="false"/>
          <w:color w:val="000000"/>
          <w:sz w:val="24"/>
        </w:rPr>
        <w:t xml:space="preserve">At Exelon, we are focused on delivering where it matters most for our customers and communities by providing safe, reliable and affordable energy,” said Exelon President and Chief Executive Officer Calvin Butler. “Our second-quarter results reflect disciplined execution and strong operational performance, keeping us on track to deliver on our financial commitments. As energy demand continues to grow, we remain focused on advancing solutions through The Exelon Promise that strengthen reliability, protect customers, keep bills as low as possible, and create long-term value for the communities we serve. From grid modernization to practical solutions such as storage and virtual power plants, we are helping meet growing energy demand and enabling a more affordable and reliable grid.” </w:t>
      </w:r>
    </w:p>
    <w:p>
      <w:pPr>
        <w:pStyle w:val="TextBody"/>
        <w:bidi w:val="0"/>
        <w:spacing w:lineRule="auto" w:line="288" w:before="180" w:after="180"/>
        <w:jc w:val="both"/>
        <w:rPr>
          <w:color w:val="000000"/>
        </w:rPr>
      </w:pPr>
      <w:r>
        <w:rPr>
          <w:color w:val="000000"/>
        </w:rPr>
        <w:t>“</w:t>
      </w:r>
      <w:r>
        <w:rPr>
          <w:rFonts w:ascii="Times New Roman;serif" w:hAnsi="Times New Roman;serif"/>
          <w:b w:val="false"/>
          <w:color w:val="000000"/>
          <w:sz w:val="24"/>
        </w:rPr>
        <w:t xml:space="preserve">Exelon delivered second quarter 2026 adjusted operating earnings of $0.43 per share, in line with the expectations we discussed on our first quarter call,” said Exelon Chief Financial Officer Jeanne Jones. “Through the first half of the year, we remain on track to deliver full-year operating earnings of $2.81 to $2.91 per share and annualized earnings growth near the top end of 5% to 7% from 2025 through 2029. With substantial progress on our financing plan, we are well positioned to fund customer-focused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investments across our utilities and advance additional solutions, such as storage, that support affordability, reliability and resource adequacy.”</w:t>
      </w:r>
    </w:p>
    <w:p>
      <w:pPr>
        <w:pStyle w:val="TextBody"/>
        <w:bidi w:val="0"/>
        <w:spacing w:lineRule="auto" w:line="288" w:before="180" w:after="180"/>
        <w:jc w:val="left"/>
        <w:rPr>
          <w:rFonts w:ascii="Times New Roman;serif" w:hAnsi="Times New Roman;serif"/>
          <w:b/>
          <w:color w:val="000000"/>
          <w:sz w:val="24"/>
        </w:rPr>
      </w:pPr>
      <w:r>
        <w:rPr>
          <w:rFonts w:ascii="Times New Roman;serif" w:hAnsi="Times New Roman;serif"/>
          <w:b/>
          <w:color w:val="000000"/>
          <w:sz w:val="24"/>
        </w:rPr>
        <w:t>Second Quarter 2026</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Exelon's GAAP net income for the second quarter of 2026 remained relatively consistent with the prior period at $0.39 per share. Adjusted (non-GAAP) operating earnings for the second quarter of 2026 increased to $0.43 per share from $0.39 per share in the second quarter of 2025. For the reconciliations of GAAP net income to Adjusted (non-GAAP) operating earnings, refer to the tables beginning on page 4.</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GAAP net income and Adjusted (non-GAAP) operating earnings in the second quarter of 2026 primarily reflect:</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4"/>
        </w:rPr>
        <w:t>Higher utility earnings primarily due to distribution and transmission rates at ComEd and PHI, distribution rates at BGE, absence of customer surcharge credits at PECO, higher allowance for funds used during construction (AFUDC) at ComEd, and favorable weather at PECO. This was partially offset by higher depreciation at PECO and PHI, higher credit loss expense at BGE, and higher interest expense and income taxes at PECO. Note that rate increases are associated with updated recovery rates for costs and investments to serve customers.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4"/>
        </w:rPr>
        <w:t>Lower costs at the Exelon holding company due to the lack of Customer Relief Fund contribution and lower income taxes were offset by higher interest expense.</w:t>
      </w:r>
    </w:p>
    <w:p>
      <w:pPr>
        <w:pStyle w:val="TextBody"/>
        <w:bidi w:val="0"/>
        <w:spacing w:lineRule="auto" w:line="288" w:before="0" w:after="0"/>
        <w:jc w:val="left"/>
        <w:rPr/>
      </w:pPr>
      <w:r>
        <w:rPr>
          <w:rFonts w:ascii="Times New Roman;serif" w:hAnsi="Times New Roman;serif"/>
          <w:b/>
          <w:color w:val="000000"/>
          <w:sz w:val="24"/>
        </w:rPr>
        <w:t>Operating Company Results</w:t>
      </w:r>
      <w:r>
        <w:rPr>
          <w:rFonts w:ascii="Times New Roman;serif" w:hAnsi="Times New Roman;serif"/>
          <w:b/>
          <w:color w:val="000000"/>
          <w:sz w:val="16"/>
        </w:rPr>
        <w:t>1</w:t>
      </w:r>
    </w:p>
    <w:p>
      <w:pPr>
        <w:pStyle w:val="TextBody"/>
        <w:bidi w:val="0"/>
        <w:spacing w:lineRule="auto" w:line="288" w:before="180" w:after="180"/>
        <w:jc w:val="both"/>
        <w:rPr>
          <w:rFonts w:ascii="Times New Roman;serif" w:hAnsi="Times New Roman;serif"/>
          <w:b w:val="false"/>
          <w:i/>
          <w:color w:val="000000"/>
          <w:sz w:val="22"/>
        </w:rPr>
      </w:pPr>
      <w:r>
        <w:rPr>
          <w:rFonts w:ascii="Times New Roman;serif" w:hAnsi="Times New Roman;serif"/>
          <w:b w:val="false"/>
          <w:i/>
          <w:color w:val="000000"/>
          <w:sz w:val="22"/>
        </w:rPr>
        <w:t>ComEd</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ComEd's second quarter of 2026 GAAP net income increased to $249 million from $228 million in the second quarter of 2025. ComEd's Adjusted (non-GAAP) operating earnings for the second quarter of 2026 increased to $249 million from $228 million in the second quarter of 2025, primarily due to an increase in higher distribution and transmission rate base driven by incremental investments to serve customers, driving top quartile reliability and avoiding outage costs, and higher AFUDC. Due to revenue decoupling, ComEd's distribution earnings are not intended to be affected by actual weather or customer usage patterns.</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PECO</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PECO’s second quarter of 2026 GAAP net income decreased to $119 million from $136 million in the second quarter of 2025. PECO's Adjusted (non-GAAP) operating earnings for the second quarter of 2026 decreased to $130 million from $136 million in the second quarter of 2025, primarily due to an increase in depreciation and interest expense, and higher income taxes due to tax repairs, a portion of which is timing, partially offset by absence of surcharge credits to customers and favorable weather.</w:t>
      </w:r>
    </w:p>
    <w:p>
      <w:pPr>
        <w:pStyle w:val="TextBody"/>
        <w:bidi w:val="0"/>
        <w:spacing w:before="180" w:after="180"/>
        <w:jc w:val="both"/>
        <w:rPr/>
      </w:pPr>
      <w:r>
        <w:rPr/>
      </w:r>
    </w:p>
    <w:p>
      <w:pPr>
        <w:pStyle w:val="TextBody"/>
        <w:bidi w:val="0"/>
        <w:spacing w:before="180" w:after="180"/>
        <w:jc w:val="both"/>
        <w:rPr/>
      </w:pPr>
      <w:r>
        <w:rPr/>
      </w:r>
    </w:p>
    <w:p>
      <w:pPr>
        <w:pStyle w:val="TextBody"/>
        <w:bidi w:val="0"/>
        <w:spacing w:before="180" w:after="180"/>
        <w:jc w:val="both"/>
        <w:rPr/>
      </w:pPr>
      <w:r>
        <w:rPr/>
      </w:r>
    </w:p>
    <w:p>
      <w:pPr>
        <w:pStyle w:val="TextBody"/>
        <w:bidi w:val="0"/>
        <w:spacing w:before="180" w:after="180"/>
        <w:jc w:val="both"/>
        <w:rPr/>
      </w:pPr>
      <w:r>
        <w:rPr/>
      </w:r>
    </w:p>
    <w:p>
      <w:pPr>
        <w:pStyle w:val="TextBody"/>
        <w:bidi w:val="0"/>
        <w:spacing w:lineRule="auto" w:line="288" w:before="180" w:after="180"/>
        <w:jc w:val="both"/>
        <w:rPr>
          <w:rFonts w:ascii="Times New Roman;serif" w:hAnsi="Times New Roman;serif"/>
          <w:b w:val="false"/>
          <w:color w:val="000000"/>
          <w:sz w:val="16"/>
        </w:rPr>
      </w:pPr>
      <w:r>
        <w:rPr>
          <w:rFonts w:ascii="Times New Roman;serif" w:hAnsi="Times New Roman;serif"/>
          <w:b w:val="false"/>
          <w:color w:val="000000"/>
          <w:sz w:val="16"/>
        </w:rPr>
        <w:t>___________</w:t>
      </w:r>
    </w:p>
    <w:p>
      <w:pPr>
        <w:pStyle w:val="TextBody"/>
        <w:bidi w:val="0"/>
        <w:spacing w:lineRule="auto" w:line="288"/>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Exelon’s four business units include ComEd, which consists of electricity transmission and distribution operations in northern Illinois (and transmission in a small portion of northwestern Indiana); PECO, which consists of electricity transmission and distribution operations and retail natural gas distribution operations in southeastern Pennsylvania; BGE, which consists of electricity transmission and distribution operations and retail natural gas distribution operations in central Maryland; and PHI, which consists of electricity transmission and distribution operations in the District of Columbia and portions of Maryland, Delaware, and New Jersey and retail natural gas distribution operations in northern Delaware.</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both"/>
        <w:rPr>
          <w:rFonts w:ascii="Times New Roman;serif" w:hAnsi="Times New Roman;serif"/>
          <w:b w:val="false"/>
          <w:i/>
          <w:color w:val="000000"/>
          <w:sz w:val="22"/>
        </w:rPr>
      </w:pPr>
      <w:r>
        <w:rPr>
          <w:rFonts w:ascii="Times New Roman;serif" w:hAnsi="Times New Roman;serif"/>
          <w:b w:val="false"/>
          <w:i/>
          <w:color w:val="000000"/>
          <w:sz w:val="22"/>
        </w:rPr>
        <w:t>BGE</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BGE’s second quarter of 2026 GAAP net income remained relatively consistent with the prior period at $55 million in the second quarter of 2025. BGE's Adjusted (non-GAAP) operating earnings for the second quarter of 2026 increased to $70 million from $55 million in the second quarter of 2025, primarily due to approved distribution rates associated with updated recovery of investments to serve customers, driving top quartile reliability and avoiding outage costs, partially offset by an increase in credit loss expense. Due to revenue decoupling, BGE's distribution earnings are not intended to be affected by actual weather or customer usage patterns.</w:t>
      </w:r>
    </w:p>
    <w:p>
      <w:pPr>
        <w:pStyle w:val="TextBody"/>
        <w:bidi w:val="0"/>
        <w:spacing w:lineRule="auto" w:line="288" w:before="180" w:after="180"/>
        <w:jc w:val="both"/>
        <w:rPr>
          <w:rFonts w:ascii="Times New Roman;serif" w:hAnsi="Times New Roman;serif"/>
          <w:b w:val="false"/>
          <w:i/>
          <w:color w:val="000000"/>
          <w:sz w:val="22"/>
        </w:rPr>
      </w:pPr>
      <w:r>
        <w:rPr>
          <w:rFonts w:ascii="Times New Roman;serif" w:hAnsi="Times New Roman;serif"/>
          <w:b w:val="false"/>
          <w:i/>
          <w:color w:val="000000"/>
          <w:sz w:val="22"/>
        </w:rPr>
        <w:t>PHI</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PHI’s second quarter of 2026 GAAP net income decreased to $109 million from $143 million in the second quarter of 2025. PHI’s Adjusted (non-GAAP) operating earnings for the second quarter of 2026 decreased to $126 million from $144 million in the second quarter of 2025, primarily due to an increase in depreciation, partially offset by approved distribution and transmission rates driven by updated recovery of investments to serve customers, driving top quartile reliability and avoiding outage costs. Due to revenue decoupling, PHI's distribution earnings related to Pepco Maryland, DPL Maryland, Pepco District of Columbia, and ACE are not intended to be affected by actual weather or customer usage patterns. </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Recent Developments and Second Quarter Highlights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Dividend:</w:t>
      </w:r>
      <w:r>
        <w:rPr>
          <w:color w:val="000000"/>
        </w:rPr>
        <w:t xml:space="preserve"> </w:t>
      </w:r>
      <w:r>
        <w:rPr>
          <w:rFonts w:ascii="Times New Roman;serif" w:hAnsi="Times New Roman;serif"/>
          <w:b w:val="false"/>
          <w:color w:val="000000"/>
          <w:sz w:val="24"/>
        </w:rPr>
        <w:t>On July 28, 2026, Exelon's Board of Directors declared a regular quarterly dividend of $0.42 per share on Exelon's common stock. The dividend is payable on September 15, 2026, to Exelon shareholders of record as of the close of business on September 4, 2026.</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Rate Case Developments:</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BGE Maryland Electric Distribution Rate Case:</w:t>
      </w:r>
      <w:r>
        <w:rPr>
          <w:color w:val="000000"/>
        </w:rPr>
        <w:t xml:space="preserve"> </w:t>
      </w:r>
      <w:r>
        <w:rPr>
          <w:rFonts w:ascii="Times New Roman;serif" w:hAnsi="Times New Roman;serif"/>
          <w:b w:val="false"/>
          <w:color w:val="000000"/>
          <w:sz w:val="24"/>
        </w:rPr>
        <w:t xml:space="preserve">On July 2, 2026, BGE filed an application with the MDPSC to increase its annual electric distribution rates by $156 million, reflecting an ROE of 10.40%. BGE currently expects a decision in the first quarter of 2027, but cannot predict if the MDPSC will approve the application as filed. </w:t>
      </w:r>
    </w:p>
    <w:p>
      <w:pPr>
        <w:pStyle w:val="TextBody"/>
        <w:bidi w:val="0"/>
        <w:spacing w:lineRule="auto" w:line="288" w:before="180" w:after="180"/>
        <w:ind w:left="0" w:right="0" w:hanging="360"/>
        <w:jc w:val="both"/>
        <w:rPr/>
      </w:pPr>
      <w:r>
        <w:rPr>
          <w:color w:val="000000"/>
        </w:rPr>
        <w:t>•</w:t>
      </w:r>
      <w:r>
        <w:rPr>
          <w:rFonts w:ascii="Times New Roman;serif" w:hAnsi="Times New Roman;serif"/>
          <w:b/>
          <w:color w:val="000000"/>
          <w:sz w:val="24"/>
        </w:rPr>
        <w:t xml:space="preserve">Financing Activities: </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4"/>
        </w:rPr>
        <w:t>On May 14, 2026, ComEd issued $1,425 million of its First Mortgage Bonds, consisting of $600 million aggregate principal amount of its First Mortgage Bonds, 4.55% Series due June 1, 2031, and $825 million aggregate principal amount of its First Mortgage Bonds, 5.85% Series due June 1, 2056. ComEd used the proceeds to repay existing indebtedness and for general corporate purposes.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4"/>
        </w:rPr>
        <w:t>On May 22, 2026, BGE issued $925 million of its notes, consisting of $500 million aggregate principal amount of its 5.15% Series notes due June 1, 2033, and $425 million aggregate principal amount of its 6.05% Series notes due June 1, 2056. BGE used the proceeds to repay existing indebtedness and for general corporate purposes.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4"/>
        </w:rPr>
        <w:t>On June 17, 2026, Pepco issued $130 million of its First Mortgage Bonds, 5.74% Series due June 17, 2056. Pepco used the proceeds to repay existing indebtedness and for general corporate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Adjusted (non-GAAP) Operating Earnings Reconciliation</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Adjusted (non-GAAP) operating earnings for the second quarter of 2026 do not include the following items (after tax) that were included in reported GAAP net income:</w:t>
      </w:r>
    </w:p>
    <w:tbl>
      <w:tblPr>
        <w:tblW w:w="10205" w:type="dxa"/>
        <w:jc w:val="left"/>
        <w:tblInd w:w="0" w:type="dxa"/>
        <w:tblLayout w:type="fixed"/>
        <w:tblCellMar>
          <w:top w:w="28" w:type="dxa"/>
          <w:left w:w="28" w:type="dxa"/>
          <w:bottom w:w="28" w:type="dxa"/>
          <w:right w:w="28" w:type="dxa"/>
        </w:tblCellMar>
      </w:tblPr>
      <w:tblGrid>
        <w:gridCol w:w="1673"/>
        <w:gridCol w:w="1292"/>
        <w:gridCol w:w="1301"/>
        <w:gridCol w:w="338"/>
        <w:gridCol w:w="878"/>
        <w:gridCol w:w="165"/>
        <w:gridCol w:w="226"/>
        <w:gridCol w:w="526"/>
        <w:gridCol w:w="109"/>
        <w:gridCol w:w="226"/>
        <w:gridCol w:w="526"/>
        <w:gridCol w:w="109"/>
        <w:gridCol w:w="226"/>
        <w:gridCol w:w="526"/>
        <w:gridCol w:w="109"/>
        <w:gridCol w:w="226"/>
        <w:gridCol w:w="406"/>
        <w:gridCol w:w="109"/>
        <w:gridCol w:w="226"/>
        <w:gridCol w:w="526"/>
        <w:gridCol w:w="109"/>
        <w:gridCol w:w="109"/>
        <w:gridCol w:w="109"/>
        <w:gridCol w:w="155"/>
      </w:tblGrid>
      <w:tr>
        <w:trPr/>
        <w:tc>
          <w:tcPr>
            <w:tcW w:w="16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 millions, except per share amounts)</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Exelon</w:t>
              <w:br/>
              <w:t>Earnings per</w:t>
              <w:br/>
              <w:t>Diluted</w:t>
              <w:br/>
              <w:t>Share</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Exelon</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ComEd</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PECO</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BGE</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PHI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2026 GAAP net income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0.39</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Cost management charge (net of taxes of $16, $4, $6, and $7, respectively )</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2026 Adjusted (non-GAAP) operating earnings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0.43</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438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Adjusted (non-GAAP) operating earnings for the second quarter of 2025 do not include the following items (after tax) that were included in reported GAAP net income:</w:t>
      </w:r>
    </w:p>
    <w:tbl>
      <w:tblPr>
        <w:tblW w:w="10205" w:type="dxa"/>
        <w:jc w:val="left"/>
        <w:tblInd w:w="0" w:type="dxa"/>
        <w:tblLayout w:type="fixed"/>
        <w:tblCellMar>
          <w:top w:w="28" w:type="dxa"/>
          <w:left w:w="28" w:type="dxa"/>
          <w:bottom w:w="28" w:type="dxa"/>
          <w:right w:w="28" w:type="dxa"/>
        </w:tblCellMar>
      </w:tblPr>
      <w:tblGrid>
        <w:gridCol w:w="1763"/>
        <w:gridCol w:w="1410"/>
        <w:gridCol w:w="1420"/>
        <w:gridCol w:w="338"/>
        <w:gridCol w:w="878"/>
        <w:gridCol w:w="165"/>
        <w:gridCol w:w="226"/>
        <w:gridCol w:w="526"/>
        <w:gridCol w:w="109"/>
        <w:gridCol w:w="226"/>
        <w:gridCol w:w="526"/>
        <w:gridCol w:w="109"/>
        <w:gridCol w:w="226"/>
        <w:gridCol w:w="526"/>
        <w:gridCol w:w="109"/>
        <w:gridCol w:w="226"/>
        <w:gridCol w:w="406"/>
        <w:gridCol w:w="109"/>
        <w:gridCol w:w="226"/>
        <w:gridCol w:w="526"/>
        <w:gridCol w:w="155"/>
      </w:tblGrid>
      <w:tr>
        <w:trPr/>
        <w:tc>
          <w:tcPr>
            <w:tcW w:w="176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 millions, except per share amounts)</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Exelon</w:t>
              <w:br/>
              <w:t>Earnings per</w:t>
              <w:br/>
              <w:t>Diluted</w:t>
              <w:br/>
              <w:t>Share</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Exelon</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ComEd</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PECO</w:t>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BGE</w:t>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PHI</w:t>
            </w:r>
          </w:p>
        </w:tc>
      </w:tr>
      <w:tr>
        <w:trPr/>
        <w:tc>
          <w:tcPr>
            <w:tcW w:w="45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2025 GAAP net income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0.39</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tax-related adjustments (entire amount represents tax expense)</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2025 Adjusted (non-GAAP) operating earnings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0.39</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392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136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55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144</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Note: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Amounts may not sum due to rounding.</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Unless otherwise noted, the income tax impact of each reconciling item between GAAP net income and Adjusted (non-GAAP) operating earnings is based on the marginal statutory federal and state income tax rates for each Registrant, taking into account whether the income or expense item is taxable or deductible, respectively, in whole or in part. For all items, the marginal statutory income tax rates for 2026 and 2025 ranged from 24.0% to 29.0%.</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Webcast Information</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Exelon will discuss second quarter 2026 earnings in a conference call scheduled for today at 9 a.m. Central Time (10 a.m. Eastern Time). The webcast and associated materials can be accessed at investors.exeloncorp.com/.</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About Exelon</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Exelon (Nasdaq: EXC) is a Fortune 200 company and one of the nation’s largest utility companies, serving almost 11 million customers through six fully regulated transmission and distribution utilities — Atlantic City Electric (ACE), Baltimore Gas and Electric (BGE), Commonwealth Edison (ComEd), Delmarva Power &amp; Light (DPL), PECO Energy Company (PECO), and Potomac Electric Power Company (Pepco). Exelon's more than 20,000 employees dedicate their time and expertise to supporting our communities through reliable, affordable and efficient energy delivery, workforce development, equity, economic development and volunteerism. Follow @Exelon on X and LinkedIn.</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net income as determined under generally accepted accounting principles in the United States (GAAP), Exelon evaluates its operating performance using the measure of Adjusted (non-GAAP) operating earnings because management believes it represents earnings directly related to the ongoing operations of the business. Adjusted (non-GAAP) operating earnings exclude certain costs,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both"/>
        <w:rPr/>
      </w:pPr>
      <w:r>
        <w:rPr>
          <w:rFonts w:ascii="Times New Roman;serif" w:hAnsi="Times New Roman;serif"/>
          <w:b w:val="false"/>
          <w:color w:val="000000"/>
          <w:sz w:val="24"/>
        </w:rPr>
        <w:t xml:space="preserve">gains and losses, and other specified items. This measure is intended to enhance an investor’s overall understanding of period over period operating results and provide an indication of Exelon’s baseline operating performance excluding items that are considered by management to be not directly related to the ongoing operations of the business. In addition, this measure is among the primary indicators management uses as a basis for evaluating performance, allocating resources, setting incentive compensation targets, and planning and forecasting of future periods. Adjusted (non-GAAP) operating earnings is not a presentation defined under GAAP and may not be comparable to other companies’ presentation. Exelon has provided the non-GAAP financial measure as supplemental information and in addition to the financial measures that are calculated and presented in accordance with GAAP. Adjusted (non-GAAP) operating earnings should not be deemed more useful than, a substitute for, or an alternative to the most comparable GAAP net income measures provided in this earnings release and attachments. This press release and earnings release attachments provide reconciliations of Adjusted (non-GAAP) operating earnings to the most directly comparable financial measures calculated and presented in accordance with GAAP, are posted on Exelon’s website: </w:t>
      </w:r>
      <w:r>
        <w:rPr>
          <w:rFonts w:ascii="Times New Roman;serif" w:hAnsi="Times New Roman;serif"/>
          <w:b w:val="false"/>
          <w:color w:val="000000"/>
          <w:sz w:val="24"/>
          <w:u w:val="single"/>
        </w:rPr>
        <w:t>investors.exeloncorp.com</w:t>
      </w:r>
      <w:r>
        <w:rPr>
          <w:rFonts w:ascii="Times New Roman;serif" w:hAnsi="Times New Roman;serif"/>
          <w:b w:val="false"/>
          <w:color w:val="000000"/>
          <w:sz w:val="24"/>
        </w:rPr>
        <w:t>, and have been furnished to the Securities and Exchange Commission on Form 8-K on July 30, 2026.</w:t>
      </w:r>
    </w:p>
    <w:p>
      <w:pPr>
        <w:pStyle w:val="TextBody"/>
        <w:bidi w:val="0"/>
        <w:spacing w:lineRule="auto" w:line="288" w:before="180" w:after="180"/>
        <w:jc w:val="both"/>
        <w:rPr>
          <w:rFonts w:ascii="Times New Roman;serif" w:hAnsi="Times New Roman;serif"/>
          <w:b/>
          <w:color w:val="000000"/>
          <w:sz w:val="24"/>
        </w:rPr>
      </w:pPr>
      <w:r>
        <w:rPr>
          <w:rFonts w:ascii="Times New Roman;serif" w:hAnsi="Times New Roman;serif"/>
          <w:b/>
          <w:color w:val="000000"/>
          <w:sz w:val="24"/>
        </w:rPr>
        <w:t>Cautionary Statements Regarding Forward-Looking Information</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This press release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physical security and cybersecurity risks; extreme weather events, natural disasters, operational accidents such as wildfires or natural gas explosions, war, acts and threats of terrorism, public health crises, epidemics, pandemics, or other significant events; disruptions or cost increases in the supply chain, including shortages in labor, materials or parts, or significant increases in relevant tariffs; lack of sufficient power generation resources to meet actual or forecasted demand or disruptions at generation facilities owned by third parties; emerging technologies that could affect or transform the energy industry; instability in capital and credit markets; a downgrade of any Registrant’s credit ratings or other failure to satisfy the credit standards in the Registrants’ agreements or regulatory financial requirements; significant economic downturns or increases in customer rates; impacts of climate change and weather on energy usage and maintenance and capital costs; and impairment of long-lived assets, goodwill, and other assets.</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with respect to Exelon, ComEd, PECO, BGE, Pepco Holdings LLC (PHI), Pepco, DPL, and ACE (Registrants) in the Registrants' most recent Annual Report on Form 10-K, including in Part I, ITEM 1A, any subsequent Quarterly Reports on Form 10-Q, and in other reports filed by the Registrants from time to time with the SEC.</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Investors are cautioned not to place undue reliance on these forward-looking statements, whether written or oral, which apply only as of the date of this press release. None of the Registrants undertakes any obligation to publicly release any revision to its forward-looking statements to reflect events or circumstances after the date of this press release.</w:t>
      </w:r>
    </w:p>
    <w:p>
      <w:pPr>
        <w:pStyle w:val="TextBody"/>
        <w:bidi w:val="0"/>
        <w:spacing w:lineRule="auto" w:line="288" w:before="180" w:after="180"/>
        <w:jc w:val="both"/>
        <w:rPr>
          <w:rFonts w:ascii="Times New Roman;serif" w:hAnsi="Times New Roman;serif"/>
          <w:b w:val="false"/>
          <w:color w:val="000000"/>
          <w:sz w:val="24"/>
        </w:rPr>
      </w:pPr>
      <w:r>
        <w:rPr>
          <w:rFonts w:ascii="Times New Roman;serif" w:hAnsi="Times New Roman;serif"/>
          <w:b w:val="false"/>
          <w:color w:val="000000"/>
          <w:sz w:val="24"/>
        </w:rPr>
        <w:t>Exelon uses its corporate website, www.exeloncorp.com, investor relations website, investors.exeloncorp.com, and social media channels to communicate with Exelon's investors and the public about the Registrants and other matters. Exelon's posts through these channels may be deemed material. Accordingly, Exelon encourages investors and others interested in the Registrants to routinely monitor these channels, in addition to following the Registrants' press releases, Securities and Exchange Commission filings and public conference calls and webcasts. The contents of Exelon's websites and social media channels are not, however, incorporated by reference into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Earnings Release Attachments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22" w:type="dxa"/>
        <w:jc w:val="center"/>
        <w:tblInd w:w="0" w:type="dxa"/>
        <w:tblLayout w:type="fixed"/>
        <w:tblCellMar>
          <w:top w:w="28" w:type="dxa"/>
          <w:left w:w="28" w:type="dxa"/>
          <w:bottom w:w="28" w:type="dxa"/>
          <w:right w:w="28" w:type="dxa"/>
        </w:tblCellMar>
      </w:tblPr>
      <w:tblGrid>
        <w:gridCol w:w="3208"/>
        <w:gridCol w:w="2817"/>
        <w:gridCol w:w="2825"/>
        <w:gridCol w:w="109"/>
        <w:gridCol w:w="109"/>
        <w:gridCol w:w="154"/>
      </w:tblGrid>
      <w:tr>
        <w:trPr/>
        <w:tc>
          <w:tcPr>
            <w:tcW w:w="3208"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13">
              <w:r>
                <w:rPr>
                  <w:rStyle w:val="InternetLink"/>
                  <w:rFonts w:ascii="Times New Roman;serif" w:hAnsi="Times New Roman;serif"/>
                  <w:b w:val="false"/>
                  <w:color w:val="0000FF"/>
                  <w:sz w:val="20"/>
                  <w:u w:val="single"/>
                </w:rPr>
                <w:t xml:space="preserve">Consolidating Statement of Operations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13">
              <w:r>
                <w:rPr>
                  <w:rStyle w:val="InternetLink"/>
                  <w:rFonts w:ascii="Times New Roman;serif" w:hAnsi="Times New Roman;serif"/>
                  <w:b w:val="false"/>
                  <w:color w:val="0000FF"/>
                  <w:sz w:val="20"/>
                  <w:u w:val="single"/>
                </w:rPr>
                <w:t>1</w:t>
              </w:r>
            </w:hyperlink>
          </w:p>
        </w:tc>
      </w:tr>
      <w:tr>
        <w:trPr/>
        <w:tc>
          <w:tcPr>
            <w:tcW w:w="8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16">
              <w:r>
                <w:rPr>
                  <w:rStyle w:val="InternetLink"/>
                  <w:rFonts w:ascii="Times New Roman;serif" w:hAnsi="Times New Roman;serif"/>
                  <w:b w:val="false"/>
                  <w:color w:val="0000FF"/>
                  <w:sz w:val="20"/>
                  <w:u w:val="single"/>
                </w:rPr>
                <w:t>Consolidated Balance Sheets</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16">
              <w:r>
                <w:rPr>
                  <w:rStyle w:val="InternetLink"/>
                  <w:rFonts w:ascii="Times New Roman;serif" w:hAnsi="Times New Roman;serif"/>
                  <w:b w:val="false"/>
                  <w:color w:val="0000FF"/>
                  <w:sz w:val="20"/>
                  <w:u w:val="single"/>
                </w:rPr>
                <w:t>2</w:t>
              </w:r>
            </w:hyperlink>
          </w:p>
        </w:tc>
      </w:tr>
      <w:tr>
        <w:trPr/>
        <w:tc>
          <w:tcPr>
            <w:tcW w:w="8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19">
              <w:r>
                <w:rPr>
                  <w:rStyle w:val="InternetLink"/>
                  <w:rFonts w:ascii="Times New Roman;serif" w:hAnsi="Times New Roman;serif"/>
                  <w:b w:val="false"/>
                  <w:color w:val="0000FF"/>
                  <w:sz w:val="20"/>
                  <w:u w:val="single"/>
                </w:rPr>
                <w:t xml:space="preserve">Consolidated Statements of Cash Flows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19">
              <w:r>
                <w:rPr>
                  <w:rStyle w:val="InternetLink"/>
                  <w:rFonts w:ascii="Times New Roman;serif" w:hAnsi="Times New Roman;serif"/>
                  <w:b w:val="false"/>
                  <w:color w:val="0000FF"/>
                  <w:sz w:val="20"/>
                  <w:u w:val="single"/>
                </w:rPr>
                <w:t>4</w:t>
              </w:r>
            </w:hyperlink>
          </w:p>
        </w:tc>
      </w:tr>
      <w:tr>
        <w:trPr/>
        <w:tc>
          <w:tcPr>
            <w:tcW w:w="8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28">
              <w:r>
                <w:rPr>
                  <w:rStyle w:val="InternetLink"/>
                  <w:rFonts w:ascii="Times New Roman;serif" w:hAnsi="Times New Roman;serif"/>
                  <w:b w:val="false"/>
                  <w:color w:val="0000FF"/>
                  <w:sz w:val="20"/>
                  <w:u w:val="single"/>
                </w:rPr>
                <w:t xml:space="preserve">Reconciliation of GAAP Net Income to Adjusted (non-GAAP) Operating Earnings and Analysis of Earnings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28">
              <w:r>
                <w:rPr>
                  <w:rStyle w:val="InternetLink"/>
                  <w:rFonts w:ascii="Times New Roman;serif" w:hAnsi="Times New Roman;serif"/>
                  <w:b w:val="false"/>
                  <w:color w:val="0000FF"/>
                  <w:sz w:val="20"/>
                  <w:u w:val="single"/>
                </w:rPr>
                <w:t>6</w:t>
              </w:r>
            </w:hyperlink>
          </w:p>
        </w:tc>
      </w:tr>
      <w:tr>
        <w:trPr/>
        <w:tc>
          <w:tcPr>
            <w:tcW w:w="8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70">
              <w:r>
                <w:rPr>
                  <w:rStyle w:val="InternetLink"/>
                  <w:rFonts w:ascii="Times New Roman;serif" w:hAnsi="Times New Roman;serif"/>
                  <w:b w:val="false"/>
                  <w:color w:val="0000FF"/>
                  <w:sz w:val="20"/>
                  <w:u w:val="single"/>
                </w:rPr>
                <w:t>Statistics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70">
              <w:r>
                <w:rPr>
                  <w:rStyle w:val="InternetLink"/>
                  <w:rFonts w:ascii="Times New Roman;serif" w:hAnsi="Times New Roman;serif"/>
                  <w:b w:val="false"/>
                  <w:color w:val="0000FF"/>
                  <w:sz w:val="20"/>
                  <w:u w:val="single"/>
                </w:rPr>
                <w:t xml:space="preserve">ComEd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70">
              <w:r>
                <w:rPr>
                  <w:rStyle w:val="InternetLink"/>
                  <w:rFonts w:ascii="Times New Roman;serif" w:hAnsi="Times New Roman;serif"/>
                  <w:b w:val="false"/>
                  <w:color w:val="0000FF"/>
                  <w:sz w:val="20"/>
                  <w:u w:val="single"/>
                </w:rPr>
                <w:t>7</w:t>
              </w:r>
            </w:hyperlink>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73">
              <w:r>
                <w:rPr>
                  <w:rStyle w:val="InternetLink"/>
                  <w:rFonts w:ascii="Times New Roman;serif" w:hAnsi="Times New Roman;serif"/>
                  <w:b w:val="false"/>
                  <w:color w:val="0000FF"/>
                  <w:sz w:val="20"/>
                  <w:u w:val="single"/>
                </w:rPr>
                <w:t xml:space="preserve">PECO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73">
              <w:r>
                <w:rPr>
                  <w:rStyle w:val="InternetLink"/>
                  <w:rFonts w:ascii="Times New Roman;serif" w:hAnsi="Times New Roman;serif"/>
                  <w:b w:val="false"/>
                  <w:color w:val="0000FF"/>
                  <w:sz w:val="20"/>
                  <w:u w:val="single"/>
                </w:rPr>
                <w:t>8</w:t>
              </w:r>
            </w:hyperlink>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76">
              <w:r>
                <w:rPr>
                  <w:rStyle w:val="InternetLink"/>
                  <w:rFonts w:ascii="Times New Roman;serif" w:hAnsi="Times New Roman;serif"/>
                  <w:b w:val="false"/>
                  <w:color w:val="0000FF"/>
                  <w:sz w:val="20"/>
                  <w:u w:val="single"/>
                </w:rPr>
                <w:t xml:space="preserve">BGE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76">
              <w:r>
                <w:rPr>
                  <w:rStyle w:val="InternetLink"/>
                  <w:rFonts w:ascii="Times New Roman;serif" w:hAnsi="Times New Roman;serif"/>
                  <w:b w:val="false"/>
                  <w:color w:val="0000FF"/>
                  <w:sz w:val="20"/>
                  <w:u w:val="single"/>
                </w:rPr>
                <w:t>9</w:t>
              </w:r>
            </w:hyperlink>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79">
              <w:r>
                <w:rPr>
                  <w:rStyle w:val="InternetLink"/>
                  <w:rFonts w:ascii="Times New Roman;serif" w:hAnsi="Times New Roman;serif"/>
                  <w:b w:val="false"/>
                  <w:color w:val="0000FF"/>
                  <w:sz w:val="20"/>
                  <w:u w:val="single"/>
                </w:rPr>
                <w:t>Pepco</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79">
              <w:r>
                <w:rPr>
                  <w:rStyle w:val="InternetLink"/>
                  <w:rFonts w:ascii="Times New Roman;serif" w:hAnsi="Times New Roman;serif"/>
                  <w:b w:val="false"/>
                  <w:color w:val="0000FF"/>
                  <w:sz w:val="20"/>
                  <w:u w:val="single"/>
                </w:rPr>
                <w:t>12</w:t>
              </w:r>
            </w:hyperlink>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82">
              <w:r>
                <w:rPr>
                  <w:rStyle w:val="InternetLink"/>
                  <w:rFonts w:ascii="Times New Roman;serif" w:hAnsi="Times New Roman;serif"/>
                  <w:b w:val="false"/>
                  <w:color w:val="0000FF"/>
                  <w:sz w:val="20"/>
                  <w:u w:val="single"/>
                </w:rPr>
                <w:t>DPL</w:t>
              </w:r>
            </w:hyperlink>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82">
              <w:r>
                <w:rPr>
                  <w:rStyle w:val="InternetLink"/>
                  <w:rFonts w:ascii="Times New Roman;serif" w:hAnsi="Times New Roman;serif"/>
                  <w:b w:val="false"/>
                  <w:color w:val="0000FF"/>
                  <w:sz w:val="20"/>
                  <w:u w:val="single"/>
                </w:rPr>
                <w:t>13</w:t>
              </w:r>
            </w:hyperlink>
          </w:p>
        </w:tc>
      </w:tr>
      <w:tr>
        <w:trPr/>
        <w:tc>
          <w:tcPr>
            <w:tcW w:w="8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4126c17283a446b951fc970266b408d_85">
              <w:r>
                <w:rPr>
                  <w:rStyle w:val="InternetLink"/>
                  <w:rFonts w:ascii="Times New Roman;serif" w:hAnsi="Times New Roman;serif"/>
                  <w:b w:val="false"/>
                  <w:color w:val="0000FF"/>
                  <w:sz w:val="20"/>
                  <w:u w:val="single"/>
                </w:rPr>
                <w:t xml:space="preserve">ACE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126c17283a446b951fc970266b408d_85">
              <w:r>
                <w:rPr>
                  <w:rStyle w:val="InternetLink"/>
                  <w:rFonts w:ascii="Times New Roman;serif" w:hAnsi="Times New Roman;serif"/>
                  <w:b w:val="false"/>
                  <w:color w:val="0000FF"/>
                  <w:sz w:val="20"/>
                  <w:u w:val="single"/>
                </w:rPr>
                <w:t>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Consolidating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254"/>
        <w:gridCol w:w="1082"/>
        <w:gridCol w:w="1086"/>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91"/>
        <w:gridCol w:w="109"/>
        <w:gridCol w:w="109"/>
        <w:gridCol w:w="109"/>
        <w:gridCol w:w="109"/>
        <w:gridCol w:w="196"/>
        <w:gridCol w:w="556"/>
        <w:gridCol w:w="156"/>
      </w:tblGrid>
      <w:tr>
        <w:trPr/>
        <w:tc>
          <w:tcPr>
            <w:tcW w:w="125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Exelon</w:t>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Three Months Ended June 30, 2026</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Purchased power and fuel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Gain on sale of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Other income and (deductions)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other income and (deductions)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(loss)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income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Three Months Ended June 30, 2025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Purchased power and fuel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Gain on sale of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Other income and (deductions)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other income and (deductions)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(loss)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income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Change in net income (loss) from 2025 to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Consolidating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231"/>
        <w:gridCol w:w="1049"/>
        <w:gridCol w:w="1054"/>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89"/>
        <w:gridCol w:w="109"/>
        <w:gridCol w:w="109"/>
        <w:gridCol w:w="109"/>
        <w:gridCol w:w="109"/>
        <w:gridCol w:w="196"/>
        <w:gridCol w:w="646"/>
        <w:gridCol w:w="156"/>
      </w:tblGrid>
      <w:tr>
        <w:trPr/>
        <w:tc>
          <w:tcPr>
            <w:tcW w:w="123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Exelon</w:t>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Six Months Ended June 30, 2026</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Purchased power and fuel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Gain on sale of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income</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Other income and (deductions)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other income and (deductions)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(loss)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income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Six Months Ended June 30, 2025</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Purchased power and fuel</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and maintenance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Taxes other than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operating expenses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Gain on sale of assets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Operating income (loss)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Other income and (deductions)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other income and (deductions)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(loss) before income taxes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Net income (loss) attributable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Change in net income (loss) from 2025 to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(a)Other primarily includes eliminating and consolidating adjustments, Exelon’s corporate operations, shared service entities, and other financing and investment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Exelon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7018" w:type="dxa"/>
        <w:jc w:val="center"/>
        <w:tblInd w:w="0" w:type="dxa"/>
        <w:tblLayout w:type="fixed"/>
        <w:tblCellMar>
          <w:top w:w="28" w:type="dxa"/>
          <w:left w:w="28" w:type="dxa"/>
          <w:bottom w:w="28" w:type="dxa"/>
          <w:right w:w="28" w:type="dxa"/>
        </w:tblCellMar>
      </w:tblPr>
      <w:tblGrid>
        <w:gridCol w:w="1296"/>
        <w:gridCol w:w="1137"/>
        <w:gridCol w:w="1152"/>
        <w:gridCol w:w="109"/>
        <w:gridCol w:w="109"/>
        <w:gridCol w:w="109"/>
        <w:gridCol w:w="212"/>
        <w:gridCol w:w="796"/>
        <w:gridCol w:w="117"/>
        <w:gridCol w:w="109"/>
        <w:gridCol w:w="109"/>
        <w:gridCol w:w="109"/>
        <w:gridCol w:w="282"/>
        <w:gridCol w:w="1061"/>
        <w:gridCol w:w="157"/>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3,732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1,879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Fossil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Materials and 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renewable energy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Deferred debits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 related to Regulatory Agreement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deferred debits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120,505 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tbl>
      <w:tblPr>
        <w:tblW w:w="7872" w:type="dxa"/>
        <w:jc w:val="center"/>
        <w:tblInd w:w="0" w:type="dxa"/>
        <w:tblLayout w:type="fixed"/>
        <w:tblCellMar>
          <w:top w:w="28" w:type="dxa"/>
          <w:left w:w="28" w:type="dxa"/>
          <w:bottom w:w="28" w:type="dxa"/>
          <w:right w:w="28" w:type="dxa"/>
        </w:tblCellMar>
      </w:tblPr>
      <w:tblGrid>
        <w:gridCol w:w="1608"/>
        <w:gridCol w:w="1413"/>
        <w:gridCol w:w="1418"/>
        <w:gridCol w:w="109"/>
        <w:gridCol w:w="109"/>
        <w:gridCol w:w="109"/>
        <w:gridCol w:w="212"/>
        <w:gridCol w:w="796"/>
        <w:gridCol w:w="117"/>
        <w:gridCol w:w="109"/>
        <w:gridCol w:w="109"/>
        <w:gridCol w:w="109"/>
        <w:gridCol w:w="282"/>
        <w:gridCol w:w="1061"/>
        <w:gridCol w:w="157"/>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due within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Unamortized energy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Renewable energy credit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debt to financing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Deferred credits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and unamortized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Non-pension postretirement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Mark-to-market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Unamortized energy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deferred credits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29,698 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120,505 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116,570 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Exelon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8574" w:type="dxa"/>
        <w:jc w:val="center"/>
        <w:tblInd w:w="0" w:type="dxa"/>
        <w:tblLayout w:type="fixed"/>
        <w:tblCellMar>
          <w:top w:w="28" w:type="dxa"/>
          <w:left w:w="28" w:type="dxa"/>
          <w:bottom w:w="28" w:type="dxa"/>
          <w:right w:w="28" w:type="dxa"/>
        </w:tblCellMar>
      </w:tblPr>
      <w:tblGrid>
        <w:gridCol w:w="2221"/>
        <w:gridCol w:w="1953"/>
        <w:gridCol w:w="1960"/>
        <w:gridCol w:w="109"/>
        <w:gridCol w:w="109"/>
        <w:gridCol w:w="109"/>
        <w:gridCol w:w="198"/>
        <w:gridCol w:w="561"/>
        <w:gridCol w:w="110"/>
        <w:gridCol w:w="110"/>
        <w:gridCol w:w="110"/>
        <w:gridCol w:w="110"/>
        <w:gridCol w:w="198"/>
        <w:gridCol w:w="561"/>
        <w:gridCol w:w="155"/>
      </w:tblGrid>
      <w:tr>
        <w:trPr/>
        <w:tc>
          <w:tcPr>
            <w:tcW w:w="222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and amortization of investment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fair value changes related to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 received,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Regulatory assets and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non-pension postretirement benefit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short-term borrowings with maturities 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on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Increase in cash,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Exelon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(Loss) to Adjusted (non-GAAP) Operating Earnings and Analysis of Earnings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2026 and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bl>
      <w:tblPr>
        <w:tblW w:w="10205" w:type="dxa"/>
        <w:jc w:val="center"/>
        <w:tblInd w:w="0" w:type="dxa"/>
        <w:tblLayout w:type="fixed"/>
        <w:tblCellMar>
          <w:top w:w="28" w:type="dxa"/>
          <w:left w:w="28" w:type="dxa"/>
          <w:bottom w:w="28" w:type="dxa"/>
          <w:right w:w="28" w:type="dxa"/>
        </w:tblCellMar>
      </w:tblPr>
      <w:tblGrid>
        <w:gridCol w:w="1228"/>
        <w:gridCol w:w="962"/>
        <w:gridCol w:w="966"/>
        <w:gridCol w:w="225"/>
        <w:gridCol w:w="524"/>
        <w:gridCol w:w="137"/>
        <w:gridCol w:w="109"/>
        <w:gridCol w:w="109"/>
        <w:gridCol w:w="109"/>
        <w:gridCol w:w="181"/>
        <w:gridCol w:w="406"/>
        <w:gridCol w:w="109"/>
        <w:gridCol w:w="109"/>
        <w:gridCol w:w="109"/>
        <w:gridCol w:w="109"/>
        <w:gridCol w:w="181"/>
        <w:gridCol w:w="391"/>
        <w:gridCol w:w="109"/>
        <w:gridCol w:w="109"/>
        <w:gridCol w:w="109"/>
        <w:gridCol w:w="109"/>
        <w:gridCol w:w="181"/>
        <w:gridCol w:w="406"/>
        <w:gridCol w:w="109"/>
        <w:gridCol w:w="109"/>
        <w:gridCol w:w="109"/>
        <w:gridCol w:w="109"/>
        <w:gridCol w:w="181"/>
        <w:gridCol w:w="406"/>
        <w:gridCol w:w="109"/>
        <w:gridCol w:w="109"/>
        <w:gridCol w:w="109"/>
        <w:gridCol w:w="109"/>
        <w:gridCol w:w="181"/>
        <w:gridCol w:w="415"/>
        <w:gridCol w:w="109"/>
        <w:gridCol w:w="109"/>
        <w:gridCol w:w="109"/>
        <w:gridCol w:w="109"/>
        <w:gridCol w:w="181"/>
        <w:gridCol w:w="391"/>
        <w:gridCol w:w="155"/>
      </w:tblGrid>
      <w:tr>
        <w:trPr/>
        <w:tc>
          <w:tcPr>
            <w:tcW w:w="1228"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Exelon</w:t>
              <w:br/>
              <w:t>Earnings per</w:t>
              <w:br/>
              <w:t>Diluted</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BGE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PHI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Other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Exelon</w:t>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2025 GAAP net income (loss)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0.39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391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tax-related adjustments (entire amount represents tax expense) (1)</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2025 Adjusted (non-GAAP) operating earnings (loss)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0.39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392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Year over year effects on Adjusted (non-GAAP) operating earnings:</w:t>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Weather</w:t>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Load</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and transmission rates (2)</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energy delivery (3)</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and maintenance expense (4)</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 expense (5)</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and other (6)</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year over year effects on Adjusted (non-GAAP) Operating Earnings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0.04</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2026 GAAP net income (loss)</w:t>
            </w:r>
          </w:p>
        </w:tc>
        <w:tc>
          <w:tcPr>
            <w:tcW w:w="22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0.39</w:t>
            </w: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396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management program (net of taxes of $4, $6, $7, and $16, respectively) (7)</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4"/>
              </w:rPr>
            </w:pPr>
            <w:r>
              <w:rPr>
                <w:rFonts w:ascii="Times New Roman;serif" w:hAnsi="Times New Roman;serif"/>
                <w:b/>
                <w:color w:val="000000"/>
                <w:sz w:val="14"/>
              </w:rPr>
              <w:t>2026 Adjusted (non-GAAP) operating earnings (loss)</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0.43</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249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130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126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4"/>
              </w:rPr>
            </w:pPr>
            <w:r>
              <w:rPr>
                <w:rFonts w:ascii="Times New Roman;serif" w:hAnsi="Times New Roman;serif"/>
                <w:b/>
                <w:color w:val="000000"/>
                <w:sz w:val="14"/>
              </w:rPr>
              <w:t>(136)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4"/>
              </w:rPr>
              <w:t>438</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Note: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may not sum due to rounding.</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Unless otherwise noted, the income tax impact of each reconciling item between GAAP net income and Adjusted (non-GAAP) operating earnings is based on the marginal statutory federal and state income tax rates for each Registrant, taking into account whether the income or expense item is taxable or deductible, respectively, in whole or in part. For all items, the marginal statutory income tax rates for 2026 and 2025 ranged from 24.0% to 29.0%.</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(a)Other primarily includes eliminating and consolidating adjustments, Exelon’s corporate operations, shared service entities, and other financing and investment activities.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(b)For ComEd, BGE, Pepco, DPL Maryland, and ACE, customer rates are adjusted to eliminate the impacts of weather and customer usage on distribution volumes.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(c)ComEd's distribution rate revenues increase or decrease as fully recoverable costs fluctuate. For transmission formula rates and various riders across the utilities, revenues increase and decrease i) as fully recoverable costs fluctuate (with no impact on net earnings), and ii) pursuant to changes in rate base, capital structure, and ROE (which impact net earnings).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(1)Reflects the adjustment to state deferred income taxes due to changes in forecasted apportionment.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(2)For ComEd, reflects higher distribution and transmission rate base. For BGE, reflects increased distribution revenue due to approved rates. For PHI, reflects increased distribution and transmission revenue due to approved rates.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(3)For ComEd, reflects increased electric distribution, transmission, and energy efficiency revenues due to higher fully recoverable costs. For PECO, reflects the absence of electric surcharge credits to customers recognized in 2025.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(4)Represents Operating and maintenance expense. For Corporate, reflects the absence of the Customer Relief Fund contribution recorded in the prior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(5)Across all utilities, reflects ongoing capital expenditures and regulatory asset amortization.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(6)For ComEd, reflects an increase in interest expense, offset by an increase in AFUDC. For PECO, reflects an increase in interest expense and income tax expense due to tax repairs, a portion of which is timing. For Corporate, reflects an increase in interest expense offset by a decrease in income tax expense due to timing.</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(7)Primarily represents severance costs related to cost management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Exelon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(Loss) to Adjusted (non-GAAP) Operating Earnings and Analysis of Earnings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Six Months Ended June 30, 2026 and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(unaudited)</w:t>
      </w:r>
    </w:p>
    <w:p>
      <w:pPr>
        <w:pStyle w:val="TextBody"/>
        <w:bidi w:val="0"/>
        <w:spacing w:lineRule="auto" w:line="288" w:before="40" w:after="283"/>
        <w:jc w:val="center"/>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bl>
      <w:tblPr>
        <w:tblW w:w="10205" w:type="dxa"/>
        <w:jc w:val="left"/>
        <w:tblInd w:w="0" w:type="dxa"/>
        <w:tblLayout w:type="fixed"/>
        <w:tblCellMar>
          <w:top w:w="28" w:type="dxa"/>
          <w:left w:w="28" w:type="dxa"/>
          <w:bottom w:w="28" w:type="dxa"/>
          <w:right w:w="28" w:type="dxa"/>
        </w:tblCellMar>
      </w:tblPr>
      <w:tblGrid>
        <w:gridCol w:w="1243"/>
        <w:gridCol w:w="979"/>
        <w:gridCol w:w="985"/>
        <w:gridCol w:w="189"/>
        <w:gridCol w:w="440"/>
        <w:gridCol w:w="113"/>
        <w:gridCol w:w="109"/>
        <w:gridCol w:w="109"/>
        <w:gridCol w:w="109"/>
        <w:gridCol w:w="181"/>
        <w:gridCol w:w="406"/>
        <w:gridCol w:w="109"/>
        <w:gridCol w:w="109"/>
        <w:gridCol w:w="109"/>
        <w:gridCol w:w="109"/>
        <w:gridCol w:w="181"/>
        <w:gridCol w:w="391"/>
        <w:gridCol w:w="109"/>
        <w:gridCol w:w="109"/>
        <w:gridCol w:w="109"/>
        <w:gridCol w:w="109"/>
        <w:gridCol w:w="181"/>
        <w:gridCol w:w="406"/>
        <w:gridCol w:w="109"/>
        <w:gridCol w:w="109"/>
        <w:gridCol w:w="109"/>
        <w:gridCol w:w="109"/>
        <w:gridCol w:w="181"/>
        <w:gridCol w:w="391"/>
        <w:gridCol w:w="109"/>
        <w:gridCol w:w="109"/>
        <w:gridCol w:w="109"/>
        <w:gridCol w:w="109"/>
        <w:gridCol w:w="181"/>
        <w:gridCol w:w="415"/>
        <w:gridCol w:w="109"/>
        <w:gridCol w:w="109"/>
        <w:gridCol w:w="109"/>
        <w:gridCol w:w="109"/>
        <w:gridCol w:w="181"/>
        <w:gridCol w:w="496"/>
        <w:gridCol w:w="158"/>
      </w:tblGrid>
      <w:tr>
        <w:trPr/>
        <w:tc>
          <w:tcPr>
            <w:tcW w:w="124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Exelon</w:t>
              <w:br/>
              <w:t>Earnings </w:t>
              <w:br/>
              <w:t>per Diluted</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PHI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Other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Exelon</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2025 GAAP net income (loss)</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1.29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1,300</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Change in FERC audit liability (net of taxes of $1)</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Cost management program (net of taxes of $0) (1)</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tax-related adjustments (entire amount represents tax expense) (2)</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Regulatory matters (net of taxes of $7) (3)</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2025 Adjusted (non-GAAP) operating earnings (loss)</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1,324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Year over year effects on Adjusted (non-GAAP) operating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Weather</w:t>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Load</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w:t>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and transmission rates (4)</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energy delivery (5)</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w:t>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and maintenance expense (6)</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 expense (7)</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 and other (8)</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year over year effects on Adjusted (non-GAAP) operating earnings</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0.02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44</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2026 GAAP net income (loss)</w:t>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1.28</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1,315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Cost management program (net of taxes of $4, $6, $7, and $16, respectively) (1)</w:t>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Regulatory matters (net of taxes of $4) (3)</w:t>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2026 Adjusted (non-GAAP) operating earnings (loss)</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1.33</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559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408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368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306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(272)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1,368</w:t>
            </w: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Note:</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Amounts may not sum due to rounding.</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Unless otherwise noted, the income tax impact of each reconciling item between GAAP net income and Adjusted (non-GAAP) operating earnings is based on the marginal statutory federal and state income tax rates for each Registrant, taking into account whether the income or expense item is taxable or deductible, respectively, in whole or in part. For all items, the marginal statutory income tax rates for 2026 and 2025 ranged from 24.0% to 29.0%.</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(a)Other primarily includes eliminating and consolidating adjustments, Exelon’s corporate operations, shared service entities, and other financing and investment activities.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(b)For ComEd, BGE, Pepco, DPL Maryland, and ACE, customer rates are adjusted to eliminate the impacts of weather and customer usage on distribution volumes.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(c)ComEd's distribution rate revenues increase or decrease as fully recoverable costs fluctuate. For transmission formula rates and various riders across the utilities, revenues increase and decrease i) as fully recoverable costs fluctuate (with no impact on net earnings), and ii) pursuant to changes in rate base, capital structure, and ROE (which impact net earnings).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(1)Primarily represents severance costs related to cost management program.</w:t>
      </w:r>
    </w:p>
    <w:p>
      <w:pPr>
        <w:pStyle w:val="TextBody"/>
        <w:bidi w:val="0"/>
        <w:spacing w:lineRule="auto" w:line="26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(2)Reflects the adjustment to state deferred income taxes due to changes in forecasted apportionment.</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(3)Represents the disallowance of certain capitalized costs.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(4)For ComEd, reflects higher distribution and transmission rate base. For BGE, reflects increased distribution revenue due to approved rates. For PHI, reflects increased distribution and transmission revenue due to approved rates.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(5)For ComEd, reflects increased electric distribution, transmission, and energy efficiency revenues due to higher fully recoverable costs, offset by decreased electric distribution revenues due to timing of distribution earnings. For PECO, reflects the absence of electric surcharge credits to customers recognized in 2025. For PHI, reflects higher distribution and transmission revenues due to higher fully recoverable costs.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(6)Represents Operating and maintenance expense. For PHI, reflects unfavorable impacts of the Pepco Maryland multi-year plan reconciliation. For Corporate, reflects the absence of the Customer Relief Fund contribution recorded in the prior period.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(7)Across all utilities, reflects ongoing capital expenditures and regulatory asset amortization.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(8)For ComEd, reflects an increase in interest expense, offset by an increase in AFUDC. For PECO, PHI, and Corporate, reflects an increase in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ComEd Statistics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Three Months Ended June 30, 2026 and 2025</w:t>
      </w:r>
    </w:p>
    <w:tbl>
      <w:tblPr>
        <w:tblW w:w="10205" w:type="dxa"/>
        <w:jc w:val="center"/>
        <w:tblInd w:w="0" w:type="dxa"/>
        <w:tblLayout w:type="fixed"/>
        <w:tblCellMar>
          <w:top w:w="28" w:type="dxa"/>
          <w:left w:w="28" w:type="dxa"/>
          <w:bottom w:w="28" w:type="dxa"/>
          <w:right w:w="28" w:type="dxa"/>
        </w:tblCellMar>
      </w:tblPr>
      <w:tblGrid>
        <w:gridCol w:w="938"/>
        <w:gridCol w:w="632"/>
        <w:gridCol w:w="333"/>
        <w:gridCol w:w="323"/>
        <w:gridCol w:w="323"/>
        <w:gridCol w:w="156"/>
        <w:gridCol w:w="109"/>
        <w:gridCol w:w="109"/>
        <w:gridCol w:w="109"/>
        <w:gridCol w:w="323"/>
        <w:gridCol w:w="323"/>
        <w:gridCol w:w="156"/>
        <w:gridCol w:w="109"/>
        <w:gridCol w:w="109"/>
        <w:gridCol w:w="109"/>
        <w:gridCol w:w="233"/>
        <w:gridCol w:w="233"/>
        <w:gridCol w:w="459"/>
        <w:gridCol w:w="109"/>
        <w:gridCol w:w="109"/>
        <w:gridCol w:w="109"/>
        <w:gridCol w:w="291"/>
        <w:gridCol w:w="244"/>
        <w:gridCol w:w="543"/>
        <w:gridCol w:w="109"/>
        <w:gridCol w:w="109"/>
        <w:gridCol w:w="109"/>
        <w:gridCol w:w="196"/>
        <w:gridCol w:w="556"/>
        <w:gridCol w:w="109"/>
        <w:gridCol w:w="109"/>
        <w:gridCol w:w="109"/>
        <w:gridCol w:w="109"/>
        <w:gridCol w:w="196"/>
        <w:gridCol w:w="556"/>
        <w:gridCol w:w="109"/>
        <w:gridCol w:w="109"/>
        <w:gridCol w:w="109"/>
        <w:gridCol w:w="109"/>
        <w:gridCol w:w="243"/>
        <w:gridCol w:w="244"/>
        <w:gridCol w:w="524"/>
      </w:tblGrid>
      <w:tr>
        <w:trPr/>
        <w:tc>
          <w:tcPr>
            <w:tcW w:w="93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Deliveries (in GWhs)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Weather - Normal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 xml:space="preserve">(b)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7950" w:type="dxa"/>
        <w:jc w:val="center"/>
        <w:tblInd w:w="0" w:type="dxa"/>
        <w:tblLayout w:type="fixed"/>
        <w:tblCellMar>
          <w:top w:w="28" w:type="dxa"/>
          <w:left w:w="28" w:type="dxa"/>
          <w:bottom w:w="28" w:type="dxa"/>
          <w:right w:w="28" w:type="dxa"/>
        </w:tblCellMar>
      </w:tblPr>
      <w:tblGrid>
        <w:gridCol w:w="946"/>
        <w:gridCol w:w="829"/>
        <w:gridCol w:w="834"/>
        <w:gridCol w:w="210"/>
        <w:gridCol w:w="211"/>
        <w:gridCol w:w="156"/>
        <w:gridCol w:w="109"/>
        <w:gridCol w:w="109"/>
        <w:gridCol w:w="109"/>
        <w:gridCol w:w="210"/>
        <w:gridCol w:w="211"/>
        <w:gridCol w:w="156"/>
        <w:gridCol w:w="109"/>
        <w:gridCol w:w="109"/>
        <w:gridCol w:w="109"/>
        <w:gridCol w:w="220"/>
        <w:gridCol w:w="220"/>
        <w:gridCol w:w="221"/>
        <w:gridCol w:w="109"/>
        <w:gridCol w:w="109"/>
        <w:gridCol w:w="109"/>
        <w:gridCol w:w="269"/>
        <w:gridCol w:w="271"/>
        <w:gridCol w:w="482"/>
        <w:gridCol w:w="109"/>
        <w:gridCol w:w="109"/>
        <w:gridCol w:w="109"/>
        <w:gridCol w:w="270"/>
        <w:gridCol w:w="27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Six Months Ended June 30, 2026 and 2025</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40"/>
        <w:gridCol w:w="642"/>
        <w:gridCol w:w="357"/>
        <w:gridCol w:w="323"/>
        <w:gridCol w:w="323"/>
        <w:gridCol w:w="156"/>
        <w:gridCol w:w="109"/>
        <w:gridCol w:w="109"/>
        <w:gridCol w:w="109"/>
        <w:gridCol w:w="323"/>
        <w:gridCol w:w="323"/>
        <w:gridCol w:w="156"/>
        <w:gridCol w:w="109"/>
        <w:gridCol w:w="109"/>
        <w:gridCol w:w="109"/>
        <w:gridCol w:w="209"/>
        <w:gridCol w:w="209"/>
        <w:gridCol w:w="459"/>
        <w:gridCol w:w="109"/>
        <w:gridCol w:w="109"/>
        <w:gridCol w:w="109"/>
        <w:gridCol w:w="257"/>
        <w:gridCol w:w="257"/>
        <w:gridCol w:w="573"/>
        <w:gridCol w:w="109"/>
        <w:gridCol w:w="109"/>
        <w:gridCol w:w="109"/>
        <w:gridCol w:w="196"/>
        <w:gridCol w:w="556"/>
        <w:gridCol w:w="109"/>
        <w:gridCol w:w="109"/>
        <w:gridCol w:w="109"/>
        <w:gridCol w:w="109"/>
        <w:gridCol w:w="196"/>
        <w:gridCol w:w="556"/>
        <w:gridCol w:w="109"/>
        <w:gridCol w:w="109"/>
        <w:gridCol w:w="109"/>
        <w:gridCol w:w="109"/>
        <w:gridCol w:w="244"/>
        <w:gridCol w:w="245"/>
        <w:gridCol w:w="525"/>
      </w:tblGrid>
      <w:tr>
        <w:trPr/>
        <w:tc>
          <w:tcPr>
            <w:tcW w:w="9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Deliveries (in GWhs)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Weather - Normal %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 xml:space="preserve">(b)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8296" w:type="dxa"/>
        <w:jc w:val="left"/>
        <w:tblInd w:w="0" w:type="dxa"/>
        <w:tblLayout w:type="fixed"/>
        <w:tblCellMar>
          <w:top w:w="28" w:type="dxa"/>
          <w:left w:w="28" w:type="dxa"/>
          <w:bottom w:w="28" w:type="dxa"/>
          <w:right w:w="28" w:type="dxa"/>
        </w:tblCellMar>
      </w:tblPr>
      <w:tblGrid>
        <w:gridCol w:w="946"/>
        <w:gridCol w:w="829"/>
        <w:gridCol w:w="834"/>
        <w:gridCol w:w="278"/>
        <w:gridCol w:w="278"/>
        <w:gridCol w:w="156"/>
        <w:gridCol w:w="109"/>
        <w:gridCol w:w="109"/>
        <w:gridCol w:w="109"/>
        <w:gridCol w:w="278"/>
        <w:gridCol w:w="278"/>
        <w:gridCol w:w="156"/>
        <w:gridCol w:w="109"/>
        <w:gridCol w:w="109"/>
        <w:gridCol w:w="109"/>
        <w:gridCol w:w="278"/>
        <w:gridCol w:w="278"/>
        <w:gridCol w:w="221"/>
        <w:gridCol w:w="109"/>
        <w:gridCol w:w="109"/>
        <w:gridCol w:w="109"/>
        <w:gridCol w:w="292"/>
        <w:gridCol w:w="248"/>
        <w:gridCol w:w="482"/>
        <w:gridCol w:w="109"/>
        <w:gridCol w:w="109"/>
        <w:gridCol w:w="109"/>
        <w:gridCol w:w="250"/>
        <w:gridCol w:w="25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tbl>
      <w:tblPr>
        <w:tblW w:w="5123" w:type="dxa"/>
        <w:jc w:val="center"/>
        <w:tblInd w:w="0" w:type="dxa"/>
        <w:tblLayout w:type="fixed"/>
        <w:tblCellMar>
          <w:top w:w="28" w:type="dxa"/>
          <w:left w:w="28" w:type="dxa"/>
          <w:bottom w:w="28" w:type="dxa"/>
          <w:right w:w="28" w:type="dxa"/>
        </w:tblCellMar>
      </w:tblPr>
      <w:tblGrid>
        <w:gridCol w:w="973"/>
        <w:gridCol w:w="854"/>
        <w:gridCol w:w="858"/>
        <w:gridCol w:w="435"/>
        <w:gridCol w:w="436"/>
        <w:gridCol w:w="156"/>
        <w:gridCol w:w="109"/>
        <w:gridCol w:w="109"/>
        <w:gridCol w:w="109"/>
        <w:gridCol w:w="435"/>
        <w:gridCol w:w="436"/>
        <w:gridCol w:w="213"/>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Electric Customers</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3,779,015 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3,758,791 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4,183,909 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4,164,297 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revenues from customers purchasing electricity directly from ComEd and customers purchasing electricity from a competitive electric generation supplier, as all customers are assessed delivery charges. For customers purchasing electricity from ComEd, revenues also reflect the cost of energy and transmission.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transmission revenue from PJM, wholesale electric revenue, and mutual assistance revenue.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(c)Includes operating revenues from affiliates totaling $2 million and $10 million for the three months ended June 30, 2026 and 2025, respectively, and $13 million and $17 million for the six months ended June 30, 2026 and 2025,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(d)Includes alternative revenue programs and late payment charges.</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PECO Statistics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Three Months Ended June 30, 2026 and 2025</w:t>
      </w:r>
    </w:p>
    <w:tbl>
      <w:tblPr>
        <w:tblW w:w="10205" w:type="dxa"/>
        <w:jc w:val="center"/>
        <w:tblInd w:w="0" w:type="dxa"/>
        <w:tblLayout w:type="fixed"/>
        <w:tblCellMar>
          <w:top w:w="28" w:type="dxa"/>
          <w:left w:w="28" w:type="dxa"/>
          <w:bottom w:w="28" w:type="dxa"/>
          <w:right w:w="28" w:type="dxa"/>
        </w:tblCellMar>
      </w:tblPr>
      <w:tblGrid>
        <w:gridCol w:w="958"/>
        <w:gridCol w:w="703"/>
        <w:gridCol w:w="356"/>
        <w:gridCol w:w="323"/>
        <w:gridCol w:w="323"/>
        <w:gridCol w:w="156"/>
        <w:gridCol w:w="109"/>
        <w:gridCol w:w="109"/>
        <w:gridCol w:w="109"/>
        <w:gridCol w:w="323"/>
        <w:gridCol w:w="323"/>
        <w:gridCol w:w="156"/>
        <w:gridCol w:w="109"/>
        <w:gridCol w:w="109"/>
        <w:gridCol w:w="109"/>
        <w:gridCol w:w="245"/>
        <w:gridCol w:w="246"/>
        <w:gridCol w:w="459"/>
        <w:gridCol w:w="109"/>
        <w:gridCol w:w="109"/>
        <w:gridCol w:w="109"/>
        <w:gridCol w:w="233"/>
        <w:gridCol w:w="233"/>
        <w:gridCol w:w="459"/>
        <w:gridCol w:w="109"/>
        <w:gridCol w:w="109"/>
        <w:gridCol w:w="109"/>
        <w:gridCol w:w="196"/>
        <w:gridCol w:w="556"/>
        <w:gridCol w:w="109"/>
        <w:gridCol w:w="109"/>
        <w:gridCol w:w="109"/>
        <w:gridCol w:w="109"/>
        <w:gridCol w:w="196"/>
        <w:gridCol w:w="556"/>
        <w:gridCol w:w="109"/>
        <w:gridCol w:w="109"/>
        <w:gridCol w:w="109"/>
        <w:gridCol w:w="109"/>
        <w:gridCol w:w="245"/>
        <w:gridCol w:w="246"/>
        <w:gridCol w:w="534"/>
      </w:tblGrid>
      <w:tr>
        <w:trPr/>
        <w:tc>
          <w:tcPr>
            <w:tcW w:w="95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and Natural Gas Deliveries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2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Weather-</w:t>
              <w:br/>
              <w:t>Normal</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Electric (in GWhs)</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(in mmcfs)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Natural Gas Deliveries and Revenues</w:t>
            </w:r>
            <w:r>
              <w:rPr>
                <w:rFonts w:ascii="Times New Roman;serif" w:hAnsi="Times New Roman;serif"/>
                <w:b/>
                <w:color w:val="000000"/>
                <w:sz w:val="10"/>
              </w:rPr>
              <w:t>(e)</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(f)</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natural gas revenues</w:t>
            </w:r>
            <w:r>
              <w:rPr>
                <w:rFonts w:ascii="Times New Roman;serif" w:hAnsi="Times New Roman;serif"/>
                <w:b w:val="false"/>
                <w:color w:val="000000"/>
                <w:sz w:val="10"/>
              </w:rPr>
              <w:t>(g)</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Revenues</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94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and 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 and Fuel</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7892" w:type="dxa"/>
        <w:jc w:val="center"/>
        <w:tblInd w:w="0" w:type="dxa"/>
        <w:tblLayout w:type="fixed"/>
        <w:tblCellMar>
          <w:top w:w="28" w:type="dxa"/>
          <w:left w:w="28" w:type="dxa"/>
          <w:bottom w:w="28" w:type="dxa"/>
          <w:right w:w="28" w:type="dxa"/>
        </w:tblCellMar>
      </w:tblPr>
      <w:tblGrid>
        <w:gridCol w:w="946"/>
        <w:gridCol w:w="829"/>
        <w:gridCol w:w="834"/>
        <w:gridCol w:w="210"/>
        <w:gridCol w:w="211"/>
        <w:gridCol w:w="156"/>
        <w:gridCol w:w="109"/>
        <w:gridCol w:w="109"/>
        <w:gridCol w:w="109"/>
        <w:gridCol w:w="210"/>
        <w:gridCol w:w="211"/>
        <w:gridCol w:w="156"/>
        <w:gridCol w:w="109"/>
        <w:gridCol w:w="109"/>
        <w:gridCol w:w="109"/>
        <w:gridCol w:w="220"/>
        <w:gridCol w:w="220"/>
        <w:gridCol w:w="221"/>
        <w:gridCol w:w="109"/>
        <w:gridCol w:w="109"/>
        <w:gridCol w:w="109"/>
        <w:gridCol w:w="257"/>
        <w:gridCol w:w="225"/>
        <w:gridCol w:w="482"/>
        <w:gridCol w:w="109"/>
        <w:gridCol w:w="109"/>
        <w:gridCol w:w="109"/>
        <w:gridCol w:w="270"/>
        <w:gridCol w:w="27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Six Months Ended June 30, 2026</w:t>
      </w:r>
    </w:p>
    <w:tbl>
      <w:tblPr>
        <w:tblW w:w="10205" w:type="dxa"/>
        <w:jc w:val="center"/>
        <w:tblInd w:w="0" w:type="dxa"/>
        <w:tblLayout w:type="fixed"/>
        <w:tblCellMar>
          <w:top w:w="28" w:type="dxa"/>
          <w:left w:w="28" w:type="dxa"/>
          <w:bottom w:w="28" w:type="dxa"/>
          <w:right w:w="28" w:type="dxa"/>
        </w:tblCellMar>
      </w:tblPr>
      <w:tblGrid>
        <w:gridCol w:w="941"/>
        <w:gridCol w:w="665"/>
        <w:gridCol w:w="255"/>
        <w:gridCol w:w="323"/>
        <w:gridCol w:w="323"/>
        <w:gridCol w:w="156"/>
        <w:gridCol w:w="109"/>
        <w:gridCol w:w="109"/>
        <w:gridCol w:w="109"/>
        <w:gridCol w:w="323"/>
        <w:gridCol w:w="323"/>
        <w:gridCol w:w="156"/>
        <w:gridCol w:w="109"/>
        <w:gridCol w:w="109"/>
        <w:gridCol w:w="109"/>
        <w:gridCol w:w="286"/>
        <w:gridCol w:w="287"/>
        <w:gridCol w:w="459"/>
        <w:gridCol w:w="109"/>
        <w:gridCol w:w="109"/>
        <w:gridCol w:w="109"/>
        <w:gridCol w:w="241"/>
        <w:gridCol w:w="242"/>
        <w:gridCol w:w="459"/>
        <w:gridCol w:w="109"/>
        <w:gridCol w:w="109"/>
        <w:gridCol w:w="109"/>
        <w:gridCol w:w="196"/>
        <w:gridCol w:w="556"/>
        <w:gridCol w:w="109"/>
        <w:gridCol w:w="109"/>
        <w:gridCol w:w="109"/>
        <w:gridCol w:w="109"/>
        <w:gridCol w:w="196"/>
        <w:gridCol w:w="556"/>
        <w:gridCol w:w="109"/>
        <w:gridCol w:w="109"/>
        <w:gridCol w:w="109"/>
        <w:gridCol w:w="109"/>
        <w:gridCol w:w="278"/>
        <w:gridCol w:w="278"/>
        <w:gridCol w:w="526"/>
      </w:tblGrid>
      <w:tr>
        <w:trPr/>
        <w:tc>
          <w:tcPr>
            <w:tcW w:w="94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and Natural Gas Deliveries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Weather-</w:t>
              <w:br/>
              <w:t>Normal</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Electric (in GWhs)</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17,758 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(in mmcfs)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Natural Gas Deliveries and Revenues</w:t>
            </w:r>
            <w:r>
              <w:rPr>
                <w:rFonts w:ascii="Times New Roman;serif" w:hAnsi="Times New Roman;serif"/>
                <w:b/>
                <w:color w:val="000000"/>
                <w:sz w:val="10"/>
              </w:rPr>
              <w:t>(e)</w:t>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(f)</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natural gas revenues</w:t>
            </w:r>
            <w:r>
              <w:rPr>
                <w:rFonts w:ascii="Times New Roman;serif" w:hAnsi="Times New Roman;serif"/>
                <w:b w:val="false"/>
                <w:color w:val="000000"/>
                <w:sz w:val="10"/>
              </w:rPr>
              <w:t>(g)</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revenues</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792"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and 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 and Fuel</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100" w:after="283"/>
        <w:jc w:val="center"/>
        <w:rPr/>
      </w:pPr>
      <w:r>
        <w:rPr/>
      </w:r>
    </w:p>
    <w:tbl>
      <w:tblPr>
        <w:tblW w:w="8239" w:type="dxa"/>
        <w:jc w:val="center"/>
        <w:tblInd w:w="0" w:type="dxa"/>
        <w:tblLayout w:type="fixed"/>
        <w:tblCellMar>
          <w:top w:w="28" w:type="dxa"/>
          <w:left w:w="28" w:type="dxa"/>
          <w:bottom w:w="28" w:type="dxa"/>
          <w:right w:w="28" w:type="dxa"/>
        </w:tblCellMar>
      </w:tblPr>
      <w:tblGrid>
        <w:gridCol w:w="946"/>
        <w:gridCol w:w="829"/>
        <w:gridCol w:w="834"/>
        <w:gridCol w:w="278"/>
        <w:gridCol w:w="278"/>
        <w:gridCol w:w="156"/>
        <w:gridCol w:w="109"/>
        <w:gridCol w:w="109"/>
        <w:gridCol w:w="109"/>
        <w:gridCol w:w="278"/>
        <w:gridCol w:w="278"/>
        <w:gridCol w:w="156"/>
        <w:gridCol w:w="109"/>
        <w:gridCol w:w="109"/>
        <w:gridCol w:w="109"/>
        <w:gridCol w:w="278"/>
        <w:gridCol w:w="278"/>
        <w:gridCol w:w="221"/>
        <w:gridCol w:w="109"/>
        <w:gridCol w:w="109"/>
        <w:gridCol w:w="109"/>
        <w:gridCol w:w="267"/>
        <w:gridCol w:w="216"/>
        <w:gridCol w:w="482"/>
        <w:gridCol w:w="109"/>
        <w:gridCol w:w="109"/>
        <w:gridCol w:w="109"/>
        <w:gridCol w:w="250"/>
        <w:gridCol w:w="25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10201" w:type="dxa"/>
        <w:jc w:val="center"/>
        <w:tblInd w:w="0" w:type="dxa"/>
        <w:tblLayout w:type="fixed"/>
        <w:tblCellMar>
          <w:top w:w="28" w:type="dxa"/>
          <w:left w:w="28" w:type="dxa"/>
          <w:bottom w:w="28" w:type="dxa"/>
          <w:right w:w="28" w:type="dxa"/>
        </w:tblCellMar>
      </w:tblPr>
      <w:tblGrid>
        <w:gridCol w:w="973"/>
        <w:gridCol w:w="854"/>
        <w:gridCol w:w="858"/>
        <w:gridCol w:w="435"/>
        <w:gridCol w:w="436"/>
        <w:gridCol w:w="156"/>
        <w:gridCol w:w="109"/>
        <w:gridCol w:w="109"/>
        <w:gridCol w:w="109"/>
        <w:gridCol w:w="435"/>
        <w:gridCol w:w="436"/>
        <w:gridCol w:w="156"/>
        <w:gridCol w:w="109"/>
        <w:gridCol w:w="109"/>
        <w:gridCol w:w="109"/>
        <w:gridCol w:w="879"/>
        <w:gridCol w:w="879"/>
        <w:gridCol w:w="882"/>
        <w:gridCol w:w="368"/>
        <w:gridCol w:w="368"/>
        <w:gridCol w:w="156"/>
        <w:gridCol w:w="109"/>
        <w:gridCol w:w="109"/>
        <w:gridCol w:w="109"/>
        <w:gridCol w:w="368"/>
        <w:gridCol w:w="368"/>
        <w:gridCol w:w="213"/>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Electric Customers</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Natural Gas Customers</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1,540,384 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1,538,280 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1,708,121 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1,706,755 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556,227 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554,947 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delivery volumes and revenues from customers purchasing electricity directly from PECO and customers purchasing electricity from a competitive electric generation supplier as all customers are assessed distribution charges. For customers purchasing electricity from PECO, revenues also reflect the cost of energy and transmission.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transmission revenue from PJM, wholesale electric revenue, and mutual assistance revenue.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(c)Includes operating revenues from affiliates totaling $2 million and $3 million for the three months ended June 30, 2026 and 2025, respectively, and $6 million and $5 million for the six months ended June 30, 2026 and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(d)Includes alternative revenue programs and late payment charges.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(e)Reflects delivery volumes and revenues from customers purchasing natural gas directly from PECO and customers purchasing natural gas from a competitive natural gas supplier as all customers are assessed distribution charges. For customers purchasing natural gas from PECO, revenue also reflects the cost of natural gas.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(f)Includes revenues primarily from off-system sales.</w:t>
      </w:r>
    </w:p>
    <w:p>
      <w:pPr>
        <w:pStyle w:val="TextBody"/>
        <w:bidi w:val="0"/>
        <w:spacing w:lineRule="auto" w:line="288" w:before="0" w:after="0"/>
        <w:ind w:left="0" w:right="0" w:hanging="360"/>
        <w:jc w:val="both"/>
        <w:rPr/>
      </w:pPr>
      <w:r>
        <w:rPr>
          <w:rFonts w:ascii="Times New Roman;serif" w:hAnsi="Times New Roman;serif"/>
          <w:b w:val="false"/>
          <w:color w:val="000000"/>
          <w:sz w:val="16"/>
        </w:rPr>
        <w:t>(g)Includes operating revenues from affiliates totaling $1 million and less than $1 million</w:t>
      </w:r>
      <w:r>
        <w:rPr>
          <w:color w:val="000000"/>
        </w:rPr>
        <w:t xml:space="preserve"> </w:t>
      </w:r>
      <w:r>
        <w:rPr>
          <w:rFonts w:ascii="Times New Roman;serif" w:hAnsi="Times New Roman;serif"/>
          <w:b w:val="false"/>
          <w:color w:val="000000"/>
          <w:sz w:val="16"/>
        </w:rPr>
        <w:t>for the three months ended June 30, 2026 and 2025, respectively, and $1 million</w:t>
      </w:r>
      <w:r>
        <w:rPr>
          <w:color w:val="000000"/>
        </w:rPr>
        <w:t xml:space="preserve"> </w:t>
      </w:r>
      <w:r>
        <w:rPr>
          <w:rFonts w:ascii="Times New Roman;serif" w:hAnsi="Times New Roman;serif"/>
          <w:b w:val="false"/>
          <w:color w:val="000000"/>
          <w:sz w:val="16"/>
        </w:rPr>
        <w:t>for both</w:t>
      </w:r>
      <w:r>
        <w:rPr>
          <w:color w:val="000000"/>
        </w:rPr>
        <w:t xml:space="preserve"> </w:t>
      </w:r>
      <w:r>
        <w:rPr>
          <w:rFonts w:ascii="Times New Roman;serif" w:hAnsi="Times New Roman;serif"/>
          <w:b w:val="false"/>
          <w:color w:val="000000"/>
          <w:sz w:val="16"/>
        </w:rPr>
        <w:t>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BGE Statistics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Three Months Ended June 30, 2026 and 2025</w:t>
      </w:r>
    </w:p>
    <w:tbl>
      <w:tblPr>
        <w:tblW w:w="10205" w:type="dxa"/>
        <w:jc w:val="center"/>
        <w:tblInd w:w="0" w:type="dxa"/>
        <w:tblLayout w:type="fixed"/>
        <w:tblCellMar>
          <w:top w:w="28" w:type="dxa"/>
          <w:left w:w="28" w:type="dxa"/>
          <w:bottom w:w="28" w:type="dxa"/>
          <w:right w:w="28" w:type="dxa"/>
        </w:tblCellMar>
      </w:tblPr>
      <w:tblGrid>
        <w:gridCol w:w="948"/>
        <w:gridCol w:w="679"/>
        <w:gridCol w:w="293"/>
        <w:gridCol w:w="323"/>
        <w:gridCol w:w="323"/>
        <w:gridCol w:w="156"/>
        <w:gridCol w:w="109"/>
        <w:gridCol w:w="109"/>
        <w:gridCol w:w="109"/>
        <w:gridCol w:w="323"/>
        <w:gridCol w:w="323"/>
        <w:gridCol w:w="156"/>
        <w:gridCol w:w="109"/>
        <w:gridCol w:w="109"/>
        <w:gridCol w:w="109"/>
        <w:gridCol w:w="243"/>
        <w:gridCol w:w="244"/>
        <w:gridCol w:w="459"/>
        <w:gridCol w:w="109"/>
        <w:gridCol w:w="109"/>
        <w:gridCol w:w="109"/>
        <w:gridCol w:w="243"/>
        <w:gridCol w:w="244"/>
        <w:gridCol w:w="459"/>
        <w:gridCol w:w="109"/>
        <w:gridCol w:w="109"/>
        <w:gridCol w:w="109"/>
        <w:gridCol w:w="196"/>
        <w:gridCol w:w="556"/>
        <w:gridCol w:w="109"/>
        <w:gridCol w:w="109"/>
        <w:gridCol w:w="109"/>
        <w:gridCol w:w="109"/>
        <w:gridCol w:w="196"/>
        <w:gridCol w:w="556"/>
        <w:gridCol w:w="109"/>
        <w:gridCol w:w="109"/>
        <w:gridCol w:w="109"/>
        <w:gridCol w:w="109"/>
        <w:gridCol w:w="288"/>
        <w:gridCol w:w="289"/>
        <w:gridCol w:w="528"/>
      </w:tblGrid>
      <w:tr>
        <w:trPr/>
        <w:tc>
          <w:tcPr>
            <w:tcW w:w="94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and Natural Gas Deliveries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Weather-</w:t>
              <w:br/>
              <w:t>Normal</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Electric (in GWhs)</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(in mmcfs)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Natural Gas Deliveries and Revenues</w:t>
            </w:r>
            <w:r>
              <w:rPr>
                <w:rFonts w:ascii="Times New Roman;serif" w:hAnsi="Times New Roman;serif"/>
                <w:b/>
                <w:color w:val="000000"/>
                <w:sz w:val="10"/>
              </w:rPr>
              <w:t>(e)</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(f)</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natural gas revenues</w:t>
            </w:r>
            <w:r>
              <w:rPr>
                <w:rFonts w:ascii="Times New Roman;serif" w:hAnsi="Times New Roman;serif"/>
                <w:b w:val="false"/>
                <w:color w:val="000000"/>
                <w:sz w:val="10"/>
              </w:rPr>
              <w:t>(g)</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revenues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85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and natural gas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 and Fuel</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7876" w:type="dxa"/>
        <w:jc w:val="center"/>
        <w:tblInd w:w="0" w:type="dxa"/>
        <w:tblLayout w:type="fixed"/>
        <w:tblCellMar>
          <w:top w:w="28" w:type="dxa"/>
          <w:left w:w="28" w:type="dxa"/>
          <w:bottom w:w="28" w:type="dxa"/>
          <w:right w:w="28" w:type="dxa"/>
        </w:tblCellMar>
      </w:tblPr>
      <w:tblGrid>
        <w:gridCol w:w="946"/>
        <w:gridCol w:w="829"/>
        <w:gridCol w:w="834"/>
        <w:gridCol w:w="210"/>
        <w:gridCol w:w="211"/>
        <w:gridCol w:w="156"/>
        <w:gridCol w:w="109"/>
        <w:gridCol w:w="109"/>
        <w:gridCol w:w="109"/>
        <w:gridCol w:w="210"/>
        <w:gridCol w:w="211"/>
        <w:gridCol w:w="156"/>
        <w:gridCol w:w="109"/>
        <w:gridCol w:w="109"/>
        <w:gridCol w:w="109"/>
        <w:gridCol w:w="220"/>
        <w:gridCol w:w="220"/>
        <w:gridCol w:w="221"/>
        <w:gridCol w:w="109"/>
        <w:gridCol w:w="109"/>
        <w:gridCol w:w="109"/>
        <w:gridCol w:w="233"/>
        <w:gridCol w:w="233"/>
        <w:gridCol w:w="482"/>
        <w:gridCol w:w="109"/>
        <w:gridCol w:w="109"/>
        <w:gridCol w:w="109"/>
        <w:gridCol w:w="270"/>
        <w:gridCol w:w="27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u w:val="single"/>
        </w:rPr>
      </w:pPr>
      <w:r>
        <w:rPr>
          <w:rFonts w:ascii="Times New Roman;serif" w:hAnsi="Times New Roman;serif"/>
          <w:b/>
          <w:color w:val="000000"/>
          <w:sz w:val="20"/>
          <w:u w:val="single"/>
        </w:rPr>
        <w:t>Six Months Ended June 30, 2026 and 2025</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961"/>
        <w:gridCol w:w="710"/>
        <w:gridCol w:w="372"/>
        <w:gridCol w:w="323"/>
        <w:gridCol w:w="323"/>
        <w:gridCol w:w="156"/>
        <w:gridCol w:w="110"/>
        <w:gridCol w:w="110"/>
        <w:gridCol w:w="110"/>
        <w:gridCol w:w="323"/>
        <w:gridCol w:w="323"/>
        <w:gridCol w:w="156"/>
        <w:gridCol w:w="110"/>
        <w:gridCol w:w="110"/>
        <w:gridCol w:w="110"/>
        <w:gridCol w:w="210"/>
        <w:gridCol w:w="210"/>
        <w:gridCol w:w="459"/>
        <w:gridCol w:w="110"/>
        <w:gridCol w:w="110"/>
        <w:gridCol w:w="110"/>
        <w:gridCol w:w="210"/>
        <w:gridCol w:w="210"/>
        <w:gridCol w:w="459"/>
        <w:gridCol w:w="109"/>
        <w:gridCol w:w="109"/>
        <w:gridCol w:w="109"/>
        <w:gridCol w:w="196"/>
        <w:gridCol w:w="556"/>
        <w:gridCol w:w="109"/>
        <w:gridCol w:w="109"/>
        <w:gridCol w:w="109"/>
        <w:gridCol w:w="109"/>
        <w:gridCol w:w="196"/>
        <w:gridCol w:w="556"/>
        <w:gridCol w:w="109"/>
        <w:gridCol w:w="109"/>
        <w:gridCol w:w="109"/>
        <w:gridCol w:w="109"/>
        <w:gridCol w:w="291"/>
        <w:gridCol w:w="292"/>
        <w:gridCol w:w="524"/>
      </w:tblGrid>
      <w:tr>
        <w:trPr/>
        <w:tc>
          <w:tcPr>
            <w:tcW w:w="96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and Natural Gas Deliveries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Weather-</w:t>
              <w:br/>
              <w:t>Normal</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Electric (in GWhs)</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(in mmcfs)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Natural Gas Deliveries and Revenues</w:t>
            </w:r>
            <w:r>
              <w:rPr>
                <w:rFonts w:ascii="Times New Roman;serif" w:hAnsi="Times New Roman;serif"/>
                <w:b/>
                <w:color w:val="000000"/>
                <w:sz w:val="10"/>
              </w:rPr>
              <w:t>(e)</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(f)</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natural gas revenues</w:t>
            </w:r>
            <w:r>
              <w:rPr>
                <w:rFonts w:ascii="Times New Roman;serif" w:hAnsi="Times New Roman;serif"/>
                <w:b w:val="false"/>
                <w:color w:val="000000"/>
                <w:sz w:val="10"/>
              </w:rPr>
              <w:t>(g)</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revenues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97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and natural gas revenues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 and Fuel</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8188" w:type="dxa"/>
        <w:jc w:val="center"/>
        <w:tblInd w:w="0" w:type="dxa"/>
        <w:tblLayout w:type="fixed"/>
        <w:tblCellMar>
          <w:top w:w="28" w:type="dxa"/>
          <w:left w:w="28" w:type="dxa"/>
          <w:bottom w:w="28" w:type="dxa"/>
          <w:right w:w="28" w:type="dxa"/>
        </w:tblCellMar>
      </w:tblPr>
      <w:tblGrid>
        <w:gridCol w:w="946"/>
        <w:gridCol w:w="829"/>
        <w:gridCol w:w="834"/>
        <w:gridCol w:w="278"/>
        <w:gridCol w:w="278"/>
        <w:gridCol w:w="156"/>
        <w:gridCol w:w="109"/>
        <w:gridCol w:w="109"/>
        <w:gridCol w:w="109"/>
        <w:gridCol w:w="278"/>
        <w:gridCol w:w="278"/>
        <w:gridCol w:w="156"/>
        <w:gridCol w:w="109"/>
        <w:gridCol w:w="109"/>
        <w:gridCol w:w="109"/>
        <w:gridCol w:w="278"/>
        <w:gridCol w:w="278"/>
        <w:gridCol w:w="221"/>
        <w:gridCol w:w="109"/>
        <w:gridCol w:w="109"/>
        <w:gridCol w:w="109"/>
        <w:gridCol w:w="216"/>
        <w:gridCol w:w="216"/>
        <w:gridCol w:w="482"/>
        <w:gridCol w:w="109"/>
        <w:gridCol w:w="109"/>
        <w:gridCol w:w="109"/>
        <w:gridCol w:w="250"/>
        <w:gridCol w:w="25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10201" w:type="dxa"/>
        <w:jc w:val="center"/>
        <w:tblInd w:w="0" w:type="dxa"/>
        <w:tblLayout w:type="fixed"/>
        <w:tblCellMar>
          <w:top w:w="28" w:type="dxa"/>
          <w:left w:w="28" w:type="dxa"/>
          <w:bottom w:w="28" w:type="dxa"/>
          <w:right w:w="28" w:type="dxa"/>
        </w:tblCellMar>
      </w:tblPr>
      <w:tblGrid>
        <w:gridCol w:w="973"/>
        <w:gridCol w:w="854"/>
        <w:gridCol w:w="858"/>
        <w:gridCol w:w="435"/>
        <w:gridCol w:w="436"/>
        <w:gridCol w:w="156"/>
        <w:gridCol w:w="109"/>
        <w:gridCol w:w="109"/>
        <w:gridCol w:w="109"/>
        <w:gridCol w:w="435"/>
        <w:gridCol w:w="436"/>
        <w:gridCol w:w="156"/>
        <w:gridCol w:w="109"/>
        <w:gridCol w:w="109"/>
        <w:gridCol w:w="109"/>
        <w:gridCol w:w="879"/>
        <w:gridCol w:w="879"/>
        <w:gridCol w:w="882"/>
        <w:gridCol w:w="368"/>
        <w:gridCol w:w="368"/>
        <w:gridCol w:w="156"/>
        <w:gridCol w:w="109"/>
        <w:gridCol w:w="109"/>
        <w:gridCol w:w="109"/>
        <w:gridCol w:w="368"/>
        <w:gridCol w:w="368"/>
        <w:gridCol w:w="213"/>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Electric Customers</w:t>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Natural Gas Customers</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1,230,523 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1,219,904 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660,049 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0"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1,359,189 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1,348,822 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708,301 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704,242 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revenues from customers purchasing electricity directly from BGE and customers purchasing electricity from a competitive electric generation supplier as all customers are assessed distribution charges. For customers purchasing electricity from BGE, revenues also reflect the cost of energy and transmission.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transmission revenue from PJM, wholesale electric revenue, and mutual assistance revenue.</w:t>
      </w:r>
    </w:p>
    <w:p>
      <w:pPr>
        <w:pStyle w:val="TextBody"/>
        <w:bidi w:val="0"/>
        <w:spacing w:lineRule="auto" w:line="288" w:before="0" w:after="0"/>
        <w:ind w:left="0" w:right="0" w:hanging="360"/>
        <w:jc w:val="both"/>
        <w:rPr/>
      </w:pPr>
      <w:r>
        <w:rPr>
          <w:rFonts w:ascii="Times New Roman;serif" w:hAnsi="Times New Roman;serif"/>
          <w:b w:val="false"/>
          <w:color w:val="000000"/>
          <w:sz w:val="16"/>
        </w:rPr>
        <w:t xml:space="preserve">(c)Includes operating revenues from affiliates totaling $2 million and $1 million for the three months ended June 30, 2026 and 2025, respectively, and $4 million </w:t>
      </w:r>
      <w:r>
        <w:rPr>
          <w:rFonts w:ascii="Times New Roman;serif" w:hAnsi="Times New Roman;serif"/>
          <w:b w:val="false"/>
          <w:color w:val="000000"/>
          <w:sz w:val="20"/>
        </w:rPr>
        <w:t xml:space="preserve">and </w:t>
      </w:r>
      <w:r>
        <w:rPr>
          <w:rFonts w:ascii="Times New Roman;serif" w:hAnsi="Times New Roman;serif"/>
          <w:b w:val="false"/>
          <w:color w:val="000000"/>
          <w:sz w:val="16"/>
        </w:rPr>
        <w:t>$3 million for the six months ended June 30, 2026 and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(d)Includes alternative revenue programs and late payment charges.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(e)Reflects delivery volumes and revenues from customers purchasing natural gas directly from BGE and customers purchasing natural gas from a competitive natural gas supplier as all customers are assessed distribution charges. For customers purchasing natural gas from BGE, revenue also reflects the cost of natural gas.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(f)Includes revenues primarily from off-system sales.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(g)Includes operating revenues from affiliates totaling $1 million for both the three months ended June 30, 2026 and 2025, respectively, and $1 million for both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Pepco Statistics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Three Months Ended June 30, 2026 and 2025</w:t>
      </w:r>
    </w:p>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64"/>
        <w:gridCol w:w="806"/>
        <w:gridCol w:w="743"/>
        <w:gridCol w:w="278"/>
        <w:gridCol w:w="278"/>
        <w:gridCol w:w="156"/>
        <w:gridCol w:w="109"/>
        <w:gridCol w:w="109"/>
        <w:gridCol w:w="109"/>
        <w:gridCol w:w="278"/>
        <w:gridCol w:w="278"/>
        <w:gridCol w:w="156"/>
        <w:gridCol w:w="109"/>
        <w:gridCol w:w="109"/>
        <w:gridCol w:w="109"/>
        <w:gridCol w:w="221"/>
        <w:gridCol w:w="221"/>
        <w:gridCol w:w="459"/>
        <w:gridCol w:w="109"/>
        <w:gridCol w:w="109"/>
        <w:gridCol w:w="109"/>
        <w:gridCol w:w="221"/>
        <w:gridCol w:w="221"/>
        <w:gridCol w:w="459"/>
        <w:gridCol w:w="109"/>
        <w:gridCol w:w="109"/>
        <w:gridCol w:w="109"/>
        <w:gridCol w:w="196"/>
        <w:gridCol w:w="421"/>
        <w:gridCol w:w="109"/>
        <w:gridCol w:w="109"/>
        <w:gridCol w:w="109"/>
        <w:gridCol w:w="109"/>
        <w:gridCol w:w="196"/>
        <w:gridCol w:w="421"/>
        <w:gridCol w:w="109"/>
        <w:gridCol w:w="109"/>
        <w:gridCol w:w="109"/>
        <w:gridCol w:w="109"/>
        <w:gridCol w:w="263"/>
        <w:gridCol w:w="265"/>
        <w:gridCol w:w="524"/>
      </w:tblGrid>
      <w:tr>
        <w:trPr/>
        <w:tc>
          <w:tcPr>
            <w:tcW w:w="9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Deliveries (in GWhs)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Weather-</w:t>
              <w:br/>
              <w:t>Normal</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7836" w:type="dxa"/>
        <w:jc w:val="center"/>
        <w:tblInd w:w="0" w:type="dxa"/>
        <w:tblLayout w:type="fixed"/>
        <w:tblCellMar>
          <w:top w:w="28" w:type="dxa"/>
          <w:left w:w="28" w:type="dxa"/>
          <w:bottom w:w="28" w:type="dxa"/>
          <w:right w:w="28" w:type="dxa"/>
        </w:tblCellMar>
      </w:tblPr>
      <w:tblGrid>
        <w:gridCol w:w="946"/>
        <w:gridCol w:w="829"/>
        <w:gridCol w:w="834"/>
        <w:gridCol w:w="210"/>
        <w:gridCol w:w="211"/>
        <w:gridCol w:w="156"/>
        <w:gridCol w:w="109"/>
        <w:gridCol w:w="109"/>
        <w:gridCol w:w="109"/>
        <w:gridCol w:w="210"/>
        <w:gridCol w:w="211"/>
        <w:gridCol w:w="156"/>
        <w:gridCol w:w="109"/>
        <w:gridCol w:w="109"/>
        <w:gridCol w:w="109"/>
        <w:gridCol w:w="220"/>
        <w:gridCol w:w="220"/>
        <w:gridCol w:w="221"/>
        <w:gridCol w:w="109"/>
        <w:gridCol w:w="109"/>
        <w:gridCol w:w="109"/>
        <w:gridCol w:w="233"/>
        <w:gridCol w:w="233"/>
        <w:gridCol w:w="482"/>
        <w:gridCol w:w="109"/>
        <w:gridCol w:w="109"/>
        <w:gridCol w:w="109"/>
        <w:gridCol w:w="250"/>
        <w:gridCol w:w="25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Six Months Ended June 30, 2026 and 2025</w:t>
      </w:r>
    </w:p>
    <w:tbl>
      <w:tblPr>
        <w:tblW w:w="10205" w:type="dxa"/>
        <w:jc w:val="center"/>
        <w:tblInd w:w="0" w:type="dxa"/>
        <w:tblLayout w:type="fixed"/>
        <w:tblCellMar>
          <w:top w:w="28" w:type="dxa"/>
          <w:left w:w="28" w:type="dxa"/>
          <w:bottom w:w="28" w:type="dxa"/>
          <w:right w:w="28" w:type="dxa"/>
        </w:tblCellMar>
      </w:tblPr>
      <w:tblGrid>
        <w:gridCol w:w="947"/>
        <w:gridCol w:w="695"/>
        <w:gridCol w:w="481"/>
        <w:gridCol w:w="323"/>
        <w:gridCol w:w="323"/>
        <w:gridCol w:w="156"/>
        <w:gridCol w:w="109"/>
        <w:gridCol w:w="109"/>
        <w:gridCol w:w="109"/>
        <w:gridCol w:w="323"/>
        <w:gridCol w:w="323"/>
        <w:gridCol w:w="156"/>
        <w:gridCol w:w="109"/>
        <w:gridCol w:w="109"/>
        <w:gridCol w:w="109"/>
        <w:gridCol w:w="212"/>
        <w:gridCol w:w="212"/>
        <w:gridCol w:w="459"/>
        <w:gridCol w:w="109"/>
        <w:gridCol w:w="109"/>
        <w:gridCol w:w="109"/>
        <w:gridCol w:w="212"/>
        <w:gridCol w:w="212"/>
        <w:gridCol w:w="459"/>
        <w:gridCol w:w="109"/>
        <w:gridCol w:w="109"/>
        <w:gridCol w:w="109"/>
        <w:gridCol w:w="196"/>
        <w:gridCol w:w="556"/>
        <w:gridCol w:w="109"/>
        <w:gridCol w:w="109"/>
        <w:gridCol w:w="109"/>
        <w:gridCol w:w="109"/>
        <w:gridCol w:w="196"/>
        <w:gridCol w:w="556"/>
        <w:gridCol w:w="109"/>
        <w:gridCol w:w="109"/>
        <w:gridCol w:w="109"/>
        <w:gridCol w:w="109"/>
        <w:gridCol w:w="250"/>
        <w:gridCol w:w="251"/>
        <w:gridCol w:w="527"/>
      </w:tblGrid>
      <w:tr>
        <w:trPr/>
        <w:tc>
          <w:tcPr>
            <w:tcW w:w="94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Deliveries (in GWhs)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Weather-</w:t>
              <w:br/>
              <w:t>Normal</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8222" w:type="dxa"/>
        <w:jc w:val="center"/>
        <w:tblInd w:w="0" w:type="dxa"/>
        <w:tblLayout w:type="fixed"/>
        <w:tblCellMar>
          <w:top w:w="28" w:type="dxa"/>
          <w:left w:w="28" w:type="dxa"/>
          <w:bottom w:w="28" w:type="dxa"/>
          <w:right w:w="28" w:type="dxa"/>
        </w:tblCellMar>
      </w:tblPr>
      <w:tblGrid>
        <w:gridCol w:w="946"/>
        <w:gridCol w:w="829"/>
        <w:gridCol w:w="834"/>
        <w:gridCol w:w="278"/>
        <w:gridCol w:w="278"/>
        <w:gridCol w:w="156"/>
        <w:gridCol w:w="109"/>
        <w:gridCol w:w="109"/>
        <w:gridCol w:w="109"/>
        <w:gridCol w:w="278"/>
        <w:gridCol w:w="278"/>
        <w:gridCol w:w="156"/>
        <w:gridCol w:w="109"/>
        <w:gridCol w:w="109"/>
        <w:gridCol w:w="109"/>
        <w:gridCol w:w="278"/>
        <w:gridCol w:w="278"/>
        <w:gridCol w:w="221"/>
        <w:gridCol w:w="109"/>
        <w:gridCol w:w="109"/>
        <w:gridCol w:w="109"/>
        <w:gridCol w:w="233"/>
        <w:gridCol w:w="233"/>
        <w:gridCol w:w="482"/>
        <w:gridCol w:w="109"/>
        <w:gridCol w:w="109"/>
        <w:gridCol w:w="109"/>
        <w:gridCol w:w="250"/>
        <w:gridCol w:w="25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4853" w:type="dxa"/>
        <w:jc w:val="center"/>
        <w:tblInd w:w="0" w:type="dxa"/>
        <w:tblLayout w:type="fixed"/>
        <w:tblCellMar>
          <w:top w:w="28" w:type="dxa"/>
          <w:left w:w="28" w:type="dxa"/>
          <w:bottom w:w="28" w:type="dxa"/>
          <w:right w:w="28" w:type="dxa"/>
        </w:tblCellMar>
      </w:tblPr>
      <w:tblGrid>
        <w:gridCol w:w="973"/>
        <w:gridCol w:w="854"/>
        <w:gridCol w:w="858"/>
        <w:gridCol w:w="368"/>
        <w:gridCol w:w="368"/>
        <w:gridCol w:w="156"/>
        <w:gridCol w:w="109"/>
        <w:gridCol w:w="109"/>
        <w:gridCol w:w="109"/>
        <w:gridCol w:w="368"/>
        <w:gridCol w:w="368"/>
        <w:gridCol w:w="213"/>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Electric Customers</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887,885 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883,151 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965,393 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960,483 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revenues from customers purchasing electricity directly from Pepco and customers purchasing electricity from a competitive electric generation supplier as all customers are assessed distribution charges. For customers purchasing electricity from Pepco, revenues also reflect the cost of energy and transmission.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transmission revenue from PJM, wholesale electric revenue, and mutual assistance revenue.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(c)Includes operating revenues from affiliates totaling $1 million for both the three months ended June 30, 2026 and 2025, respectively, and $4 million for both the six months ended June 30, 2026 and 2025,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(d)Includes alternative revenue programs and late payment charge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DPL Statistics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Three Months Ended June 30, 2026 and 2025</w:t>
      </w:r>
    </w:p>
    <w:tbl>
      <w:tblPr>
        <w:tblW w:w="10205" w:type="dxa"/>
        <w:jc w:val="center"/>
        <w:tblInd w:w="0" w:type="dxa"/>
        <w:tblLayout w:type="fixed"/>
        <w:tblCellMar>
          <w:top w:w="28" w:type="dxa"/>
          <w:left w:w="28" w:type="dxa"/>
          <w:bottom w:w="28" w:type="dxa"/>
          <w:right w:w="28" w:type="dxa"/>
        </w:tblCellMar>
      </w:tblPr>
      <w:tblGrid>
        <w:gridCol w:w="975"/>
        <w:gridCol w:w="742"/>
        <w:gridCol w:w="456"/>
        <w:gridCol w:w="278"/>
        <w:gridCol w:w="278"/>
        <w:gridCol w:w="156"/>
        <w:gridCol w:w="110"/>
        <w:gridCol w:w="110"/>
        <w:gridCol w:w="110"/>
        <w:gridCol w:w="278"/>
        <w:gridCol w:w="278"/>
        <w:gridCol w:w="156"/>
        <w:gridCol w:w="110"/>
        <w:gridCol w:w="110"/>
        <w:gridCol w:w="110"/>
        <w:gridCol w:w="294"/>
        <w:gridCol w:w="296"/>
        <w:gridCol w:w="459"/>
        <w:gridCol w:w="110"/>
        <w:gridCol w:w="110"/>
        <w:gridCol w:w="110"/>
        <w:gridCol w:w="294"/>
        <w:gridCol w:w="296"/>
        <w:gridCol w:w="461"/>
        <w:gridCol w:w="109"/>
        <w:gridCol w:w="109"/>
        <w:gridCol w:w="109"/>
        <w:gridCol w:w="196"/>
        <w:gridCol w:w="421"/>
        <w:gridCol w:w="109"/>
        <w:gridCol w:w="109"/>
        <w:gridCol w:w="109"/>
        <w:gridCol w:w="109"/>
        <w:gridCol w:w="196"/>
        <w:gridCol w:w="421"/>
        <w:gridCol w:w="109"/>
        <w:gridCol w:w="109"/>
        <w:gridCol w:w="109"/>
        <w:gridCol w:w="109"/>
        <w:gridCol w:w="277"/>
        <w:gridCol w:w="279"/>
        <w:gridCol w:w="529"/>
      </w:tblGrid>
      <w:tr>
        <w:trPr/>
        <w:tc>
          <w:tcPr>
            <w:tcW w:w="97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and Natural Gas Deliveries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Weather - </w:t>
              <w:br/>
              <w:t xml:space="preserve">Normal </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Electric (in GWhs)</w:t>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(in mmcfs)</w:t>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Natural Gas Deliveries and Revenues</w:t>
            </w:r>
            <w:r>
              <w:rPr>
                <w:rFonts w:ascii="Times New Roman;serif" w:hAnsi="Times New Roman;serif"/>
                <w:b/>
                <w:color w:val="000000"/>
                <w:sz w:val="10"/>
              </w:rPr>
              <w:t>(e)</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(f)</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revenues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revenues</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92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and natural gas revenues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 and Fuel</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7842" w:type="dxa"/>
        <w:jc w:val="center"/>
        <w:tblInd w:w="0" w:type="dxa"/>
        <w:tblLayout w:type="fixed"/>
        <w:tblCellMar>
          <w:top w:w="28" w:type="dxa"/>
          <w:left w:w="28" w:type="dxa"/>
          <w:bottom w:w="28" w:type="dxa"/>
          <w:right w:w="28" w:type="dxa"/>
        </w:tblCellMar>
      </w:tblPr>
      <w:tblGrid>
        <w:gridCol w:w="946"/>
        <w:gridCol w:w="830"/>
        <w:gridCol w:w="833"/>
        <w:gridCol w:w="210"/>
        <w:gridCol w:w="211"/>
        <w:gridCol w:w="156"/>
        <w:gridCol w:w="109"/>
        <w:gridCol w:w="109"/>
        <w:gridCol w:w="109"/>
        <w:gridCol w:w="210"/>
        <w:gridCol w:w="211"/>
        <w:gridCol w:w="156"/>
        <w:gridCol w:w="109"/>
        <w:gridCol w:w="109"/>
        <w:gridCol w:w="109"/>
        <w:gridCol w:w="220"/>
        <w:gridCol w:w="220"/>
        <w:gridCol w:w="221"/>
        <w:gridCol w:w="109"/>
        <w:gridCol w:w="109"/>
        <w:gridCol w:w="109"/>
        <w:gridCol w:w="216"/>
        <w:gridCol w:w="216"/>
        <w:gridCol w:w="482"/>
        <w:gridCol w:w="109"/>
        <w:gridCol w:w="109"/>
        <w:gridCol w:w="109"/>
        <w:gridCol w:w="270"/>
        <w:gridCol w:w="27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Electric Service Territory</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7557" w:type="dxa"/>
        <w:jc w:val="center"/>
        <w:tblInd w:w="0" w:type="dxa"/>
        <w:tblLayout w:type="fixed"/>
        <w:tblCellMar>
          <w:top w:w="28" w:type="dxa"/>
          <w:left w:w="28" w:type="dxa"/>
          <w:bottom w:w="28" w:type="dxa"/>
          <w:right w:w="28" w:type="dxa"/>
        </w:tblCellMar>
      </w:tblPr>
      <w:tblGrid>
        <w:gridCol w:w="843"/>
        <w:gridCol w:w="739"/>
        <w:gridCol w:w="742"/>
        <w:gridCol w:w="210"/>
        <w:gridCol w:w="211"/>
        <w:gridCol w:w="156"/>
        <w:gridCol w:w="109"/>
        <w:gridCol w:w="109"/>
        <w:gridCol w:w="109"/>
        <w:gridCol w:w="210"/>
        <w:gridCol w:w="211"/>
        <w:gridCol w:w="156"/>
        <w:gridCol w:w="109"/>
        <w:gridCol w:w="109"/>
        <w:gridCol w:w="109"/>
        <w:gridCol w:w="220"/>
        <w:gridCol w:w="220"/>
        <w:gridCol w:w="221"/>
        <w:gridCol w:w="109"/>
        <w:gridCol w:w="109"/>
        <w:gridCol w:w="109"/>
        <w:gridCol w:w="216"/>
        <w:gridCol w:w="216"/>
        <w:gridCol w:w="482"/>
        <w:gridCol w:w="109"/>
        <w:gridCol w:w="109"/>
        <w:gridCol w:w="109"/>
        <w:gridCol w:w="270"/>
        <w:gridCol w:w="270"/>
        <w:gridCol w:w="65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Service Territory</w:t>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Degree-Days</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Six Months Ended June 30, 2026 and 2025</w:t>
      </w:r>
    </w:p>
    <w:tbl>
      <w:tblPr>
        <w:tblW w:w="10205" w:type="dxa"/>
        <w:jc w:val="center"/>
        <w:tblInd w:w="0" w:type="dxa"/>
        <w:tblLayout w:type="fixed"/>
        <w:tblCellMar>
          <w:top w:w="28" w:type="dxa"/>
          <w:left w:w="28" w:type="dxa"/>
          <w:bottom w:w="28" w:type="dxa"/>
          <w:right w:w="28" w:type="dxa"/>
        </w:tblCellMar>
      </w:tblPr>
      <w:tblGrid>
        <w:gridCol w:w="945"/>
        <w:gridCol w:w="674"/>
        <w:gridCol w:w="280"/>
        <w:gridCol w:w="323"/>
        <w:gridCol w:w="323"/>
        <w:gridCol w:w="156"/>
        <w:gridCol w:w="109"/>
        <w:gridCol w:w="109"/>
        <w:gridCol w:w="109"/>
        <w:gridCol w:w="323"/>
        <w:gridCol w:w="323"/>
        <w:gridCol w:w="156"/>
        <w:gridCol w:w="109"/>
        <w:gridCol w:w="109"/>
        <w:gridCol w:w="109"/>
        <w:gridCol w:w="287"/>
        <w:gridCol w:w="288"/>
        <w:gridCol w:w="459"/>
        <w:gridCol w:w="109"/>
        <w:gridCol w:w="109"/>
        <w:gridCol w:w="109"/>
        <w:gridCol w:w="287"/>
        <w:gridCol w:w="288"/>
        <w:gridCol w:w="459"/>
        <w:gridCol w:w="109"/>
        <w:gridCol w:w="109"/>
        <w:gridCol w:w="109"/>
        <w:gridCol w:w="196"/>
        <w:gridCol w:w="556"/>
        <w:gridCol w:w="109"/>
        <w:gridCol w:w="109"/>
        <w:gridCol w:w="109"/>
        <w:gridCol w:w="109"/>
        <w:gridCol w:w="196"/>
        <w:gridCol w:w="421"/>
        <w:gridCol w:w="109"/>
        <w:gridCol w:w="109"/>
        <w:gridCol w:w="109"/>
        <w:gridCol w:w="109"/>
        <w:gridCol w:w="277"/>
        <w:gridCol w:w="279"/>
        <w:gridCol w:w="529"/>
      </w:tblGrid>
      <w:tr>
        <w:trPr/>
        <w:tc>
          <w:tcPr>
            <w:tcW w:w="94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and Natural Gas Deliveries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Weather - </w:t>
              <w:br/>
              <w:t xml:space="preserve">Normal </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Electric (in GWhs)</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(in mmcfs)</w:t>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Natural Gas Deliveries and Revenues</w:t>
            </w:r>
            <w:r>
              <w:rPr>
                <w:rFonts w:ascii="Times New Roman;serif" w:hAnsi="Times New Roman;serif"/>
                <w:b/>
                <w:color w:val="000000"/>
                <w:sz w:val="10"/>
              </w:rPr>
              <w:t>(e)</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(f)</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revenues</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natural gas revenues</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383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and 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Purchased Power and Fuel</w:t>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8188" w:type="dxa"/>
        <w:jc w:val="center"/>
        <w:tblInd w:w="0" w:type="dxa"/>
        <w:tblLayout w:type="fixed"/>
        <w:tblCellMar>
          <w:top w:w="28" w:type="dxa"/>
          <w:left w:w="28" w:type="dxa"/>
          <w:bottom w:w="28" w:type="dxa"/>
          <w:right w:w="28" w:type="dxa"/>
        </w:tblCellMar>
      </w:tblPr>
      <w:tblGrid>
        <w:gridCol w:w="946"/>
        <w:gridCol w:w="830"/>
        <w:gridCol w:w="833"/>
        <w:gridCol w:w="278"/>
        <w:gridCol w:w="278"/>
        <w:gridCol w:w="156"/>
        <w:gridCol w:w="109"/>
        <w:gridCol w:w="109"/>
        <w:gridCol w:w="109"/>
        <w:gridCol w:w="278"/>
        <w:gridCol w:w="278"/>
        <w:gridCol w:w="156"/>
        <w:gridCol w:w="109"/>
        <w:gridCol w:w="109"/>
        <w:gridCol w:w="109"/>
        <w:gridCol w:w="278"/>
        <w:gridCol w:w="278"/>
        <w:gridCol w:w="221"/>
        <w:gridCol w:w="109"/>
        <w:gridCol w:w="109"/>
        <w:gridCol w:w="109"/>
        <w:gridCol w:w="216"/>
        <w:gridCol w:w="216"/>
        <w:gridCol w:w="482"/>
        <w:gridCol w:w="109"/>
        <w:gridCol w:w="109"/>
        <w:gridCol w:w="109"/>
        <w:gridCol w:w="250"/>
        <w:gridCol w:w="25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Electric Service Territory</w:t>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7903" w:type="dxa"/>
        <w:jc w:val="center"/>
        <w:tblInd w:w="0" w:type="dxa"/>
        <w:tblLayout w:type="fixed"/>
        <w:tblCellMar>
          <w:top w:w="28" w:type="dxa"/>
          <w:left w:w="28" w:type="dxa"/>
          <w:bottom w:w="28" w:type="dxa"/>
          <w:right w:w="28" w:type="dxa"/>
        </w:tblCellMar>
      </w:tblPr>
      <w:tblGrid>
        <w:gridCol w:w="843"/>
        <w:gridCol w:w="739"/>
        <w:gridCol w:w="742"/>
        <w:gridCol w:w="278"/>
        <w:gridCol w:w="278"/>
        <w:gridCol w:w="156"/>
        <w:gridCol w:w="109"/>
        <w:gridCol w:w="109"/>
        <w:gridCol w:w="109"/>
        <w:gridCol w:w="278"/>
        <w:gridCol w:w="278"/>
        <w:gridCol w:w="156"/>
        <w:gridCol w:w="109"/>
        <w:gridCol w:w="109"/>
        <w:gridCol w:w="109"/>
        <w:gridCol w:w="278"/>
        <w:gridCol w:w="278"/>
        <w:gridCol w:w="221"/>
        <w:gridCol w:w="109"/>
        <w:gridCol w:w="109"/>
        <w:gridCol w:w="109"/>
        <w:gridCol w:w="216"/>
        <w:gridCol w:w="216"/>
        <w:gridCol w:w="482"/>
        <w:gridCol w:w="109"/>
        <w:gridCol w:w="109"/>
        <w:gridCol w:w="109"/>
        <w:gridCol w:w="250"/>
        <w:gridCol w:w="250"/>
        <w:gridCol w:w="656"/>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Natural Gas Service Territory</w:t>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Degree-Days</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9931" w:type="dxa"/>
        <w:jc w:val="left"/>
        <w:tblInd w:w="0" w:type="dxa"/>
        <w:tblLayout w:type="fixed"/>
        <w:tblCellMar>
          <w:top w:w="28" w:type="dxa"/>
          <w:left w:w="28" w:type="dxa"/>
          <w:bottom w:w="28" w:type="dxa"/>
          <w:right w:w="28" w:type="dxa"/>
        </w:tblCellMar>
      </w:tblPr>
      <w:tblGrid>
        <w:gridCol w:w="973"/>
        <w:gridCol w:w="854"/>
        <w:gridCol w:w="858"/>
        <w:gridCol w:w="368"/>
        <w:gridCol w:w="368"/>
        <w:gridCol w:w="156"/>
        <w:gridCol w:w="109"/>
        <w:gridCol w:w="109"/>
        <w:gridCol w:w="109"/>
        <w:gridCol w:w="368"/>
        <w:gridCol w:w="368"/>
        <w:gridCol w:w="156"/>
        <w:gridCol w:w="109"/>
        <w:gridCol w:w="109"/>
        <w:gridCol w:w="109"/>
        <w:gridCol w:w="879"/>
        <w:gridCol w:w="879"/>
        <w:gridCol w:w="882"/>
        <w:gridCol w:w="368"/>
        <w:gridCol w:w="368"/>
        <w:gridCol w:w="156"/>
        <w:gridCol w:w="109"/>
        <w:gridCol w:w="109"/>
        <w:gridCol w:w="109"/>
        <w:gridCol w:w="368"/>
        <w:gridCol w:w="368"/>
        <w:gridCol w:w="213"/>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Electric Customers</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Natural Gas Customers</w:t>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492,999 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131,332 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Transportation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564,146 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560,057 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142,332 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141,653 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delivery volumes and revenues from customers purchasing electricity directly from DPL and customers purchasing electricity from a competitive electric generation supplier as all customers are assessed distribution charges. For customers purchasing electricity from DPL, revenues also reflect the cost of energy and transmission.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transmission revenue from PJM, wholesale electric revenue, and mutual assistance revenue.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(c)Includes operating revenues from affiliates totaling $2 million for both the three months ended June 30, 2026 and 2025, and $4 million for both the six months ended June 30, 2026 and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(d)Includes alternative revenue programs and late payment charges.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(e)Reflects delivery volumes and revenues from customers purchasing natural gas directly from DPL and customers purchasing natural gas from a competitive natural gas supplier as all customers are assessed distribution charges. For customers purchasing natural gas from DPL, revenue also reflects the cost of natural gas.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(f)Includes revenues primarily from off-system sales.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4126c17283a446b951fc970266b408d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ACE Statistics</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Three Months Ended June 30, 2026 and 2025</w:t>
      </w:r>
    </w:p>
    <w:tbl>
      <w:tblPr>
        <w:tblW w:w="10205" w:type="dxa"/>
        <w:jc w:val="center"/>
        <w:tblInd w:w="0" w:type="dxa"/>
        <w:tblLayout w:type="fixed"/>
        <w:tblCellMar>
          <w:top w:w="28" w:type="dxa"/>
          <w:left w:w="28" w:type="dxa"/>
          <w:bottom w:w="28" w:type="dxa"/>
          <w:right w:w="28" w:type="dxa"/>
        </w:tblCellMar>
      </w:tblPr>
      <w:tblGrid>
        <w:gridCol w:w="964"/>
        <w:gridCol w:w="805"/>
        <w:gridCol w:w="740"/>
        <w:gridCol w:w="277"/>
        <w:gridCol w:w="279"/>
        <w:gridCol w:w="156"/>
        <w:gridCol w:w="109"/>
        <w:gridCol w:w="109"/>
        <w:gridCol w:w="109"/>
        <w:gridCol w:w="277"/>
        <w:gridCol w:w="279"/>
        <w:gridCol w:w="156"/>
        <w:gridCol w:w="109"/>
        <w:gridCol w:w="109"/>
        <w:gridCol w:w="109"/>
        <w:gridCol w:w="221"/>
        <w:gridCol w:w="221"/>
        <w:gridCol w:w="459"/>
        <w:gridCol w:w="109"/>
        <w:gridCol w:w="109"/>
        <w:gridCol w:w="109"/>
        <w:gridCol w:w="221"/>
        <w:gridCol w:w="221"/>
        <w:gridCol w:w="464"/>
        <w:gridCol w:w="109"/>
        <w:gridCol w:w="109"/>
        <w:gridCol w:w="109"/>
        <w:gridCol w:w="196"/>
        <w:gridCol w:w="421"/>
        <w:gridCol w:w="109"/>
        <w:gridCol w:w="109"/>
        <w:gridCol w:w="109"/>
        <w:gridCol w:w="109"/>
        <w:gridCol w:w="196"/>
        <w:gridCol w:w="421"/>
        <w:gridCol w:w="109"/>
        <w:gridCol w:w="109"/>
        <w:gridCol w:w="109"/>
        <w:gridCol w:w="109"/>
        <w:gridCol w:w="263"/>
        <w:gridCol w:w="265"/>
        <w:gridCol w:w="523"/>
      </w:tblGrid>
      <w:tr>
        <w:trPr/>
        <w:tc>
          <w:tcPr>
            <w:tcW w:w="9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Deliveries (in GWhs)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Weather - </w:t>
              <w:br/>
              <w:t xml:space="preserve">Normal </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Purchased Power </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7836" w:type="dxa"/>
        <w:jc w:val="center"/>
        <w:tblInd w:w="0" w:type="dxa"/>
        <w:tblLayout w:type="fixed"/>
        <w:tblCellMar>
          <w:top w:w="28" w:type="dxa"/>
          <w:left w:w="28" w:type="dxa"/>
          <w:bottom w:w="28" w:type="dxa"/>
          <w:right w:w="28" w:type="dxa"/>
        </w:tblCellMar>
      </w:tblPr>
      <w:tblGrid>
        <w:gridCol w:w="946"/>
        <w:gridCol w:w="829"/>
        <w:gridCol w:w="834"/>
        <w:gridCol w:w="210"/>
        <w:gridCol w:w="211"/>
        <w:gridCol w:w="156"/>
        <w:gridCol w:w="109"/>
        <w:gridCol w:w="109"/>
        <w:gridCol w:w="109"/>
        <w:gridCol w:w="210"/>
        <w:gridCol w:w="211"/>
        <w:gridCol w:w="156"/>
        <w:gridCol w:w="109"/>
        <w:gridCol w:w="109"/>
        <w:gridCol w:w="109"/>
        <w:gridCol w:w="220"/>
        <w:gridCol w:w="220"/>
        <w:gridCol w:w="221"/>
        <w:gridCol w:w="109"/>
        <w:gridCol w:w="109"/>
        <w:gridCol w:w="109"/>
        <w:gridCol w:w="233"/>
        <w:gridCol w:w="233"/>
        <w:gridCol w:w="482"/>
        <w:gridCol w:w="109"/>
        <w:gridCol w:w="109"/>
        <w:gridCol w:w="109"/>
        <w:gridCol w:w="250"/>
        <w:gridCol w:w="25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Six Months Ended June 30, 2026 and 2025</w:t>
      </w:r>
    </w:p>
    <w:tbl>
      <w:tblPr>
        <w:tblW w:w="10205" w:type="dxa"/>
        <w:jc w:val="center"/>
        <w:tblInd w:w="0" w:type="dxa"/>
        <w:tblLayout w:type="fixed"/>
        <w:tblCellMar>
          <w:top w:w="28" w:type="dxa"/>
          <w:left w:w="28" w:type="dxa"/>
          <w:bottom w:w="28" w:type="dxa"/>
          <w:right w:w="28" w:type="dxa"/>
        </w:tblCellMar>
      </w:tblPr>
      <w:tblGrid>
        <w:gridCol w:w="964"/>
        <w:gridCol w:w="805"/>
        <w:gridCol w:w="740"/>
        <w:gridCol w:w="278"/>
        <w:gridCol w:w="278"/>
        <w:gridCol w:w="156"/>
        <w:gridCol w:w="109"/>
        <w:gridCol w:w="109"/>
        <w:gridCol w:w="109"/>
        <w:gridCol w:w="278"/>
        <w:gridCol w:w="278"/>
        <w:gridCol w:w="156"/>
        <w:gridCol w:w="109"/>
        <w:gridCol w:w="109"/>
        <w:gridCol w:w="109"/>
        <w:gridCol w:w="221"/>
        <w:gridCol w:w="221"/>
        <w:gridCol w:w="459"/>
        <w:gridCol w:w="109"/>
        <w:gridCol w:w="109"/>
        <w:gridCol w:w="109"/>
        <w:gridCol w:w="221"/>
        <w:gridCol w:w="221"/>
        <w:gridCol w:w="464"/>
        <w:gridCol w:w="109"/>
        <w:gridCol w:w="109"/>
        <w:gridCol w:w="109"/>
        <w:gridCol w:w="196"/>
        <w:gridCol w:w="421"/>
        <w:gridCol w:w="109"/>
        <w:gridCol w:w="109"/>
        <w:gridCol w:w="109"/>
        <w:gridCol w:w="109"/>
        <w:gridCol w:w="196"/>
        <w:gridCol w:w="421"/>
        <w:gridCol w:w="109"/>
        <w:gridCol w:w="109"/>
        <w:gridCol w:w="109"/>
        <w:gridCol w:w="109"/>
        <w:gridCol w:w="263"/>
        <w:gridCol w:w="265"/>
        <w:gridCol w:w="523"/>
      </w:tblGrid>
      <w:tr>
        <w:trPr/>
        <w:tc>
          <w:tcPr>
            <w:tcW w:w="96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Electric Deliveries (in GWhs)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(in millions)</w:t>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Weather - </w:t>
              <w:br/>
              <w:t xml:space="preserve">Normal </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Electric Deliveries and Revenues</w:t>
            </w:r>
            <w:r>
              <w:rPr>
                <w:rFonts w:ascii="Times New Roman;serif" w:hAnsi="Times New Roman;serif"/>
                <w:b/>
                <w:color w:val="000000"/>
                <w:sz w:val="10"/>
              </w:rPr>
              <w:t>(a)</w:t>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45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w:t>
            </w:r>
            <w:r>
              <w:rPr>
                <w:rFonts w:ascii="Times New Roman;serif" w:hAnsi="Times New Roman;serif"/>
                <w:b w:val="false"/>
                <w:color w:val="000000"/>
                <w:sz w:val="10"/>
              </w:rPr>
              <w:t>(b)</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Total electric revenues</w:t>
            </w:r>
            <w:r>
              <w:rPr>
                <w:rFonts w:ascii="Times New Roman;serif" w:hAnsi="Times New Roman;serif"/>
                <w:b w:val="false"/>
                <w:color w:val="000000"/>
                <w:sz w:val="10"/>
              </w:rPr>
              <w:t>(c)</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Other Revenues</w:t>
            </w:r>
            <w:r>
              <w:rPr>
                <w:rFonts w:ascii="Times New Roman;serif" w:hAnsi="Times New Roman;serif"/>
                <w:b/>
                <w:color w:val="000000"/>
                <w:sz w:val="10"/>
              </w:rPr>
              <w:t>(d)</w:t>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electric revenues</w:t>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Purchased Power </w:t>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8239" w:type="dxa"/>
        <w:jc w:val="center"/>
        <w:tblInd w:w="0" w:type="dxa"/>
        <w:tblLayout w:type="fixed"/>
        <w:tblCellMar>
          <w:top w:w="28" w:type="dxa"/>
          <w:left w:w="28" w:type="dxa"/>
          <w:bottom w:w="28" w:type="dxa"/>
          <w:right w:w="28" w:type="dxa"/>
        </w:tblCellMar>
      </w:tblPr>
      <w:tblGrid>
        <w:gridCol w:w="946"/>
        <w:gridCol w:w="829"/>
        <w:gridCol w:w="834"/>
        <w:gridCol w:w="278"/>
        <w:gridCol w:w="278"/>
        <w:gridCol w:w="156"/>
        <w:gridCol w:w="109"/>
        <w:gridCol w:w="109"/>
        <w:gridCol w:w="109"/>
        <w:gridCol w:w="278"/>
        <w:gridCol w:w="278"/>
        <w:gridCol w:w="156"/>
        <w:gridCol w:w="109"/>
        <w:gridCol w:w="109"/>
        <w:gridCol w:w="109"/>
        <w:gridCol w:w="278"/>
        <w:gridCol w:w="278"/>
        <w:gridCol w:w="221"/>
        <w:gridCol w:w="109"/>
        <w:gridCol w:w="109"/>
        <w:gridCol w:w="109"/>
        <w:gridCol w:w="267"/>
        <w:gridCol w:w="216"/>
        <w:gridCol w:w="482"/>
        <w:gridCol w:w="109"/>
        <w:gridCol w:w="109"/>
        <w:gridCol w:w="109"/>
        <w:gridCol w:w="250"/>
        <w:gridCol w:w="250"/>
        <w:gridCol w:w="656"/>
      </w:tblGrid>
      <w:tr>
        <w:trPr/>
        <w:tc>
          <w:tcPr>
            <w:tcW w:w="9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Heating and Cooling Degree-Days</w:t>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Normal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From Normal</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Heating Degree-Days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Cooling Degree-Days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center"/>
        <w:rPr/>
      </w:pPr>
      <w:r>
        <w:rPr/>
      </w:r>
    </w:p>
    <w:tbl>
      <w:tblPr>
        <w:tblW w:w="5180" w:type="dxa"/>
        <w:jc w:val="center"/>
        <w:tblInd w:w="0" w:type="dxa"/>
        <w:tblLayout w:type="fixed"/>
        <w:tblCellMar>
          <w:top w:w="28" w:type="dxa"/>
          <w:left w:w="28" w:type="dxa"/>
          <w:bottom w:w="28" w:type="dxa"/>
          <w:right w:w="28" w:type="dxa"/>
        </w:tblCellMar>
      </w:tblPr>
      <w:tblGrid>
        <w:gridCol w:w="973"/>
        <w:gridCol w:w="854"/>
        <w:gridCol w:w="858"/>
        <w:gridCol w:w="109"/>
        <w:gridCol w:w="109"/>
        <w:gridCol w:w="109"/>
        <w:gridCol w:w="368"/>
        <w:gridCol w:w="368"/>
        <w:gridCol w:w="156"/>
        <w:gridCol w:w="109"/>
        <w:gridCol w:w="109"/>
        <w:gridCol w:w="109"/>
        <w:gridCol w:w="368"/>
        <w:gridCol w:w="368"/>
        <w:gridCol w:w="213"/>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Number of Electric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511,568 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508,775 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 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Public authorities &amp; electric railroads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578,070 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575,124 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(a)Reflects delivery volumes and revenues from customers purchasing electricity directly from ACE and customers purchasing electricity from a competitive electric generation supplier as all customers are assessed distribution charges. For customers purchasing electricity from ACE, revenues also reflect the cost of energy and transmission.</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(b)Includes transmission revenue from PJM, wholesale electric revenue, and mutual assistance revenue.</w:t>
      </w:r>
    </w:p>
    <w:p>
      <w:pPr>
        <w:pStyle w:val="TextBody"/>
        <w:bidi w:val="0"/>
        <w:spacing w:lineRule="auto" w:line="288" w:before="0" w:after="0"/>
        <w:ind w:left="0" w:right="0" w:hanging="360"/>
        <w:jc w:val="both"/>
        <w:rPr/>
      </w:pPr>
      <w:r>
        <w:rPr>
          <w:rFonts w:ascii="Times New Roman;serif" w:hAnsi="Times New Roman;serif"/>
          <w:b w:val="false"/>
          <w:color w:val="000000"/>
          <w:sz w:val="16"/>
        </w:rPr>
        <w:t>(c)Includes operating revenues from affiliates totaling $1 million and less than $1 million</w:t>
      </w:r>
      <w:r>
        <w:rPr>
          <w:color w:val="000000"/>
        </w:rPr>
        <w:t xml:space="preserve"> </w:t>
      </w:r>
      <w:r>
        <w:rPr>
          <w:rFonts w:ascii="Times New Roman;serif" w:hAnsi="Times New Roman;serif"/>
          <w:b w:val="false"/>
          <w:color w:val="000000"/>
          <w:sz w:val="16"/>
        </w:rPr>
        <w:t>for the three months ended June 30, 2026 and 2025, respectively, and $2 million and $1 million for the six months ended June 30, 2026 and 2025,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(d)Includes alternative revenue programs.</w:t>
      </w:r>
    </w:p>
    <w:p>
      <w:pPr>
        <w:pStyle w:val="TextBody"/>
        <w:bidi w:val="0"/>
        <w:spacing w:before="0" w:after="0"/>
        <w:jc w:val="both"/>
        <w:rPr/>
      </w:pPr>
      <w:r>
        <w:rPr/>
      </w:r>
    </w:p>
    <w:p>
      <w:pPr>
        <w:pStyle w:val="TextBody"/>
        <w:bidi w:val="0"/>
        <w:jc w:val="both"/>
        <w:rPr/>
      </w:pPr>
      <w:r>
        <w:rPr/>
      </w:r>
    </w:p>
    <w:p>
      <w:pPr>
        <w:pStyle w:val="TextBody"/>
        <w:bidi w:val="0"/>
        <w:spacing w:before="0" w:after="0"/>
        <w:jc w:val="center"/>
        <w:rPr/>
      </w:pPr>
      <w:bookmarkStart w:id="0" w:name="exc-20260730ex992.htm"/>
      <w:bookmarkStart w:id="1" w:name="ksexc20260730ex992"/>
      <w:bookmarkEnd w:id="0"/>
      <w:bookmarkEnd w:id="1"/>
      <w:r>
        <w:rPr/>
        <w:drawing>
          <wp:inline distT="0" distB="0" distL="0" distR="0">
            <wp:extent cx="9753600" cy="5486400"/>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jc w:val="center"/>
        <w:rPr>
          <w:color w:val="FFFFFF"/>
          <w:sz w:val="2"/>
        </w:rPr>
      </w:pPr>
      <w:r>
        <w:rPr>
          <w:color w:val="FFFFFF"/>
          <w:sz w:val="2"/>
        </w:rPr>
        <w:t xml:space="preserve">July 30, 2026 Earnings Conference Call Second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Cautionary Statements Regarding Forward-Looking Information This presentation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 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physical security and cybersecurity risks; extreme weather events, natural disasters, operational accidents such as wildfires or natural gas explosions, war, acts and threats of terrorism, public health crises, epidemics, pandemics, or other significant events; disruptions or cost increases in the supply chain, including shortages in labor, materials or parts, or significant increases in relevant tariffs; lack of sufficient power generation resources to meet actual or forecasted demand or disruptions at generation facilities owned by third parties; emerging technologies that could affect or transform the energy industry; instability in capital and credit markets; a downgrade of any Registrant’s credit ratings or other failure to satisfy the credit standards in the Registrants’ agreements or regulatory financial requirements; significant economic downturns or increases in customer rates; impacts of climate change and weather on energy usage and maintenance and capital costs; and impairment of long-lived assets, goodwill, and other assets. 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in the 2025 Form 10-K filed by the Registrants, including in Part I, ITEM 1A. Risk Factors, and this Report including in Part II, ITEM 1A. Risk Factors, and in other reports filed by the Registrants from time to time with the SEC. Investors are cautioned not to place undue reliance on these forward-looking statements, which apply only as of the date of this presentation. None of the Registrants undertakes any obligation to publicly release any revision to its forward-looking statements to reflect events or circumstances after the date of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Non-GAAP Financial Measures Exelon reports its financial results in accordance with accounting principles generally accepted in the United States (GAAP). Exelon supplements the reporting of financial information determined in accordance with GAAP with certain non-GAAP financial measures, including: • Adjusted operating earnings (operating EPS) excludes certain costs, expenses, gains, and losses and other specified items that are considered by management to be not directly related to the ongoing operations of the business as described in Reconciliation of Non-GAAP Measures. • Adjusted operating and maintenance (O&amp;M) expense excludes regulatory operating and maintenance costs for the utility businesses and certain excluded items. • Operating ROE is calculated using operating net income divided by average equity for the period. The operating income reflects all lines of business for the utility business (gas distribution, electric transmission, and electric distribution). • S&amp;P FFO/Debt and Moody’s CFO (Pre-WC)/Debt are calculated using the respective S&amp;P and Moody’s methodologies described in Reconciliation of Non-GAAP Measures. Due to the forward-looking nature of some forecasted non-GAAP measures, information to reconcile the forecasted adjusted (non-GAAP) measures to the most directly comparable GAAP measure may not be currently available, therefore, management is unable to reconcile these measures. This information is intended to enhance an investor’s overall understanding of period over period financial results and provide an indication of Exelon’s baseline operating performance by excluding items that are considered by management to be not directly related to the ongoing operations of the business. In addition, this information is among the primary indicators management uses as a basis for evaluating performance, allocating resources, setting incentive compensation targets, and planning and forecasting of future periods. These non-GAAP financial measures are not a presentation defined under GAAP and may not be comparable to other companies’ presentations. Exelon has provided these non- GAAP financial measures as supplemental information and in addition to the financial measures that are calculated and presented in accordance with GAAP. These non-GAAP measures should not be deemed more useful than, a substitute for, or an alternative to the most comparable GAAP measures provided in the materials presented. Non-GAAP financial measures are identified by the phrase “non-GAAP” or an asterisk (*). Reconciliations of these non-GAAP measures to the most comparable GAAP measures are provided in this presentation in Reconciliation of Non-GAAP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Key Messages Financial and Operational Excellence Regulatory &amp; Other Developments Long-Term Outlook ▪ Adjusted Operating Earnings* of $0.43 per share in Q2 2026 vs. $0.39 per share in Q2 2025 ▪ GAAP Earnings of $0.39 per share in Q2 2026 vs. $0.39 per share in Q2 2025 ▪ Affirming 2026 EPS* of $2.81 - $2.91 per share(1) ▪ All utilities projecting top quartile or better in reliability performance ▪ BGE filed its electric rate case in July; Pepco MD and DPL DE rate cases remain on track ▪ ACE filed a battery storage solution where customer benefits exceed total lifecycle costs ▪ FERC-endorsed TSA framework protects customers while improving queue quality and certainty ▪ Affirming Adjusted Operating Earnings* CAGR near top end of 5-7% from 2025-2029(2) ▪ 7.9% rate base growth resulting from $41.7B of investment; $12-17B of transmission opportunity beyond the plan ▪ Executed ~86% of 2026 debt issuances and ~37% of $3.4B in equity needs through 2029 (1) 2026 earnings guidance based on expected average outstanding shares of 1,031M. (2) Based off the midpoint of Exelon’s 2025 Adjusted Operating EPS* guidance range of $2.64 - $2.74 as disclosed on Q4 2024 Earnings Call in February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Q2 2026 QTD Adjusted Operating Earnings* Waterfall Note: Amounts may not sum due to rounding (1) Incremental Distribution and Transmission revenues are driven by customer investments driving top quartile or better reliability and avoided outage costs. (2) Higher income taxes driven primarily by timing of tax repairs deduction. (3) 2026 earnings guidance based on expected average outstanding shares of 1,031M. $0.23 $0.14 $0.04 $0.13 $0.05 ($0.17) ($0.13) Q2 2025 $0.01 ComEd PECO $0.02 BGE ($0.02) PHI Corp $0.07 $0.13 $0.12 $0.24 Q2 2026 $0.39 $0.43 BGE PECO PHI ComEd Corp $0.04 Absence of Customer Relief Fund $0.01 Income Taxes ($0.01) Interest Expense $0.02 Approved Distribution and Transmission Rates(1) $0.01 AFUDC ($0.02) Other $0.01 Absence of Customer Surcharge Credits $0.01 Weather ($0.01) Income Taxes(2) ($0.01) Depreciation ($0.01) Interest Expense $0.01 Other $0.01 Approved Distribution Rates(1) ($0.02) Credit Loss Expense $0.03 Other $0.01 Approved Distribution and Transmission Rates(1) ($0.01) Depreciation ($0.02) Other Affirming 2026 Adjusted Operating Earnings* of $2.81 - $2.91 per share(3)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Distribution Rate Case and Other Regulatory Updates 6 Note: See slide 25 for further detail on pertinent rate case data and information. Rate case filed Rebuttal testimony Initial briefs Final commission order Intervenor direct testimony Evidentiary hearings Reply briefs Settlement agreement CF IT RT EH IB RB FO SA Oct Nov Dec Jan Feb Mar Apr May Jun Jul Aug Sep Oct Nov Revenue Req. Increase Requested ROE / Equity Ratio Expected Order Date $119.9M 10.50% / 51.53% Aug 2026 $45.4M 10.50% / 50.50% Q3 2027 $156.1M 10.40% / 52.00% Jan 2027 Pepco MD Electric DPL DE Electric CF Open Base Rate Cases IT RT EH FO CF IT IB RB BGE Electric Maryland Lessons Learned (Case No. 9618) – Briefs filed on 12/13/24 – Revised Briefs filed on 9/5/25 – Awaiting PSC next steps ComEd Grid Plan (ICC Docket No. 26-0047) – Proposed $15.3B of investment from 2028-2031 to meet load growth demand and priorities stated in CEJA and CRGA – Staff and Intervenor Rebuttal Testimony filed 7/16/2026 – Order expected by 12/15/2026 ComEd Reconciliation (ICC Docket No. 26-0215) – MRPP Annual Performance Evaluation proceeding – $233M adjustment, including the 2025 Performance Adjustment – ComEd Rebuttal Testimony filed in July – Order expected by 12/20/2026 Other Regulatory Activity CF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Advancing Affordable and Reliable Energy Solutions Utility-Owned Battery Storage Fast-to-deploy resource that supports reliability, affordability, and resilience Reduces customer costs through market mitigation and federal incentives Adds targeted capacity and grid flexibility Strengthens local reliability and resilience Deploys in ~3 years, faster than most traditional resources New Jersey BESS Project - Up to 500 MW ACE-owned storage partnered with Invenergy to construct by late 2030 - Submitted into PJM Cycle 1 interconnection queue and filed for recovery mechanism with NJ BPU, of which is not reflected in plan - No customer bill impact through at least 2035, with customer benefits more than exceeding the total lifecycle costs Maryland Storage Portfolio - 150 MW storage portfolio in development under NEA legislation - Phase 1 under PSC review ComEd Scheduled Dispatch VPP - ICC approved Scheduled Dispatch VPP, filed at direction of CRGA and expected to launch by March 2027 - Alongside upfront rebate, compensates customers for dispatchable battery storage support during peak periods BGE &amp; Pepco Holdings VPPs - 173.5 MW approved for BYOD and aggregator pilots under DRIVE Act ACE &amp; DPL VPPs - $20M for ACE in NJ VPP Straw Proposal - Grant-funded VPP in DE Customer-Focused, Utility-Led Energy Solutions Active Projects Provides flexible capacity during peak demand Reduces grid strain and improves system efficiency Lowers customer costs and market volatility Supports clean energy integration and electrification Virtual Power Plants Flexible customer resources that reduce peak demand, lower system costs, and support reliability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Strong Balance Sheet Provides Strategic and Financial Flexibility Entity Moody’s S&amp;P ExCorp Baa2 / Stable BBB+ / Stable ComEd A1 / Stable A / Stable PECO A1 / Stable(4) A / Stable BGE A3 / Stable A- / Stable(4) ACE A2 / Stable A / Stable DPL A2 / Positive A / Stable Pepco A2 / Stable A / Stable 8 (1) Represents average credit metrics for 2022-2025 (Exelon’s 2022 – 2025 actuals per S&amp;P and Moody’s published reports) and internal credit metric estimates for 2026E-2029E based on S&amp;P and Moody’s methodologies, which incorporate the tax repairs deduction in the implementation of the Corporate Alternative Minimum Tax (CAMT). (2) Represents Moody’s downgrade threshold for Exelon Corporate’s Baa2 senior unsecured rating and S&amp;P’s downgrade threshold for Exelon Corporate’s BBB+ senior unsecured rating (currently one notch higher than Moody’s). (3) Current senior unsecured ratings for Exelon and BGE and current senior secured ratings for ComEd, PECO, ACE, DPL, and Pepco. (4) On July 15, 2026, Moody’s downgraded PECO’s senior secured credit rating from Aa3 to A1. On April 30, 2026, S&amp;P downgraded BGE’s senior unsecured credit rating from A to A-. (5) See Additional Disclosures slide 21 for additional detail. 2022-2025 2026E-2029E ~13.5% ~14% Credit Ratings / Outlook(3) 12%(2) 13%(2) Moody’s CFO (pre-WC) / Debt*(1) 2022-2025 2026E-2029E ~13.0% ~14% S&amp;P FFO / Debt*(1) Stable Platform with a Credit Supportive Value Proposition ▪ Exelon’s scale, jurisdictional diversification, operational excellence, and effective recovery mechanisms contribute to a unique credit-supportive value proposition ▪ Credit metric outlook supports ~200 bps above Moody’s and ~100 bps above S&amp;P’s downgrade thresholds(2) Balanced Approach to Funding Capital ▪ Executed ~86% of 2026 debt financing needs, including all expected at HoldCo, Pepco Holdings, ComEd, and BGE substantially mitigating remaining exposure to interest rate volatility for this year(5) ▪ Pre-issuance hedging strategy further reduces future interest rate volatility ▪ ~$41.7B four-year capital expenditure plan being funded in a balanced manner ‒ ~40% of incremental capital funded with equity, resulting in $3.4B of equity through 2029 (implying ~$850M issuance annually); average annual equity issuances represent less than 2% of market capitalization ‒ Priced ~37% of equity needs through 2029 via ATM forward contracts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Capitalize on Growth Opportunities Focus on Customer Affordability and Value 9 2026 Business Priorities and Commitments ❖ Prioritize employee safety and engagement ❖ Deploy ~$10B of capex for the benefit of customers ❖ Maintain industry-leading operational excellence ❖ Focus on cost management and innovation ❖ Capture growth opportunities and new customer solutions ❖ Advocate for equitable and balanced energy future ❖ Earn consolidated operating ROE* of 9-10% ❖ Achieve constructive rate case outcomes for customers and shareholders ❖ Deliver Operating EPS* guidance of $2.81 - $2.91 per share ❖ Maintain strong balance sheet and execute on 2026 financing plan Execute Plan Consistent and Reliable Execution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Customer rates 19% below largest U.S. cities(1) Connected ~$150M in LIHEAP assistance and $60M in direct assistance to customers in need Fostered nearly $60B of economic activity in our communities Protecting customers through FERC-endorsed Transmission Security Agreements while improving queue quality and certainty C u s to m e r- F o c u s e d Consistent track record of financial execution at a customer-supportive pace 7.9% rate base growth from 2025-2029 with established rate mechanisms in place Strong investment grade credit ratings with 100 to 200 bps of financial flexibility Diverse and defined capital plan with no one project greater than ~3% of 4-year outlook 10 Sustainable Value as the Premier T&amp;D Energy Company (1) Source: Edison Electric Institute Typical Bills and Average Rates report for Summer 2025; reflects residential average rates for the 12-month period ending June 30, 2025. (2) Based on preliminary analysis of 2025 spend and is subject to finalization upon publication of Exelon’s 2025 Sustainability Report. (3) Near top end of EPS* growth range; based off the midpoint of Exelon’s 2025 Adjusted Operating Earnings* guidance range of $2.64 - $2.74 as disclosed at Q4 2024 Earnings Call in February 2025. (4) Aggregate amount of dividends to be paid quarterly and are subject to approval by Board of Directors. Investing in infrastructure for our communities generates 5-7% annualized adjusted operating earnings* growth(3), which combined with ~60% dividend payout ratio(4) results in an attractive risk-adjusted total annual return of 9-11% Top quartile SAIFI &amp; SAIDI performance for 10 consecutive years Cost and executional advantage due to size and scale with WSJ recognition as a Best Managed Company In 2025, over 50% supplier spend was local, supporting our communities in our key operating geographies(2) Fortune’s Most Innovative Companies in 2025 100+ workforce development programs Recognition as one of America’s Best Companies of 2026 by TIME Industry leader in advancing safety EEI Corporate Citizenship Award earning a distinction for Workforce Development 20,000 employees and 50,000 jobs sustained throughout our jurisdictions F in a n c ia l E x e c u ti o n O p e ra ti o n a l E x c e ll e n c e T a le n te d , C o m m it te d E m p lo y e e s Consistent Growth, Long-Term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Additional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Positioned for Resilient and Reliable Growth (1) Source: Edison Electric Institute Typical Bills and Average Rates report for Summer 2025; reflects residential average rates for the 12-month period ending 6/30/2025. (2) Based on implied dividend yield as of as of Q4 2025 Earnings Call on February 12, 2026. Size and scale Pure T&amp;D-only utility spanning seven regulatory jurisdictions. Significant cost and executional advantage due to size and scale Operational excellence Exelon utilities rank 1st, 2nd, 4th, and 7th among the nation's most reliable utilities in 2024, with customers experiencing 2 million fewer annual interruptions than 2021 Focus on affordability Premium customer experience at competitive rates. Customer rates 19%(1) below largest U.S. cities, ~33% improvement in reliability since 2016, with over $1 billion avoided outage costs and $60M in direct customer assistance in 2025 Track record of execution Consistently executing adjusted operating EPS* at ~7.4% CAGR since 2021 and capital plan supporting customer investments within 2% since 2023 Diversified investment mix No jurisdiction more than 30% of business and no one capital project greater than ~3% of 4-year outlook Strong balance sheet Target average credit metrics* of ~14% through 2029; 100-200 bps of financial flexibility and strong investment grade credit ratings Consistent Growth, Long-Term Value Attractive Risk Adjusted Return EPS* Growth 2025 – 2029 adjusted operating EPS* CAGR with expectation to be near the top end of range 5-7% ~60% 9-11% Dividend Payout Ratio Growing dividend at 5%, approximating 60% payout, through 2029 Total Shareholder Return(2) Attractive risk adjusted return built on a track record of execution and operational excellence Disciplined and defensive foundation, with credible opportunities for sustainable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Industry Trends Drive Growing Transmission Needs 13 Existing Infrastructure ▪ Reliability, Resiliency &amp; Congestion Relief ▪ Generator Deactivation ▪ Aging &amp; System Hardening ▪ Operational Flexibility &amp; Efficiency New Business ▪ $1B+ associated with committed high-density load projects RTO-Adjacent Opportunities ▪ $1B+ for MISO Tranche 2.1 (in-service 2034) ▪ Interregional transfer capabilities New Generation ▪ State Driven Public Policy Goals(2) ▪ Other New Generation Interconnections Competitive Transmission ▪ $1.2B(3) of Exelon investment approved in PJM RTEP Window #1 ▪ Leverage platform to pursue competitive windows within and outside of PJM Transmission investment needs continue to grow ▪ Increased reliability and resiliency needs amid more volatile weather patterns ▪ Accelerating load growth fueled by high-density customers ▪ Expanding and evolving generation supply stack ▪ Increased congestion drives customer affordability constraints of identified transmission opportunity beyond the plan, with competitive projects offering further upside, reinforcing Exelon’s enduring role in ensuring a resilient and reliable grid for the nation’s economy, while supporting customer affordability(1) $12-17B Exelon’s network is positioned to meet those needs ▪ Over 11,000 circuit miles of transmission lines ▪ Serve 4 major cities, including a top 5 data center market and a top 3 emerging data center market ▪ States with ambitious energy goals and priority ▪ Decades-long 765kV transmission operator experience (1) As of Q1 2026 earnings call. Transmission opportunity largely expected in 2030 and beyond, though some categories such as new business and competitive transmission may require additional spend before 2030. (2) As an example, the Illinois Clean and Reliable Grid Affordability Act (CRGA) – SB 25 allows the Commission discretion to ask utilities and other parties to identify transmission projects necessary to facilitate the goals of the Renewable Energy Access Plan (REAP). (3) PJM has approved $700M of Exelon projects and $1.7B of jointly developed transmission solutions (25% Exelon ownership), totaling $1.2B of EXC investment. Majority is incremental, 30% reflected in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Exelon is Well-Positioned for Transmission Solutions 14 Size and scale, prime geographic footprint, and a robust capital plan focused on grid modernization and resilience (1) Estimated transmission capital as of historical rollforwards. Rate base estimates as disclosed at Q1 2026 Earnings Call in May 2026. (2) Reflects transmission miles as of December 31, 2025, as reported in the 2025 10-K. (3) Jointly developed with NextEra Energy Transmission, of which Exelon’s portion of the $1.7B is 25%. (4) Jointly developed with Invenergy. …support Exelon’s competitive edge for transmission opportunities ➢ 1 of 4 U.S. 765kV transmission operators with decades of experience ➢ 11,197 Transmission Lines including 3,300 circuit miles of extra high voltage lines (&gt;300kV)(2) ➢ Brandon Shores: transmission system upgrades of ~$1.5B to mitigate reliability impacts from deactivation of generating facility ➢ Tri-County Line: competitively awarded $1B+, 59-mile upgrade ➢ Indian River: completed ~2 years ahead of Reliability-Must-Run schedule, saving customers ~$100M ➢ MISO LRTP Tranche 2.1: working with MISO on a $1B+ project to support MISO’s long-term energy supply plan ➢ PJM 2025 RTEP Window #1: Board approved $700M of Exelon submitted projects and $1.7B in partnered projects(3) ➢ MISO Tranche 2.1: Competitively bid two partnered solutions for EASL and MARS projects(4) 10.5 11.5 12.3 12.7 13.3 15.1 18.8 22.9 20% 2022A 21% 2023A 20% 2024A 20% 2025A 20% 2026E 21% 2027E 24% 2028E 26% 2029E +11.8% +16.0% Transmission CapEx ($M)(1) Transmission Rate Base ($B)(1) 6,675 21% 2023 - 2026E 28% 2024 - 2027E 33% 2025 - 2028E 39% 2026 - 2029E 9,675 12,550 16,300 %T of CapEx/Rate Base Long-Term Transmission Planning Projects (&gt;$1B) Other Transmission Continued investment and an expansive footprint… Proposed Projects Exelon Awarded Projects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FERC has endorsed Exelon’s TSA framework as a model for protecting customers, improving queue certainty, and enabling efficient large-load growth 15 Exelon is a Key Partner in Driving Economic Development (1) Represents historical on-peak hourly demand for in-service data centers in the ComEd service territory. Validated by PJM, Proven by Execution Exelon’s Projected Data Center Growth ComEd ~9 GW Advanced phases of design or backed by FERC-approved TSAs (~40% with TSAs, backed by ~$1B in collateral)MidAtlantic ~2 GW ~11 GW High Probability Load ComEd ~17 GW Within current or future cluster studies (2026 and 2027 conclusion)MidAtlantic ~8 GW Future Pipeline ~25 GW Large Load Adjustments (LLA) submitted in 2025 were fully approved by PJM ComEd and PECO recognized as top utilities in economic development in the U.S. by Site Selection Magazine in 2025 Protecting customers through the formalization of landmark Transmission Security Agreements (TSAs) and Cluster Study process Data Center Load in Northern IL(1) 0 100 200 300 400 500 600 700 ‘15 ‘22 ‘23 ‘24 ‘25 +20% ~25% CAGR(1) M W ~9% CAGR Actual Demand 2025 PJM Accepted LLA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Rapid, large scale load growth creates significant economic development opportunity in our communities and accelerates interest in creative solutions to the energy transition The Power of Impact: Growth and Progress in Our Communities July 31, 2025 IL: Prologis Community Solar Launch November 12, 2025 MD: BGE Battery Storage Proposal September 9, 2025 IL: Elk Grove Stream Data Center Campus December 11, 2025 IL: ComEd 765kV Expansion January 21, 2026 MD: Pepco White Flint Substation Supports Reliability September 24, 2025 MD: BGE, Ford, &amp; Sunrun Vehicle-to-Grid Pilot April 3, 2026 MD: BGE &amp; Pepco Support Grid Modernization January 6, 2026 IL: ComEd Announces New TSAs of 6.5+ GW June 30, 2026 IL: ComEd approval to launch first VPP Program September 30, 2025 IL: PsiQuantum Utility- Scale Quantum Computer January 16, 2026 IL: Tract plans for 1GW Data Center July 23, 2026 NJ: Proposed battery storage project up to 500MW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Energy Security and Associated Policy is a Top Priority Delivering resources to meet energy and economic goals requires all stakeholders working together to advance resilient, durable, and cost-effective solutions, and Exelon is engaged at all levels to sustain progress 17 StatesFederal Agencies Regional Transmission Operator (1) Anticipated conclusion of legislative session; MD &amp; DE reflect conclusion of last legislative session. (2) HB 1700 signed into legislation 6/26/2026; HB 4456 &amp; HB 5524 signed into legislation 7/9/2026. (3) PA Power Act – HB 1272 (4/21/25), SB 897 (6/30/25). (4) Data Center Act - HB 1834 requiring new clean generation and requiring direct T&amp;D cost allocation for data centers passed House 3/24/26. (5) A5188/S4411, A2757/S1673, and A796/S731 signed into legislation 7/7/2026; S4062 referred to the Senate Economic Growth Committee. (6) SB 326 signed into legislation 7/13/2026; HS 1 for HB 233 &amp; HB 445 await Governor’s signature. ▪ MD (4/13/2026)(1): Utility RELIEF Act focused on regulatory reform, transmission and large load oversight, and incentivization of clean energy generation ▪ IL (Veto Session 12/3/26)(1): Trailer Bill(2) clarifying energy efficiency and capping DG rebates, bills(2) expanding low-income discount program and utility bill transparency; proposals on transmission siting reforms and data center policies on bring your own generation and environmental reporting regulations ▪ PA (11/30/26)(1): Bills(3) introduced allowing for utility-owned generation in conjunction with procurement via long-term contracts; House bill(4) passed on data center tariff and interconnection requirements ▪ NJ (1/11/28)(1): Bills(5) signed to promote greater transparency on supplemental transmission projects; require RTO membership; establish tariffs for large load data centers; additional large load demand protections bill introduced ▪ DE (6/30/26)(1): Bills(6) strengthening PSC oversight and utility customer protections; requiring utilities to establish a separate large load rate (30+ MW); large energy use facilities to produce renewable energy to power their operations Adopt policies that promote economic development and energy security, including utility-owned generation, to support a reliable and resilient grid Shorter-Term Solutions ▪ Continue shaping reforms supporting resource adequacy and large load additions, including the mutual goals of ensuring sufficient new generation is procured and protecting existing customers by isolating costs of procurement to large loads and adding generation to the grid where it is most needed ▪ Support FERC approval of long-term transmission planning procedures ▪ Support extending and refining prioritized queue process for select shovel-ready generation resources (e.g., state prioritized resources) Mid-Term Solutions ▪ Expand capacity contracting to secure new supply additions, and more closely align procurement and delivery time horizons Longer-Term Solutions ▪ State-directed planning and procurement of generation resources to better align economic and energy policy goals, with capacity market providing residual support Facilitate supply in line with the pace of demand and solve near-term affordability challenges Shape large load policies to protect customers, promote economic growth, and support reliability Accountability Gaps in Generation Planning ▪ Continue working with federal and state regulators to jumpstart supply response in PJM ▪ Advance utility-generated power to address wholesale supply costs and mitigate reliability risks Transmission Policy ▪ Enable more proactive and flexible transmission planning to support timely interconnection of load and generation ▪ Retain incentives policy that benefits customers and supports needed transmission development Large Load Protections ▪ Continue to develop policies, including execution of Transmission Security Agreements, that protect customers and demonstrate responsible bottom-up policy development to facilitate 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Financing ▪ $3.4B equity need (implies $850M annually), $3.4B of new Corporate debt 2026-2029(5), and other financing costs Operating Earnings* Growth Outlook 2026 2027 2028 2029 Total YoY Growth Relative to Range (1) Growth Above Midpoint of 5-7% Range(2) (1) Growth outlook and associated drivers as of Q1 2026 earnings call; growth relative to range is directional and allows for flexibility of rate case timing. (2) Based off the midpoint of Exelon’s 2025 Adjusted Operating Earnings* guidance range of $2.64 - $2.74 as disclosed at Q4 2024 Earnings Call in February 2025. (3) Based off the midpoint of Exelon’s 2026 Adjusted Operating Earnings* guidance range of $2.81 - $2.91 as disclosed at Q4 2025 Earnings Call in February 2026. (4) Brandon Shores projects assumed to primarily earn AFUDC through the 2026-2029 guidance period. FERC has approved BGE to utilize CWIP treatment for the Tri-County Line project with cost recovery through the transmission formula rate. (5) Includes the Exelon Corporate sale of $1B of 3.25% Convertible Senior Notes completed on December 4, 2025. Expect annualized adjusted operating earnings* growth near top end of 5-7% through 2029 18 Growth Drivers 2026-2029(4) Distribution Transmission ▪ Growth in line with rate base ▪ Capital reflects 4-year MYP though 2027, including current estimates of new business connections to be recovered via reconciliation ▪ Annual transmission updates occurring mid-year, with generally longer construction periods versus distribution ▪ Future electric and gas rate filings anticipated in planning period ▪ Assumes weather normal revenue and Distribution System Improvement Charge (DSIC) ▪ Annual transmission updates occurring mid-year, with generally longer construction periods versus distribution ▪ Includes investment associated with Brandon Shores and Tri-County Line projects, which are expected to be fully placed in-service by 2028 and 2030, respectively(4) ▪ 3-year electric and gas MYP through 2026; 2027+ investment plan and associated cost recovery will accommodate recently passed Utility RELIEF Act and recommendations from MD MYP Lessons Learned ▪ Pepco MD order expected August 2026, DPL MD MYP rates remain in effect, and future investment plans and associated cost recovery will accommodate recently passed Utility RELIEF Act and recommendations from MD MYP Lessons Learned ▪ DC MYP2 through 2026 and continued recovery of spend in 2027-2028 via alternative ratemaking mechanisms ▪ Intermittent historical test-year rate cases at ACE and DPL, complemented by capital (ACE, DPL DE) and energy efficiency (ACE) trackers. Growth Near Top End of 5-7% Range(3)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Q2 2026 YTD Adjusted Operating Earnings* Waterfall Note: Amounts may not sum due to rounding (1) Incremental Distribution and Transmission revenues are driven by customer investments driving top quartile or better reliability and avoided outage costs. ($0.28) ($0.27) $0.31 $0.40 $0.33 $0.55 Q2 2025 ComEd PECO $0.05 BGE ($0.03) PHI $0.01 Corp $0.36 $0.40 $0.30 $0.55 Q2 2026 $1.31 $1.33 BGE PECO PHI ComEd Corp $0.04 Absence of Customer Relief Fund ($0.02) Interest Expense ($0.01) Other $0.03 Approved Distribution and Transmission Rates(1) $0.02 AFUDC ($0.05) Timing of Distribution Earnings $0.03 Absence of Customer Surcharge Credits $0.02 Weather ($0.02) Depreciation ($0.02) Interest Expense ($0.01) Other $0.04 Approved Distribution Rates(1) ($0.02) Credit Loss Expense $0.03 Other $0.03 Approved Distribution and Transmission Rates(1) ($0.02) Depreciation ($0.01) Pepco MD MYP Reconciliation ($0.01) Interest Expense ($0.02)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Managing Our Operations and Costs • Saved over $1B in avoided outage costs in 2025 • ~2 million fewer annual interruptions than 2021 • O&amp;M* growth below inflation, saving customers ~$580M in 2026(3) Supporting Customers through Assistance • $60M in direct assistance through Customer Relief Fund • Connected customers to ~$480M in assistance in 2025 • 28M MWh of Energy Efficiency program savings in 2025 • 150,000+ Distributed Energy Resource connections since 2021, accelerating the annual pace by 50% Making an Economic Impact in Our Communities • Employed more than 20,000 people and sustained 50,000 jobs • Fostered nearly $60B of economic activity in our communities Advocating for Customer Equity and Supply Solutions • FERC-endorsed TSA framework protects customers and ensures fairness in cost • Advocacy for market reforms including capacity price collar extension • Support utility-generated solutions to bring certainty, control, and customer benefits to electricity supply 20 Driving Affordability and Value for our Communities (1) Source: Consumer Price Index Historical Tables for U.S. City Average from U.S Census Bureau. (2) Source: Average customer electric bills are determined using 2016-2015 Edison Electric Institute Typical Bills and Average Rates Summer reports and historical bill data where appropriate; Median income by territory metro areas (MSAs or CBSAs) from U.S. Census Bureau 2015-2024 ACS 1-Year Estimates. (3) Assuming an annualized 3.5% rate of inflation based on consumer price index as reported by the Bureau of Labor Statistics and IHS across 2016-2025, adjusted O&amp;M expense* would have increased by ~$1.5B over the same time period. O&amp;M* Growth Well Below Inflation Advancing Customer and Community Equity 75% of Increase Driven by Energy Supply 1.0% 0.7% 2.2% 2021 1.0% 0.8% 2.4% 2022 1.0% 0.8% 2.6% 2023 1.1% 0.8% 2.5% 2024 1.1% 1.0% 2.6% 2025 1.7% 1.7% 1.8% 1.9% 2.1% EXC T&amp;D Avg. Avg. Supply Cost National Avg. 2016 2017 2018 2019 2020 2021 2022 2023 2024 2025 3.8 4.0 4.2 4.4 4.6 4.8 5.0 5.2 O&amp;M* Grown at Inflation (CPI)(1) O&amp;M* Grown at Smoothed Inflation (CPI)(1) EXC Actual O&amp;M* Q1 Q1 Q1 Q1 Q1 Q1 Q1 Q1 Q1 Q1 SAIFI &amp; SAIDI Quartile Average Electric Bill as a % of Median Income(2)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2026 Financing Plan(1) Capital plan financed with a balanced approach to maintain strong investment grade ratings Entity Instrument Issuance ($M) Maturity ($M) Issued ($M)(2) Remaining ($M) FMB $1,425 ($500) $1,425 - FMB $250 - $300 - FMB $100 - $100 - FMB $150 - $150 - FMB $750 - - $750 Senior Notes $950 ($350) $925 - Senior Notes / Other(3) $1,775 ($750) $1,775(3) - Equity(4) $850 - $850(4) - 21 Note: As of June 30, 2026. FMB represents First Mortgage Bonds. (1) Financing plans are subject to change, depending on capital expenditures, regulatory outcomes, internal cash generation, market conditions, changes in tax policies, and other factors. (2) ACE, DPL, and Pepco closed on FMBs in the private placement market (March 19, 2026) and funded $100M, $75M, and $170M, respectively. Additionally, using a delayed draw feature, Pepco funded $130M in June and DPL will fund $75M in September. (3) Other could include fixed income securities that receive equity credit, subject to market conditions. Exelon Corporate completed the sale of $1B of 3.25% Convertible Senior Notes (December 4, 2025) and $775M of 4.95% Unsecured Senior Notes (February 20, 2026). (4) Exelon expects to issue ~$3.4B of equity by 2029, implying ~$850M per year. $850M has been issued under forward contracts to be settled by December 15,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Exelon Debt Maturity Profile(1,2) Debt Balances (as of 6/30/26)(1,2) ($B) Short-Term Debt Long-Term Debt Total Debt BGE $0.0 $6.6 $6.6 ComEd $0.0 $13.9 $13.9 PECO $0.1 $6.6 $6.7 PHI $0.0 $10.1 $10.1 Corp $1.1(3) $14.3 $15.4 Exelon $1.2 $51.4 $52.7 650 1,000 1,650 1,250 500 1,016 850 650 833 775 675 815 275 600 1,400 650 741 691 1,275 2,150 1,550 673 2,150 669 1,050 1,825 1,500 1,455 360 997 303 600 1,778 625 2,823 1,645 1,575 1,640 1,225 1,200 1,650 2,400 1,650 1,400 2027 2028 2029 2030 2031 2032 2033 2034 2035 2036 2037 2038 100 2039 2040 60 2026 2042 2043 2044 2045 2046 2047 2048 2049 2050 2051 2052 2053 2054 2055 20562041 (1) Maturity profile excludes non-recourse debt, capital leases, fair value adjustments, unamortized debt issuance costs, and unamortized discount/premium. (2) Long-term debt balances reflect 2026 Q2 10-Q GAAP financials, which include items listed in footnote 1. (3) Includes $500M of 364-day term loan maturing March 2027. Exelon’s weighted average long-term debt maturity is approximately 16 years ($M) As of 06/30/2026 EXC Regulated ExCorp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Reflects full year impact to a +50bp increase on Corporate debt net of pre-issuance hedges as of June 30, 2026. Through June 30, 2026, Corporate entered into $0.2B of pre-issuance hedges through interest rate swaps. (2) Assumes the tax repairs deduction is included in the implementation of the Corporate Alternative Minimum Tax (CAMT). 23 Exelon Adjusted Operating Earnings* Sensitivities Interest Rate Sensitivity to +50bp 2026E 2027E Cost of Debt (1) $(0.00) $(0.01) Exelon Consolidated Effective Tax Rate 19.5% 20.0% Exelon Consolidated Cash Tax Rate(2) 2.9%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Rate Case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Exelon Distribution Rate Case Updates Rate case filed Rebuttal testimony Initial briefs Final commission order Intervenor direct testimony Evidentiary hearings Reply briefs Settlement agreement CF IT RT EH IB RB FO SA Oct Nov Dec Jan Feb Mar Apr May Jun Jul Aug Sep Oct Nov Revenue Req. Increase Requested ROE / Equity Ratio Expected Order Date $119.9M 10.50% / 51.53% Aug 2026 $45.4M 10.50% / 50.50% Q3 2027 $156.1M 10.40% / 52.00% Jan 2027 CF Open Base Rate Cases IT RT EH FO CF IT IB RB Note: Unless otherwise noted, based on schedules of Delaware Public Service Commission (DE PSC) and Maryland Public Service Commission (MD PSC) that are subject to change. (1) Revenue requirement includes changes in depreciation and amortization expense and other costs where applicable, which have no impact on pre-tax earnings. (2) Revenue requirement excludes the requested transfer of $23.2 million Distribution System Improvement Charge (DSIC). As permitted by Delaware law, DPL implemented interim rates at 50% of the gross request effective 7/9/26 and will implement interim rates at 75% of the gross request on 12/9/26, subject to refund. CF Pepco MD Electric DPL DE Electric BGE Electric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Pepco MD Distribution Rate Case Filing Rate Case Filing Details Notes Case No. 9820 ▪ October 14, 2025, Pepco filed with the Maryland Public Service Commission (MD PSC) seeking an increase in base distribution rates ▪ Pepco’s Traditional Test Year (TTY) rate increase supports: ▪ Customer Benefits: Expanding bill mitigation options and energy assistance to address affordability amid rising costs and implementing investments and programs designed to help customers effectively manage energy costs, including our Assistance Finder Tool. ▪ Reliability: Upgrading infrastructure, like the White Flint Substation, to meet growing demand and ensure customers continue receiving dependable service. ▪ Clean Energy Goals: Supporting Maryland’s transition to clean energy, fostering job creation, and driving economic development. ▪ The filing seeks recovery of critical investments and incremental financing costs due to rising interest rates including important investments which directly support system reliability, capacity, and long-term growth for our customers and contribute to Pepco having the lowest outage duration in the state. Test Period 12 months actuals Test Year October 31, 2024 – September 30, 2025 Proposed Common Equity Ratio 51.53% Proposed Rate of Return ROE: 10.50%: ROR: 7.85% Proposed Rate Base (Adjusted) $3,208M Requested Revenue Requirement Increase $119.9M(1) Residential Total Bill % Increase 5.85% Detailed Rate Case Schedule Oct Nov Dec Jan Feb Mar Apr May Jun Jul Aug 10/14/2025 4/27/2026 - 5/1/2026Evidentiary hearings 6/17/2026Initial briefs 3/11/2026 7/1/2026Reply briefs August 2026Commission order expected Intervenor testimony 1/30/2026 Filed rate case Rebuttal testimony (1) Revenue requirement includes changes in depreciation and amortization expense and other costs where applicable, which have no impact on pre-tax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DPL DE (Electric) Distribution Rate Case Filing Rate Case Filing Details Notes Case No. 25-1555 ▪ December 9, 2025, Delmarva Power filed an application with the Delaware Public Service Commission (DE PSC) seeking an increase in electric distribution base rates ▪ Rate increases allow for system upgrades and energy grid enhancements to maintain safety and reliability and improve services for customers. The filing seeks recovery for increased costs since last rate case, system reliability maintenance costs, and storm remediation and surge damage costs. The filing supports: ▪ Customer Affordability: Proposing new income-based rate and a bad debt rider ▪ Reliability: Including resiliency projects to help meet reliability expectations such as feeder and cable replacement programs ▪ Bill Stabilization Adjustment: Decoupling adjustment to stabilize revenue related to customer bills driven by fluctuations in usage primarily caused by factors like weather ▪ Separately, Delmarva Power filed the Affordability and Load Flexibility Portfolio, a $39M, 3-year demand-side management program designed to address energy security and the rising cost of energy for customers. Test Period 9 months actuals + 3 months forecast Test Year July 1, 2025 – June 30, 2026 Proposed Common Equity Ratio 50.50% Proposed Rate of Return ROE: 10.50%: ROR: 7.55% Proposed Rate Base (Adjusted) $1, 498M Requested Revenue Requirement Increase $45.4M(1) Residential Total Bill % Increase 4.36% Detailed Rate Case Schedule Dec Jan Feb Mar Apr May Jun Jul Aug Sep Oct Nov Dec Jan Feb Mar Apr Filed rate case 12/9/2025 Reply briefs 10/30/2026 Initial briefs Evidentiary hearings Rebuttal testimony Intervenor testimony 1/19/2027 4/27/2027 - 4/30/2027 Commission order expected (1) Revenue requirement excludes the requested transfer of $23.2 million Distribution System Improvement Charge (DSIC). As permitted by Delaware law, DPL implemented interim rates at 50% of the gross request effective 7/9/26 and will implement interim rates at 75% of the gross request on 12/9/26, subject to refund. Revenue requirement includes changes in depreciation and amortization expense and other costs where applicable, which have no impact on pre-tax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Revenue requirement includes changes in depreciation and amortization expense and other costs where applicable, which have no impact on pre-tax earnings. 28 BGE Distribution Rate Case Filing Rate Case Filing Details Notes Case No. 9888 ▪ July 2, 2026, BGE filed with the Maryland Public Service Commission (MD PSC) seeking an increase in electric base distribution rates ▪ BGE’s Historical Test Year (HTY) rate case supports funding investments and operating costs necessary to maintain a safe and reliable electric system, cost of capital, and storm event recovery. The filing seeks recovery for ratemaking adjustments for safety and reliability investments and operating income on a terminal basis. The filing includes tariff proposals for: ▪ Storm Restoration Expense Rider: Annual filing proposal for recovery or refund of imbalance between actual incremental storm restoration O&amp;M and the normalized baseline incremental storm restoration O&amp;M costs in rates for major and non-major storm events. ▪ BGE FlexPay: Voluntary prepaid service proposal for customers allowing greater control of energy expenses by permitting advance payment for energy use Test Period 12 months actuals Test Year April 1, 2025 – March 31, 2026 Proposed Common Equity Ratio 52.00% Proposed Rate of Return ROE: 10.40%: ROR: 7.68% Proposed Rate Base (Adjusted) $6,055M Requested Revenue Requirement Increase $156.1M(1) Residential Total Bill % Increase 4.36% Detailed Rate Case Schedule(2) Jul Aug Sep Oct Nov Dec Jan 7/2/2026Filed rate case Intervenor testimony Rebuttal testimony Evidentiary hearings Initial briefs Reply briefs 1/28/2027Commission order expected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Approved Electric Distribution Rate Case Financials Approved Electric Distribution Rate Case Financials Revenue Requirement Increase/(Decrease) Allowed ROE Common Equity Ratio Rate Effective Date ComEd (Electric) (1,2) $1,045.0M 8.905% 50.0% Jan 1, 2024 PECO (Electric) (3) $290.0M N/A N/A Jan 1, 2025 BGE (Electric) (4,5) $179.1M 9.50% 52.00% Jan 1, 2024 Pepco MD (Electric) (6) $44.6M 9.50% 50.50% Apr 1, 2024 Pepco D.C. (Electric) (7) $123.4M 9.50% 50.50% Jan 1, 2025 DPL MD (Electric) (8) $28.9M 9.60% 50.50% Jan 1, 2023 DPL DE (Electric) (9) $27.8M 9.60% 50.50% April 24, 2024 ACE (Electric) (10) $54.0M 9.60% 50.24% Dec 1, 2025 (1) Reflects a four-year cumulative multi-year rate plan for January 1, 2024 to December 31, 2027 providing a total revenue requirement increase of $1.045B, inclusive of rate increases of approximately $752M in 2024, $80M in 2025, $102M in 2026, and $111M in 2027. On January 10, 2024, ComEd filed an appeal with the Illinois Appellate Court of various aspects of the ICC’s final order on which rehearing was denied, including the 8.905% ROE, 50% equity ratio, and denial of any return on ComEd’s pension asset. (2) Separately, on December 18, 2025, ComEd received a Final Order from the ICC approving $243M of the annual performance evaluation reconciliation under Docket No. 25-0383. (3) Base rate revenue increase of $354M, which is partially offset by a one-time credit of $64M in 2025, resulting in a net revenue increase of $290M in 2025. The one-time credit of $64M includes ~$48M for incremental COVID-19 related uncollectible expense and ~$16M for dark fiber revenues. The settlement does not stipulate any ROE, Equity Ratio, or Rate Base. (4) Reflects a 3-year cumulative multi-year plan for 2024-2026. The MD PSC awarded incremental revenue requirement increases of $167M, $175M, and $66M with in each rate effective year, respectively. The incremental revenue requirement increase in 2024 reflects $41M increase for electric and $126M increase for gas (includes acceleration of certain tax benefits for electric and gas); 2025 reflects $113M increase for electric and $62M increase for gas; 2026 reflects $25M increase for electric and $41M increase for gas. (5) On December 22, 2025, MD PSC authorized BGE to recover $31 million and $46 million for electric and gas for the Rate Year 3 reconciliation under Order No. 92106. In addition, the MD PSC authorized $24M in recovery costs through separate regulatory assets related to minor storms and $4M for the Baltimore City conduit (to be reviewed along with a cost-benefit analysis in BGE’s next rate case). (6) On March 31, 2026, Pepco MD received a Final Order from the MD PSC approving $13.4M of the Rate Year 3 reconciliation under Order No. 92264. (7) Reflects a cumulative multi-year plan from 2025 to 2026. The DC PSC approved $123.4M of incremental revenue requirement increase with $99.7M and $23.7M of that increase going into effect with rates on January 1, 2025 and January 1, 2026, respectively. On March 5, 2026, the DC Court of Appeals remanded the November 26, 2024 order back to the DCPSC to hold evidentiary hearings. On May 8, the DC PSC issued an order resetting the remand procedural schedule— extending timelines and setting evidentiary hearings for October 13–14—while denying OPC’s request to suspend rates and affirming that current distribution rates will remain in effect during the remand period. (8) Reflects 3-year cumulative multi-year plan. On October 7, 2022, DPL filed a partial settlement with the MD PSC, which included incremental revenue requirement increases of $16.9M, $6.0M and $6.0M with rates effective January 1, 2023, January 1, 2024, and January 1, 2025, respectively. The MD PSC approved the settlement without modification on December 14, 2022. Rates remain in effect subsequent to the multi-year plan period. (9) Revenue requirement excludes the transfer of $14.4M of revenues from the Distribution System Improvement Charge (DSIC) capital tracker into base distribution rates. Delmarva Power implemented fully proposed rates on July 15, 2023 and adjusted them to final approved rates on April 24, 2024. (10) Revenue requirement excludes the transfer of $11.1 million of Infrastructure Investment Program costs (IIP) and $3.6M of Sales and Use Tax into distribution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Approved Gas Distribution Rate Case Financials Approved Gas Distribution Rate Case Financials Revenue Requirement Increase/(Decrease) Allowed ROE Common Equity Ratio Rate Effective Date PECO (Gas) (1) $78.0M N/A N/A Jan 1, 2025 BGE (Gas) (2,3) $228.8M 9.45% 52.00% Jan 1, 2024 DPL DE (Gas) (4) $21.5M 9.60% 50.51% Jan 1, 2026 (1) The settlement does not stipulate any ROE, Equity Ratio, or Rate Base. (2) Reflects a 3-year cumulative multi-year plan for 2024-2026. The MD PSC awarded incremental revenue requirement increases of $167M, $175M, and $66M with in each rate effective year, respectively. The incremental revenue requirement increase in 2024 reflects $41M increase for electric and $126M increase for gas (includes acceleration of certain tax benefits for electric and gas); 2025 reflects $113M increase for electric and $62M increase for gas; 2026 reflects $25M increase for electric and $41M increase for gas. (3) Separately, on December 22, 2025, MD PSC authorized BGE to recover $31 million and $46 million for electric and gas for the Rate Year 3 reconciliation. In addition, the MD PSC authorized $24M in recovery costs through separate regulatory assets related to minor storms and $4M for the Baltimore City conduit (to be reviewed along with a cost-benefit analysis in BGE’s next rate case). (4) Revenue requirement excludes the transfer of $8.0M of revenues from the Distribution System Improvement Charge (DSIC) capital tracker into base distribution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Approved Electric Transmission Formula Rate Financials Approved Electric Transmission Formula Rate Financials Revenue Requirement Increase/(Decrease) Allowed ROE(1) Common Equity Ratio Rate Effective Date(2) ComEd ($21M) 11.50% 54.31% Jun 1, 2026 PECO $40M 10.35% 54.60% Jun 1, 2026 BGE ($30M) 10.50% 51.44% Jun 1, 2026 Pepco ($9M) 10.50% 50.30% Jun 1, 2026 DPL $4M 10.50% 50.52% Jun 1, 2026 ACE $17M 10.50% 50.10% Jun 1, 2026 (1) The rate of return on common equity for each Utility Registrant includes a 50-basis-point incentive adder for being a member of an RTO. On July 2, 2026, a complaint was filed at FERC against Maryland Transmission Operators, including BGE, Pepco, and DPL, for the removal of the 50-basis-point incentive adder. The final outcome and resolution of the complaint filing cannot be predicted and the results, while not reasonably estimable at this time, are not expected to be material to Exelon, BGE, PHI, Pepco, and DPL financial statements. (2) All rates are effective June 1, 2026 - May 31, 2027, subject to review by interested parties pursuant to protocols of each tariff.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Reconciliation of Non-GAAP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Projected Non-GAAP Operating Earnings Adjustments • Exelon’s projected 2026 adjusted (non-GAAP) operating earnings excludes the earnings effects of the following: – Costs related to a cost management program; and – Costs related to Pepco’s regulatory matters.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Credit Metric GAAP to Non-GAAP Reconciliations(1) GAAP Operating Income + Depreciation &amp; Amortization = EBITDA - Cash Paid for Interest +/- Cash Taxes +/- Other S&amp;P FFO Adjustments = FFO (a) Long-Term Debt + Short-Term Debt + Underfunded Pension (after-tax) + Underfunded OPEB (after-tax) + Operating Lease Imputed Debt - Cash on Balance Sheet +/- Other S&amp;P Debt Adjustments = Adjusted Debt (b) S&amp;P FFO Calculation(2) S&amp;P Adjusted Debt Calculation(2) Moody’s CFO (Pre-WC)/Debt (3) = CFO (Pre-WC) (c) Adjusted Debt (d) Moody’s CFO (Pre-WC) Calculation(3) Cash Flow From Operations +/- Working Capital Adjustment + Energy Efficiency Spend +/- Carbon Mitigation Credits +/- Other Moody’s CFO Adjustments = CFO (Pre-Working Capital) (c) Long-Term Debt + Short-Term Debt + Underfunded Pension (pre-tax) + Operating Lease Imputed Debt +/- Other Moody’s Debt Adjustments = Adjusted Debt (d) S&amp;P FFO/Debt (2) = FFO (a) Adjusted Debt (b) Moody’s Adjusted Debt Calculation(3) (1) Due to the forward-looking nature of some forecasted non-GAAP measures, information to reconcile the forecasted adjusted (non-GAAP) measures to the most directly comparable GAAP measure may not be currently available; therefore, management is unable to reconcile these measures.​ (2) Calculated using S&amp;P Methodology​. (3) Calculated using Moody’s Methodology.​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Q2 QTD GAAP EPS Reconciliation Three Months Ended June 30, 2026 ComEd PECO BGE PHI Other Exelon 2026 GAAP earnings (loss) per share $0.24 $0.12 $0.05 $0.11 ($0.13) $0.39 Cost management program - 0.01 0.01 0.02 - 0.04 2026 Adjusted (non-GAAP) operating earnings (loss) per share $0.24 $0.13 $0.07 $0.12 ($0.13) $0.43 Note: All amounts shown are per Exelon share and represent contributions to Exelon's EPS. Amounts may not sum due to rounding. Three Months Ended June 30, 2025 ComEd PECO BGE PHI Other Exelon 2025 GAAP earnings (loss) per share $0.23 $0.13 $0.05 $0.14 ($0.17) $0.39 2025 Adjusted (non-GAAP) operating earnings (loss) per share $0.23 $0.13 $0.05 $0.14 ($0.17) $0.39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Q2 YTD GAAP EPS Reconciliation Six Months Ended June 30, 2026 ComEd PECO BGE PHI Other Exelon 2026 GAAP earnings (loss) per share $0.54 $0.39 $0.34 $0.27 ($0.26) $1.28 Cost management program - 0.01 0.01 0.02 - 0.04 Regulatory matters - - - 0.01 - 0.01 2026 Adjusted (non-GAAP) operating earnings (loss) per share $0.54 $0.40 $0.36 $0.30 ($0.26) $1.33 Note: All amounts shown are per Exelon share and represent contributions to Exelon's EPS. Amounts may not sum due to rounding. Six Months Ended June 30, 2025 ComEd PECO BGE PHI Other Exelon 2025 GAAP earnings (loss) per share $0.52 $0.40 $0.31 $0.33 ($0.28) $1.29 Regulatory matters 0.02 - - - - 0.02 2025 Adjusted (non-GAAP) operating earnings (loss) per share $0.55 $0.40 $0.31 $0.33 ($0.28)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Please direct all questions to the Exelon Investor Relations team:  InvestorRelations@ExelonCorp.com  779-231-0017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6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18762</Words>
  <Characters>102188</Characters>
  <CharactersWithSpaces>119157</CharactersWithSpaces>
  <Paragraphs>3847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exc-20260730ex992</dc:title>
</cp:coreProperties>
</file>