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EXELON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95,799,095.00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103,668,925.00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103,668,925.00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9099"/>
      </w:tblGrid>
      <w:tr>
        <w:trPr/>
        <w:tc>
          <w:tcPr>
            <w:tcW w:w="1106"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EXELON CORPORATION</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S. DEARBORN STREETPO BOX 805379 CHICAGO IL 60680-5379</w:t>
            </w:r>
          </w:p>
        </w:tc>
      </w:tr>
      <w:tr>
        <w:trPr/>
        <w:tc>
          <w:tcPr>
            <w:tcW w:w="1106"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6"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6"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r>
      <w:tr>
        <w:trPr/>
        <w:tc>
          <w:tcPr>
            <w:tcW w:w="1106"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103668925</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95799095</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103668925</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EXELON CORPORATION. No one person's interest in the common stock of EXELON CORPORATION is more than five percent of the total outstanding common shares.</w:t>
            </w:r>
          </w:p>
        </w:tc>
      </w:tr>
      <w:tr>
        <w:trPr/>
        <w:tc>
          <w:tcPr>
            <w:tcW w:w="1106"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6"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r>
        <w:trPr/>
        <w:tc>
          <w:tcPr>
            <w:tcW w:w="1106"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1337</Words>
  <Characters>7144</Characters>
  <CharactersWithSpaces>8395</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