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left="840"/>
        <w:spacing w:after="0"/>
        <w:rPr>
          <w:sz w:val="20"/>
          <w:szCs w:val="20"/>
          <w:color w:val="auto"/>
        </w:rPr>
      </w:pPr>
      <w:r>
        <w:rPr>
          <w:rFonts w:ascii="Arial" w:cs="Arial" w:eastAsia="Arial" w:hAnsi="Arial"/>
          <w:sz w:val="12"/>
          <w:szCs w:val="12"/>
          <w:b w:val="1"/>
          <w:bCs w:val="1"/>
          <w:color w:val="auto"/>
        </w:rPr>
        <w:t>UNITED STATES SECURITIES AND EXCHANGE COMMISSION</w:t>
      </w:r>
    </w:p>
    <w:p>
      <w:pPr>
        <w:spacing w:after="0" w:line="27" w:lineRule="exact"/>
        <w:rPr>
          <w:sz w:val="24"/>
          <w:szCs w:val="24"/>
          <w:color w:val="auto"/>
        </w:rPr>
      </w:pPr>
    </w:p>
    <w:p>
      <w:pPr>
        <w:ind w:left="5560"/>
        <w:spacing w:after="0"/>
        <w:rPr>
          <w:sz w:val="20"/>
          <w:szCs w:val="20"/>
          <w:color w:val="auto"/>
        </w:rPr>
      </w:pPr>
      <w:r>
        <w:rPr>
          <w:rFonts w:ascii="Arial" w:cs="Arial" w:eastAsia="Arial" w:hAnsi="Arial"/>
          <w:sz w:val="9"/>
          <w:szCs w:val="9"/>
          <w:b w:val="1"/>
          <w:bCs w:val="1"/>
          <w:color w:val="auto"/>
        </w:rPr>
        <w:t>Washington, D.C. 20549</w:t>
      </w:r>
    </w:p>
    <w:p>
      <w:pPr>
        <w:spacing w:after="0" w:line="14" w:lineRule="exact"/>
        <w:rPr>
          <w:sz w:val="24"/>
          <w:szCs w:val="24"/>
          <w:color w:val="auto"/>
        </w:rPr>
      </w:pPr>
    </w:p>
    <w:p>
      <w:pPr>
        <w:ind w:left="5640"/>
        <w:spacing w:after="0"/>
        <w:rPr>
          <w:sz w:val="20"/>
          <w:szCs w:val="20"/>
          <w:color w:val="auto"/>
        </w:rPr>
      </w:pPr>
      <w:r>
        <w:rPr>
          <w:rFonts w:ascii="Arial" w:cs="Arial" w:eastAsia="Arial" w:hAnsi="Arial"/>
          <w:sz w:val="14"/>
          <w:szCs w:val="14"/>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1343660</wp:posOffset>
            </wp:positionH>
            <wp:positionV relativeFrom="paragraph">
              <wp:posOffset>17780</wp:posOffset>
            </wp:positionV>
            <wp:extent cx="5023485"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023485" cy="5715"/>
                    </a:xfrm>
                    <a:prstGeom prst="rect">
                      <a:avLst/>
                    </a:prstGeom>
                    <a:noFill/>
                  </pic:spPr>
                </pic:pic>
              </a:graphicData>
            </a:graphic>
          </wp:anchor>
        </w:drawing>
        <w:drawing>
          <wp:anchor simplePos="0" relativeHeight="251657728" behindDoc="1" locked="0" layoutInCell="0" allowOverlap="1">
            <wp:simplePos x="0" y="0"/>
            <wp:positionH relativeFrom="column">
              <wp:posOffset>1343660</wp:posOffset>
            </wp:positionH>
            <wp:positionV relativeFrom="paragraph">
              <wp:posOffset>-101600</wp:posOffset>
            </wp:positionV>
            <wp:extent cx="5023485"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023485" cy="5715"/>
                    </a:xfrm>
                    <a:prstGeom prst="rect">
                      <a:avLst/>
                    </a:prstGeom>
                    <a:noFill/>
                  </pic:spPr>
                </pic:pic>
              </a:graphicData>
            </a:graphic>
          </wp:anchor>
        </w:drawing>
      </w:r>
    </w:p>
    <w:p>
      <w:pPr>
        <w:spacing w:after="0" w:line="41" w:lineRule="exact"/>
        <w:rPr>
          <w:sz w:val="24"/>
          <w:szCs w:val="24"/>
          <w:color w:val="auto"/>
        </w:rPr>
      </w:pPr>
    </w:p>
    <w:p>
      <w:pPr>
        <w:jc w:val="center"/>
        <w:ind w:left="840"/>
        <w:spacing w:after="0"/>
        <w:rPr>
          <w:sz w:val="20"/>
          <w:szCs w:val="20"/>
          <w:color w:val="auto"/>
        </w:rPr>
      </w:pPr>
      <w:r>
        <w:rPr>
          <w:rFonts w:ascii="Arial" w:cs="Arial" w:eastAsia="Arial" w:hAnsi="Arial"/>
          <w:sz w:val="12"/>
          <w:szCs w:val="12"/>
          <w:b w:val="1"/>
          <w:bCs w:val="1"/>
          <w:color w:val="auto"/>
        </w:rPr>
        <w:t>CURRENT REPORT</w:t>
      </w:r>
    </w:p>
    <w:p>
      <w:pPr>
        <w:spacing w:after="0" w:line="27" w:lineRule="exact"/>
        <w:rPr>
          <w:sz w:val="24"/>
          <w:szCs w:val="24"/>
          <w:color w:val="auto"/>
        </w:rPr>
      </w:pPr>
    </w:p>
    <w:p>
      <w:pPr>
        <w:jc w:val="center"/>
        <w:ind w:left="840"/>
        <w:spacing w:after="0"/>
        <w:rPr>
          <w:sz w:val="20"/>
          <w:szCs w:val="20"/>
          <w:color w:val="auto"/>
        </w:rPr>
      </w:pPr>
      <w:r>
        <w:rPr>
          <w:rFonts w:ascii="Arial" w:cs="Arial" w:eastAsia="Arial" w:hAnsi="Arial"/>
          <w:sz w:val="12"/>
          <w:szCs w:val="12"/>
          <w:b w:val="1"/>
          <w:bCs w:val="1"/>
          <w:color w:val="auto"/>
        </w:rPr>
        <w:t>Pursuant to Section 13 or 15(d) of the Securities Exchange Act of 1934</w:t>
      </w:r>
    </w:p>
    <w:p>
      <w:pPr>
        <w:spacing w:after="0" w:line="12" w:lineRule="exact"/>
        <w:rPr>
          <w:sz w:val="24"/>
          <w:szCs w:val="24"/>
          <w:color w:val="auto"/>
        </w:rPr>
      </w:pPr>
    </w:p>
    <w:p>
      <w:pPr>
        <w:jc w:val="center"/>
        <w:ind w:left="840"/>
        <w:spacing w:after="0"/>
        <w:rPr>
          <w:sz w:val="20"/>
          <w:szCs w:val="20"/>
          <w:color w:val="auto"/>
        </w:rPr>
      </w:pPr>
      <w:r>
        <w:rPr>
          <w:rFonts w:ascii="Arial" w:cs="Arial" w:eastAsia="Arial" w:hAnsi="Arial"/>
          <w:sz w:val="14"/>
          <w:szCs w:val="14"/>
          <w:b w:val="1"/>
          <w:bCs w:val="1"/>
          <w:color w:val="auto"/>
        </w:rPr>
        <w:t>May 6, 2026</w:t>
      </w:r>
    </w:p>
    <w:p>
      <w:pPr>
        <w:spacing w:after="0" w:line="23" w:lineRule="exact"/>
        <w:rPr>
          <w:sz w:val="24"/>
          <w:szCs w:val="24"/>
          <w:color w:val="auto"/>
        </w:rPr>
      </w:pPr>
    </w:p>
    <w:p>
      <w:pPr>
        <w:ind w:left="5080"/>
        <w:spacing w:after="0"/>
        <w:rPr>
          <w:sz w:val="20"/>
          <w:szCs w:val="20"/>
          <w:color w:val="auto"/>
        </w:rPr>
      </w:pPr>
      <w:r>
        <w:rPr>
          <w:rFonts w:ascii="Arial" w:cs="Arial" w:eastAsia="Arial" w:hAnsi="Arial"/>
          <w:sz w:val="9"/>
          <w:szCs w:val="9"/>
          <w:b w:val="1"/>
          <w:bCs w:val="1"/>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1343660</wp:posOffset>
            </wp:positionH>
            <wp:positionV relativeFrom="paragraph">
              <wp:posOffset>8890</wp:posOffset>
            </wp:positionV>
            <wp:extent cx="5023485"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023485" cy="5715"/>
                    </a:xfrm>
                    <a:prstGeom prst="rect">
                      <a:avLst/>
                    </a:prstGeom>
                    <a:noFill/>
                  </pic:spPr>
                </pic:pic>
              </a:graphicData>
            </a:graphic>
          </wp:anchor>
        </w:drawing>
      </w:r>
    </w:p>
    <w:p>
      <w:pPr>
        <w:spacing w:after="0" w:line="73" w:lineRule="exact"/>
        <w:rPr>
          <w:sz w:val="24"/>
          <w:szCs w:val="24"/>
          <w:color w:val="auto"/>
        </w:rPr>
      </w:pPr>
    </w:p>
    <w:tbl>
      <w:tblPr>
        <w:tblLayout w:type="fixed"/>
        <w:tblInd w:w="0" w:type="dxa"/>
        <w:tblCellMar>
          <w:top w:w="0" w:type="dxa"/>
          <w:left w:w="0" w:type="dxa"/>
          <w:bottom w:w="0" w:type="dxa"/>
          <w:right w:w="0" w:type="dxa"/>
        </w:tblCellMar>
      </w:tblPr>
      <w:tr>
        <w:trPr>
          <w:trHeight w:val="92"/>
        </w:trPr>
        <w:tc>
          <w:tcPr>
            <w:tcW w:w="2540" w:type="dxa"/>
            <w:vAlign w:val="bottom"/>
            <w:gridSpan w:val="2"/>
          </w:tcPr>
          <w:p>
            <w:pPr>
              <w:spacing w:after="0"/>
              <w:rPr>
                <w:sz w:val="20"/>
                <w:szCs w:val="20"/>
                <w:color w:val="auto"/>
              </w:rPr>
            </w:pPr>
            <w:r>
              <w:rPr>
                <w:rFonts w:ascii="Arial" w:cs="Arial" w:eastAsia="Arial" w:hAnsi="Arial"/>
                <w:sz w:val="8"/>
                <w:szCs w:val="8"/>
                <w:b w:val="1"/>
                <w:bCs w:val="1"/>
                <w:color w:val="auto"/>
              </w:rPr>
              <w:t>Commission</w:t>
            </w:r>
          </w:p>
        </w:tc>
        <w:tc>
          <w:tcPr>
            <w:tcW w:w="6340" w:type="dxa"/>
            <w:vAlign w:val="bottom"/>
            <w:vMerge w:val="restart"/>
          </w:tcPr>
          <w:p>
            <w:pPr>
              <w:ind w:left="20"/>
              <w:spacing w:after="0"/>
              <w:rPr>
                <w:sz w:val="20"/>
                <w:szCs w:val="20"/>
                <w:color w:val="auto"/>
              </w:rPr>
            </w:pPr>
            <w:r>
              <w:rPr>
                <w:rFonts w:ascii="Arial" w:cs="Arial" w:eastAsia="Arial" w:hAnsi="Arial"/>
                <w:sz w:val="8"/>
                <w:szCs w:val="8"/>
                <w:b w:val="1"/>
                <w:bCs w:val="1"/>
                <w:color w:val="auto"/>
              </w:rPr>
              <w:t>Name of Registrant; State or Other Jurisdiction of Incorporation; Address of Principal Executive Offices; and Telephone Number</w:t>
            </w:r>
          </w:p>
        </w:tc>
        <w:tc>
          <w:tcPr>
            <w:tcW w:w="80" w:type="dxa"/>
            <w:vAlign w:val="bottom"/>
            <w:vMerge w:val="restart"/>
          </w:tcPr>
          <w:p>
            <w:pPr>
              <w:spacing w:after="0"/>
              <w:rPr>
                <w:sz w:val="7"/>
                <w:szCs w:val="7"/>
                <w:color w:val="auto"/>
              </w:rPr>
            </w:pPr>
          </w:p>
        </w:tc>
        <w:tc>
          <w:tcPr>
            <w:tcW w:w="2340" w:type="dxa"/>
            <w:vAlign w:val="bottom"/>
            <w:vMerge w:val="restart"/>
          </w:tcPr>
          <w:p>
            <w:pPr>
              <w:jc w:val="right"/>
              <w:ind w:right="847"/>
              <w:spacing w:after="0"/>
              <w:rPr>
                <w:sz w:val="20"/>
                <w:szCs w:val="20"/>
                <w:color w:val="auto"/>
              </w:rPr>
            </w:pPr>
            <w:r>
              <w:rPr>
                <w:rFonts w:ascii="Arial" w:cs="Arial" w:eastAsia="Arial" w:hAnsi="Arial"/>
                <w:sz w:val="8"/>
                <w:szCs w:val="8"/>
                <w:b w:val="1"/>
                <w:bCs w:val="1"/>
                <w:color w:val="auto"/>
              </w:rPr>
              <w:t>IRS Employer Identification Number</w:t>
            </w:r>
          </w:p>
        </w:tc>
        <w:tc>
          <w:tcPr>
            <w:tcW w:w="0" w:type="dxa"/>
            <w:vAlign w:val="bottom"/>
          </w:tcPr>
          <w:p>
            <w:pPr>
              <w:spacing w:after="0"/>
              <w:rPr>
                <w:sz w:val="1"/>
                <w:szCs w:val="1"/>
                <w:color w:val="auto"/>
              </w:rPr>
            </w:pPr>
          </w:p>
        </w:tc>
      </w:tr>
      <w:tr>
        <w:trPr>
          <w:trHeight w:val="123"/>
        </w:trPr>
        <w:tc>
          <w:tcPr>
            <w:tcW w:w="2460" w:type="dxa"/>
            <w:vAlign w:val="bottom"/>
            <w:tcBorders>
              <w:bottom w:val="single" w:sz="8" w:color="auto"/>
            </w:tcBorders>
          </w:tcPr>
          <w:p>
            <w:pPr>
              <w:spacing w:after="0"/>
              <w:rPr>
                <w:sz w:val="20"/>
                <w:szCs w:val="20"/>
                <w:color w:val="auto"/>
              </w:rPr>
            </w:pPr>
            <w:r>
              <w:rPr>
                <w:rFonts w:ascii="Arial" w:cs="Arial" w:eastAsia="Arial" w:hAnsi="Arial"/>
                <w:sz w:val="8"/>
                <w:szCs w:val="8"/>
                <w:b w:val="1"/>
                <w:bCs w:val="1"/>
                <w:color w:val="auto"/>
              </w:rPr>
              <w:t>File Number</w:t>
            </w:r>
          </w:p>
        </w:tc>
        <w:tc>
          <w:tcPr>
            <w:tcW w:w="80" w:type="dxa"/>
            <w:vAlign w:val="bottom"/>
          </w:tcPr>
          <w:p>
            <w:pPr>
              <w:spacing w:after="0"/>
              <w:rPr>
                <w:sz w:val="10"/>
                <w:szCs w:val="10"/>
                <w:color w:val="auto"/>
              </w:rPr>
            </w:pPr>
          </w:p>
        </w:tc>
        <w:tc>
          <w:tcPr>
            <w:tcW w:w="6340" w:type="dxa"/>
            <w:vAlign w:val="bottom"/>
            <w:tcBorders>
              <w:bottom w:val="single" w:sz="8" w:color="auto"/>
            </w:tcBorders>
            <w:vMerge w:val="continue"/>
          </w:tcPr>
          <w:p>
            <w:pPr>
              <w:spacing w:after="0"/>
              <w:rPr>
                <w:sz w:val="10"/>
                <w:szCs w:val="10"/>
                <w:color w:val="auto"/>
              </w:rPr>
            </w:pPr>
          </w:p>
        </w:tc>
        <w:tc>
          <w:tcPr>
            <w:tcW w:w="80" w:type="dxa"/>
            <w:vAlign w:val="bottom"/>
            <w:vMerge w:val="continue"/>
          </w:tcPr>
          <w:p>
            <w:pPr>
              <w:spacing w:after="0"/>
              <w:rPr>
                <w:sz w:val="10"/>
                <w:szCs w:val="10"/>
                <w:color w:val="auto"/>
              </w:rPr>
            </w:pPr>
          </w:p>
        </w:tc>
        <w:tc>
          <w:tcPr>
            <w:tcW w:w="234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2460" w:type="dxa"/>
            <w:vAlign w:val="bottom"/>
          </w:tcPr>
          <w:p>
            <w:pPr>
              <w:spacing w:after="0"/>
              <w:rPr>
                <w:sz w:val="20"/>
                <w:szCs w:val="20"/>
                <w:color w:val="auto"/>
              </w:rPr>
            </w:pPr>
            <w:r>
              <w:rPr>
                <w:rFonts w:ascii="Arial" w:cs="Arial" w:eastAsia="Arial" w:hAnsi="Arial"/>
                <w:sz w:val="11"/>
                <w:szCs w:val="11"/>
                <w:color w:val="auto"/>
              </w:rPr>
              <w:t>001-16169</w:t>
            </w:r>
          </w:p>
        </w:tc>
        <w:tc>
          <w:tcPr>
            <w:tcW w:w="80" w:type="dxa"/>
            <w:vAlign w:val="bottom"/>
          </w:tcPr>
          <w:p>
            <w:pPr>
              <w:spacing w:after="0"/>
              <w:rPr>
                <w:sz w:val="14"/>
                <w:szCs w:val="14"/>
                <w:color w:val="auto"/>
              </w:rPr>
            </w:pPr>
          </w:p>
        </w:tc>
        <w:tc>
          <w:tcPr>
            <w:tcW w:w="6420" w:type="dxa"/>
            <w:vAlign w:val="bottom"/>
            <w:gridSpan w:val="2"/>
          </w:tcPr>
          <w:p>
            <w:pPr>
              <w:ind w:left="20"/>
              <w:spacing w:after="0"/>
              <w:rPr>
                <w:sz w:val="20"/>
                <w:szCs w:val="20"/>
                <w:color w:val="auto"/>
              </w:rPr>
            </w:pPr>
            <w:r>
              <w:rPr>
                <w:rFonts w:ascii="Arial" w:cs="Arial" w:eastAsia="Arial" w:hAnsi="Arial"/>
                <w:sz w:val="11"/>
                <w:szCs w:val="11"/>
                <w:color w:val="auto"/>
              </w:rPr>
              <w:t>EXELON CORPORATION</w:t>
            </w:r>
          </w:p>
        </w:tc>
        <w:tc>
          <w:tcPr>
            <w:tcW w:w="2340" w:type="dxa"/>
            <w:vAlign w:val="bottom"/>
          </w:tcPr>
          <w:p>
            <w:pPr>
              <w:jc w:val="right"/>
              <w:spacing w:after="0"/>
              <w:rPr>
                <w:sz w:val="20"/>
                <w:szCs w:val="20"/>
                <w:color w:val="auto"/>
              </w:rPr>
            </w:pPr>
            <w:r>
              <w:rPr>
                <w:rFonts w:ascii="Arial" w:cs="Arial" w:eastAsia="Arial" w:hAnsi="Arial"/>
                <w:sz w:val="11"/>
                <w:szCs w:val="11"/>
                <w:color w:val="auto"/>
              </w:rPr>
              <w:t>23-2990190</w:t>
            </w:r>
          </w:p>
        </w:tc>
        <w:tc>
          <w:tcPr>
            <w:tcW w:w="0" w:type="dxa"/>
            <w:vAlign w:val="bottom"/>
          </w:tcPr>
          <w:p>
            <w:pPr>
              <w:spacing w:after="0"/>
              <w:rPr>
                <w:sz w:val="1"/>
                <w:szCs w:val="1"/>
                <w:color w:val="auto"/>
              </w:rPr>
            </w:pPr>
          </w:p>
        </w:tc>
      </w:tr>
      <w:tr>
        <w:trPr>
          <w:trHeight w:val="110"/>
        </w:trPr>
        <w:tc>
          <w:tcPr>
            <w:tcW w:w="24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20" w:type="dxa"/>
            <w:vAlign w:val="bottom"/>
            <w:gridSpan w:val="2"/>
          </w:tcPr>
          <w:p>
            <w:pPr>
              <w:ind w:left="20"/>
              <w:spacing w:after="0" w:line="111" w:lineRule="exact"/>
              <w:rPr>
                <w:sz w:val="20"/>
                <w:szCs w:val="20"/>
                <w:color w:val="auto"/>
              </w:rPr>
            </w:pPr>
            <w:r>
              <w:rPr>
                <w:rFonts w:ascii="Arial" w:cs="Arial" w:eastAsia="Arial" w:hAnsi="Arial"/>
                <w:sz w:val="11"/>
                <w:szCs w:val="11"/>
                <w:color w:val="auto"/>
              </w:rPr>
              <w:t>(a Pennsylvania corporation)</w:t>
            </w:r>
          </w:p>
        </w:tc>
        <w:tc>
          <w:tcPr>
            <w:tcW w:w="2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4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20" w:type="dxa"/>
            <w:vAlign w:val="bottom"/>
            <w:gridSpan w:val="2"/>
          </w:tcPr>
          <w:p>
            <w:pPr>
              <w:ind w:left="20"/>
              <w:spacing w:after="0" w:line="108" w:lineRule="exact"/>
              <w:rPr>
                <w:sz w:val="20"/>
                <w:szCs w:val="20"/>
                <w:color w:val="auto"/>
              </w:rPr>
            </w:pPr>
            <w:r>
              <w:rPr>
                <w:rFonts w:ascii="Arial" w:cs="Arial" w:eastAsia="Arial" w:hAnsi="Arial"/>
                <w:sz w:val="11"/>
                <w:szCs w:val="11"/>
                <w:color w:val="auto"/>
              </w:rPr>
              <w:t>10 South Dearborn Street</w:t>
            </w:r>
          </w:p>
        </w:tc>
        <w:tc>
          <w:tcPr>
            <w:tcW w:w="2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4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20" w:type="dxa"/>
            <w:vAlign w:val="bottom"/>
            <w:gridSpan w:val="2"/>
          </w:tcPr>
          <w:p>
            <w:pPr>
              <w:ind w:left="20"/>
              <w:spacing w:after="0" w:line="108" w:lineRule="exact"/>
              <w:rPr>
                <w:sz w:val="20"/>
                <w:szCs w:val="20"/>
                <w:color w:val="auto"/>
              </w:rPr>
            </w:pPr>
            <w:r>
              <w:rPr>
                <w:rFonts w:ascii="Arial" w:cs="Arial" w:eastAsia="Arial" w:hAnsi="Arial"/>
                <w:sz w:val="11"/>
                <w:szCs w:val="11"/>
                <w:color w:val="auto"/>
              </w:rPr>
              <w:t>P.O. Box 805379</w:t>
            </w:r>
          </w:p>
        </w:tc>
        <w:tc>
          <w:tcPr>
            <w:tcW w:w="2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4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20" w:type="dxa"/>
            <w:vAlign w:val="bottom"/>
            <w:gridSpan w:val="2"/>
          </w:tcPr>
          <w:p>
            <w:pPr>
              <w:ind w:left="20"/>
              <w:spacing w:after="0" w:line="108" w:lineRule="exact"/>
              <w:rPr>
                <w:sz w:val="20"/>
                <w:szCs w:val="20"/>
                <w:color w:val="auto"/>
              </w:rPr>
            </w:pPr>
            <w:r>
              <w:rPr>
                <w:rFonts w:ascii="Arial" w:cs="Arial" w:eastAsia="Arial" w:hAnsi="Arial"/>
                <w:sz w:val="11"/>
                <w:szCs w:val="11"/>
                <w:color w:val="auto"/>
              </w:rPr>
              <w:t>Chicago, Illinois 60680-5379</w:t>
            </w:r>
          </w:p>
        </w:tc>
        <w:tc>
          <w:tcPr>
            <w:tcW w:w="2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2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340" w:type="dxa"/>
            <w:vAlign w:val="bottom"/>
          </w:tcPr>
          <w:p>
            <w:pPr>
              <w:ind w:left="20"/>
              <w:spacing w:after="0"/>
              <w:rPr>
                <w:sz w:val="20"/>
                <w:szCs w:val="20"/>
                <w:color w:val="auto"/>
              </w:rPr>
            </w:pPr>
            <w:r>
              <w:rPr>
                <w:rFonts w:ascii="Arial" w:cs="Arial" w:eastAsia="Arial" w:hAnsi="Arial"/>
                <w:sz w:val="11"/>
                <w:szCs w:val="11"/>
                <w:color w:val="auto"/>
              </w:rPr>
              <w:t>(800) 483-3220</w:t>
            </w:r>
          </w:p>
        </w:tc>
        <w:tc>
          <w:tcPr>
            <w:tcW w:w="8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460" w:type="dxa"/>
            <w:vAlign w:val="bottom"/>
          </w:tcPr>
          <w:p>
            <w:pPr>
              <w:spacing w:after="0"/>
              <w:rPr>
                <w:sz w:val="20"/>
                <w:szCs w:val="20"/>
                <w:color w:val="auto"/>
              </w:rPr>
            </w:pPr>
            <w:r>
              <w:rPr>
                <w:rFonts w:ascii="Arial" w:cs="Arial" w:eastAsia="Arial" w:hAnsi="Arial"/>
                <w:sz w:val="11"/>
                <w:szCs w:val="11"/>
                <w:color w:val="auto"/>
              </w:rPr>
              <w:t>001-01839</w:t>
            </w:r>
          </w:p>
        </w:tc>
        <w:tc>
          <w:tcPr>
            <w:tcW w:w="80" w:type="dxa"/>
            <w:vAlign w:val="bottom"/>
          </w:tcPr>
          <w:p>
            <w:pPr>
              <w:spacing w:after="0"/>
              <w:rPr>
                <w:sz w:val="15"/>
                <w:szCs w:val="15"/>
                <w:color w:val="auto"/>
              </w:rPr>
            </w:pPr>
          </w:p>
        </w:tc>
        <w:tc>
          <w:tcPr>
            <w:tcW w:w="6420" w:type="dxa"/>
            <w:vAlign w:val="bottom"/>
            <w:gridSpan w:val="2"/>
          </w:tcPr>
          <w:p>
            <w:pPr>
              <w:ind w:left="20"/>
              <w:spacing w:after="0"/>
              <w:rPr>
                <w:sz w:val="20"/>
                <w:szCs w:val="20"/>
                <w:color w:val="auto"/>
              </w:rPr>
            </w:pPr>
            <w:r>
              <w:rPr>
                <w:rFonts w:ascii="Arial" w:cs="Arial" w:eastAsia="Arial" w:hAnsi="Arial"/>
                <w:sz w:val="11"/>
                <w:szCs w:val="11"/>
                <w:color w:val="auto"/>
              </w:rPr>
              <w:t>COMMONWEALTH EDISON COMPANY</w:t>
            </w:r>
          </w:p>
        </w:tc>
        <w:tc>
          <w:tcPr>
            <w:tcW w:w="2340" w:type="dxa"/>
            <w:vAlign w:val="bottom"/>
          </w:tcPr>
          <w:p>
            <w:pPr>
              <w:jc w:val="right"/>
              <w:spacing w:after="0"/>
              <w:rPr>
                <w:sz w:val="20"/>
                <w:szCs w:val="20"/>
                <w:color w:val="auto"/>
              </w:rPr>
            </w:pPr>
            <w:r>
              <w:rPr>
                <w:rFonts w:ascii="Arial" w:cs="Arial" w:eastAsia="Arial" w:hAnsi="Arial"/>
                <w:sz w:val="11"/>
                <w:szCs w:val="11"/>
                <w:color w:val="auto"/>
              </w:rPr>
              <w:t>36-0938600</w:t>
            </w:r>
          </w:p>
        </w:tc>
        <w:tc>
          <w:tcPr>
            <w:tcW w:w="0" w:type="dxa"/>
            <w:vAlign w:val="bottom"/>
          </w:tcPr>
          <w:p>
            <w:pPr>
              <w:spacing w:after="0"/>
              <w:rPr>
                <w:sz w:val="1"/>
                <w:szCs w:val="1"/>
                <w:color w:val="auto"/>
              </w:rPr>
            </w:pPr>
          </w:p>
        </w:tc>
      </w:tr>
      <w:tr>
        <w:trPr>
          <w:trHeight w:val="110"/>
        </w:trPr>
        <w:tc>
          <w:tcPr>
            <w:tcW w:w="24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20" w:type="dxa"/>
            <w:vAlign w:val="bottom"/>
            <w:gridSpan w:val="2"/>
          </w:tcPr>
          <w:p>
            <w:pPr>
              <w:ind w:left="20"/>
              <w:spacing w:after="0" w:line="111" w:lineRule="exact"/>
              <w:rPr>
                <w:sz w:val="20"/>
                <w:szCs w:val="20"/>
                <w:color w:val="auto"/>
              </w:rPr>
            </w:pPr>
            <w:r>
              <w:rPr>
                <w:rFonts w:ascii="Arial" w:cs="Arial" w:eastAsia="Arial" w:hAnsi="Arial"/>
                <w:sz w:val="11"/>
                <w:szCs w:val="11"/>
                <w:color w:val="auto"/>
              </w:rPr>
              <w:t>(an Illinois corporation)</w:t>
            </w:r>
          </w:p>
        </w:tc>
        <w:tc>
          <w:tcPr>
            <w:tcW w:w="2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4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20" w:type="dxa"/>
            <w:vAlign w:val="bottom"/>
            <w:gridSpan w:val="2"/>
          </w:tcPr>
          <w:p>
            <w:pPr>
              <w:ind w:left="20"/>
              <w:spacing w:after="0" w:line="108" w:lineRule="exact"/>
              <w:rPr>
                <w:sz w:val="20"/>
                <w:szCs w:val="20"/>
                <w:color w:val="auto"/>
              </w:rPr>
            </w:pPr>
            <w:r>
              <w:rPr>
                <w:rFonts w:ascii="Arial" w:cs="Arial" w:eastAsia="Arial" w:hAnsi="Arial"/>
                <w:sz w:val="11"/>
                <w:szCs w:val="11"/>
                <w:color w:val="auto"/>
              </w:rPr>
              <w:t>10 South Dearborn Street</w:t>
            </w:r>
          </w:p>
        </w:tc>
        <w:tc>
          <w:tcPr>
            <w:tcW w:w="2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4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20" w:type="dxa"/>
            <w:vAlign w:val="bottom"/>
            <w:gridSpan w:val="2"/>
          </w:tcPr>
          <w:p>
            <w:pPr>
              <w:ind w:left="20"/>
              <w:spacing w:after="0" w:line="108" w:lineRule="exact"/>
              <w:rPr>
                <w:sz w:val="20"/>
                <w:szCs w:val="20"/>
                <w:color w:val="auto"/>
              </w:rPr>
            </w:pPr>
            <w:r>
              <w:rPr>
                <w:rFonts w:ascii="Arial" w:cs="Arial" w:eastAsia="Arial" w:hAnsi="Arial"/>
                <w:sz w:val="11"/>
                <w:szCs w:val="11"/>
                <w:color w:val="auto"/>
              </w:rPr>
              <w:t>Chicago, Illinois 60603-2300</w:t>
            </w:r>
          </w:p>
        </w:tc>
        <w:tc>
          <w:tcPr>
            <w:tcW w:w="2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2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340" w:type="dxa"/>
            <w:vAlign w:val="bottom"/>
          </w:tcPr>
          <w:p>
            <w:pPr>
              <w:ind w:left="20"/>
              <w:spacing w:after="0"/>
              <w:rPr>
                <w:sz w:val="20"/>
                <w:szCs w:val="20"/>
                <w:color w:val="auto"/>
              </w:rPr>
            </w:pPr>
            <w:r>
              <w:rPr>
                <w:rFonts w:ascii="Arial" w:cs="Arial" w:eastAsia="Arial" w:hAnsi="Arial"/>
                <w:sz w:val="11"/>
                <w:szCs w:val="11"/>
                <w:color w:val="auto"/>
              </w:rPr>
              <w:t>(312) 394-4321</w:t>
            </w:r>
          </w:p>
        </w:tc>
        <w:tc>
          <w:tcPr>
            <w:tcW w:w="8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460" w:type="dxa"/>
            <w:vAlign w:val="bottom"/>
          </w:tcPr>
          <w:p>
            <w:pPr>
              <w:spacing w:after="0"/>
              <w:rPr>
                <w:sz w:val="20"/>
                <w:szCs w:val="20"/>
                <w:color w:val="auto"/>
              </w:rPr>
            </w:pPr>
            <w:r>
              <w:rPr>
                <w:rFonts w:ascii="Arial" w:cs="Arial" w:eastAsia="Arial" w:hAnsi="Arial"/>
                <w:sz w:val="11"/>
                <w:szCs w:val="11"/>
                <w:color w:val="auto"/>
              </w:rPr>
              <w:t>000-16844</w:t>
            </w:r>
          </w:p>
        </w:tc>
        <w:tc>
          <w:tcPr>
            <w:tcW w:w="80" w:type="dxa"/>
            <w:vAlign w:val="bottom"/>
          </w:tcPr>
          <w:p>
            <w:pPr>
              <w:spacing w:after="0"/>
              <w:rPr>
                <w:sz w:val="15"/>
                <w:szCs w:val="15"/>
                <w:color w:val="auto"/>
              </w:rPr>
            </w:pPr>
          </w:p>
        </w:tc>
        <w:tc>
          <w:tcPr>
            <w:tcW w:w="6420" w:type="dxa"/>
            <w:vAlign w:val="bottom"/>
            <w:gridSpan w:val="2"/>
          </w:tcPr>
          <w:p>
            <w:pPr>
              <w:ind w:left="20"/>
              <w:spacing w:after="0"/>
              <w:rPr>
                <w:sz w:val="20"/>
                <w:szCs w:val="20"/>
                <w:color w:val="auto"/>
              </w:rPr>
            </w:pPr>
            <w:r>
              <w:rPr>
                <w:rFonts w:ascii="Arial" w:cs="Arial" w:eastAsia="Arial" w:hAnsi="Arial"/>
                <w:sz w:val="11"/>
                <w:szCs w:val="11"/>
                <w:color w:val="auto"/>
              </w:rPr>
              <w:t>PECO ENERGY COMPANY</w:t>
            </w:r>
          </w:p>
        </w:tc>
        <w:tc>
          <w:tcPr>
            <w:tcW w:w="2340" w:type="dxa"/>
            <w:vAlign w:val="bottom"/>
          </w:tcPr>
          <w:p>
            <w:pPr>
              <w:jc w:val="right"/>
              <w:spacing w:after="0"/>
              <w:rPr>
                <w:sz w:val="20"/>
                <w:szCs w:val="20"/>
                <w:color w:val="auto"/>
              </w:rPr>
            </w:pPr>
            <w:r>
              <w:rPr>
                <w:rFonts w:ascii="Arial" w:cs="Arial" w:eastAsia="Arial" w:hAnsi="Arial"/>
                <w:sz w:val="11"/>
                <w:szCs w:val="11"/>
                <w:color w:val="auto"/>
              </w:rPr>
              <w:t>23-0970240</w:t>
            </w:r>
          </w:p>
        </w:tc>
        <w:tc>
          <w:tcPr>
            <w:tcW w:w="0" w:type="dxa"/>
            <w:vAlign w:val="bottom"/>
          </w:tcPr>
          <w:p>
            <w:pPr>
              <w:spacing w:after="0"/>
              <w:rPr>
                <w:sz w:val="1"/>
                <w:szCs w:val="1"/>
                <w:color w:val="auto"/>
              </w:rPr>
            </w:pPr>
          </w:p>
        </w:tc>
      </w:tr>
      <w:tr>
        <w:trPr>
          <w:trHeight w:val="110"/>
        </w:trPr>
        <w:tc>
          <w:tcPr>
            <w:tcW w:w="24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20" w:type="dxa"/>
            <w:vAlign w:val="bottom"/>
            <w:gridSpan w:val="2"/>
          </w:tcPr>
          <w:p>
            <w:pPr>
              <w:ind w:left="20"/>
              <w:spacing w:after="0" w:line="111" w:lineRule="exact"/>
              <w:rPr>
                <w:sz w:val="20"/>
                <w:szCs w:val="20"/>
                <w:color w:val="auto"/>
              </w:rPr>
            </w:pPr>
            <w:r>
              <w:rPr>
                <w:rFonts w:ascii="Arial" w:cs="Arial" w:eastAsia="Arial" w:hAnsi="Arial"/>
                <w:sz w:val="11"/>
                <w:szCs w:val="11"/>
                <w:color w:val="auto"/>
              </w:rPr>
              <w:t>(a Pennsylvania corporation)</w:t>
            </w:r>
          </w:p>
        </w:tc>
        <w:tc>
          <w:tcPr>
            <w:tcW w:w="2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4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20" w:type="dxa"/>
            <w:vAlign w:val="bottom"/>
            <w:gridSpan w:val="2"/>
          </w:tcPr>
          <w:p>
            <w:pPr>
              <w:ind w:left="20"/>
              <w:spacing w:after="0" w:line="108" w:lineRule="exact"/>
              <w:rPr>
                <w:sz w:val="20"/>
                <w:szCs w:val="20"/>
                <w:color w:val="auto"/>
              </w:rPr>
            </w:pPr>
            <w:r>
              <w:rPr>
                <w:rFonts w:ascii="Arial" w:cs="Arial" w:eastAsia="Arial" w:hAnsi="Arial"/>
                <w:sz w:val="11"/>
                <w:szCs w:val="11"/>
                <w:color w:val="auto"/>
              </w:rPr>
              <w:t>2301 Market Street</w:t>
            </w:r>
          </w:p>
        </w:tc>
        <w:tc>
          <w:tcPr>
            <w:tcW w:w="2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4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20" w:type="dxa"/>
            <w:vAlign w:val="bottom"/>
            <w:gridSpan w:val="2"/>
          </w:tcPr>
          <w:p>
            <w:pPr>
              <w:ind w:left="20"/>
              <w:spacing w:after="0" w:line="108" w:lineRule="exact"/>
              <w:rPr>
                <w:sz w:val="20"/>
                <w:szCs w:val="20"/>
                <w:color w:val="auto"/>
              </w:rPr>
            </w:pPr>
            <w:r>
              <w:rPr>
                <w:rFonts w:ascii="Arial" w:cs="Arial" w:eastAsia="Arial" w:hAnsi="Arial"/>
                <w:sz w:val="11"/>
                <w:szCs w:val="11"/>
                <w:color w:val="auto"/>
              </w:rPr>
              <w:t>P.O. Box 8699</w:t>
            </w:r>
          </w:p>
        </w:tc>
        <w:tc>
          <w:tcPr>
            <w:tcW w:w="2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4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20" w:type="dxa"/>
            <w:vAlign w:val="bottom"/>
            <w:gridSpan w:val="2"/>
          </w:tcPr>
          <w:p>
            <w:pPr>
              <w:ind w:left="20"/>
              <w:spacing w:after="0" w:line="108" w:lineRule="exact"/>
              <w:rPr>
                <w:sz w:val="20"/>
                <w:szCs w:val="20"/>
                <w:color w:val="auto"/>
              </w:rPr>
            </w:pPr>
            <w:r>
              <w:rPr>
                <w:rFonts w:ascii="Arial" w:cs="Arial" w:eastAsia="Arial" w:hAnsi="Arial"/>
                <w:sz w:val="11"/>
                <w:szCs w:val="11"/>
                <w:color w:val="auto"/>
              </w:rPr>
              <w:t>Philadelphia, Pennsylvania 19101-8699</w:t>
            </w:r>
          </w:p>
        </w:tc>
        <w:tc>
          <w:tcPr>
            <w:tcW w:w="2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2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340" w:type="dxa"/>
            <w:vAlign w:val="bottom"/>
          </w:tcPr>
          <w:p>
            <w:pPr>
              <w:ind w:left="20"/>
              <w:spacing w:after="0"/>
              <w:rPr>
                <w:sz w:val="20"/>
                <w:szCs w:val="20"/>
                <w:color w:val="auto"/>
              </w:rPr>
            </w:pPr>
            <w:r>
              <w:rPr>
                <w:rFonts w:ascii="Arial" w:cs="Arial" w:eastAsia="Arial" w:hAnsi="Arial"/>
                <w:sz w:val="11"/>
                <w:szCs w:val="11"/>
                <w:color w:val="auto"/>
              </w:rPr>
              <w:t>(215) 841-4000</w:t>
            </w:r>
          </w:p>
        </w:tc>
        <w:tc>
          <w:tcPr>
            <w:tcW w:w="8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460" w:type="dxa"/>
            <w:vAlign w:val="bottom"/>
          </w:tcPr>
          <w:p>
            <w:pPr>
              <w:spacing w:after="0"/>
              <w:rPr>
                <w:sz w:val="20"/>
                <w:szCs w:val="20"/>
                <w:color w:val="auto"/>
              </w:rPr>
            </w:pPr>
            <w:r>
              <w:rPr>
                <w:rFonts w:ascii="Arial" w:cs="Arial" w:eastAsia="Arial" w:hAnsi="Arial"/>
                <w:sz w:val="11"/>
                <w:szCs w:val="11"/>
                <w:color w:val="auto"/>
              </w:rPr>
              <w:t>001-01910</w:t>
            </w:r>
          </w:p>
        </w:tc>
        <w:tc>
          <w:tcPr>
            <w:tcW w:w="80" w:type="dxa"/>
            <w:vAlign w:val="bottom"/>
          </w:tcPr>
          <w:p>
            <w:pPr>
              <w:spacing w:after="0"/>
              <w:rPr>
                <w:sz w:val="15"/>
                <w:szCs w:val="15"/>
                <w:color w:val="auto"/>
              </w:rPr>
            </w:pPr>
          </w:p>
        </w:tc>
        <w:tc>
          <w:tcPr>
            <w:tcW w:w="6420" w:type="dxa"/>
            <w:vAlign w:val="bottom"/>
            <w:gridSpan w:val="2"/>
          </w:tcPr>
          <w:p>
            <w:pPr>
              <w:ind w:left="20"/>
              <w:spacing w:after="0"/>
              <w:rPr>
                <w:sz w:val="20"/>
                <w:szCs w:val="20"/>
                <w:color w:val="auto"/>
              </w:rPr>
            </w:pPr>
            <w:r>
              <w:rPr>
                <w:rFonts w:ascii="Arial" w:cs="Arial" w:eastAsia="Arial" w:hAnsi="Arial"/>
                <w:sz w:val="11"/>
                <w:szCs w:val="11"/>
                <w:color w:val="auto"/>
              </w:rPr>
              <w:t>BALTIMORE GAS AND ELECTRIC COMPANY</w:t>
            </w:r>
          </w:p>
        </w:tc>
        <w:tc>
          <w:tcPr>
            <w:tcW w:w="2340" w:type="dxa"/>
            <w:vAlign w:val="bottom"/>
          </w:tcPr>
          <w:p>
            <w:pPr>
              <w:jc w:val="right"/>
              <w:spacing w:after="0"/>
              <w:rPr>
                <w:sz w:val="20"/>
                <w:szCs w:val="20"/>
                <w:color w:val="auto"/>
              </w:rPr>
            </w:pPr>
            <w:r>
              <w:rPr>
                <w:rFonts w:ascii="Arial" w:cs="Arial" w:eastAsia="Arial" w:hAnsi="Arial"/>
                <w:sz w:val="11"/>
                <w:szCs w:val="11"/>
                <w:color w:val="auto"/>
              </w:rPr>
              <w:t>52-0280210</w:t>
            </w:r>
          </w:p>
        </w:tc>
        <w:tc>
          <w:tcPr>
            <w:tcW w:w="0" w:type="dxa"/>
            <w:vAlign w:val="bottom"/>
          </w:tcPr>
          <w:p>
            <w:pPr>
              <w:spacing w:after="0"/>
              <w:rPr>
                <w:sz w:val="1"/>
                <w:szCs w:val="1"/>
                <w:color w:val="auto"/>
              </w:rPr>
            </w:pPr>
          </w:p>
        </w:tc>
      </w:tr>
      <w:tr>
        <w:trPr>
          <w:trHeight w:val="110"/>
        </w:trPr>
        <w:tc>
          <w:tcPr>
            <w:tcW w:w="24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20" w:type="dxa"/>
            <w:vAlign w:val="bottom"/>
            <w:gridSpan w:val="2"/>
          </w:tcPr>
          <w:p>
            <w:pPr>
              <w:ind w:left="20"/>
              <w:spacing w:after="0" w:line="111" w:lineRule="exact"/>
              <w:rPr>
                <w:sz w:val="20"/>
                <w:szCs w:val="20"/>
                <w:color w:val="auto"/>
              </w:rPr>
            </w:pPr>
            <w:r>
              <w:rPr>
                <w:rFonts w:ascii="Arial" w:cs="Arial" w:eastAsia="Arial" w:hAnsi="Arial"/>
                <w:sz w:val="11"/>
                <w:szCs w:val="11"/>
                <w:color w:val="auto"/>
              </w:rPr>
              <w:t>(a Maryland corporation)</w:t>
            </w:r>
          </w:p>
        </w:tc>
        <w:tc>
          <w:tcPr>
            <w:tcW w:w="2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4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20" w:type="dxa"/>
            <w:vAlign w:val="bottom"/>
            <w:gridSpan w:val="2"/>
          </w:tcPr>
          <w:p>
            <w:pPr>
              <w:ind w:left="20"/>
              <w:spacing w:after="0" w:line="108" w:lineRule="exact"/>
              <w:rPr>
                <w:sz w:val="20"/>
                <w:szCs w:val="20"/>
                <w:color w:val="auto"/>
              </w:rPr>
            </w:pPr>
            <w:r>
              <w:rPr>
                <w:rFonts w:ascii="Arial" w:cs="Arial" w:eastAsia="Arial" w:hAnsi="Arial"/>
                <w:sz w:val="11"/>
                <w:szCs w:val="11"/>
                <w:color w:val="auto"/>
              </w:rPr>
              <w:t>2 Center Plaza</w:t>
            </w:r>
          </w:p>
        </w:tc>
        <w:tc>
          <w:tcPr>
            <w:tcW w:w="2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4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20" w:type="dxa"/>
            <w:vAlign w:val="bottom"/>
            <w:gridSpan w:val="2"/>
          </w:tcPr>
          <w:p>
            <w:pPr>
              <w:ind w:left="20"/>
              <w:spacing w:after="0" w:line="108" w:lineRule="exact"/>
              <w:rPr>
                <w:sz w:val="20"/>
                <w:szCs w:val="20"/>
                <w:color w:val="auto"/>
              </w:rPr>
            </w:pPr>
            <w:r>
              <w:rPr>
                <w:rFonts w:ascii="Arial" w:cs="Arial" w:eastAsia="Arial" w:hAnsi="Arial"/>
                <w:sz w:val="11"/>
                <w:szCs w:val="11"/>
                <w:color w:val="auto"/>
              </w:rPr>
              <w:t>110 West Fayette Street</w:t>
            </w:r>
          </w:p>
        </w:tc>
        <w:tc>
          <w:tcPr>
            <w:tcW w:w="2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4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20" w:type="dxa"/>
            <w:vAlign w:val="bottom"/>
            <w:gridSpan w:val="2"/>
          </w:tcPr>
          <w:p>
            <w:pPr>
              <w:ind w:left="20"/>
              <w:spacing w:after="0" w:line="108" w:lineRule="exact"/>
              <w:rPr>
                <w:sz w:val="20"/>
                <w:szCs w:val="20"/>
                <w:color w:val="auto"/>
              </w:rPr>
            </w:pPr>
            <w:r>
              <w:rPr>
                <w:rFonts w:ascii="Arial" w:cs="Arial" w:eastAsia="Arial" w:hAnsi="Arial"/>
                <w:sz w:val="11"/>
                <w:szCs w:val="11"/>
                <w:color w:val="auto"/>
              </w:rPr>
              <w:t>Baltimore, Maryland 21201-3708</w:t>
            </w:r>
          </w:p>
        </w:tc>
        <w:tc>
          <w:tcPr>
            <w:tcW w:w="2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2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340" w:type="dxa"/>
            <w:vAlign w:val="bottom"/>
          </w:tcPr>
          <w:p>
            <w:pPr>
              <w:ind w:left="20"/>
              <w:spacing w:after="0"/>
              <w:rPr>
                <w:sz w:val="20"/>
                <w:szCs w:val="20"/>
                <w:color w:val="auto"/>
              </w:rPr>
            </w:pPr>
            <w:r>
              <w:rPr>
                <w:rFonts w:ascii="Arial" w:cs="Arial" w:eastAsia="Arial" w:hAnsi="Arial"/>
                <w:sz w:val="11"/>
                <w:szCs w:val="11"/>
                <w:color w:val="auto"/>
              </w:rPr>
              <w:t>(410) 234-5000</w:t>
            </w:r>
          </w:p>
        </w:tc>
        <w:tc>
          <w:tcPr>
            <w:tcW w:w="8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460" w:type="dxa"/>
            <w:vAlign w:val="bottom"/>
          </w:tcPr>
          <w:p>
            <w:pPr>
              <w:spacing w:after="0"/>
              <w:rPr>
                <w:sz w:val="20"/>
                <w:szCs w:val="20"/>
                <w:color w:val="auto"/>
              </w:rPr>
            </w:pPr>
            <w:r>
              <w:rPr>
                <w:rFonts w:ascii="Arial" w:cs="Arial" w:eastAsia="Arial" w:hAnsi="Arial"/>
                <w:sz w:val="11"/>
                <w:szCs w:val="11"/>
                <w:color w:val="auto"/>
              </w:rPr>
              <w:t>001-31403</w:t>
            </w:r>
          </w:p>
        </w:tc>
        <w:tc>
          <w:tcPr>
            <w:tcW w:w="80" w:type="dxa"/>
            <w:vAlign w:val="bottom"/>
          </w:tcPr>
          <w:p>
            <w:pPr>
              <w:spacing w:after="0"/>
              <w:rPr>
                <w:sz w:val="15"/>
                <w:szCs w:val="15"/>
                <w:color w:val="auto"/>
              </w:rPr>
            </w:pPr>
          </w:p>
        </w:tc>
        <w:tc>
          <w:tcPr>
            <w:tcW w:w="6420" w:type="dxa"/>
            <w:vAlign w:val="bottom"/>
            <w:gridSpan w:val="2"/>
          </w:tcPr>
          <w:p>
            <w:pPr>
              <w:ind w:left="20"/>
              <w:spacing w:after="0"/>
              <w:rPr>
                <w:sz w:val="20"/>
                <w:szCs w:val="20"/>
                <w:color w:val="auto"/>
              </w:rPr>
            </w:pPr>
            <w:r>
              <w:rPr>
                <w:rFonts w:ascii="Arial" w:cs="Arial" w:eastAsia="Arial" w:hAnsi="Arial"/>
                <w:sz w:val="11"/>
                <w:szCs w:val="11"/>
                <w:color w:val="auto"/>
              </w:rPr>
              <w:t>PEPCO HOLDINGS LLC</w:t>
            </w:r>
          </w:p>
        </w:tc>
        <w:tc>
          <w:tcPr>
            <w:tcW w:w="2340" w:type="dxa"/>
            <w:vAlign w:val="bottom"/>
          </w:tcPr>
          <w:p>
            <w:pPr>
              <w:jc w:val="right"/>
              <w:spacing w:after="0"/>
              <w:rPr>
                <w:sz w:val="20"/>
                <w:szCs w:val="20"/>
                <w:color w:val="auto"/>
              </w:rPr>
            </w:pPr>
            <w:r>
              <w:rPr>
                <w:rFonts w:ascii="Arial" w:cs="Arial" w:eastAsia="Arial" w:hAnsi="Arial"/>
                <w:sz w:val="11"/>
                <w:szCs w:val="11"/>
                <w:color w:val="auto"/>
              </w:rPr>
              <w:t>52-2297449</w:t>
            </w:r>
          </w:p>
        </w:tc>
        <w:tc>
          <w:tcPr>
            <w:tcW w:w="0" w:type="dxa"/>
            <w:vAlign w:val="bottom"/>
          </w:tcPr>
          <w:p>
            <w:pPr>
              <w:spacing w:after="0"/>
              <w:rPr>
                <w:sz w:val="1"/>
                <w:szCs w:val="1"/>
                <w:color w:val="auto"/>
              </w:rPr>
            </w:pPr>
          </w:p>
        </w:tc>
      </w:tr>
      <w:tr>
        <w:trPr>
          <w:trHeight w:val="110"/>
        </w:trPr>
        <w:tc>
          <w:tcPr>
            <w:tcW w:w="24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20" w:type="dxa"/>
            <w:vAlign w:val="bottom"/>
            <w:gridSpan w:val="2"/>
          </w:tcPr>
          <w:p>
            <w:pPr>
              <w:ind w:left="20"/>
              <w:spacing w:after="0" w:line="111" w:lineRule="exact"/>
              <w:rPr>
                <w:sz w:val="20"/>
                <w:szCs w:val="20"/>
                <w:color w:val="auto"/>
              </w:rPr>
            </w:pPr>
            <w:r>
              <w:rPr>
                <w:rFonts w:ascii="Arial" w:cs="Arial" w:eastAsia="Arial" w:hAnsi="Arial"/>
                <w:sz w:val="11"/>
                <w:szCs w:val="11"/>
                <w:color w:val="auto"/>
              </w:rPr>
              <w:t>(a Delaware limited liability company)</w:t>
            </w:r>
          </w:p>
        </w:tc>
        <w:tc>
          <w:tcPr>
            <w:tcW w:w="2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4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20" w:type="dxa"/>
            <w:vAlign w:val="bottom"/>
            <w:gridSpan w:val="2"/>
          </w:tcPr>
          <w:p>
            <w:pPr>
              <w:ind w:left="20"/>
              <w:spacing w:after="0" w:line="108" w:lineRule="exact"/>
              <w:rPr>
                <w:sz w:val="20"/>
                <w:szCs w:val="20"/>
                <w:color w:val="auto"/>
              </w:rPr>
            </w:pPr>
            <w:r>
              <w:rPr>
                <w:rFonts w:ascii="Arial" w:cs="Arial" w:eastAsia="Arial" w:hAnsi="Arial"/>
                <w:sz w:val="11"/>
                <w:szCs w:val="11"/>
                <w:color w:val="auto"/>
              </w:rPr>
              <w:t>701 Ninth Street, N.W.</w:t>
            </w:r>
          </w:p>
        </w:tc>
        <w:tc>
          <w:tcPr>
            <w:tcW w:w="2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4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20" w:type="dxa"/>
            <w:vAlign w:val="bottom"/>
            <w:gridSpan w:val="2"/>
          </w:tcPr>
          <w:p>
            <w:pPr>
              <w:ind w:left="20"/>
              <w:spacing w:after="0" w:line="108" w:lineRule="exact"/>
              <w:rPr>
                <w:sz w:val="20"/>
                <w:szCs w:val="20"/>
                <w:color w:val="auto"/>
              </w:rPr>
            </w:pPr>
            <w:r>
              <w:rPr>
                <w:rFonts w:ascii="Arial" w:cs="Arial" w:eastAsia="Arial" w:hAnsi="Arial"/>
                <w:sz w:val="11"/>
                <w:szCs w:val="11"/>
                <w:color w:val="auto"/>
              </w:rPr>
              <w:t>Washington, District of Columbia 20068-0001</w:t>
            </w:r>
          </w:p>
        </w:tc>
        <w:tc>
          <w:tcPr>
            <w:tcW w:w="2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2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340" w:type="dxa"/>
            <w:vAlign w:val="bottom"/>
          </w:tcPr>
          <w:p>
            <w:pPr>
              <w:ind w:left="20"/>
              <w:spacing w:after="0"/>
              <w:rPr>
                <w:sz w:val="20"/>
                <w:szCs w:val="20"/>
                <w:color w:val="auto"/>
              </w:rPr>
            </w:pPr>
            <w:r>
              <w:rPr>
                <w:rFonts w:ascii="Arial" w:cs="Arial" w:eastAsia="Arial" w:hAnsi="Arial"/>
                <w:sz w:val="11"/>
                <w:szCs w:val="11"/>
                <w:color w:val="auto"/>
              </w:rPr>
              <w:t>(202) 872-2000</w:t>
            </w:r>
          </w:p>
        </w:tc>
        <w:tc>
          <w:tcPr>
            <w:tcW w:w="8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460" w:type="dxa"/>
            <w:vAlign w:val="bottom"/>
          </w:tcPr>
          <w:p>
            <w:pPr>
              <w:spacing w:after="0"/>
              <w:rPr>
                <w:sz w:val="20"/>
                <w:szCs w:val="20"/>
                <w:color w:val="auto"/>
              </w:rPr>
            </w:pPr>
            <w:r>
              <w:rPr>
                <w:rFonts w:ascii="Arial" w:cs="Arial" w:eastAsia="Arial" w:hAnsi="Arial"/>
                <w:sz w:val="11"/>
                <w:szCs w:val="11"/>
                <w:color w:val="auto"/>
              </w:rPr>
              <w:t>001-01072</w:t>
            </w:r>
          </w:p>
        </w:tc>
        <w:tc>
          <w:tcPr>
            <w:tcW w:w="80" w:type="dxa"/>
            <w:vAlign w:val="bottom"/>
          </w:tcPr>
          <w:p>
            <w:pPr>
              <w:spacing w:after="0"/>
              <w:rPr>
                <w:sz w:val="15"/>
                <w:szCs w:val="15"/>
                <w:color w:val="auto"/>
              </w:rPr>
            </w:pPr>
          </w:p>
        </w:tc>
        <w:tc>
          <w:tcPr>
            <w:tcW w:w="6420" w:type="dxa"/>
            <w:vAlign w:val="bottom"/>
            <w:gridSpan w:val="2"/>
          </w:tcPr>
          <w:p>
            <w:pPr>
              <w:ind w:left="20"/>
              <w:spacing w:after="0"/>
              <w:rPr>
                <w:sz w:val="20"/>
                <w:szCs w:val="20"/>
                <w:color w:val="auto"/>
              </w:rPr>
            </w:pPr>
            <w:r>
              <w:rPr>
                <w:rFonts w:ascii="Arial" w:cs="Arial" w:eastAsia="Arial" w:hAnsi="Arial"/>
                <w:sz w:val="11"/>
                <w:szCs w:val="11"/>
                <w:color w:val="auto"/>
              </w:rPr>
              <w:t>POTOMAC ELECTRIC POWER COMPANY</w:t>
            </w:r>
          </w:p>
        </w:tc>
        <w:tc>
          <w:tcPr>
            <w:tcW w:w="2340" w:type="dxa"/>
            <w:vAlign w:val="bottom"/>
          </w:tcPr>
          <w:p>
            <w:pPr>
              <w:jc w:val="right"/>
              <w:spacing w:after="0"/>
              <w:rPr>
                <w:sz w:val="20"/>
                <w:szCs w:val="20"/>
                <w:color w:val="auto"/>
              </w:rPr>
            </w:pPr>
            <w:r>
              <w:rPr>
                <w:rFonts w:ascii="Arial" w:cs="Arial" w:eastAsia="Arial" w:hAnsi="Arial"/>
                <w:sz w:val="11"/>
                <w:szCs w:val="11"/>
                <w:color w:val="auto"/>
              </w:rPr>
              <w:t>53-0127880</w:t>
            </w:r>
          </w:p>
        </w:tc>
        <w:tc>
          <w:tcPr>
            <w:tcW w:w="0" w:type="dxa"/>
            <w:vAlign w:val="bottom"/>
          </w:tcPr>
          <w:p>
            <w:pPr>
              <w:spacing w:after="0"/>
              <w:rPr>
                <w:sz w:val="1"/>
                <w:szCs w:val="1"/>
                <w:color w:val="auto"/>
              </w:rPr>
            </w:pPr>
          </w:p>
        </w:tc>
      </w:tr>
      <w:tr>
        <w:trPr>
          <w:trHeight w:val="110"/>
        </w:trPr>
        <w:tc>
          <w:tcPr>
            <w:tcW w:w="24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20" w:type="dxa"/>
            <w:vAlign w:val="bottom"/>
            <w:gridSpan w:val="2"/>
          </w:tcPr>
          <w:p>
            <w:pPr>
              <w:ind w:left="20"/>
              <w:spacing w:after="0" w:line="111" w:lineRule="exact"/>
              <w:rPr>
                <w:sz w:val="20"/>
                <w:szCs w:val="20"/>
                <w:color w:val="auto"/>
              </w:rPr>
            </w:pPr>
            <w:r>
              <w:rPr>
                <w:rFonts w:ascii="Arial" w:cs="Arial" w:eastAsia="Arial" w:hAnsi="Arial"/>
                <w:sz w:val="11"/>
                <w:szCs w:val="11"/>
                <w:color w:val="auto"/>
              </w:rPr>
              <w:t>(a District of Columbia and Virginia corporation)</w:t>
            </w:r>
          </w:p>
        </w:tc>
        <w:tc>
          <w:tcPr>
            <w:tcW w:w="2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4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20" w:type="dxa"/>
            <w:vAlign w:val="bottom"/>
            <w:gridSpan w:val="2"/>
          </w:tcPr>
          <w:p>
            <w:pPr>
              <w:ind w:left="20"/>
              <w:spacing w:after="0" w:line="108" w:lineRule="exact"/>
              <w:rPr>
                <w:sz w:val="20"/>
                <w:szCs w:val="20"/>
                <w:color w:val="auto"/>
              </w:rPr>
            </w:pPr>
            <w:r>
              <w:rPr>
                <w:rFonts w:ascii="Arial" w:cs="Arial" w:eastAsia="Arial" w:hAnsi="Arial"/>
                <w:sz w:val="11"/>
                <w:szCs w:val="11"/>
                <w:color w:val="auto"/>
              </w:rPr>
              <w:t>701 Ninth Street, N.W.</w:t>
            </w:r>
          </w:p>
        </w:tc>
        <w:tc>
          <w:tcPr>
            <w:tcW w:w="2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4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20" w:type="dxa"/>
            <w:vAlign w:val="bottom"/>
            <w:gridSpan w:val="2"/>
          </w:tcPr>
          <w:p>
            <w:pPr>
              <w:ind w:left="20"/>
              <w:spacing w:after="0" w:line="108" w:lineRule="exact"/>
              <w:rPr>
                <w:sz w:val="20"/>
                <w:szCs w:val="20"/>
                <w:color w:val="auto"/>
              </w:rPr>
            </w:pPr>
            <w:r>
              <w:rPr>
                <w:rFonts w:ascii="Arial" w:cs="Arial" w:eastAsia="Arial" w:hAnsi="Arial"/>
                <w:sz w:val="11"/>
                <w:szCs w:val="11"/>
                <w:color w:val="auto"/>
              </w:rPr>
              <w:t>Washington, District of Columbia 20068-0001</w:t>
            </w:r>
          </w:p>
        </w:tc>
        <w:tc>
          <w:tcPr>
            <w:tcW w:w="2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2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340" w:type="dxa"/>
            <w:vAlign w:val="bottom"/>
          </w:tcPr>
          <w:p>
            <w:pPr>
              <w:ind w:left="20"/>
              <w:spacing w:after="0"/>
              <w:rPr>
                <w:sz w:val="20"/>
                <w:szCs w:val="20"/>
                <w:color w:val="auto"/>
              </w:rPr>
            </w:pPr>
            <w:r>
              <w:rPr>
                <w:rFonts w:ascii="Arial" w:cs="Arial" w:eastAsia="Arial" w:hAnsi="Arial"/>
                <w:sz w:val="11"/>
                <w:szCs w:val="11"/>
                <w:color w:val="auto"/>
              </w:rPr>
              <w:t>(202) 872-2000</w:t>
            </w:r>
          </w:p>
        </w:tc>
        <w:tc>
          <w:tcPr>
            <w:tcW w:w="8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460" w:type="dxa"/>
            <w:vAlign w:val="bottom"/>
          </w:tcPr>
          <w:p>
            <w:pPr>
              <w:spacing w:after="0"/>
              <w:rPr>
                <w:sz w:val="20"/>
                <w:szCs w:val="20"/>
                <w:color w:val="auto"/>
              </w:rPr>
            </w:pPr>
            <w:r>
              <w:rPr>
                <w:rFonts w:ascii="Arial" w:cs="Arial" w:eastAsia="Arial" w:hAnsi="Arial"/>
                <w:sz w:val="11"/>
                <w:szCs w:val="11"/>
                <w:color w:val="auto"/>
              </w:rPr>
              <w:t>001-01405</w:t>
            </w:r>
          </w:p>
        </w:tc>
        <w:tc>
          <w:tcPr>
            <w:tcW w:w="80" w:type="dxa"/>
            <w:vAlign w:val="bottom"/>
          </w:tcPr>
          <w:p>
            <w:pPr>
              <w:spacing w:after="0"/>
              <w:rPr>
                <w:sz w:val="15"/>
                <w:szCs w:val="15"/>
                <w:color w:val="auto"/>
              </w:rPr>
            </w:pPr>
          </w:p>
        </w:tc>
        <w:tc>
          <w:tcPr>
            <w:tcW w:w="6420" w:type="dxa"/>
            <w:vAlign w:val="bottom"/>
            <w:gridSpan w:val="2"/>
          </w:tcPr>
          <w:p>
            <w:pPr>
              <w:ind w:left="20"/>
              <w:spacing w:after="0"/>
              <w:rPr>
                <w:sz w:val="20"/>
                <w:szCs w:val="20"/>
                <w:color w:val="auto"/>
              </w:rPr>
            </w:pPr>
            <w:r>
              <w:rPr>
                <w:rFonts w:ascii="Arial" w:cs="Arial" w:eastAsia="Arial" w:hAnsi="Arial"/>
                <w:sz w:val="11"/>
                <w:szCs w:val="11"/>
                <w:color w:val="auto"/>
              </w:rPr>
              <w:t>DELMARVA POWER &amp; LIGHT COMPANY</w:t>
            </w:r>
          </w:p>
        </w:tc>
        <w:tc>
          <w:tcPr>
            <w:tcW w:w="2340" w:type="dxa"/>
            <w:vAlign w:val="bottom"/>
          </w:tcPr>
          <w:p>
            <w:pPr>
              <w:jc w:val="right"/>
              <w:spacing w:after="0"/>
              <w:rPr>
                <w:sz w:val="20"/>
                <w:szCs w:val="20"/>
                <w:color w:val="auto"/>
              </w:rPr>
            </w:pPr>
            <w:r>
              <w:rPr>
                <w:rFonts w:ascii="Arial" w:cs="Arial" w:eastAsia="Arial" w:hAnsi="Arial"/>
                <w:sz w:val="11"/>
                <w:szCs w:val="11"/>
                <w:color w:val="auto"/>
              </w:rPr>
              <w:t>51-0084283</w:t>
            </w:r>
          </w:p>
        </w:tc>
        <w:tc>
          <w:tcPr>
            <w:tcW w:w="0" w:type="dxa"/>
            <w:vAlign w:val="bottom"/>
          </w:tcPr>
          <w:p>
            <w:pPr>
              <w:spacing w:after="0"/>
              <w:rPr>
                <w:sz w:val="1"/>
                <w:szCs w:val="1"/>
                <w:color w:val="auto"/>
              </w:rPr>
            </w:pPr>
          </w:p>
        </w:tc>
      </w:tr>
      <w:tr>
        <w:trPr>
          <w:trHeight w:val="110"/>
        </w:trPr>
        <w:tc>
          <w:tcPr>
            <w:tcW w:w="24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20" w:type="dxa"/>
            <w:vAlign w:val="bottom"/>
            <w:gridSpan w:val="2"/>
          </w:tcPr>
          <w:p>
            <w:pPr>
              <w:ind w:left="20"/>
              <w:spacing w:after="0" w:line="111" w:lineRule="exact"/>
              <w:rPr>
                <w:sz w:val="20"/>
                <w:szCs w:val="20"/>
                <w:color w:val="auto"/>
              </w:rPr>
            </w:pPr>
            <w:r>
              <w:rPr>
                <w:rFonts w:ascii="Arial" w:cs="Arial" w:eastAsia="Arial" w:hAnsi="Arial"/>
                <w:sz w:val="11"/>
                <w:szCs w:val="11"/>
                <w:color w:val="auto"/>
              </w:rPr>
              <w:t>(a Delaware and Virginia corporation)</w:t>
            </w:r>
          </w:p>
        </w:tc>
        <w:tc>
          <w:tcPr>
            <w:tcW w:w="2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4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20" w:type="dxa"/>
            <w:vAlign w:val="bottom"/>
            <w:gridSpan w:val="2"/>
          </w:tcPr>
          <w:p>
            <w:pPr>
              <w:ind w:left="20"/>
              <w:spacing w:after="0" w:line="108" w:lineRule="exact"/>
              <w:rPr>
                <w:sz w:val="20"/>
                <w:szCs w:val="20"/>
                <w:color w:val="auto"/>
              </w:rPr>
            </w:pPr>
            <w:r>
              <w:rPr>
                <w:rFonts w:ascii="Arial" w:cs="Arial" w:eastAsia="Arial" w:hAnsi="Arial"/>
                <w:sz w:val="11"/>
                <w:szCs w:val="11"/>
                <w:color w:val="auto"/>
              </w:rPr>
              <w:t>500 North Wakefield Drive</w:t>
            </w:r>
          </w:p>
        </w:tc>
        <w:tc>
          <w:tcPr>
            <w:tcW w:w="2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4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20" w:type="dxa"/>
            <w:vAlign w:val="bottom"/>
            <w:gridSpan w:val="2"/>
          </w:tcPr>
          <w:p>
            <w:pPr>
              <w:ind w:left="20"/>
              <w:spacing w:after="0" w:line="108" w:lineRule="exact"/>
              <w:rPr>
                <w:sz w:val="20"/>
                <w:szCs w:val="20"/>
                <w:color w:val="auto"/>
              </w:rPr>
            </w:pPr>
            <w:r>
              <w:rPr>
                <w:rFonts w:ascii="Arial" w:cs="Arial" w:eastAsia="Arial" w:hAnsi="Arial"/>
                <w:sz w:val="11"/>
                <w:szCs w:val="11"/>
                <w:color w:val="auto"/>
              </w:rPr>
              <w:t>Newark, Delaware 19702-5440</w:t>
            </w:r>
          </w:p>
        </w:tc>
        <w:tc>
          <w:tcPr>
            <w:tcW w:w="2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2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340" w:type="dxa"/>
            <w:vAlign w:val="bottom"/>
          </w:tcPr>
          <w:p>
            <w:pPr>
              <w:ind w:left="20"/>
              <w:spacing w:after="0"/>
              <w:rPr>
                <w:sz w:val="20"/>
                <w:szCs w:val="20"/>
                <w:color w:val="auto"/>
              </w:rPr>
            </w:pPr>
            <w:r>
              <w:rPr>
                <w:rFonts w:ascii="Arial" w:cs="Arial" w:eastAsia="Arial" w:hAnsi="Arial"/>
                <w:sz w:val="11"/>
                <w:szCs w:val="11"/>
                <w:color w:val="auto"/>
              </w:rPr>
              <w:t>(202) 872-2000</w:t>
            </w:r>
          </w:p>
        </w:tc>
        <w:tc>
          <w:tcPr>
            <w:tcW w:w="8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460" w:type="dxa"/>
            <w:vAlign w:val="bottom"/>
          </w:tcPr>
          <w:p>
            <w:pPr>
              <w:spacing w:after="0"/>
              <w:rPr>
                <w:sz w:val="20"/>
                <w:szCs w:val="20"/>
                <w:color w:val="auto"/>
              </w:rPr>
            </w:pPr>
            <w:r>
              <w:rPr>
                <w:rFonts w:ascii="Arial" w:cs="Arial" w:eastAsia="Arial" w:hAnsi="Arial"/>
                <w:sz w:val="11"/>
                <w:szCs w:val="11"/>
                <w:color w:val="auto"/>
              </w:rPr>
              <w:t>001-03559</w:t>
            </w:r>
          </w:p>
        </w:tc>
        <w:tc>
          <w:tcPr>
            <w:tcW w:w="80" w:type="dxa"/>
            <w:vAlign w:val="bottom"/>
          </w:tcPr>
          <w:p>
            <w:pPr>
              <w:spacing w:after="0"/>
              <w:rPr>
                <w:sz w:val="15"/>
                <w:szCs w:val="15"/>
                <w:color w:val="auto"/>
              </w:rPr>
            </w:pPr>
          </w:p>
        </w:tc>
        <w:tc>
          <w:tcPr>
            <w:tcW w:w="6420" w:type="dxa"/>
            <w:vAlign w:val="bottom"/>
            <w:gridSpan w:val="2"/>
          </w:tcPr>
          <w:p>
            <w:pPr>
              <w:ind w:left="20"/>
              <w:spacing w:after="0"/>
              <w:rPr>
                <w:sz w:val="20"/>
                <w:szCs w:val="20"/>
                <w:color w:val="auto"/>
              </w:rPr>
            </w:pPr>
            <w:r>
              <w:rPr>
                <w:rFonts w:ascii="Arial" w:cs="Arial" w:eastAsia="Arial" w:hAnsi="Arial"/>
                <w:sz w:val="11"/>
                <w:szCs w:val="11"/>
                <w:color w:val="auto"/>
              </w:rPr>
              <w:t>ATLANTIC CITY ELECTRIC COMPANY</w:t>
            </w:r>
          </w:p>
        </w:tc>
        <w:tc>
          <w:tcPr>
            <w:tcW w:w="2340" w:type="dxa"/>
            <w:vAlign w:val="bottom"/>
          </w:tcPr>
          <w:p>
            <w:pPr>
              <w:jc w:val="right"/>
              <w:spacing w:after="0"/>
              <w:rPr>
                <w:sz w:val="20"/>
                <w:szCs w:val="20"/>
                <w:color w:val="auto"/>
              </w:rPr>
            </w:pPr>
            <w:r>
              <w:rPr>
                <w:rFonts w:ascii="Arial" w:cs="Arial" w:eastAsia="Arial" w:hAnsi="Arial"/>
                <w:sz w:val="11"/>
                <w:szCs w:val="11"/>
                <w:color w:val="auto"/>
              </w:rPr>
              <w:t>21-0398280</w:t>
            </w:r>
          </w:p>
        </w:tc>
        <w:tc>
          <w:tcPr>
            <w:tcW w:w="0" w:type="dxa"/>
            <w:vAlign w:val="bottom"/>
          </w:tcPr>
          <w:p>
            <w:pPr>
              <w:spacing w:after="0"/>
              <w:rPr>
                <w:sz w:val="1"/>
                <w:szCs w:val="1"/>
                <w:color w:val="auto"/>
              </w:rPr>
            </w:pPr>
          </w:p>
        </w:tc>
      </w:tr>
      <w:tr>
        <w:trPr>
          <w:trHeight w:val="110"/>
        </w:trPr>
        <w:tc>
          <w:tcPr>
            <w:tcW w:w="24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20" w:type="dxa"/>
            <w:vAlign w:val="bottom"/>
            <w:gridSpan w:val="2"/>
          </w:tcPr>
          <w:p>
            <w:pPr>
              <w:ind w:left="20"/>
              <w:spacing w:after="0" w:line="111" w:lineRule="exact"/>
              <w:rPr>
                <w:sz w:val="20"/>
                <w:szCs w:val="20"/>
                <w:color w:val="auto"/>
              </w:rPr>
            </w:pPr>
            <w:r>
              <w:rPr>
                <w:rFonts w:ascii="Arial" w:cs="Arial" w:eastAsia="Arial" w:hAnsi="Arial"/>
                <w:sz w:val="11"/>
                <w:szCs w:val="11"/>
                <w:color w:val="auto"/>
              </w:rPr>
              <w:t>(a New Jersey corporation)</w:t>
            </w:r>
          </w:p>
        </w:tc>
        <w:tc>
          <w:tcPr>
            <w:tcW w:w="2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4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20" w:type="dxa"/>
            <w:vAlign w:val="bottom"/>
            <w:gridSpan w:val="2"/>
          </w:tcPr>
          <w:p>
            <w:pPr>
              <w:ind w:left="20"/>
              <w:spacing w:after="0" w:line="108" w:lineRule="exact"/>
              <w:rPr>
                <w:sz w:val="20"/>
                <w:szCs w:val="20"/>
                <w:color w:val="auto"/>
              </w:rPr>
            </w:pPr>
            <w:r>
              <w:rPr>
                <w:rFonts w:ascii="Arial" w:cs="Arial" w:eastAsia="Arial" w:hAnsi="Arial"/>
                <w:sz w:val="11"/>
                <w:szCs w:val="11"/>
                <w:color w:val="auto"/>
              </w:rPr>
              <w:t>500 North Wakefield Drive</w:t>
            </w:r>
          </w:p>
        </w:tc>
        <w:tc>
          <w:tcPr>
            <w:tcW w:w="2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4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20" w:type="dxa"/>
            <w:vAlign w:val="bottom"/>
            <w:gridSpan w:val="2"/>
          </w:tcPr>
          <w:p>
            <w:pPr>
              <w:ind w:left="20"/>
              <w:spacing w:after="0" w:line="108" w:lineRule="exact"/>
              <w:rPr>
                <w:sz w:val="20"/>
                <w:szCs w:val="20"/>
                <w:color w:val="auto"/>
              </w:rPr>
            </w:pPr>
            <w:r>
              <w:rPr>
                <w:rFonts w:ascii="Arial" w:cs="Arial" w:eastAsia="Arial" w:hAnsi="Arial"/>
                <w:sz w:val="11"/>
                <w:szCs w:val="11"/>
                <w:color w:val="auto"/>
              </w:rPr>
              <w:t>Newark, Delaware 19702-5440</w:t>
            </w:r>
          </w:p>
        </w:tc>
        <w:tc>
          <w:tcPr>
            <w:tcW w:w="2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2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340" w:type="dxa"/>
            <w:vAlign w:val="bottom"/>
          </w:tcPr>
          <w:p>
            <w:pPr>
              <w:ind w:left="20"/>
              <w:spacing w:after="0"/>
              <w:rPr>
                <w:sz w:val="20"/>
                <w:szCs w:val="20"/>
                <w:color w:val="auto"/>
              </w:rPr>
            </w:pPr>
            <w:r>
              <w:rPr>
                <w:rFonts w:ascii="Arial" w:cs="Arial" w:eastAsia="Arial" w:hAnsi="Arial"/>
                <w:sz w:val="11"/>
                <w:szCs w:val="11"/>
                <w:color w:val="auto"/>
              </w:rPr>
              <w:t>(202) 872-2000</w:t>
            </w:r>
          </w:p>
        </w:tc>
        <w:tc>
          <w:tcPr>
            <w:tcW w:w="8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22"/>
        </w:trPr>
        <w:tc>
          <w:tcPr>
            <w:tcW w:w="24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3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3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658" w:right="299" w:bottom="1440" w:gutter="0" w:footer="0" w:header="0"/>
        </w:sectPr>
      </w:pPr>
    </w:p>
    <w:bookmarkStart w:id="1" w:name="page2"/>
    <w:bookmarkEnd w:id="1"/>
    <w:p>
      <w:pPr>
        <w:spacing w:after="0"/>
        <w:rPr>
          <w:sz w:val="20"/>
          <w:szCs w:val="20"/>
          <w:color w:val="auto"/>
        </w:rPr>
      </w:pPr>
      <w:r>
        <w:rPr>
          <w:rFonts w:ascii="Arial" w:cs="Arial" w:eastAsia="Arial" w:hAnsi="Arial"/>
          <w:sz w:val="11"/>
          <w:szCs w:val="11"/>
          <w:color w:val="auto"/>
        </w:rPr>
        <w:t>Check the appropriate box below if the Form 8-K filing is intended to simultaneously satisfy the filing obligation of the registrant under any of the following provisions:</w:t>
      </w:r>
    </w:p>
    <w:p>
      <w:pPr>
        <w:spacing w:after="0" w:line="18" w:lineRule="exact"/>
        <w:rPr>
          <w:sz w:val="20"/>
          <w:szCs w:val="20"/>
          <w:color w:val="auto"/>
        </w:rPr>
      </w:pPr>
    </w:p>
    <w:p>
      <w:pPr>
        <w:ind w:left="420" w:hanging="416"/>
        <w:spacing w:after="0"/>
        <w:tabs>
          <w:tab w:leader="none" w:pos="420" w:val="left"/>
        </w:tabs>
        <w:numPr>
          <w:ilvl w:val="0"/>
          <w:numId w:val="1"/>
        </w:numPr>
        <w:rPr>
          <w:rFonts w:ascii="MS PGothic" w:cs="MS PGothic" w:eastAsia="MS PGothic" w:hAnsi="MS PGothic"/>
          <w:sz w:val="11"/>
          <w:szCs w:val="11"/>
          <w:color w:val="auto"/>
        </w:rPr>
      </w:pPr>
      <w:r>
        <w:rPr>
          <w:rFonts w:ascii="Arial" w:cs="Arial" w:eastAsia="Arial" w:hAnsi="Arial"/>
          <w:sz w:val="11"/>
          <w:szCs w:val="11"/>
          <w:color w:val="auto"/>
        </w:rPr>
        <w:t>Written communications pursuant to Rule 425 under the Securities Act (17 CFR 230.425)</w:t>
      </w:r>
    </w:p>
    <w:p>
      <w:pPr>
        <w:spacing w:after="0" w:line="27" w:lineRule="exact"/>
        <w:rPr>
          <w:rFonts w:ascii="MS PGothic" w:cs="MS PGothic" w:eastAsia="MS PGothic" w:hAnsi="MS PGothic"/>
          <w:sz w:val="11"/>
          <w:szCs w:val="11"/>
          <w:color w:val="auto"/>
        </w:rPr>
      </w:pPr>
    </w:p>
    <w:p>
      <w:pPr>
        <w:ind w:left="420" w:hanging="416"/>
        <w:spacing w:after="0"/>
        <w:tabs>
          <w:tab w:leader="none" w:pos="420" w:val="left"/>
        </w:tabs>
        <w:numPr>
          <w:ilvl w:val="0"/>
          <w:numId w:val="1"/>
        </w:numPr>
        <w:rPr>
          <w:rFonts w:ascii="MS PGothic" w:cs="MS PGothic" w:eastAsia="MS PGothic" w:hAnsi="MS PGothic"/>
          <w:sz w:val="11"/>
          <w:szCs w:val="11"/>
          <w:color w:val="auto"/>
        </w:rPr>
      </w:pPr>
      <w:r>
        <w:rPr>
          <w:rFonts w:ascii="Arial" w:cs="Arial" w:eastAsia="Arial" w:hAnsi="Arial"/>
          <w:sz w:val="11"/>
          <w:szCs w:val="11"/>
          <w:color w:val="auto"/>
        </w:rPr>
        <w:t>Soliciting material pursuant to Rule 14a-12 under the Exchange Act (17 CFR 240.14a-12)</w:t>
      </w:r>
    </w:p>
    <w:p>
      <w:pPr>
        <w:spacing w:after="0" w:line="17" w:lineRule="exact"/>
        <w:rPr>
          <w:rFonts w:ascii="MS PGothic" w:cs="MS PGothic" w:eastAsia="MS PGothic" w:hAnsi="MS PGothic"/>
          <w:sz w:val="11"/>
          <w:szCs w:val="11"/>
          <w:color w:val="auto"/>
        </w:rPr>
      </w:pPr>
    </w:p>
    <w:p>
      <w:pPr>
        <w:ind w:left="420" w:hanging="416"/>
        <w:spacing w:after="0"/>
        <w:tabs>
          <w:tab w:leader="none" w:pos="420" w:val="left"/>
        </w:tabs>
        <w:numPr>
          <w:ilvl w:val="0"/>
          <w:numId w:val="1"/>
        </w:numPr>
        <w:rPr>
          <w:rFonts w:ascii="MS PGothic" w:cs="MS PGothic" w:eastAsia="MS PGothic" w:hAnsi="MS PGothic"/>
          <w:sz w:val="11"/>
          <w:szCs w:val="11"/>
          <w:color w:val="auto"/>
        </w:rPr>
      </w:pPr>
      <w:r>
        <w:rPr>
          <w:rFonts w:ascii="Arial" w:cs="Arial" w:eastAsia="Arial" w:hAnsi="Arial"/>
          <w:sz w:val="11"/>
          <w:szCs w:val="11"/>
          <w:color w:val="auto"/>
        </w:rPr>
        <w:t>Pre-commencement communications pursuant to Rule 14d-2(b) under the Exchange Act (17 CFR 240.14d-2(b))</w:t>
      </w:r>
    </w:p>
    <w:p>
      <w:pPr>
        <w:spacing w:after="0" w:line="17" w:lineRule="exact"/>
        <w:rPr>
          <w:rFonts w:ascii="MS PGothic" w:cs="MS PGothic" w:eastAsia="MS PGothic" w:hAnsi="MS PGothic"/>
          <w:sz w:val="11"/>
          <w:szCs w:val="11"/>
          <w:color w:val="auto"/>
        </w:rPr>
      </w:pPr>
    </w:p>
    <w:p>
      <w:pPr>
        <w:ind w:left="420" w:hanging="416"/>
        <w:spacing w:after="0"/>
        <w:tabs>
          <w:tab w:leader="none" w:pos="420" w:val="left"/>
        </w:tabs>
        <w:numPr>
          <w:ilvl w:val="0"/>
          <w:numId w:val="1"/>
        </w:numPr>
        <w:rPr>
          <w:rFonts w:ascii="MS PGothic" w:cs="MS PGothic" w:eastAsia="MS PGothic" w:hAnsi="MS PGothic"/>
          <w:sz w:val="11"/>
          <w:szCs w:val="11"/>
          <w:color w:val="auto"/>
        </w:rPr>
      </w:pPr>
      <w:r>
        <w:rPr>
          <w:rFonts w:ascii="Arial" w:cs="Arial" w:eastAsia="Arial" w:hAnsi="Arial"/>
          <w:sz w:val="11"/>
          <w:szCs w:val="11"/>
          <w:color w:val="auto"/>
        </w:rPr>
        <w:t>Pre-commencement communications pursuant to Rule 13e-4(c) under the Exchange Act (17 CFR 240.13e-4(c))</w:t>
      </w:r>
    </w:p>
    <w:p>
      <w:pPr>
        <w:spacing w:after="0" w:line="89" w:lineRule="exact"/>
        <w:rPr>
          <w:sz w:val="20"/>
          <w:szCs w:val="20"/>
          <w:color w:val="auto"/>
        </w:rPr>
      </w:pPr>
    </w:p>
    <w:p>
      <w:pPr>
        <w:spacing w:after="0"/>
        <w:rPr>
          <w:sz w:val="20"/>
          <w:szCs w:val="20"/>
          <w:color w:val="auto"/>
        </w:rPr>
      </w:pPr>
      <w:r>
        <w:rPr>
          <w:rFonts w:ascii="Arial" w:cs="Arial" w:eastAsia="Arial" w:hAnsi="Arial"/>
          <w:sz w:val="11"/>
          <w:szCs w:val="11"/>
          <w:color w:val="auto"/>
        </w:rPr>
        <w:t>Securities registered pursuant to Section 12(b) of the Act:</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16"/>
        </w:trPr>
        <w:tc>
          <w:tcPr>
            <w:tcW w:w="4960" w:type="dxa"/>
            <w:vAlign w:val="bottom"/>
            <w:tcBorders>
              <w:bottom w:val="single" w:sz="8" w:color="auto"/>
            </w:tcBorders>
          </w:tcPr>
          <w:p>
            <w:pPr>
              <w:spacing w:after="0"/>
              <w:rPr>
                <w:sz w:val="20"/>
                <w:szCs w:val="20"/>
                <w:color w:val="auto"/>
              </w:rPr>
            </w:pPr>
            <w:r>
              <w:rPr>
                <w:rFonts w:ascii="Arial" w:cs="Arial" w:eastAsia="Arial" w:hAnsi="Arial"/>
                <w:sz w:val="8"/>
                <w:szCs w:val="8"/>
                <w:b w:val="1"/>
                <w:bCs w:val="1"/>
                <w:color w:val="auto"/>
              </w:rPr>
              <w:t>Title of each class</w:t>
            </w:r>
          </w:p>
        </w:tc>
        <w:tc>
          <w:tcPr>
            <w:tcW w:w="100" w:type="dxa"/>
            <w:vAlign w:val="bottom"/>
          </w:tcPr>
          <w:p>
            <w:pPr>
              <w:spacing w:after="0"/>
              <w:rPr>
                <w:sz w:val="10"/>
                <w:szCs w:val="10"/>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8"/>
                <w:szCs w:val="8"/>
                <w:b w:val="1"/>
                <w:bCs w:val="1"/>
                <w:color w:val="auto"/>
              </w:rPr>
              <w:t>Trading Symbol(s)</w:t>
            </w:r>
          </w:p>
        </w:tc>
        <w:tc>
          <w:tcPr>
            <w:tcW w:w="100" w:type="dxa"/>
            <w:vAlign w:val="bottom"/>
          </w:tcPr>
          <w:p>
            <w:pPr>
              <w:spacing w:after="0"/>
              <w:rPr>
                <w:sz w:val="10"/>
                <w:szCs w:val="10"/>
                <w:color w:val="auto"/>
              </w:rPr>
            </w:pPr>
          </w:p>
        </w:tc>
        <w:tc>
          <w:tcPr>
            <w:tcW w:w="4980" w:type="dxa"/>
            <w:vAlign w:val="bottom"/>
            <w:tcBorders>
              <w:bottom w:val="single" w:sz="8" w:color="auto"/>
            </w:tcBorders>
          </w:tcPr>
          <w:p>
            <w:pPr>
              <w:jc w:val="center"/>
              <w:spacing w:after="0"/>
              <w:rPr>
                <w:sz w:val="20"/>
                <w:szCs w:val="20"/>
                <w:color w:val="auto"/>
              </w:rPr>
            </w:pPr>
            <w:r>
              <w:rPr>
                <w:rFonts w:ascii="Arial" w:cs="Arial" w:eastAsia="Arial" w:hAnsi="Arial"/>
                <w:sz w:val="8"/>
                <w:szCs w:val="8"/>
                <w:b w:val="1"/>
                <w:bCs w:val="1"/>
                <w:color w:val="auto"/>
              </w:rPr>
              <w:t>Name of each exchange on which registered</w:t>
            </w:r>
          </w:p>
        </w:tc>
      </w:tr>
      <w:tr>
        <w:trPr>
          <w:trHeight w:val="136"/>
        </w:trPr>
        <w:tc>
          <w:tcPr>
            <w:tcW w:w="5060" w:type="dxa"/>
            <w:vAlign w:val="bottom"/>
            <w:gridSpan w:val="2"/>
          </w:tcPr>
          <w:p>
            <w:pPr>
              <w:spacing w:after="0"/>
              <w:rPr>
                <w:sz w:val="20"/>
                <w:szCs w:val="20"/>
                <w:color w:val="auto"/>
              </w:rPr>
            </w:pPr>
            <w:r>
              <w:rPr>
                <w:rFonts w:ascii="Arial" w:cs="Arial" w:eastAsia="Arial" w:hAnsi="Arial"/>
                <w:sz w:val="11"/>
                <w:szCs w:val="11"/>
                <w:b w:val="1"/>
                <w:bCs w:val="1"/>
                <w:color w:val="auto"/>
              </w:rPr>
              <w:t>EXELON CORPORATION:</w:t>
            </w: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980" w:type="dxa"/>
            <w:vAlign w:val="bottom"/>
          </w:tcPr>
          <w:p>
            <w:pPr>
              <w:spacing w:after="0"/>
              <w:rPr>
                <w:sz w:val="11"/>
                <w:szCs w:val="11"/>
                <w:color w:val="auto"/>
              </w:rPr>
            </w:pPr>
          </w:p>
        </w:tc>
      </w:tr>
      <w:tr>
        <w:trPr>
          <w:trHeight w:val="142"/>
        </w:trPr>
        <w:tc>
          <w:tcPr>
            <w:tcW w:w="5060" w:type="dxa"/>
            <w:vAlign w:val="bottom"/>
            <w:gridSpan w:val="2"/>
          </w:tcPr>
          <w:p>
            <w:pPr>
              <w:spacing w:after="0"/>
              <w:rPr>
                <w:sz w:val="20"/>
                <w:szCs w:val="20"/>
                <w:color w:val="auto"/>
              </w:rPr>
            </w:pPr>
            <w:r>
              <w:rPr>
                <w:rFonts w:ascii="Arial" w:cs="Arial" w:eastAsia="Arial" w:hAnsi="Arial"/>
                <w:sz w:val="11"/>
                <w:szCs w:val="11"/>
                <w:color w:val="auto"/>
              </w:rPr>
              <w:t>Common Stock, without par value</w:t>
            </w:r>
          </w:p>
        </w:tc>
        <w:tc>
          <w:tcPr>
            <w:tcW w:w="1260" w:type="dxa"/>
            <w:vAlign w:val="bottom"/>
            <w:gridSpan w:val="2"/>
          </w:tcPr>
          <w:p>
            <w:pPr>
              <w:jc w:val="center"/>
              <w:ind w:right="80"/>
              <w:spacing w:after="0"/>
              <w:rPr>
                <w:sz w:val="20"/>
                <w:szCs w:val="20"/>
                <w:color w:val="auto"/>
              </w:rPr>
            </w:pPr>
            <w:r>
              <w:rPr>
                <w:rFonts w:ascii="Arial" w:cs="Arial" w:eastAsia="Arial" w:hAnsi="Arial"/>
                <w:sz w:val="11"/>
                <w:szCs w:val="11"/>
                <w:color w:val="auto"/>
                <w:w w:val="97"/>
              </w:rPr>
              <w:t>EXC</w:t>
            </w:r>
          </w:p>
        </w:tc>
        <w:tc>
          <w:tcPr>
            <w:tcW w:w="4980" w:type="dxa"/>
            <w:vAlign w:val="bottom"/>
          </w:tcPr>
          <w:p>
            <w:pPr>
              <w:jc w:val="center"/>
              <w:spacing w:after="0"/>
              <w:rPr>
                <w:sz w:val="20"/>
                <w:szCs w:val="20"/>
                <w:color w:val="auto"/>
              </w:rPr>
            </w:pPr>
            <w:r>
              <w:rPr>
                <w:rFonts w:ascii="Arial" w:cs="Arial" w:eastAsia="Arial" w:hAnsi="Arial"/>
                <w:sz w:val="11"/>
                <w:szCs w:val="11"/>
                <w:color w:val="auto"/>
                <w:w w:val="98"/>
              </w:rPr>
              <w:t>The Nasdaq Stock Market LLC</w:t>
            </w:r>
          </w:p>
        </w:tc>
      </w:tr>
    </w:tbl>
    <w:p>
      <w:pPr>
        <w:spacing w:after="0" w:line="236" w:lineRule="exact"/>
        <w:rPr>
          <w:sz w:val="20"/>
          <w:szCs w:val="20"/>
          <w:color w:val="auto"/>
        </w:rPr>
      </w:pPr>
    </w:p>
    <w:p>
      <w:pPr>
        <w:ind w:right="120"/>
        <w:spacing w:after="0" w:line="132" w:lineRule="exact"/>
        <w:rPr>
          <w:sz w:val="20"/>
          <w:szCs w:val="20"/>
          <w:color w:val="auto"/>
        </w:rPr>
      </w:pPr>
      <w:r>
        <w:rPr>
          <w:rFonts w:ascii="Arial" w:cs="Arial" w:eastAsia="Arial" w:hAnsi="Arial"/>
          <w:sz w:val="11"/>
          <w:szCs w:val="11"/>
          <w:color w:val="auto"/>
        </w:rPr>
        <w:t xml:space="preserve">Indicate by check mark whether any of the registrants are emerging growth companies as defined in Rule 405 of the Securities Act of 1933 (§230.405 of this chapter) or Rule 12b-2 of the Securities Exchange Act of 1934 (§240.12b-2 of this chapter). Emerging growth company </w:t>
      </w:r>
      <w:r>
        <w:rPr>
          <w:rFonts w:ascii="MS PGothic" w:cs="MS PGothic" w:eastAsia="MS PGothic" w:hAnsi="MS PGothic"/>
          <w:sz w:val="11"/>
          <w:szCs w:val="11"/>
          <w:color w:val="auto"/>
        </w:rPr>
        <w:t>☐</w:t>
      </w:r>
    </w:p>
    <w:p>
      <w:pPr>
        <w:spacing w:after="0" w:line="69" w:lineRule="exact"/>
        <w:rPr>
          <w:sz w:val="20"/>
          <w:szCs w:val="20"/>
          <w:color w:val="auto"/>
        </w:rPr>
      </w:pPr>
    </w:p>
    <w:p>
      <w:pPr>
        <w:ind w:right="200"/>
        <w:spacing w:after="0" w:line="132" w:lineRule="exact"/>
        <w:rPr>
          <w:sz w:val="20"/>
          <w:szCs w:val="20"/>
          <w:color w:val="auto"/>
        </w:rPr>
      </w:pPr>
      <w:r>
        <w:rPr>
          <w:rFonts w:ascii="Arial" w:cs="Arial" w:eastAsia="Arial" w:hAnsi="Arial"/>
          <w:sz w:val="11"/>
          <w:szCs w:val="11"/>
          <w:color w:val="auto"/>
        </w:rPr>
        <w:t xml:space="preserve">If an emerging growth company, indicate by check mark if any of the registrants have elected not to use the extended transition period for complying with any new or revised financial accounting standards provided pursuant to Section 13(a) of the Exchange Act. </w:t>
      </w:r>
      <w:r>
        <w:rPr>
          <w:rFonts w:ascii="MS PGothic" w:cs="MS PGothic" w:eastAsia="MS PGothic" w:hAnsi="MS PGothic"/>
          <w:sz w:val="11"/>
          <w:szCs w:val="1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442595</wp:posOffset>
            </wp:positionV>
            <wp:extent cx="7203440" cy="368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590" w:right="299" w:bottom="1440" w:gutter="0" w:footer="0" w:header="0"/>
        </w:sectPr>
      </w:pPr>
    </w:p>
    <w:bookmarkStart w:id="2" w:name="page3"/>
    <w:bookmarkEnd w:id="2"/>
    <w:p>
      <w:pPr>
        <w:ind w:left="8"/>
        <w:spacing w:after="0"/>
        <w:rPr>
          <w:sz w:val="20"/>
          <w:szCs w:val="20"/>
          <w:color w:val="auto"/>
        </w:rPr>
      </w:pPr>
      <w:r>
        <w:rPr>
          <w:rFonts w:ascii="Arial" w:cs="Arial" w:eastAsia="Arial" w:hAnsi="Arial"/>
          <w:sz w:val="11"/>
          <w:szCs w:val="11"/>
          <w:b w:val="1"/>
          <w:bCs w:val="1"/>
          <w:color w:val="auto"/>
        </w:rPr>
        <w:t>Item 2.02. Results of Operations and Financial Condition.</w:t>
      </w:r>
    </w:p>
    <w:p>
      <w:pPr>
        <w:spacing w:after="0" w:line="10" w:lineRule="exact"/>
        <w:rPr>
          <w:sz w:val="20"/>
          <w:szCs w:val="20"/>
          <w:color w:val="auto"/>
        </w:rPr>
      </w:pPr>
    </w:p>
    <w:p>
      <w:pPr>
        <w:ind w:left="8"/>
        <w:spacing w:after="0"/>
        <w:rPr>
          <w:sz w:val="20"/>
          <w:szCs w:val="20"/>
          <w:color w:val="auto"/>
        </w:rPr>
      </w:pPr>
      <w:r>
        <w:rPr>
          <w:rFonts w:ascii="Arial" w:cs="Arial" w:eastAsia="Arial" w:hAnsi="Arial"/>
          <w:sz w:val="11"/>
          <w:szCs w:val="11"/>
          <w:b w:val="1"/>
          <w:bCs w:val="1"/>
          <w:color w:val="auto"/>
        </w:rPr>
        <w:t>Item 7.01. Regulation FD Disclosure.</w:t>
      </w:r>
    </w:p>
    <w:p>
      <w:pPr>
        <w:spacing w:after="0" w:line="125" w:lineRule="exact"/>
        <w:rPr>
          <w:sz w:val="20"/>
          <w:szCs w:val="20"/>
          <w:color w:val="auto"/>
        </w:rPr>
      </w:pPr>
    </w:p>
    <w:p>
      <w:pPr>
        <w:jc w:val="both"/>
        <w:ind w:left="8"/>
        <w:spacing w:after="0" w:line="262" w:lineRule="auto"/>
        <w:rPr>
          <w:sz w:val="20"/>
          <w:szCs w:val="20"/>
          <w:color w:val="auto"/>
        </w:rPr>
      </w:pPr>
      <w:r>
        <w:rPr>
          <w:rFonts w:ascii="Arial" w:cs="Arial" w:eastAsia="Arial" w:hAnsi="Arial"/>
          <w:sz w:val="11"/>
          <w:szCs w:val="11"/>
          <w:color w:val="auto"/>
        </w:rPr>
        <w:t>On May 6, 2026, Exelon Corporation (Exelon) announced via press release its results for the first quarter ended March 31, 2026. A copy of the press release and related attachments are attached hereto as Exhibit 99.1. Also attached as Exhibit 99.2 to this Current Report on Form 8-K are the presentation slides to be used at the first quarter 2026 earnings conference call. This Form 8-K and the attached exhibits are provided under Items 2.02, 7.01 and 9.01 of Form 8-K and are furnished to, but not filed with, the Securities and Exchange Commission (SEC).</w:t>
      </w:r>
    </w:p>
    <w:p>
      <w:pPr>
        <w:spacing w:after="0" w:line="135" w:lineRule="exact"/>
        <w:rPr>
          <w:sz w:val="20"/>
          <w:szCs w:val="20"/>
          <w:color w:val="auto"/>
        </w:rPr>
      </w:pPr>
    </w:p>
    <w:p>
      <w:pPr>
        <w:ind w:left="8"/>
        <w:spacing w:after="0"/>
        <w:rPr>
          <w:sz w:val="20"/>
          <w:szCs w:val="20"/>
          <w:color w:val="auto"/>
        </w:rPr>
      </w:pPr>
      <w:r>
        <w:rPr>
          <w:rFonts w:ascii="Arial" w:cs="Arial" w:eastAsia="Arial" w:hAnsi="Arial"/>
          <w:sz w:val="11"/>
          <w:szCs w:val="11"/>
          <w:color w:val="auto"/>
        </w:rPr>
        <w:t>Exelon has scheduled the conference call for 9:00 AM CT (10:00 AM ET) on May 6, 2026. Participants who would like to join the call to ask a question may register at the link found on the Investor Relations page of Exelon's website:</w:t>
      </w:r>
    </w:p>
    <w:p>
      <w:pPr>
        <w:spacing w:after="0" w:line="15" w:lineRule="exact"/>
        <w:rPr>
          <w:sz w:val="20"/>
          <w:szCs w:val="20"/>
          <w:color w:val="auto"/>
        </w:rPr>
      </w:pPr>
    </w:p>
    <w:p>
      <w:pPr>
        <w:ind w:left="8"/>
        <w:spacing w:after="0"/>
        <w:rPr>
          <w:sz w:val="20"/>
          <w:szCs w:val="20"/>
          <w:color w:val="auto"/>
        </w:rPr>
      </w:pPr>
      <w:r>
        <w:rPr>
          <w:rFonts w:ascii="Arial" w:cs="Arial" w:eastAsia="Arial" w:hAnsi="Arial"/>
          <w:sz w:val="11"/>
          <w:szCs w:val="11"/>
          <w:color w:val="auto"/>
        </w:rPr>
        <w:t>https://investors.exeloncorp.com. Media representatives are invited to participate on a listen-only basis. The call will be archived and available for replay.</w:t>
      </w:r>
    </w:p>
    <w:p>
      <w:pPr>
        <w:spacing w:after="0" w:line="155" w:lineRule="exact"/>
        <w:rPr>
          <w:sz w:val="20"/>
          <w:szCs w:val="20"/>
          <w:color w:val="auto"/>
        </w:rPr>
      </w:pPr>
    </w:p>
    <w:p>
      <w:pPr>
        <w:ind w:left="8"/>
        <w:spacing w:after="0"/>
        <w:rPr>
          <w:sz w:val="20"/>
          <w:szCs w:val="20"/>
          <w:color w:val="auto"/>
        </w:rPr>
      </w:pPr>
      <w:r>
        <w:rPr>
          <w:rFonts w:ascii="Arial" w:cs="Arial" w:eastAsia="Arial" w:hAnsi="Arial"/>
          <w:sz w:val="11"/>
          <w:szCs w:val="11"/>
          <w:b w:val="1"/>
          <w:bCs w:val="1"/>
          <w:color w:val="auto"/>
        </w:rPr>
        <w:t>Item 9.01. Financial Statements and Exhibits</w:t>
      </w:r>
    </w:p>
    <w:p>
      <w:pPr>
        <w:spacing w:after="0" w:line="171" w:lineRule="exact"/>
        <w:rPr>
          <w:sz w:val="20"/>
          <w:szCs w:val="20"/>
          <w:color w:val="auto"/>
        </w:rPr>
      </w:pPr>
    </w:p>
    <w:p>
      <w:pPr>
        <w:ind w:left="248" w:hanging="248"/>
        <w:spacing w:after="0"/>
        <w:tabs>
          <w:tab w:leader="none" w:pos="248" w:val="left"/>
        </w:tabs>
        <w:numPr>
          <w:ilvl w:val="0"/>
          <w:numId w:val="2"/>
        </w:numPr>
        <w:rPr>
          <w:rFonts w:ascii="Arial" w:cs="Arial" w:eastAsia="Arial" w:hAnsi="Arial"/>
          <w:sz w:val="11"/>
          <w:szCs w:val="11"/>
          <w:i w:val="1"/>
          <w:iCs w:val="1"/>
          <w:color w:val="auto"/>
        </w:rPr>
      </w:pPr>
      <w:r>
        <w:rPr>
          <w:rFonts w:ascii="Arial" w:cs="Arial" w:eastAsia="Arial" w:hAnsi="Arial"/>
          <w:sz w:val="11"/>
          <w:szCs w:val="11"/>
          <w:i w:val="1"/>
          <w:iCs w:val="1"/>
          <w:color w:val="auto"/>
        </w:rPr>
        <w:t>Exhibits.</w:t>
      </w:r>
    </w:p>
    <w:p>
      <w:pPr>
        <w:spacing w:after="0" w:line="17" w:lineRule="exact"/>
        <w:rPr>
          <w:sz w:val="20"/>
          <w:szCs w:val="20"/>
          <w:color w:val="auto"/>
        </w:rPr>
      </w:pPr>
    </w:p>
    <w:tbl>
      <w:tblPr>
        <w:tblLayout w:type="fixed"/>
        <w:tblInd w:w="8" w:type="dxa"/>
        <w:tblCellMar>
          <w:top w:w="0" w:type="dxa"/>
          <w:left w:w="0" w:type="dxa"/>
          <w:bottom w:w="0" w:type="dxa"/>
          <w:right w:w="0" w:type="dxa"/>
        </w:tblCellMar>
      </w:tblPr>
      <w:tr>
        <w:trPr>
          <w:trHeight w:val="126"/>
        </w:trPr>
        <w:tc>
          <w:tcPr>
            <w:tcW w:w="1380" w:type="dxa"/>
            <w:vAlign w:val="bottom"/>
            <w:gridSpan w:val="3"/>
          </w:tcPr>
          <w:p>
            <w:pPr>
              <w:spacing w:after="0"/>
              <w:rPr>
                <w:sz w:val="20"/>
                <w:szCs w:val="20"/>
                <w:color w:val="auto"/>
              </w:rPr>
            </w:pPr>
            <w:r>
              <w:rPr>
                <w:rFonts w:ascii="Arial" w:cs="Arial" w:eastAsia="Arial" w:hAnsi="Arial"/>
                <w:sz w:val="11"/>
                <w:szCs w:val="11"/>
                <w:color w:val="auto"/>
              </w:rPr>
              <w:t>Exhibit No.</w:t>
            </w:r>
          </w:p>
        </w:tc>
        <w:tc>
          <w:tcPr>
            <w:tcW w:w="5260" w:type="dxa"/>
            <w:vAlign w:val="bottom"/>
            <w:gridSpan w:val="4"/>
          </w:tcPr>
          <w:p>
            <w:pPr>
              <w:spacing w:after="0"/>
              <w:rPr>
                <w:sz w:val="20"/>
                <w:szCs w:val="20"/>
                <w:color w:val="auto"/>
              </w:rPr>
            </w:pPr>
            <w:r>
              <w:rPr>
                <w:rFonts w:ascii="Arial" w:cs="Arial" w:eastAsia="Arial" w:hAnsi="Arial"/>
                <w:sz w:val="11"/>
                <w:szCs w:val="11"/>
                <w:color w:val="auto"/>
              </w:rPr>
              <w:t>Description</w:t>
            </w:r>
          </w:p>
        </w:tc>
      </w:tr>
      <w:tr>
        <w:trPr>
          <w:trHeight w:val="20"/>
        </w:trPr>
        <w:tc>
          <w:tcPr>
            <w:tcW w:w="2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r>
      <w:tr>
        <w:trPr>
          <w:trHeight w:val="124"/>
        </w:trPr>
        <w:tc>
          <w:tcPr>
            <w:tcW w:w="220" w:type="dxa"/>
            <w:vAlign w:val="bottom"/>
            <w:tcBorders>
              <w:bottom w:val="single" w:sz="8" w:color="0000FF"/>
            </w:tcBorders>
          </w:tcPr>
          <w:p>
            <w:pPr>
              <w:spacing w:after="0" w:line="124" w:lineRule="exact"/>
              <w:rPr>
                <w:sz w:val="20"/>
                <w:szCs w:val="20"/>
                <w:color w:val="auto"/>
              </w:rPr>
            </w:pPr>
            <w:r>
              <w:rPr>
                <w:rFonts w:ascii="Arial" w:cs="Arial" w:eastAsia="Arial" w:hAnsi="Arial"/>
                <w:sz w:val="11"/>
                <w:szCs w:val="11"/>
                <w:color w:val="0000FF"/>
                <w:w w:val="93"/>
              </w:rPr>
              <w:t>99.</w:t>
            </w:r>
            <w:r>
              <w:rPr>
                <w:rFonts w:ascii="Arial" w:cs="Arial" w:eastAsia="Arial" w:hAnsi="Arial"/>
                <w:sz w:val="11"/>
                <w:szCs w:val="11"/>
                <w:u w:val="single" w:color="auto"/>
                <w:color w:val="0000FF"/>
                <w:w w:val="93"/>
              </w:rPr>
              <w:t>1</w:t>
            </w:r>
          </w:p>
        </w:tc>
        <w:tc>
          <w:tcPr>
            <w:tcW w:w="3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320" w:type="dxa"/>
            <w:vAlign w:val="bottom"/>
            <w:tcBorders>
              <w:bottom w:val="single" w:sz="8" w:color="0000FF"/>
            </w:tcBorders>
            <w:gridSpan w:val="3"/>
          </w:tcPr>
          <w:p>
            <w:pPr>
              <w:spacing w:after="0" w:line="124" w:lineRule="exact"/>
              <w:rPr>
                <w:sz w:val="20"/>
                <w:szCs w:val="20"/>
                <w:color w:val="auto"/>
              </w:rPr>
            </w:pPr>
            <w:r>
              <w:rPr>
                <w:rFonts w:ascii="Arial" w:cs="Arial" w:eastAsia="Arial" w:hAnsi="Arial"/>
                <w:sz w:val="11"/>
                <w:szCs w:val="11"/>
                <w:color w:val="0000FF"/>
                <w:w w:val="97"/>
              </w:rPr>
              <w:t>Press release and earnings release attachments</w:t>
            </w:r>
          </w:p>
        </w:tc>
        <w:tc>
          <w:tcPr>
            <w:tcW w:w="2940" w:type="dxa"/>
            <w:vAlign w:val="bottom"/>
          </w:tcPr>
          <w:p>
            <w:pPr>
              <w:spacing w:after="0"/>
              <w:rPr>
                <w:sz w:val="10"/>
                <w:szCs w:val="10"/>
                <w:color w:val="auto"/>
              </w:rPr>
            </w:pPr>
          </w:p>
        </w:tc>
      </w:tr>
      <w:tr>
        <w:trPr>
          <w:trHeight w:val="124"/>
        </w:trPr>
        <w:tc>
          <w:tcPr>
            <w:tcW w:w="220" w:type="dxa"/>
            <w:vAlign w:val="bottom"/>
            <w:tcBorders>
              <w:bottom w:val="single" w:sz="8" w:color="0000FF"/>
            </w:tcBorders>
          </w:tcPr>
          <w:p>
            <w:pPr>
              <w:spacing w:after="0" w:line="124" w:lineRule="exact"/>
              <w:rPr>
                <w:sz w:val="20"/>
                <w:szCs w:val="20"/>
                <w:color w:val="auto"/>
              </w:rPr>
            </w:pPr>
            <w:r>
              <w:rPr>
                <w:rFonts w:ascii="Arial" w:cs="Arial" w:eastAsia="Arial" w:hAnsi="Arial"/>
                <w:sz w:val="11"/>
                <w:szCs w:val="11"/>
                <w:color w:val="0000FF"/>
                <w:w w:val="93"/>
              </w:rPr>
              <w:t>99.</w:t>
            </w:r>
            <w:r>
              <w:rPr>
                <w:rFonts w:ascii="Arial" w:cs="Arial" w:eastAsia="Arial" w:hAnsi="Arial"/>
                <w:sz w:val="11"/>
                <w:szCs w:val="11"/>
                <w:u w:val="single" w:color="auto"/>
                <w:color w:val="0000FF"/>
                <w:w w:val="93"/>
              </w:rPr>
              <w:t>2</w:t>
            </w:r>
          </w:p>
        </w:tc>
        <w:tc>
          <w:tcPr>
            <w:tcW w:w="3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120" w:type="dxa"/>
            <w:vAlign w:val="bottom"/>
            <w:tcBorders>
              <w:bottom w:val="single" w:sz="8" w:color="0000FF"/>
            </w:tcBorders>
            <w:gridSpan w:val="2"/>
          </w:tcPr>
          <w:p>
            <w:pPr>
              <w:spacing w:after="0" w:line="124" w:lineRule="exact"/>
              <w:rPr>
                <w:sz w:val="20"/>
                <w:szCs w:val="20"/>
                <w:color w:val="auto"/>
              </w:rPr>
            </w:pPr>
            <w:r>
              <w:rPr>
                <w:rFonts w:ascii="Arial" w:cs="Arial" w:eastAsia="Arial" w:hAnsi="Arial"/>
                <w:sz w:val="11"/>
                <w:szCs w:val="11"/>
                <w:color w:val="0000FF"/>
                <w:w w:val="97"/>
              </w:rPr>
              <w:t>Earnings conference call presentation slides</w:t>
            </w:r>
          </w:p>
        </w:tc>
        <w:tc>
          <w:tcPr>
            <w:tcW w:w="3140" w:type="dxa"/>
            <w:vAlign w:val="bottom"/>
            <w:gridSpan w:val="2"/>
          </w:tcPr>
          <w:p>
            <w:pPr>
              <w:spacing w:after="0"/>
              <w:rPr>
                <w:sz w:val="10"/>
                <w:szCs w:val="10"/>
                <w:color w:val="auto"/>
              </w:rPr>
            </w:pPr>
          </w:p>
        </w:tc>
      </w:tr>
      <w:tr>
        <w:trPr>
          <w:trHeight w:val="149"/>
        </w:trPr>
        <w:tc>
          <w:tcPr>
            <w:tcW w:w="220" w:type="dxa"/>
            <w:vAlign w:val="bottom"/>
          </w:tcPr>
          <w:p>
            <w:pPr>
              <w:spacing w:after="0"/>
              <w:rPr>
                <w:sz w:val="20"/>
                <w:szCs w:val="20"/>
                <w:color w:val="auto"/>
              </w:rPr>
            </w:pPr>
            <w:r>
              <w:rPr>
                <w:rFonts w:ascii="Arial" w:cs="Arial" w:eastAsia="Arial" w:hAnsi="Arial"/>
                <w:sz w:val="11"/>
                <w:szCs w:val="11"/>
                <w:color w:val="auto"/>
              </w:rPr>
              <w:t>101</w:t>
            </w:r>
          </w:p>
        </w:tc>
        <w:tc>
          <w:tcPr>
            <w:tcW w:w="3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260" w:type="dxa"/>
            <w:vAlign w:val="bottom"/>
            <w:gridSpan w:val="4"/>
          </w:tcPr>
          <w:p>
            <w:pPr>
              <w:spacing w:after="0"/>
              <w:rPr>
                <w:sz w:val="20"/>
                <w:szCs w:val="20"/>
                <w:color w:val="auto"/>
              </w:rPr>
            </w:pPr>
            <w:r>
              <w:rPr>
                <w:rFonts w:ascii="Arial" w:cs="Arial" w:eastAsia="Arial" w:hAnsi="Arial"/>
                <w:sz w:val="11"/>
                <w:szCs w:val="11"/>
                <w:color w:val="auto"/>
                <w:w w:val="97"/>
              </w:rPr>
              <w:t>Cover Page Interactive Data File - the cover page XBRL tags are embedded within the Inline XBRL document.</w:t>
            </w:r>
          </w:p>
        </w:tc>
      </w:tr>
      <w:tr>
        <w:trPr>
          <w:trHeight w:val="144"/>
        </w:trPr>
        <w:tc>
          <w:tcPr>
            <w:tcW w:w="220" w:type="dxa"/>
            <w:vAlign w:val="bottom"/>
          </w:tcPr>
          <w:p>
            <w:pPr>
              <w:spacing w:after="0"/>
              <w:rPr>
                <w:sz w:val="20"/>
                <w:szCs w:val="20"/>
                <w:color w:val="auto"/>
              </w:rPr>
            </w:pPr>
            <w:r>
              <w:rPr>
                <w:rFonts w:ascii="Arial" w:cs="Arial" w:eastAsia="Arial" w:hAnsi="Arial"/>
                <w:sz w:val="11"/>
                <w:szCs w:val="11"/>
                <w:color w:val="auto"/>
              </w:rPr>
              <w:t>104</w:t>
            </w:r>
          </w:p>
        </w:tc>
        <w:tc>
          <w:tcPr>
            <w:tcW w:w="3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260" w:type="dxa"/>
            <w:vAlign w:val="bottom"/>
            <w:gridSpan w:val="4"/>
          </w:tcPr>
          <w:p>
            <w:pPr>
              <w:spacing w:after="0"/>
              <w:rPr>
                <w:sz w:val="20"/>
                <w:szCs w:val="20"/>
                <w:color w:val="auto"/>
              </w:rPr>
            </w:pPr>
            <w:r>
              <w:rPr>
                <w:rFonts w:ascii="Arial" w:cs="Arial" w:eastAsia="Arial" w:hAnsi="Arial"/>
                <w:sz w:val="11"/>
                <w:szCs w:val="11"/>
                <w:color w:val="auto"/>
              </w:rPr>
              <w:t>Cover Page Interactive Data File (formatted as Inline XBRL and contained in Exhibit 101)</w:t>
            </w:r>
          </w:p>
        </w:tc>
      </w:tr>
    </w:tbl>
    <w:p>
      <w:pPr>
        <w:spacing w:after="0" w:line="218" w:lineRule="exact"/>
        <w:rPr>
          <w:sz w:val="20"/>
          <w:szCs w:val="20"/>
          <w:color w:val="auto"/>
        </w:rPr>
      </w:pPr>
    </w:p>
    <w:p>
      <w:pPr>
        <w:jc w:val="center"/>
        <w:ind w:right="-7"/>
        <w:spacing w:after="0"/>
        <w:rPr>
          <w:sz w:val="20"/>
          <w:szCs w:val="20"/>
          <w:color w:val="auto"/>
        </w:rPr>
      </w:pPr>
      <w:r>
        <w:rPr>
          <w:rFonts w:ascii="Arial" w:cs="Arial" w:eastAsia="Arial" w:hAnsi="Arial"/>
          <w:sz w:val="11"/>
          <w:szCs w:val="11"/>
          <w:color w:val="auto"/>
        </w:rPr>
        <w:t>* * * * *</w:t>
      </w:r>
    </w:p>
    <w:p>
      <w:pPr>
        <w:spacing w:after="0" w:line="10" w:lineRule="exact"/>
        <w:rPr>
          <w:sz w:val="20"/>
          <w:szCs w:val="20"/>
          <w:color w:val="auto"/>
        </w:rPr>
      </w:pPr>
    </w:p>
    <w:p>
      <w:pPr>
        <w:jc w:val="both"/>
        <w:ind w:left="8"/>
        <w:spacing w:after="0" w:line="252" w:lineRule="auto"/>
        <w:rPr>
          <w:sz w:val="20"/>
          <w:szCs w:val="20"/>
          <w:color w:val="auto"/>
        </w:rPr>
      </w:pPr>
      <w:r>
        <w:rPr>
          <w:rFonts w:ascii="Arial" w:cs="Arial" w:eastAsia="Arial" w:hAnsi="Arial"/>
          <w:sz w:val="11"/>
          <w:szCs w:val="11"/>
          <w:color w:val="auto"/>
        </w:rPr>
        <w:t>This combined Current Report on Form 8-K is being furnished separately by Exelon, Commonwealth Edison Company, PECO Energy Company, Baltimore Gas and Electric Company, Pepco Holdings LLC, Potomac Electric Power Company, Delmarva Power &amp; Light Company, and Atlantic City Electric Company (Registrants). Information contained herein relating to any individual Registrant has been furnished by such Registrant on its own behalf. No Registrant makes any representation as to information relating to any other Registrant.</w:t>
      </w:r>
    </w:p>
    <w:p>
      <w:pPr>
        <w:spacing w:after="0" w:line="141" w:lineRule="exact"/>
        <w:rPr>
          <w:sz w:val="20"/>
          <w:szCs w:val="20"/>
          <w:color w:val="auto"/>
        </w:rPr>
      </w:pPr>
    </w:p>
    <w:p>
      <w:pPr>
        <w:jc w:val="both"/>
        <w:ind w:left="8"/>
        <w:spacing w:after="0" w:line="262" w:lineRule="auto"/>
        <w:rPr>
          <w:sz w:val="20"/>
          <w:szCs w:val="20"/>
          <w:color w:val="auto"/>
        </w:rPr>
      </w:pPr>
      <w:r>
        <w:rPr>
          <w:rFonts w:ascii="Arial" w:cs="Arial" w:eastAsia="Arial" w:hAnsi="Arial"/>
          <w:sz w:val="11"/>
          <w:szCs w:val="11"/>
          <w:color w:val="auto"/>
        </w:rPr>
        <w:t>This Current Report contains certain forward-looking statements within the meaning of federal securities laws that are subject to risks and uncertainties. Words such as “could,” “may,” “expects,” “anticipates,” “will,” “targets,” “goals,” “projects,” “intends,” “plans,” “believes,” “seeks,” “estimates,” “predicts,” “should,” and variations on such words, and similar expressions that reflect our current views with respect to future events and operational, economic, and financial performance, are intended to identify such forward-looking statements.</w:t>
      </w:r>
    </w:p>
    <w:p>
      <w:pPr>
        <w:spacing w:after="0" w:line="135" w:lineRule="exact"/>
        <w:rPr>
          <w:sz w:val="20"/>
          <w:szCs w:val="20"/>
          <w:color w:val="auto"/>
        </w:rPr>
      </w:pPr>
    </w:p>
    <w:p>
      <w:pPr>
        <w:jc w:val="both"/>
        <w:ind w:left="8"/>
        <w:spacing w:after="0" w:line="249" w:lineRule="auto"/>
        <w:rPr>
          <w:sz w:val="20"/>
          <w:szCs w:val="20"/>
          <w:color w:val="auto"/>
        </w:rPr>
      </w:pPr>
      <w:r>
        <w:rPr>
          <w:rFonts w:ascii="Arial" w:cs="Arial" w:eastAsia="Arial" w:hAnsi="Arial"/>
          <w:sz w:val="11"/>
          <w:szCs w:val="11"/>
          <w:color w:val="auto"/>
        </w:rPr>
        <w:t>Accordingly, any such statements are qualified in their entirety by reference to, and are accompanied by, the following important factors that may cause our actual results or outcomes to differ materially from those contained in our forward-looking statements, including, but not limited to: unfavorable legislative and/or regulatory actions; uncertainty as to outcomes and timing of regulatory approval proceedings and/or negotiated settlements thereof; environmental liabilities and remediation costs; state and federal legislation requiring use of low-emission, renewable, and/or alternate fuel sources and/or mandating implementation of energy conservation programs requiring implementation of new technologies; challenges to tax positions taken, tax law changes, and difficulty in quantifying potential tax effects of business decisions; negative outcomes in legal proceedings; physical security and cybersecurity risks; extreme weather events, natural disasters, operational accidents such as wildfires or natural gas explosions, war, acts and threats of terrorism, public health crises, epidemics, pandemics, or other significant events; disruptions or cost increases in the supply chain, including shortages in labor, materials or parts, or significant increases in relevant tariffs; lack of sufficient power generation resources to meet actual or forecasted demand or disruptions at generation facilities owned by third parties; emerging technologies that could affect or transform the energy industry; instability in capital and credit markets; a downgrade of any Registrant's credit ratings or other failure to satisfy the credit standards in the Registrants' agreements or regulatory financial requirements; significant economic downturns or increases in customer rates; impacts of climate change and weather on energy usage and maintenance and capital costs; and impairment of long-lived assets, goodwill, and other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786130</wp:posOffset>
            </wp:positionV>
            <wp:extent cx="7203440" cy="368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995" w:right="299" w:bottom="1440" w:gutter="0" w:footer="0" w:header="0"/>
        </w:sectPr>
      </w:pPr>
    </w:p>
    <w:bookmarkStart w:id="3" w:name="page4"/>
    <w:bookmarkEnd w:id="3"/>
    <w:p>
      <w:pPr>
        <w:jc w:val="both"/>
        <w:spacing w:after="0" w:line="262" w:lineRule="auto"/>
        <w:rPr>
          <w:sz w:val="20"/>
          <w:szCs w:val="20"/>
          <w:color w:val="auto"/>
        </w:rPr>
      </w:pPr>
      <w:r>
        <w:rPr>
          <w:rFonts w:ascii="Arial" w:cs="Arial" w:eastAsia="Arial" w:hAnsi="Arial"/>
          <w:sz w:val="11"/>
          <w:szCs w:val="11"/>
          <w:color w:val="auto"/>
        </w:rPr>
        <w:t>New factors emerge from time to time, and it is impossible for us to predict all of such factors, nor can we assess the impact of each such factor on the business or the extent to which any factor, or combination of factors, may cause actual results to differ materially from those contained in any forward-looking statements. For more information, see those factors discussed with respect to each of the Registrants in the Registrants' most recent Annual Report on Form 10-K, including in Part I, ITEM 1A, any subsequent Quarterly Reports on Form 10-Q, and in other reports filed by the Registrants from time to time with the SEC.</w:t>
      </w:r>
    </w:p>
    <w:p>
      <w:pPr>
        <w:spacing w:after="0" w:line="135" w:lineRule="exact"/>
        <w:rPr>
          <w:sz w:val="20"/>
          <w:szCs w:val="20"/>
          <w:color w:val="auto"/>
        </w:rPr>
      </w:pPr>
    </w:p>
    <w:p>
      <w:pPr>
        <w:jc w:val="both"/>
        <w:ind w:right="20"/>
        <w:spacing w:after="0" w:line="285" w:lineRule="auto"/>
        <w:rPr>
          <w:sz w:val="20"/>
          <w:szCs w:val="20"/>
          <w:color w:val="auto"/>
        </w:rPr>
      </w:pPr>
      <w:r>
        <w:rPr>
          <w:rFonts w:ascii="Arial" w:cs="Arial" w:eastAsia="Arial" w:hAnsi="Arial"/>
          <w:sz w:val="11"/>
          <w:szCs w:val="11"/>
          <w:color w:val="auto"/>
        </w:rPr>
        <w:t>Investors are cautioned not to place undue reliance on these forward-looking statements, whether written or oral, which apply only as of the date of this Current Report. None of the Registrants undertakes any obligation to publicly release any revision to its forward-looking statements to reflect events or circumstances after the date of this Current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561975</wp:posOffset>
            </wp:positionV>
            <wp:extent cx="7203440" cy="368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995" w:right="299" w:bottom="1440" w:gutter="0" w:footer="0" w:header="0"/>
        </w:sectPr>
      </w:pPr>
    </w:p>
    <w:bookmarkStart w:id="4" w:name="page5"/>
    <w:bookmarkEnd w:id="4"/>
    <w:p>
      <w:pPr>
        <w:ind w:left="5260"/>
        <w:spacing w:after="0"/>
        <w:rPr>
          <w:sz w:val="20"/>
          <w:szCs w:val="20"/>
          <w:color w:val="auto"/>
        </w:rPr>
      </w:pPr>
      <w:r>
        <w:rPr>
          <w:rFonts w:ascii="Arial" w:cs="Arial" w:eastAsia="Arial" w:hAnsi="Arial"/>
          <w:sz w:val="12"/>
          <w:szCs w:val="12"/>
          <w:b w:val="1"/>
          <w:bCs w:val="1"/>
          <w:color w:val="auto"/>
        </w:rPr>
        <w:t>SIGNATURES</w:t>
      </w:r>
    </w:p>
    <w:p>
      <w:pPr>
        <w:spacing w:after="0" w:line="172" w:lineRule="exact"/>
        <w:rPr>
          <w:sz w:val="20"/>
          <w:szCs w:val="20"/>
          <w:color w:val="auto"/>
        </w:rPr>
      </w:pPr>
    </w:p>
    <w:p>
      <w:pPr>
        <w:spacing w:after="0"/>
        <w:rPr>
          <w:sz w:val="20"/>
          <w:szCs w:val="20"/>
          <w:color w:val="auto"/>
        </w:rPr>
      </w:pPr>
      <w:r>
        <w:rPr>
          <w:rFonts w:ascii="Arial" w:cs="Arial" w:eastAsia="Arial" w:hAnsi="Arial"/>
          <w:sz w:val="10"/>
          <w:szCs w:val="10"/>
          <w:color w:val="auto"/>
        </w:rPr>
        <w:t>Pursuant to the requirements of the Securities Exchange Act of 1934, each Registrant has duly caused this report to be signed on its behalf by the undersigned hereunto duly authorized.</w:t>
      </w:r>
    </w:p>
    <w:p>
      <w:pPr>
        <w:spacing w:after="0" w:line="182" w:lineRule="exact"/>
        <w:rPr>
          <w:sz w:val="20"/>
          <w:szCs w:val="20"/>
          <w:color w:val="auto"/>
        </w:rPr>
      </w:pPr>
    </w:p>
    <w:p>
      <w:pPr>
        <w:ind w:left="5660"/>
        <w:spacing w:after="0"/>
        <w:rPr>
          <w:sz w:val="20"/>
          <w:szCs w:val="20"/>
          <w:color w:val="auto"/>
        </w:rPr>
      </w:pPr>
      <w:r>
        <w:rPr>
          <w:rFonts w:ascii="Arial" w:cs="Arial" w:eastAsia="Arial" w:hAnsi="Arial"/>
          <w:sz w:val="11"/>
          <w:szCs w:val="11"/>
          <w:b w:val="1"/>
          <w:bCs w:val="1"/>
          <w:color w:val="auto"/>
        </w:rPr>
        <w:t>EXELON CORPORATION</w:t>
      </w:r>
    </w:p>
    <w:p>
      <w:pPr>
        <w:spacing w:after="0" w:line="162" w:lineRule="exact"/>
        <w:rPr>
          <w:sz w:val="20"/>
          <w:szCs w:val="20"/>
          <w:color w:val="auto"/>
        </w:rPr>
      </w:pPr>
    </w:p>
    <w:p>
      <w:pPr>
        <w:ind w:left="5660"/>
        <w:spacing w:after="0"/>
        <w:rPr>
          <w:sz w:val="20"/>
          <w:szCs w:val="20"/>
          <w:color w:val="auto"/>
        </w:rPr>
      </w:pPr>
      <w:r>
        <w:rPr>
          <w:rFonts w:ascii="Arial" w:cs="Arial" w:eastAsia="Arial" w:hAnsi="Arial"/>
          <w:sz w:val="11"/>
          <w:szCs w:val="11"/>
          <w:color w:val="auto"/>
        </w:rPr>
        <w:t>/s/ JEANNE M.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3583940</wp:posOffset>
            </wp:positionH>
            <wp:positionV relativeFrom="paragraph">
              <wp:posOffset>10795</wp:posOffset>
            </wp:positionV>
            <wp:extent cx="3589020"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589020" cy="5715"/>
                    </a:xfrm>
                    <a:prstGeom prst="rect">
                      <a:avLst/>
                    </a:prstGeom>
                    <a:noFill/>
                  </pic:spPr>
                </pic:pic>
              </a:graphicData>
            </a:graphic>
          </wp:anchor>
        </w:drawing>
      </w:r>
    </w:p>
    <w:p>
      <w:pPr>
        <w:spacing w:after="0" w:line="7" w:lineRule="exact"/>
        <w:rPr>
          <w:sz w:val="20"/>
          <w:szCs w:val="20"/>
          <w:color w:val="auto"/>
        </w:rPr>
      </w:pPr>
    </w:p>
    <w:p>
      <w:pPr>
        <w:ind w:left="5660"/>
        <w:spacing w:after="0"/>
        <w:rPr>
          <w:sz w:val="20"/>
          <w:szCs w:val="20"/>
          <w:color w:val="auto"/>
        </w:rPr>
      </w:pPr>
      <w:r>
        <w:rPr>
          <w:rFonts w:ascii="Arial" w:cs="Arial" w:eastAsia="Arial" w:hAnsi="Arial"/>
          <w:sz w:val="11"/>
          <w:szCs w:val="11"/>
          <w:color w:val="auto"/>
        </w:rPr>
        <w:t>Jeanne M. Jones</w:t>
      </w:r>
    </w:p>
    <w:p>
      <w:pPr>
        <w:spacing w:after="0" w:line="18" w:lineRule="exact"/>
        <w:rPr>
          <w:sz w:val="20"/>
          <w:szCs w:val="20"/>
          <w:color w:val="auto"/>
        </w:rPr>
      </w:pPr>
    </w:p>
    <w:p>
      <w:pPr>
        <w:ind w:left="5660"/>
        <w:spacing w:after="0"/>
        <w:rPr>
          <w:sz w:val="20"/>
          <w:szCs w:val="20"/>
          <w:color w:val="auto"/>
        </w:rPr>
      </w:pPr>
      <w:r>
        <w:rPr>
          <w:rFonts w:ascii="Arial" w:cs="Arial" w:eastAsia="Arial" w:hAnsi="Arial"/>
          <w:sz w:val="11"/>
          <w:szCs w:val="11"/>
          <w:color w:val="auto"/>
        </w:rPr>
        <w:t>Executive Vice President, Chief Finance Officer, Audit and Risk</w:t>
      </w:r>
    </w:p>
    <w:p>
      <w:pPr>
        <w:spacing w:after="0" w:line="162" w:lineRule="exact"/>
        <w:rPr>
          <w:sz w:val="20"/>
          <w:szCs w:val="20"/>
          <w:color w:val="auto"/>
        </w:rPr>
      </w:pPr>
    </w:p>
    <w:p>
      <w:pPr>
        <w:ind w:left="5660"/>
        <w:spacing w:after="0"/>
        <w:rPr>
          <w:sz w:val="20"/>
          <w:szCs w:val="20"/>
          <w:color w:val="auto"/>
        </w:rPr>
      </w:pPr>
      <w:r>
        <w:rPr>
          <w:rFonts w:ascii="Arial" w:cs="Arial" w:eastAsia="Arial" w:hAnsi="Arial"/>
          <w:sz w:val="11"/>
          <w:szCs w:val="11"/>
          <w:b w:val="1"/>
          <w:bCs w:val="1"/>
          <w:color w:val="auto"/>
        </w:rPr>
        <w:t>COMMONWEALTH EDISON COMPANY</w:t>
      </w:r>
    </w:p>
    <w:p>
      <w:pPr>
        <w:spacing w:after="0" w:line="162" w:lineRule="exact"/>
        <w:rPr>
          <w:sz w:val="20"/>
          <w:szCs w:val="20"/>
          <w:color w:val="auto"/>
        </w:rPr>
      </w:pPr>
    </w:p>
    <w:p>
      <w:pPr>
        <w:ind w:left="5660"/>
        <w:spacing w:after="0"/>
        <w:rPr>
          <w:sz w:val="20"/>
          <w:szCs w:val="20"/>
          <w:color w:val="auto"/>
        </w:rPr>
      </w:pPr>
      <w:r>
        <w:rPr>
          <w:rFonts w:ascii="Arial" w:cs="Arial" w:eastAsia="Arial" w:hAnsi="Arial"/>
          <w:sz w:val="11"/>
          <w:szCs w:val="11"/>
          <w:color w:val="auto"/>
        </w:rPr>
        <w:t>/s/ JOSHUA S. LEVIN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3583940</wp:posOffset>
            </wp:positionH>
            <wp:positionV relativeFrom="paragraph">
              <wp:posOffset>10795</wp:posOffset>
            </wp:positionV>
            <wp:extent cx="3589020" cy="57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589020" cy="5715"/>
                    </a:xfrm>
                    <a:prstGeom prst="rect">
                      <a:avLst/>
                    </a:prstGeom>
                    <a:noFill/>
                  </pic:spPr>
                </pic:pic>
              </a:graphicData>
            </a:graphic>
          </wp:anchor>
        </w:drawing>
      </w:r>
    </w:p>
    <w:p>
      <w:pPr>
        <w:spacing w:after="0" w:line="7" w:lineRule="exact"/>
        <w:rPr>
          <w:sz w:val="20"/>
          <w:szCs w:val="20"/>
          <w:color w:val="auto"/>
        </w:rPr>
      </w:pPr>
    </w:p>
    <w:p>
      <w:pPr>
        <w:ind w:left="5660"/>
        <w:spacing w:after="0"/>
        <w:rPr>
          <w:sz w:val="20"/>
          <w:szCs w:val="20"/>
          <w:color w:val="auto"/>
        </w:rPr>
      </w:pPr>
      <w:r>
        <w:rPr>
          <w:rFonts w:ascii="Arial" w:cs="Arial" w:eastAsia="Arial" w:hAnsi="Arial"/>
          <w:sz w:val="11"/>
          <w:szCs w:val="11"/>
          <w:color w:val="auto"/>
        </w:rPr>
        <w:t>Joshua S. Levin</w:t>
      </w:r>
    </w:p>
    <w:p>
      <w:pPr>
        <w:spacing w:after="0" w:line="18" w:lineRule="exact"/>
        <w:rPr>
          <w:sz w:val="20"/>
          <w:szCs w:val="20"/>
          <w:color w:val="auto"/>
        </w:rPr>
      </w:pPr>
    </w:p>
    <w:p>
      <w:pPr>
        <w:ind w:left="5660"/>
        <w:spacing w:after="0"/>
        <w:rPr>
          <w:sz w:val="20"/>
          <w:szCs w:val="20"/>
          <w:color w:val="auto"/>
        </w:rPr>
      </w:pPr>
      <w:r>
        <w:rPr>
          <w:rFonts w:ascii="Arial" w:cs="Arial" w:eastAsia="Arial" w:hAnsi="Arial"/>
          <w:sz w:val="11"/>
          <w:szCs w:val="11"/>
          <w:color w:val="auto"/>
        </w:rPr>
        <w:t>Senior Vice President, Chief Financial Officer and Treasurer</w:t>
      </w:r>
    </w:p>
    <w:p>
      <w:pPr>
        <w:spacing w:after="0" w:line="162" w:lineRule="exact"/>
        <w:rPr>
          <w:sz w:val="20"/>
          <w:szCs w:val="20"/>
          <w:color w:val="auto"/>
        </w:rPr>
      </w:pPr>
    </w:p>
    <w:p>
      <w:pPr>
        <w:ind w:left="5660"/>
        <w:spacing w:after="0"/>
        <w:rPr>
          <w:sz w:val="20"/>
          <w:szCs w:val="20"/>
          <w:color w:val="auto"/>
        </w:rPr>
      </w:pPr>
      <w:r>
        <w:rPr>
          <w:rFonts w:ascii="Arial" w:cs="Arial" w:eastAsia="Arial" w:hAnsi="Arial"/>
          <w:sz w:val="11"/>
          <w:szCs w:val="11"/>
          <w:b w:val="1"/>
          <w:bCs w:val="1"/>
          <w:color w:val="auto"/>
        </w:rPr>
        <w:t>PECO ENERGY COMPANY</w:t>
      </w:r>
    </w:p>
    <w:p>
      <w:pPr>
        <w:spacing w:after="0" w:line="162" w:lineRule="exact"/>
        <w:rPr>
          <w:sz w:val="20"/>
          <w:szCs w:val="20"/>
          <w:color w:val="auto"/>
        </w:rPr>
      </w:pPr>
    </w:p>
    <w:p>
      <w:pPr>
        <w:ind w:left="5660"/>
        <w:spacing w:after="0"/>
        <w:rPr>
          <w:sz w:val="20"/>
          <w:szCs w:val="20"/>
          <w:color w:val="auto"/>
        </w:rPr>
      </w:pPr>
      <w:r>
        <w:rPr>
          <w:rFonts w:ascii="Arial" w:cs="Arial" w:eastAsia="Arial" w:hAnsi="Arial"/>
          <w:sz w:val="11"/>
          <w:szCs w:val="11"/>
          <w:color w:val="auto"/>
        </w:rPr>
        <w:t>/s/ MARISSA E. HUMPHREY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3583940</wp:posOffset>
            </wp:positionH>
            <wp:positionV relativeFrom="paragraph">
              <wp:posOffset>10795</wp:posOffset>
            </wp:positionV>
            <wp:extent cx="3589020" cy="57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589020" cy="5715"/>
                    </a:xfrm>
                    <a:prstGeom prst="rect">
                      <a:avLst/>
                    </a:prstGeom>
                    <a:noFill/>
                  </pic:spPr>
                </pic:pic>
              </a:graphicData>
            </a:graphic>
          </wp:anchor>
        </w:drawing>
      </w:r>
    </w:p>
    <w:p>
      <w:pPr>
        <w:spacing w:after="0" w:line="7" w:lineRule="exact"/>
        <w:rPr>
          <w:sz w:val="20"/>
          <w:szCs w:val="20"/>
          <w:color w:val="auto"/>
        </w:rPr>
      </w:pPr>
    </w:p>
    <w:p>
      <w:pPr>
        <w:ind w:left="5660"/>
        <w:spacing w:after="0"/>
        <w:rPr>
          <w:sz w:val="20"/>
          <w:szCs w:val="20"/>
          <w:color w:val="auto"/>
        </w:rPr>
      </w:pPr>
      <w:r>
        <w:rPr>
          <w:rFonts w:ascii="Arial" w:cs="Arial" w:eastAsia="Arial" w:hAnsi="Arial"/>
          <w:sz w:val="11"/>
          <w:szCs w:val="11"/>
          <w:color w:val="auto"/>
        </w:rPr>
        <w:t>Marissa E. Humphrey</w:t>
      </w:r>
    </w:p>
    <w:p>
      <w:pPr>
        <w:spacing w:after="0" w:line="18" w:lineRule="exact"/>
        <w:rPr>
          <w:sz w:val="20"/>
          <w:szCs w:val="20"/>
          <w:color w:val="auto"/>
        </w:rPr>
      </w:pPr>
    </w:p>
    <w:p>
      <w:pPr>
        <w:ind w:left="5660"/>
        <w:spacing w:after="0"/>
        <w:rPr>
          <w:sz w:val="20"/>
          <w:szCs w:val="20"/>
          <w:color w:val="auto"/>
        </w:rPr>
      </w:pPr>
      <w:r>
        <w:rPr>
          <w:rFonts w:ascii="Arial" w:cs="Arial" w:eastAsia="Arial" w:hAnsi="Arial"/>
          <w:sz w:val="11"/>
          <w:szCs w:val="11"/>
          <w:color w:val="auto"/>
        </w:rPr>
        <w:t>Senior Vice President, Chief Financial Officer and Treasurer</w:t>
      </w:r>
    </w:p>
    <w:p>
      <w:pPr>
        <w:spacing w:after="0" w:line="162" w:lineRule="exact"/>
        <w:rPr>
          <w:sz w:val="20"/>
          <w:szCs w:val="20"/>
          <w:color w:val="auto"/>
        </w:rPr>
      </w:pPr>
    </w:p>
    <w:p>
      <w:pPr>
        <w:ind w:left="5660"/>
        <w:spacing w:after="0"/>
        <w:rPr>
          <w:sz w:val="20"/>
          <w:szCs w:val="20"/>
          <w:color w:val="auto"/>
        </w:rPr>
      </w:pPr>
      <w:r>
        <w:rPr>
          <w:rFonts w:ascii="Arial" w:cs="Arial" w:eastAsia="Arial" w:hAnsi="Arial"/>
          <w:sz w:val="11"/>
          <w:szCs w:val="11"/>
          <w:b w:val="1"/>
          <w:bCs w:val="1"/>
          <w:color w:val="auto"/>
        </w:rPr>
        <w:t>BALTIMORE GAS AND ELECTRIC COMPANY</w:t>
      </w:r>
    </w:p>
    <w:p>
      <w:pPr>
        <w:spacing w:after="0" w:line="162" w:lineRule="exact"/>
        <w:rPr>
          <w:sz w:val="20"/>
          <w:szCs w:val="20"/>
          <w:color w:val="auto"/>
        </w:rPr>
      </w:pPr>
    </w:p>
    <w:p>
      <w:pPr>
        <w:ind w:left="5660"/>
        <w:spacing w:after="0"/>
        <w:rPr>
          <w:sz w:val="20"/>
          <w:szCs w:val="20"/>
          <w:color w:val="auto"/>
        </w:rPr>
      </w:pPr>
      <w:r>
        <w:rPr>
          <w:rFonts w:ascii="Arial" w:cs="Arial" w:eastAsia="Arial" w:hAnsi="Arial"/>
          <w:sz w:val="11"/>
          <w:szCs w:val="11"/>
          <w:color w:val="auto"/>
        </w:rPr>
        <w:t>/s/ MICHAEL J. CLOYD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3583940</wp:posOffset>
            </wp:positionH>
            <wp:positionV relativeFrom="paragraph">
              <wp:posOffset>10795</wp:posOffset>
            </wp:positionV>
            <wp:extent cx="3589020" cy="57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589020" cy="5715"/>
                    </a:xfrm>
                    <a:prstGeom prst="rect">
                      <a:avLst/>
                    </a:prstGeom>
                    <a:noFill/>
                  </pic:spPr>
                </pic:pic>
              </a:graphicData>
            </a:graphic>
          </wp:anchor>
        </w:drawing>
      </w:r>
    </w:p>
    <w:p>
      <w:pPr>
        <w:spacing w:after="0" w:line="7" w:lineRule="exact"/>
        <w:rPr>
          <w:sz w:val="20"/>
          <w:szCs w:val="20"/>
          <w:color w:val="auto"/>
        </w:rPr>
      </w:pPr>
    </w:p>
    <w:p>
      <w:pPr>
        <w:ind w:left="5660"/>
        <w:spacing w:after="0"/>
        <w:rPr>
          <w:sz w:val="20"/>
          <w:szCs w:val="20"/>
          <w:color w:val="auto"/>
        </w:rPr>
      </w:pPr>
      <w:r>
        <w:rPr>
          <w:rFonts w:ascii="Arial" w:cs="Arial" w:eastAsia="Arial" w:hAnsi="Arial"/>
          <w:sz w:val="11"/>
          <w:szCs w:val="11"/>
          <w:color w:val="auto"/>
        </w:rPr>
        <w:t>Michael J. Cloyd</w:t>
      </w:r>
    </w:p>
    <w:p>
      <w:pPr>
        <w:spacing w:after="0" w:line="18" w:lineRule="exact"/>
        <w:rPr>
          <w:sz w:val="20"/>
          <w:szCs w:val="20"/>
          <w:color w:val="auto"/>
        </w:rPr>
      </w:pPr>
    </w:p>
    <w:p>
      <w:pPr>
        <w:ind w:left="5660"/>
        <w:spacing w:after="0"/>
        <w:rPr>
          <w:sz w:val="20"/>
          <w:szCs w:val="20"/>
          <w:color w:val="auto"/>
        </w:rPr>
      </w:pPr>
      <w:r>
        <w:rPr>
          <w:rFonts w:ascii="Arial" w:cs="Arial" w:eastAsia="Arial" w:hAnsi="Arial"/>
          <w:sz w:val="11"/>
          <w:szCs w:val="11"/>
          <w:color w:val="auto"/>
        </w:rPr>
        <w:t>Senior Vice President, Chief Financial Officer 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815340</wp:posOffset>
            </wp:positionV>
            <wp:extent cx="7203440" cy="368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0159"/>
          </w:cols>
          <w:pgMar w:left="300" w:top="991" w:right="1440" w:bottom="1440" w:gutter="0" w:footer="0" w:header="0"/>
        </w:sectPr>
      </w:pPr>
    </w:p>
    <w:bookmarkStart w:id="5" w:name="page6"/>
    <w:bookmarkEnd w:id="5"/>
    <w:p>
      <w:pPr>
        <w:ind w:left="5660"/>
        <w:spacing w:after="0"/>
        <w:rPr>
          <w:sz w:val="20"/>
          <w:szCs w:val="20"/>
          <w:color w:val="auto"/>
        </w:rPr>
      </w:pPr>
      <w:r>
        <w:rPr>
          <w:rFonts w:ascii="Arial" w:cs="Arial" w:eastAsia="Arial" w:hAnsi="Arial"/>
          <w:sz w:val="11"/>
          <w:szCs w:val="11"/>
          <w:b w:val="1"/>
          <w:bCs w:val="1"/>
          <w:color w:val="auto"/>
        </w:rPr>
        <w:t>PEPCO HOLDINGS LLC</w:t>
      </w:r>
    </w:p>
    <w:p>
      <w:pPr>
        <w:spacing w:after="0" w:line="162" w:lineRule="exact"/>
        <w:rPr>
          <w:sz w:val="20"/>
          <w:szCs w:val="20"/>
          <w:color w:val="auto"/>
        </w:rPr>
      </w:pPr>
    </w:p>
    <w:p>
      <w:pPr>
        <w:ind w:left="5660"/>
        <w:spacing w:after="0"/>
        <w:rPr>
          <w:sz w:val="20"/>
          <w:szCs w:val="20"/>
          <w:color w:val="auto"/>
        </w:rPr>
      </w:pPr>
      <w:r>
        <w:rPr>
          <w:rFonts w:ascii="Arial" w:cs="Arial" w:eastAsia="Arial" w:hAnsi="Arial"/>
          <w:sz w:val="11"/>
          <w:szCs w:val="11"/>
          <w:color w:val="auto"/>
        </w:rPr>
        <w:t>/s/ ELIZABETH MORGAN DOWNS O'DONNELL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3583940</wp:posOffset>
            </wp:positionH>
            <wp:positionV relativeFrom="paragraph">
              <wp:posOffset>10795</wp:posOffset>
            </wp:positionV>
            <wp:extent cx="3589020" cy="57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589020" cy="5715"/>
                    </a:xfrm>
                    <a:prstGeom prst="rect">
                      <a:avLst/>
                    </a:prstGeom>
                    <a:noFill/>
                  </pic:spPr>
                </pic:pic>
              </a:graphicData>
            </a:graphic>
          </wp:anchor>
        </w:drawing>
      </w:r>
    </w:p>
    <w:p>
      <w:pPr>
        <w:spacing w:after="0" w:line="7" w:lineRule="exact"/>
        <w:rPr>
          <w:sz w:val="20"/>
          <w:szCs w:val="20"/>
          <w:color w:val="auto"/>
        </w:rPr>
      </w:pPr>
    </w:p>
    <w:p>
      <w:pPr>
        <w:ind w:left="5660"/>
        <w:spacing w:after="0"/>
        <w:rPr>
          <w:sz w:val="20"/>
          <w:szCs w:val="20"/>
          <w:color w:val="auto"/>
        </w:rPr>
      </w:pPr>
      <w:r>
        <w:rPr>
          <w:rFonts w:ascii="Arial" w:cs="Arial" w:eastAsia="Arial" w:hAnsi="Arial"/>
          <w:sz w:val="11"/>
          <w:szCs w:val="11"/>
          <w:color w:val="auto"/>
        </w:rPr>
        <w:t>Elizabeth Morgan Downs O'Donnell</w:t>
      </w:r>
    </w:p>
    <w:p>
      <w:pPr>
        <w:spacing w:after="0" w:line="18" w:lineRule="exact"/>
        <w:rPr>
          <w:sz w:val="20"/>
          <w:szCs w:val="20"/>
          <w:color w:val="auto"/>
        </w:rPr>
      </w:pPr>
    </w:p>
    <w:p>
      <w:pPr>
        <w:ind w:left="5660"/>
        <w:spacing w:after="0"/>
        <w:rPr>
          <w:sz w:val="20"/>
          <w:szCs w:val="20"/>
          <w:color w:val="auto"/>
        </w:rPr>
      </w:pPr>
      <w:r>
        <w:rPr>
          <w:rFonts w:ascii="Arial" w:cs="Arial" w:eastAsia="Arial" w:hAnsi="Arial"/>
          <w:sz w:val="10"/>
          <w:szCs w:val="10"/>
          <w:color w:val="auto"/>
        </w:rPr>
        <w:t>Senior Vice President, Chief Financial Officer and Treasurer</w:t>
      </w:r>
    </w:p>
    <w:p>
      <w:pPr>
        <w:spacing w:after="0" w:line="173" w:lineRule="exact"/>
        <w:rPr>
          <w:sz w:val="20"/>
          <w:szCs w:val="20"/>
          <w:color w:val="auto"/>
        </w:rPr>
      </w:pPr>
    </w:p>
    <w:p>
      <w:pPr>
        <w:ind w:left="5660"/>
        <w:spacing w:after="0"/>
        <w:rPr>
          <w:sz w:val="20"/>
          <w:szCs w:val="20"/>
          <w:color w:val="auto"/>
        </w:rPr>
      </w:pPr>
      <w:r>
        <w:rPr>
          <w:rFonts w:ascii="Arial" w:cs="Arial" w:eastAsia="Arial" w:hAnsi="Arial"/>
          <w:sz w:val="11"/>
          <w:szCs w:val="11"/>
          <w:b w:val="1"/>
          <w:bCs w:val="1"/>
          <w:color w:val="auto"/>
        </w:rPr>
        <w:t>POTOMAC ELECTRIC POWER COMPANY</w:t>
      </w:r>
    </w:p>
    <w:p>
      <w:pPr>
        <w:spacing w:after="0" w:line="162" w:lineRule="exact"/>
        <w:rPr>
          <w:sz w:val="20"/>
          <w:szCs w:val="20"/>
          <w:color w:val="auto"/>
        </w:rPr>
      </w:pPr>
    </w:p>
    <w:p>
      <w:pPr>
        <w:ind w:left="5660"/>
        <w:spacing w:after="0"/>
        <w:rPr>
          <w:sz w:val="20"/>
          <w:szCs w:val="20"/>
          <w:color w:val="auto"/>
        </w:rPr>
      </w:pPr>
      <w:r>
        <w:rPr>
          <w:rFonts w:ascii="Arial" w:cs="Arial" w:eastAsia="Arial" w:hAnsi="Arial"/>
          <w:sz w:val="11"/>
          <w:szCs w:val="11"/>
          <w:color w:val="auto"/>
        </w:rPr>
        <w:t>/s/ ELIZABETH MORGAN DOWNS O'DONNELL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3583940</wp:posOffset>
            </wp:positionH>
            <wp:positionV relativeFrom="paragraph">
              <wp:posOffset>10795</wp:posOffset>
            </wp:positionV>
            <wp:extent cx="3589020" cy="57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589020" cy="5715"/>
                    </a:xfrm>
                    <a:prstGeom prst="rect">
                      <a:avLst/>
                    </a:prstGeom>
                    <a:noFill/>
                  </pic:spPr>
                </pic:pic>
              </a:graphicData>
            </a:graphic>
          </wp:anchor>
        </w:drawing>
      </w:r>
    </w:p>
    <w:p>
      <w:pPr>
        <w:spacing w:after="0" w:line="7" w:lineRule="exact"/>
        <w:rPr>
          <w:sz w:val="20"/>
          <w:szCs w:val="20"/>
          <w:color w:val="auto"/>
        </w:rPr>
      </w:pPr>
    </w:p>
    <w:p>
      <w:pPr>
        <w:ind w:left="5660"/>
        <w:spacing w:after="0"/>
        <w:rPr>
          <w:sz w:val="20"/>
          <w:szCs w:val="20"/>
          <w:color w:val="auto"/>
        </w:rPr>
      </w:pPr>
      <w:r>
        <w:rPr>
          <w:rFonts w:ascii="Arial" w:cs="Arial" w:eastAsia="Arial" w:hAnsi="Arial"/>
          <w:sz w:val="11"/>
          <w:szCs w:val="11"/>
          <w:color w:val="auto"/>
        </w:rPr>
        <w:t>Elizabeth Morgan Downs O'Donnell</w:t>
      </w:r>
    </w:p>
    <w:p>
      <w:pPr>
        <w:spacing w:after="0" w:line="18" w:lineRule="exact"/>
        <w:rPr>
          <w:sz w:val="20"/>
          <w:szCs w:val="20"/>
          <w:color w:val="auto"/>
        </w:rPr>
      </w:pPr>
    </w:p>
    <w:p>
      <w:pPr>
        <w:ind w:left="5660"/>
        <w:spacing w:after="0"/>
        <w:rPr>
          <w:sz w:val="20"/>
          <w:szCs w:val="20"/>
          <w:color w:val="auto"/>
        </w:rPr>
      </w:pPr>
      <w:r>
        <w:rPr>
          <w:rFonts w:ascii="Arial" w:cs="Arial" w:eastAsia="Arial" w:hAnsi="Arial"/>
          <w:sz w:val="10"/>
          <w:szCs w:val="10"/>
          <w:color w:val="auto"/>
        </w:rPr>
        <w:t>Senior Vice President, Chief Financial Officer and Treasurer</w:t>
      </w:r>
    </w:p>
    <w:p>
      <w:pPr>
        <w:spacing w:after="0" w:line="173" w:lineRule="exact"/>
        <w:rPr>
          <w:sz w:val="20"/>
          <w:szCs w:val="20"/>
          <w:color w:val="auto"/>
        </w:rPr>
      </w:pPr>
    </w:p>
    <w:p>
      <w:pPr>
        <w:ind w:left="5660"/>
        <w:spacing w:after="0"/>
        <w:rPr>
          <w:sz w:val="20"/>
          <w:szCs w:val="20"/>
          <w:color w:val="auto"/>
        </w:rPr>
      </w:pPr>
      <w:r>
        <w:rPr>
          <w:rFonts w:ascii="Arial" w:cs="Arial" w:eastAsia="Arial" w:hAnsi="Arial"/>
          <w:sz w:val="11"/>
          <w:szCs w:val="11"/>
          <w:b w:val="1"/>
          <w:bCs w:val="1"/>
          <w:color w:val="auto"/>
        </w:rPr>
        <w:t>DELMARVA POWER &amp; LIGHT COMPANY</w:t>
      </w:r>
    </w:p>
    <w:p>
      <w:pPr>
        <w:spacing w:after="0" w:line="162" w:lineRule="exact"/>
        <w:rPr>
          <w:sz w:val="20"/>
          <w:szCs w:val="20"/>
          <w:color w:val="auto"/>
        </w:rPr>
      </w:pPr>
    </w:p>
    <w:p>
      <w:pPr>
        <w:ind w:left="5660"/>
        <w:spacing w:after="0"/>
        <w:rPr>
          <w:sz w:val="20"/>
          <w:szCs w:val="20"/>
          <w:color w:val="auto"/>
        </w:rPr>
      </w:pPr>
      <w:r>
        <w:rPr>
          <w:rFonts w:ascii="Arial" w:cs="Arial" w:eastAsia="Arial" w:hAnsi="Arial"/>
          <w:sz w:val="11"/>
          <w:szCs w:val="11"/>
          <w:color w:val="auto"/>
        </w:rPr>
        <w:t>/s/ ELIZABETH MORGAN DOWNS O'DONNELL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3583940</wp:posOffset>
            </wp:positionH>
            <wp:positionV relativeFrom="paragraph">
              <wp:posOffset>10795</wp:posOffset>
            </wp:positionV>
            <wp:extent cx="3589020" cy="57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589020" cy="5715"/>
                    </a:xfrm>
                    <a:prstGeom prst="rect">
                      <a:avLst/>
                    </a:prstGeom>
                    <a:noFill/>
                  </pic:spPr>
                </pic:pic>
              </a:graphicData>
            </a:graphic>
          </wp:anchor>
        </w:drawing>
      </w:r>
    </w:p>
    <w:p>
      <w:pPr>
        <w:spacing w:after="0" w:line="7" w:lineRule="exact"/>
        <w:rPr>
          <w:sz w:val="20"/>
          <w:szCs w:val="20"/>
          <w:color w:val="auto"/>
        </w:rPr>
      </w:pPr>
    </w:p>
    <w:p>
      <w:pPr>
        <w:ind w:left="5660"/>
        <w:spacing w:after="0"/>
        <w:rPr>
          <w:sz w:val="20"/>
          <w:szCs w:val="20"/>
          <w:color w:val="auto"/>
        </w:rPr>
      </w:pPr>
      <w:r>
        <w:rPr>
          <w:rFonts w:ascii="Arial" w:cs="Arial" w:eastAsia="Arial" w:hAnsi="Arial"/>
          <w:sz w:val="11"/>
          <w:szCs w:val="11"/>
          <w:color w:val="auto"/>
        </w:rPr>
        <w:t>Elizabeth Morgan Downs O'Donnell</w:t>
      </w:r>
    </w:p>
    <w:p>
      <w:pPr>
        <w:spacing w:after="0" w:line="18" w:lineRule="exact"/>
        <w:rPr>
          <w:sz w:val="20"/>
          <w:szCs w:val="20"/>
          <w:color w:val="auto"/>
        </w:rPr>
      </w:pPr>
    </w:p>
    <w:p>
      <w:pPr>
        <w:ind w:left="5660"/>
        <w:spacing w:after="0"/>
        <w:rPr>
          <w:sz w:val="20"/>
          <w:szCs w:val="20"/>
          <w:color w:val="auto"/>
        </w:rPr>
      </w:pPr>
      <w:r>
        <w:rPr>
          <w:rFonts w:ascii="Arial" w:cs="Arial" w:eastAsia="Arial" w:hAnsi="Arial"/>
          <w:sz w:val="10"/>
          <w:szCs w:val="10"/>
          <w:color w:val="auto"/>
        </w:rPr>
        <w:t>Senior Vice President, Chief Financial Officer and Treasurer</w:t>
      </w:r>
    </w:p>
    <w:p>
      <w:pPr>
        <w:spacing w:after="0" w:line="173" w:lineRule="exact"/>
        <w:rPr>
          <w:sz w:val="20"/>
          <w:szCs w:val="20"/>
          <w:color w:val="auto"/>
        </w:rPr>
      </w:pPr>
    </w:p>
    <w:p>
      <w:pPr>
        <w:ind w:left="5660"/>
        <w:spacing w:after="0"/>
        <w:rPr>
          <w:sz w:val="20"/>
          <w:szCs w:val="20"/>
          <w:color w:val="auto"/>
        </w:rPr>
      </w:pPr>
      <w:r>
        <w:rPr>
          <w:rFonts w:ascii="Arial" w:cs="Arial" w:eastAsia="Arial" w:hAnsi="Arial"/>
          <w:sz w:val="11"/>
          <w:szCs w:val="11"/>
          <w:b w:val="1"/>
          <w:bCs w:val="1"/>
          <w:color w:val="auto"/>
        </w:rPr>
        <w:t>ATLANTIC CITY ELECTRIC COMPANY</w:t>
      </w:r>
    </w:p>
    <w:p>
      <w:pPr>
        <w:spacing w:after="0" w:line="162" w:lineRule="exact"/>
        <w:rPr>
          <w:sz w:val="20"/>
          <w:szCs w:val="20"/>
          <w:color w:val="auto"/>
        </w:rPr>
      </w:pPr>
    </w:p>
    <w:p>
      <w:pPr>
        <w:ind w:left="5660"/>
        <w:spacing w:after="0"/>
        <w:rPr>
          <w:sz w:val="20"/>
          <w:szCs w:val="20"/>
          <w:color w:val="auto"/>
        </w:rPr>
      </w:pPr>
      <w:r>
        <w:rPr>
          <w:rFonts w:ascii="Arial" w:cs="Arial" w:eastAsia="Arial" w:hAnsi="Arial"/>
          <w:sz w:val="11"/>
          <w:szCs w:val="11"/>
          <w:color w:val="auto"/>
        </w:rPr>
        <w:t>/s/ ELIZABETH MORGAN DOWNS O'DONNELL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3583940</wp:posOffset>
            </wp:positionH>
            <wp:positionV relativeFrom="paragraph">
              <wp:posOffset>10795</wp:posOffset>
            </wp:positionV>
            <wp:extent cx="3589020" cy="57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589020" cy="5715"/>
                    </a:xfrm>
                    <a:prstGeom prst="rect">
                      <a:avLst/>
                    </a:prstGeom>
                    <a:noFill/>
                  </pic:spPr>
                </pic:pic>
              </a:graphicData>
            </a:graphic>
          </wp:anchor>
        </w:drawing>
      </w:r>
    </w:p>
    <w:p>
      <w:pPr>
        <w:spacing w:after="0" w:line="7" w:lineRule="exact"/>
        <w:rPr>
          <w:sz w:val="20"/>
          <w:szCs w:val="20"/>
          <w:color w:val="auto"/>
        </w:rPr>
      </w:pPr>
    </w:p>
    <w:p>
      <w:pPr>
        <w:ind w:left="5660"/>
        <w:spacing w:after="0"/>
        <w:rPr>
          <w:sz w:val="20"/>
          <w:szCs w:val="20"/>
          <w:color w:val="auto"/>
        </w:rPr>
      </w:pPr>
      <w:r>
        <w:rPr>
          <w:rFonts w:ascii="Arial" w:cs="Arial" w:eastAsia="Arial" w:hAnsi="Arial"/>
          <w:sz w:val="11"/>
          <w:szCs w:val="11"/>
          <w:color w:val="auto"/>
        </w:rPr>
        <w:t>Elizabeth Morgan Downs O'Donnell</w:t>
      </w:r>
    </w:p>
    <w:p>
      <w:pPr>
        <w:spacing w:after="0" w:line="18" w:lineRule="exact"/>
        <w:rPr>
          <w:sz w:val="20"/>
          <w:szCs w:val="20"/>
          <w:color w:val="auto"/>
        </w:rPr>
      </w:pPr>
    </w:p>
    <w:p>
      <w:pPr>
        <w:jc w:val="right"/>
        <w:ind w:right="1639"/>
        <w:spacing w:after="0"/>
        <w:rPr>
          <w:sz w:val="20"/>
          <w:szCs w:val="20"/>
          <w:color w:val="auto"/>
        </w:rPr>
      </w:pPr>
      <w:r>
        <w:rPr>
          <w:rFonts w:ascii="Arial" w:cs="Arial" w:eastAsia="Arial" w:hAnsi="Arial"/>
          <w:sz w:val="11"/>
          <w:szCs w:val="11"/>
          <w:color w:val="auto"/>
        </w:rPr>
        <w:t>Senior Vice President, Chief Financial Officer and Treasurer</w:t>
      </w:r>
    </w:p>
    <w:p>
      <w:pPr>
        <w:spacing w:after="0" w:line="216" w:lineRule="exact"/>
        <w:rPr>
          <w:sz w:val="20"/>
          <w:szCs w:val="20"/>
          <w:color w:val="auto"/>
        </w:rPr>
      </w:pPr>
    </w:p>
    <w:p>
      <w:pPr>
        <w:spacing w:after="0"/>
        <w:rPr>
          <w:sz w:val="20"/>
          <w:szCs w:val="20"/>
          <w:color w:val="auto"/>
        </w:rPr>
      </w:pPr>
      <w:r>
        <w:rPr>
          <w:rFonts w:ascii="Arial" w:cs="Arial" w:eastAsia="Arial" w:hAnsi="Arial"/>
          <w:sz w:val="11"/>
          <w:szCs w:val="11"/>
          <w:color w:val="auto"/>
        </w:rPr>
        <w:t>May 6,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781050</wp:posOffset>
            </wp:positionV>
            <wp:extent cx="7203440" cy="368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0159"/>
          </w:cols>
          <w:pgMar w:left="300" w:top="1022" w:right="1440"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65"/>
        </w:trPr>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960" w:type="dxa"/>
            <w:vAlign w:val="bottom"/>
          </w:tcPr>
          <w:p>
            <w:pPr>
              <w:ind w:left="1480"/>
              <w:spacing w:after="0"/>
              <w:rPr>
                <w:sz w:val="20"/>
                <w:szCs w:val="20"/>
                <w:color w:val="auto"/>
              </w:rPr>
            </w:pPr>
            <w:r>
              <w:rPr>
                <w:rFonts w:ascii="Arial" w:cs="Arial" w:eastAsia="Arial" w:hAnsi="Arial"/>
                <w:sz w:val="12"/>
                <w:szCs w:val="12"/>
                <w:b w:val="1"/>
                <w:bCs w:val="1"/>
                <w:color w:val="auto"/>
              </w:rPr>
              <w:t>EXHIBIT INDEX</w:t>
            </w:r>
          </w:p>
        </w:tc>
      </w:tr>
      <w:tr>
        <w:trPr>
          <w:trHeight w:val="163"/>
        </w:trPr>
        <w:tc>
          <w:tcPr>
            <w:tcW w:w="940" w:type="dxa"/>
            <w:vAlign w:val="bottom"/>
            <w:gridSpan w:val="3"/>
          </w:tcPr>
          <w:p>
            <w:pPr>
              <w:spacing w:after="0"/>
              <w:rPr>
                <w:sz w:val="20"/>
                <w:szCs w:val="20"/>
                <w:color w:val="auto"/>
              </w:rPr>
            </w:pPr>
            <w:r>
              <w:rPr>
                <w:rFonts w:ascii="Arial" w:cs="Arial" w:eastAsia="Arial" w:hAnsi="Arial"/>
                <w:sz w:val="11"/>
                <w:szCs w:val="11"/>
                <w:color w:val="auto"/>
              </w:rPr>
              <w:t>Exhibit No.</w:t>
            </w:r>
          </w:p>
        </w:tc>
        <w:tc>
          <w:tcPr>
            <w:tcW w:w="5700" w:type="dxa"/>
            <w:vAlign w:val="bottom"/>
            <w:gridSpan w:val="5"/>
          </w:tcPr>
          <w:p>
            <w:pPr>
              <w:ind w:left="440"/>
              <w:spacing w:after="0"/>
              <w:rPr>
                <w:sz w:val="20"/>
                <w:szCs w:val="20"/>
                <w:color w:val="auto"/>
              </w:rPr>
            </w:pPr>
            <w:r>
              <w:rPr>
                <w:rFonts w:ascii="Arial" w:cs="Arial" w:eastAsia="Arial" w:hAnsi="Arial"/>
                <w:sz w:val="11"/>
                <w:szCs w:val="11"/>
                <w:color w:val="auto"/>
              </w:rPr>
              <w:t>Description</w:t>
            </w:r>
          </w:p>
        </w:tc>
      </w:tr>
      <w:tr>
        <w:trPr>
          <w:trHeight w:val="20"/>
        </w:trPr>
        <w:tc>
          <w:tcPr>
            <w:tcW w:w="2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r>
      <w:tr>
        <w:trPr>
          <w:trHeight w:val="124"/>
        </w:trPr>
        <w:tc>
          <w:tcPr>
            <w:tcW w:w="220" w:type="dxa"/>
            <w:vAlign w:val="bottom"/>
          </w:tcPr>
          <w:p>
            <w:pPr>
              <w:spacing w:after="0" w:line="124" w:lineRule="exact"/>
              <w:rPr>
                <w:sz w:val="20"/>
                <w:szCs w:val="20"/>
                <w:color w:val="auto"/>
              </w:rPr>
            </w:pPr>
            <w:r>
              <w:rPr>
                <w:rFonts w:ascii="Arial" w:cs="Arial" w:eastAsia="Arial" w:hAnsi="Arial"/>
                <w:sz w:val="11"/>
                <w:szCs w:val="11"/>
                <w:color w:val="0000FF"/>
                <w:w w:val="93"/>
              </w:rPr>
              <w:t>99.</w:t>
            </w:r>
            <w:r>
              <w:rPr>
                <w:rFonts w:ascii="Arial" w:cs="Arial" w:eastAsia="Arial" w:hAnsi="Arial"/>
                <w:sz w:val="11"/>
                <w:szCs w:val="11"/>
                <w:u w:val="single" w:color="auto"/>
                <w:color w:val="0000FF"/>
                <w:w w:val="93"/>
              </w:rPr>
              <w:t>1</w:t>
            </w:r>
          </w:p>
        </w:tc>
        <w:tc>
          <w:tcPr>
            <w:tcW w:w="3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700" w:type="dxa"/>
            <w:vAlign w:val="bottom"/>
            <w:gridSpan w:val="5"/>
          </w:tcPr>
          <w:p>
            <w:pPr>
              <w:ind w:left="440"/>
              <w:spacing w:after="0" w:line="124" w:lineRule="exact"/>
              <w:rPr>
                <w:sz w:val="20"/>
                <w:szCs w:val="20"/>
                <w:color w:val="auto"/>
              </w:rPr>
            </w:pPr>
            <w:r>
              <w:rPr>
                <w:rFonts w:ascii="Arial" w:cs="Arial" w:eastAsia="Arial" w:hAnsi="Arial"/>
                <w:sz w:val="11"/>
                <w:szCs w:val="11"/>
                <w:color w:val="0000FF"/>
              </w:rPr>
              <w:t>Press release and earnings release attachments</w:t>
            </w:r>
          </w:p>
        </w:tc>
      </w:tr>
      <w:tr>
        <w:trPr>
          <w:trHeight w:val="20"/>
        </w:trPr>
        <w:tc>
          <w:tcPr>
            <w:tcW w:w="22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10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r>
      <w:tr>
        <w:trPr>
          <w:trHeight w:val="124"/>
        </w:trPr>
        <w:tc>
          <w:tcPr>
            <w:tcW w:w="220" w:type="dxa"/>
            <w:vAlign w:val="bottom"/>
          </w:tcPr>
          <w:p>
            <w:pPr>
              <w:spacing w:after="0" w:line="124" w:lineRule="exact"/>
              <w:rPr>
                <w:sz w:val="20"/>
                <w:szCs w:val="20"/>
                <w:color w:val="auto"/>
              </w:rPr>
            </w:pPr>
            <w:r>
              <w:rPr>
                <w:rFonts w:ascii="Arial" w:cs="Arial" w:eastAsia="Arial" w:hAnsi="Arial"/>
                <w:sz w:val="11"/>
                <w:szCs w:val="11"/>
                <w:color w:val="0000FF"/>
                <w:w w:val="93"/>
              </w:rPr>
              <w:t>99.</w:t>
            </w:r>
            <w:r>
              <w:rPr>
                <w:rFonts w:ascii="Arial" w:cs="Arial" w:eastAsia="Arial" w:hAnsi="Arial"/>
                <w:sz w:val="11"/>
                <w:szCs w:val="11"/>
                <w:u w:val="single" w:color="auto"/>
                <w:color w:val="0000FF"/>
                <w:w w:val="93"/>
              </w:rPr>
              <w:t>2</w:t>
            </w:r>
          </w:p>
        </w:tc>
        <w:tc>
          <w:tcPr>
            <w:tcW w:w="3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700" w:type="dxa"/>
            <w:vAlign w:val="bottom"/>
            <w:gridSpan w:val="5"/>
          </w:tcPr>
          <w:p>
            <w:pPr>
              <w:ind w:left="440"/>
              <w:spacing w:after="0" w:line="124" w:lineRule="exact"/>
              <w:rPr>
                <w:sz w:val="20"/>
                <w:szCs w:val="20"/>
                <w:color w:val="auto"/>
              </w:rPr>
            </w:pPr>
            <w:r>
              <w:rPr>
                <w:rFonts w:ascii="Arial" w:cs="Arial" w:eastAsia="Arial" w:hAnsi="Arial"/>
                <w:sz w:val="11"/>
                <w:szCs w:val="11"/>
                <w:color w:val="0000FF"/>
              </w:rPr>
              <w:t>Earnings conference call presentation slides</w:t>
            </w:r>
          </w:p>
        </w:tc>
      </w:tr>
      <w:tr>
        <w:trPr>
          <w:trHeight w:val="20"/>
        </w:trPr>
        <w:tc>
          <w:tcPr>
            <w:tcW w:w="22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r>
      <w:tr>
        <w:trPr>
          <w:trHeight w:val="149"/>
        </w:trPr>
        <w:tc>
          <w:tcPr>
            <w:tcW w:w="220" w:type="dxa"/>
            <w:vAlign w:val="bottom"/>
          </w:tcPr>
          <w:p>
            <w:pPr>
              <w:spacing w:after="0"/>
              <w:rPr>
                <w:sz w:val="20"/>
                <w:szCs w:val="20"/>
                <w:color w:val="auto"/>
              </w:rPr>
            </w:pPr>
            <w:r>
              <w:rPr>
                <w:rFonts w:ascii="Arial" w:cs="Arial" w:eastAsia="Arial" w:hAnsi="Arial"/>
                <w:sz w:val="11"/>
                <w:szCs w:val="11"/>
                <w:color w:val="auto"/>
              </w:rPr>
              <w:t>101</w:t>
            </w:r>
          </w:p>
        </w:tc>
        <w:tc>
          <w:tcPr>
            <w:tcW w:w="3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700" w:type="dxa"/>
            <w:vAlign w:val="bottom"/>
            <w:gridSpan w:val="5"/>
          </w:tcPr>
          <w:p>
            <w:pPr>
              <w:ind w:left="440"/>
              <w:spacing w:after="0"/>
              <w:rPr>
                <w:sz w:val="20"/>
                <w:szCs w:val="20"/>
                <w:color w:val="auto"/>
              </w:rPr>
            </w:pPr>
            <w:r>
              <w:rPr>
                <w:rFonts w:ascii="Arial" w:cs="Arial" w:eastAsia="Arial" w:hAnsi="Arial"/>
                <w:sz w:val="11"/>
                <w:szCs w:val="11"/>
                <w:color w:val="auto"/>
                <w:w w:val="97"/>
              </w:rPr>
              <w:t>Cover Page Interactive Data File - the cover page XBRL tags are embedded within the Inline XBRL document.</w:t>
            </w:r>
          </w:p>
        </w:tc>
      </w:tr>
      <w:tr>
        <w:trPr>
          <w:trHeight w:val="144"/>
        </w:trPr>
        <w:tc>
          <w:tcPr>
            <w:tcW w:w="220" w:type="dxa"/>
            <w:vAlign w:val="bottom"/>
          </w:tcPr>
          <w:p>
            <w:pPr>
              <w:spacing w:after="0"/>
              <w:rPr>
                <w:sz w:val="20"/>
                <w:szCs w:val="20"/>
                <w:color w:val="auto"/>
              </w:rPr>
            </w:pPr>
            <w:r>
              <w:rPr>
                <w:rFonts w:ascii="Arial" w:cs="Arial" w:eastAsia="Arial" w:hAnsi="Arial"/>
                <w:sz w:val="11"/>
                <w:szCs w:val="11"/>
                <w:color w:val="auto"/>
              </w:rPr>
              <w:t>104</w:t>
            </w:r>
          </w:p>
        </w:tc>
        <w:tc>
          <w:tcPr>
            <w:tcW w:w="3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700" w:type="dxa"/>
            <w:vAlign w:val="bottom"/>
            <w:gridSpan w:val="5"/>
          </w:tcPr>
          <w:p>
            <w:pPr>
              <w:ind w:left="440"/>
              <w:spacing w:after="0"/>
              <w:rPr>
                <w:sz w:val="20"/>
                <w:szCs w:val="20"/>
                <w:color w:val="auto"/>
              </w:rPr>
            </w:pPr>
            <w:r>
              <w:rPr>
                <w:rFonts w:ascii="Arial" w:cs="Arial" w:eastAsia="Arial" w:hAnsi="Arial"/>
                <w:sz w:val="11"/>
                <w:szCs w:val="11"/>
                <w:color w:val="auto"/>
              </w:rPr>
              <w:t>Cover Page Interactive Data File (formatted as Inline XBRL and contained in Exhibit 101)</w:t>
            </w:r>
          </w:p>
        </w:tc>
      </w:tr>
    </w:tbl>
    <w:p>
      <w:pPr>
        <w:sectPr>
          <w:pgSz w:w="11900" w:h="16838" w:orient="portrait"/>
          <w:cols w:equalWidth="0" w:num="1">
            <w:col w:w="10119"/>
          </w:cols>
          <w:pgMar w:left="340" w:top="1027" w:right="1440"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14"/>
          <w:szCs w:val="14"/>
          <w:b w:val="1"/>
          <w:bCs w:val="1"/>
          <w:color w:val="auto"/>
        </w:rPr>
        <w:t>Exhibit 99.1</w:t>
      </w:r>
    </w:p>
    <w:p>
      <w:pPr>
        <w:spacing w:after="0" w:line="2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b w:val="1"/>
          <w:bCs w:val="1"/>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104775</wp:posOffset>
            </wp:positionV>
            <wp:extent cx="1503045" cy="3886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503045" cy="388620"/>
                    </a:xfrm>
                    <a:prstGeom prst="rect">
                      <a:avLst/>
                    </a:prstGeom>
                    <a:noFill/>
                  </pic:spPr>
                </pic:pic>
              </a:graphicData>
            </a:graphic>
          </wp:anchor>
        </w:drawing>
      </w:r>
    </w:p>
    <w:p>
      <w:pPr>
        <w:sectPr>
          <w:pgSz w:w="11900" w:h="16838" w:orient="portrait"/>
          <w:cols w:equalWidth="0" w:num="1">
            <w:col w:w="11300"/>
          </w:cols>
          <w:pgMar w:left="300" w:top="830" w:right="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661DE8"/>
        </w:rPr>
        <w:t>Contact: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Khanya Brann</w:t>
      </w:r>
    </w:p>
    <w:p>
      <w:pPr>
        <w:spacing w:after="0" w:line="214" w:lineRule="auto"/>
        <w:rPr>
          <w:sz w:val="20"/>
          <w:szCs w:val="20"/>
          <w:color w:val="auto"/>
        </w:rPr>
      </w:pPr>
      <w:r>
        <w:rPr>
          <w:rFonts w:ascii="Times New Roman" w:cs="Times New Roman" w:eastAsia="Times New Roman" w:hAnsi="Times New Roman"/>
          <w:sz w:val="14"/>
          <w:szCs w:val="14"/>
          <w:color w:val="auto"/>
        </w:rPr>
        <w:t>Corporate Communications</w:t>
      </w:r>
    </w:p>
    <w:p>
      <w:pPr>
        <w:spacing w:after="0"/>
        <w:rPr>
          <w:sz w:val="20"/>
          <w:szCs w:val="20"/>
          <w:color w:val="auto"/>
        </w:rPr>
      </w:pPr>
      <w:r>
        <w:rPr>
          <w:rFonts w:ascii="Times New Roman" w:cs="Times New Roman" w:eastAsia="Times New Roman" w:hAnsi="Times New Roman"/>
          <w:sz w:val="14"/>
          <w:szCs w:val="14"/>
          <w:color w:val="auto"/>
        </w:rPr>
        <w:t>301-535-3292</w:t>
      </w:r>
    </w:p>
    <w:p>
      <w:pPr>
        <w:spacing w:after="0" w:line="110" w:lineRule="exact"/>
        <w:rPr>
          <w:sz w:val="20"/>
          <w:szCs w:val="20"/>
          <w:color w:val="auto"/>
        </w:rPr>
      </w:pPr>
    </w:p>
    <w:p>
      <w:pPr>
        <w:sectPr>
          <w:pgSz w:w="11900" w:h="16838" w:orient="portrait"/>
          <w:cols w:equalWidth="0" w:num="2">
            <w:col w:w="560" w:space="720"/>
            <w:col w:w="10020"/>
          </w:cols>
          <w:pgMar w:left="300" w:top="830" w:right="299" w:bottom="1440" w:gutter="0" w:footer="0" w:header="0"/>
          <w:type w:val="continuous"/>
        </w:sectPr>
      </w:pPr>
    </w:p>
    <w:p>
      <w:pPr>
        <w:ind w:left="1280"/>
        <w:spacing w:after="0"/>
        <w:rPr>
          <w:sz w:val="20"/>
          <w:szCs w:val="20"/>
          <w:color w:val="auto"/>
        </w:rPr>
      </w:pPr>
      <w:r>
        <w:rPr>
          <w:rFonts w:ascii="Times New Roman" w:cs="Times New Roman" w:eastAsia="Times New Roman" w:hAnsi="Times New Roman"/>
          <w:sz w:val="14"/>
          <w:szCs w:val="14"/>
          <w:color w:val="auto"/>
        </w:rPr>
        <w:t>Ryan Brown</w:t>
      </w:r>
    </w:p>
    <w:p>
      <w:pPr>
        <w:ind w:left="1280"/>
        <w:spacing w:after="0" w:line="214" w:lineRule="auto"/>
        <w:rPr>
          <w:sz w:val="20"/>
          <w:szCs w:val="20"/>
          <w:color w:val="auto"/>
        </w:rPr>
      </w:pPr>
      <w:r>
        <w:rPr>
          <w:rFonts w:ascii="Times New Roman" w:cs="Times New Roman" w:eastAsia="Times New Roman" w:hAnsi="Times New Roman"/>
          <w:sz w:val="14"/>
          <w:szCs w:val="14"/>
          <w:color w:val="auto"/>
        </w:rPr>
        <w:t>Investor Relations</w:t>
      </w:r>
    </w:p>
    <w:p>
      <w:pPr>
        <w:ind w:left="1280"/>
        <w:spacing w:after="0"/>
        <w:rPr>
          <w:sz w:val="20"/>
          <w:szCs w:val="20"/>
          <w:color w:val="auto"/>
        </w:rPr>
      </w:pPr>
      <w:r>
        <w:rPr>
          <w:rFonts w:ascii="Times New Roman" w:cs="Times New Roman" w:eastAsia="Times New Roman" w:hAnsi="Times New Roman"/>
          <w:sz w:val="14"/>
          <w:szCs w:val="14"/>
          <w:color w:val="auto"/>
        </w:rPr>
        <w:t>779-231-0017</w:t>
      </w:r>
    </w:p>
    <w:p>
      <w:pPr>
        <w:sectPr>
          <w:pgSz w:w="11900" w:h="16838" w:orient="portrait"/>
          <w:cols w:equalWidth="0" w:num="1">
            <w:col w:w="11300"/>
          </w:cols>
          <w:pgMar w:left="300" w:top="830" w:right="299" w:bottom="1440" w:gutter="0" w:footer="0" w:header="0"/>
          <w:type w:val="continuous"/>
        </w:sectPr>
      </w:pPr>
    </w:p>
    <w:p>
      <w:pPr>
        <w:spacing w:after="0" w:line="1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EXELON REPORTS FIRST QUARTER 2026 RESULTS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Earnings Release Highlights</w:t>
      </w:r>
    </w:p>
    <w:p>
      <w:pPr>
        <w:spacing w:after="0" w:line="111" w:lineRule="exact"/>
        <w:rPr>
          <w:sz w:val="20"/>
          <w:szCs w:val="20"/>
          <w:color w:val="auto"/>
        </w:rPr>
      </w:pPr>
    </w:p>
    <w:p>
      <w:pPr>
        <w:ind w:left="420" w:hanging="212"/>
        <w:spacing w:after="0"/>
        <w:tabs>
          <w:tab w:leader="none" w:pos="420" w:val="left"/>
        </w:tabs>
        <w:numPr>
          <w:ilvl w:val="0"/>
          <w:numId w:val="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GAAP net income of $0.90 per share and Adjusted (non-GAAP) operating earnings of $0.91 per share for the first quarter of 2026</w:t>
      </w:r>
    </w:p>
    <w:p>
      <w:pPr>
        <w:spacing w:after="0" w:line="17" w:lineRule="exact"/>
        <w:rPr>
          <w:rFonts w:ascii="Times New Roman" w:cs="Times New Roman" w:eastAsia="Times New Roman" w:hAnsi="Times New Roman"/>
          <w:sz w:val="14"/>
          <w:szCs w:val="14"/>
          <w:b w:val="1"/>
          <w:bCs w:val="1"/>
          <w:color w:val="auto"/>
        </w:rPr>
      </w:pPr>
    </w:p>
    <w:p>
      <w:pPr>
        <w:ind w:left="420" w:hanging="212"/>
        <w:spacing w:after="0" w:line="241" w:lineRule="auto"/>
        <w:tabs>
          <w:tab w:leader="none" w:pos="41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Affirming full year 2026 Adjusted (non-GAAP) operating earnings guidance range of $2.81-$2.91 per share and operating EPS compounded annual growth near top end of 5-7% from 2025 to 2029</w:t>
      </w:r>
    </w:p>
    <w:p>
      <w:pPr>
        <w:ind w:left="420" w:hanging="212"/>
        <w:spacing w:after="0"/>
        <w:tabs>
          <w:tab w:leader="none" w:pos="4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Projecting $41.7 billion of capital expenditures over the next four years, resulting in expected rate base growth of 7.9%</w:t>
      </w:r>
    </w:p>
    <w:p>
      <w:pPr>
        <w:spacing w:after="0" w:line="1" w:lineRule="exact"/>
        <w:rPr>
          <w:rFonts w:ascii="Times New Roman" w:cs="Times New Roman" w:eastAsia="Times New Roman" w:hAnsi="Times New Roman"/>
          <w:sz w:val="14"/>
          <w:szCs w:val="14"/>
          <w:color w:val="auto"/>
        </w:rPr>
      </w:pPr>
    </w:p>
    <w:p>
      <w:pPr>
        <w:ind w:left="420" w:hanging="212"/>
        <w:spacing w:after="0"/>
        <w:tabs>
          <w:tab w:leader="none" w:pos="4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utilities sustained top quartile in reliability performance, with ComEd in top decile</w:t>
      </w:r>
    </w:p>
    <w:p>
      <w:pPr>
        <w:spacing w:after="0" w:line="1" w:lineRule="exact"/>
        <w:rPr>
          <w:rFonts w:ascii="Times New Roman" w:cs="Times New Roman" w:eastAsia="Times New Roman" w:hAnsi="Times New Roman"/>
          <w:sz w:val="14"/>
          <w:szCs w:val="14"/>
          <w:color w:val="auto"/>
        </w:rPr>
      </w:pPr>
    </w:p>
    <w:p>
      <w:pPr>
        <w:ind w:left="420" w:hanging="212"/>
        <w:spacing w:after="0" w:line="258" w:lineRule="auto"/>
        <w:tabs>
          <w:tab w:leader="none" w:pos="41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Through March 31, completed approximately 43% of planned debt financings, including all of its Holding Company issuances, and priced approximately 37% of its $3.4 billion of equity needs through 2029</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CHICAGO (May 6, 2026) </w:t>
      </w:r>
      <w:r>
        <w:rPr>
          <w:rFonts w:ascii="Times New Roman" w:cs="Times New Roman" w:eastAsia="Times New Roman" w:hAnsi="Times New Roman"/>
          <w:sz w:val="14"/>
          <w:szCs w:val="14"/>
          <w:color w:val="auto"/>
        </w:rPr>
        <w:t>— Exelon Corporation (Nasdaq: EXC) today reported its financial results for the first quarter of 2026.</w:t>
      </w:r>
    </w:p>
    <w:p>
      <w:pPr>
        <w:spacing w:after="0" w:line="16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“Exelon is on track for another year of consistent operational and financial performance. Our scale, platform, and disciplined execution allow us to adapt as conditions evolve to continue delivering on our commitments over the long term,” said Exelon President and Chief Executive Officer Calvin Butler. “Through The Exelon Promise, we are committed to balancing affordability while advancing safety, reliability, and investments that strengthen the grid and support the communities we serve – today and in the future.”</w:t>
      </w:r>
    </w:p>
    <w:p>
      <w:pPr>
        <w:spacing w:after="0" w:line="12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4"/>
          <w:szCs w:val="14"/>
          <w:color w:val="auto"/>
        </w:rPr>
        <w:t>“We delivered first quarter 2026 adjusted operating earnings of $0.91 per share while maintaining strong operational performance, continuing our track record of execution as a standalone utility,” said Exelon Chief Financial Officer Jeanne Jones. “With a revised $41.7 billion four-year capital plan, 7.9% rate base growth, and a disciplined focus on cost management, we remain well-positioned to deliver annualized earnings growth near the top end of 5% to 7% through 2029. Our results and outlook underscore the durability of our business and our ability to adapt and execute while continuing to invest in a way that balances the needs of our customers with the grid of the future.”</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w:t>
      </w:r>
    </w:p>
    <w:p>
      <w:pPr>
        <w:sectPr>
          <w:pgSz w:w="11900" w:h="16838" w:orient="portrait"/>
          <w:cols w:equalWidth="0" w:num="1">
            <w:col w:w="11300"/>
          </w:cols>
          <w:pgMar w:left="300" w:top="830" w:right="299" w:bottom="1440" w:gutter="0" w:footer="0" w:header="0"/>
          <w:type w:val="continuous"/>
        </w:sectPr>
      </w:pPr>
    </w:p>
    <w:bookmarkStart w:id="8" w:name="page9"/>
    <w:bookmarkEnd w:id="8"/>
    <w:p>
      <w:pPr>
        <w:ind w:left="8"/>
        <w:spacing w:after="0"/>
        <w:rPr>
          <w:sz w:val="20"/>
          <w:szCs w:val="20"/>
          <w:color w:val="auto"/>
        </w:rPr>
      </w:pPr>
      <w:r>
        <w:rPr>
          <w:rFonts w:ascii="Times New Roman" w:cs="Times New Roman" w:eastAsia="Times New Roman" w:hAnsi="Times New Roman"/>
          <w:sz w:val="14"/>
          <w:szCs w:val="14"/>
          <w:b w:val="1"/>
          <w:bCs w:val="1"/>
          <w:color w:val="auto"/>
        </w:rPr>
        <w:t>First Quarter 2026</w:t>
      </w:r>
    </w:p>
    <w:p>
      <w:pPr>
        <w:spacing w:after="0" w:line="120" w:lineRule="exact"/>
        <w:rPr>
          <w:sz w:val="20"/>
          <w:szCs w:val="20"/>
          <w:color w:val="auto"/>
        </w:rPr>
      </w:pPr>
    </w:p>
    <w:p>
      <w:pPr>
        <w:jc w:val="both"/>
        <w:ind w:left="8"/>
        <w:spacing w:after="0" w:line="282" w:lineRule="auto"/>
        <w:rPr>
          <w:sz w:val="20"/>
          <w:szCs w:val="20"/>
          <w:color w:val="auto"/>
        </w:rPr>
      </w:pPr>
      <w:r>
        <w:rPr>
          <w:rFonts w:ascii="Times New Roman" w:cs="Times New Roman" w:eastAsia="Times New Roman" w:hAnsi="Times New Roman"/>
          <w:sz w:val="14"/>
          <w:szCs w:val="14"/>
          <w:color w:val="auto"/>
        </w:rPr>
        <w:t>Exelon's GAAP net income for the first quarter of 2026 remained relatively consistent with the prior period at $0.90 per share. Adjusted (non-GAAP) operating earnings for the first quarter of 2026 decreased to $0.91 per share from $0.92 per share in the first quarter of 2025. For the reconciliations of GAAP net income to Adjusted (non-GAAP) operating earnings, refer to the tables beginning on page 4.</w:t>
      </w:r>
    </w:p>
    <w:p>
      <w:pPr>
        <w:spacing w:after="0" w:line="63" w:lineRule="exact"/>
        <w:rPr>
          <w:sz w:val="20"/>
          <w:szCs w:val="20"/>
          <w:color w:val="auto"/>
        </w:rPr>
      </w:pPr>
    </w:p>
    <w:p>
      <w:pPr>
        <w:ind w:left="8"/>
        <w:spacing w:after="0"/>
        <w:rPr>
          <w:sz w:val="20"/>
          <w:szCs w:val="20"/>
          <w:color w:val="auto"/>
        </w:rPr>
      </w:pPr>
      <w:r>
        <w:rPr>
          <w:rFonts w:ascii="Times New Roman" w:cs="Times New Roman" w:eastAsia="Times New Roman" w:hAnsi="Times New Roman"/>
          <w:sz w:val="14"/>
          <w:szCs w:val="14"/>
          <w:color w:val="auto"/>
        </w:rPr>
        <w:t>The GAAP net income and Adjusted (non-GAAP) operating earnings in the first quarter of 2026 primarily reflect:</w:t>
      </w:r>
    </w:p>
    <w:p>
      <w:pPr>
        <w:spacing w:after="0" w:line="26" w:lineRule="exact"/>
        <w:rPr>
          <w:sz w:val="20"/>
          <w:szCs w:val="20"/>
          <w:color w:val="auto"/>
        </w:rPr>
      </w:pPr>
    </w:p>
    <w:p>
      <w:pPr>
        <w:ind w:left="428" w:hanging="212"/>
        <w:spacing w:after="0"/>
        <w:tabs>
          <w:tab w:leader="none" w:pos="428"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Higher costs at the Exelon holding company primarily due to higher income taxes and higher interest expense.</w:t>
      </w:r>
    </w:p>
    <w:p>
      <w:pPr>
        <w:spacing w:after="0" w:line="102" w:lineRule="exact"/>
        <w:rPr>
          <w:rFonts w:ascii="Times New Roman" w:cs="Times New Roman" w:eastAsia="Times New Roman" w:hAnsi="Times New Roman"/>
          <w:sz w:val="14"/>
          <w:szCs w:val="14"/>
          <w:color w:val="auto"/>
        </w:rPr>
      </w:pPr>
    </w:p>
    <w:p>
      <w:pPr>
        <w:jc w:val="both"/>
        <w:ind w:left="428" w:hanging="212"/>
        <w:spacing w:after="0" w:line="270" w:lineRule="auto"/>
        <w:tabs>
          <w:tab w:leader="none" w:pos="424"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Higher utility earnings primarily due to approved distribution and transmission rates at ComEd and PHI, approved distribution rates at BGE, absence of customer surcharge credits at PECO, higher allowance for funds used during construction (AFUDC) at ComEd, and favorable weather and lower income taxes at PECO. This was partially offset by timing of distribution earnings at ComEd, higher depreciation expense at PECO and PHI, higher interest expense at PECO, higher credit loss expense at BGE, and unfavorable impacts of the Pepco Maryland multi-year plan reconciliation. Note that rate increases are associated with updated recovery rates for costs and investments to serve customers, driving top quartile reliability and avoiding outage costs.</w:t>
      </w:r>
    </w:p>
    <w:p>
      <w:pPr>
        <w:spacing w:after="0" w:line="24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4"/>
          <w:szCs w:val="14"/>
          <w:b w:val="1"/>
          <w:bCs w:val="1"/>
          <w:color w:val="auto"/>
        </w:rPr>
        <w:t>Operating Company Results</w:t>
      </w:r>
      <w:r>
        <w:rPr>
          <w:rFonts w:ascii="Times New Roman" w:cs="Times New Roman" w:eastAsia="Times New Roman" w:hAnsi="Times New Roman"/>
          <w:sz w:val="18"/>
          <w:szCs w:val="18"/>
          <w:b w:val="1"/>
          <w:bCs w:val="1"/>
          <w:color w:val="auto"/>
          <w:vertAlign w:val="superscript"/>
        </w:rPr>
        <w:t>1</w:t>
      </w:r>
    </w:p>
    <w:p>
      <w:pPr>
        <w:spacing w:after="0" w:line="7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3"/>
          <w:szCs w:val="13"/>
          <w:i w:val="1"/>
          <w:iCs w:val="1"/>
          <w:color w:val="auto"/>
        </w:rPr>
        <w:t>ComEd</w:t>
      </w:r>
    </w:p>
    <w:p>
      <w:pPr>
        <w:spacing w:after="0" w:line="128" w:lineRule="exact"/>
        <w:rPr>
          <w:sz w:val="20"/>
          <w:szCs w:val="20"/>
          <w:color w:val="auto"/>
        </w:rPr>
      </w:pPr>
    </w:p>
    <w:p>
      <w:pPr>
        <w:jc w:val="both"/>
        <w:ind w:left="8"/>
        <w:spacing w:after="0" w:line="268" w:lineRule="auto"/>
        <w:rPr>
          <w:sz w:val="20"/>
          <w:szCs w:val="20"/>
          <w:color w:val="auto"/>
        </w:rPr>
      </w:pPr>
      <w:r>
        <w:rPr>
          <w:rFonts w:ascii="Times New Roman" w:cs="Times New Roman" w:eastAsia="Times New Roman" w:hAnsi="Times New Roman"/>
          <w:sz w:val="14"/>
          <w:szCs w:val="14"/>
          <w:color w:val="auto"/>
        </w:rPr>
        <w:t>ComEd's first quarter of 2026 GAAP net income increased to $310 million from $302 million in the first quarter of 2025. ComEd's Adjusted (non-GAAP) operating earnings for the first quarter of 2026 decreased to $310 million from $325 million in the first quarter of 2025, primarily due to timing of distribution earnings, partially offset by an increase in AFUDC and higher distribution and transmission rate base driven by incremental investments to serve customers, driving top quartile reliability and avoiding outage costs. Due to revenue decoupling, ComEd's distribution earnings are not intended to be affected by actual weather or customer usage patterns.</w:t>
      </w:r>
    </w:p>
    <w:p>
      <w:pPr>
        <w:spacing w:after="0" w:line="7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3"/>
          <w:szCs w:val="13"/>
          <w:i w:val="1"/>
          <w:iCs w:val="1"/>
          <w:color w:val="auto"/>
        </w:rPr>
        <w:t>PECO</w:t>
      </w:r>
    </w:p>
    <w:p>
      <w:pPr>
        <w:spacing w:after="0" w:line="119" w:lineRule="exact"/>
        <w:rPr>
          <w:sz w:val="20"/>
          <w:szCs w:val="20"/>
          <w:color w:val="auto"/>
        </w:rPr>
      </w:pPr>
    </w:p>
    <w:p>
      <w:pPr>
        <w:jc w:val="both"/>
        <w:ind w:left="8"/>
        <w:spacing w:after="0" w:line="282" w:lineRule="auto"/>
        <w:rPr>
          <w:sz w:val="20"/>
          <w:szCs w:val="20"/>
          <w:color w:val="auto"/>
        </w:rPr>
      </w:pPr>
      <w:r>
        <w:rPr>
          <w:rFonts w:ascii="Times New Roman" w:cs="Times New Roman" w:eastAsia="Times New Roman" w:hAnsi="Times New Roman"/>
          <w:sz w:val="14"/>
          <w:szCs w:val="14"/>
          <w:color w:val="auto"/>
        </w:rPr>
        <w:t>PECO’s first quarter of 2026 GAAP net income increased to $278 million from $266 million in the first quarter of 2025. PECO's Adjusted (non-GAAP) operating earnings for the first quarter of 2026 increased to $278 million from $265 million in the first quarter of 2025, primarily due to absence of customer surcharge credits, favorable weather, and lower income taxes due to tax repairs, some of which is timing, partially offset by an increase in depreciation and interest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0"/>
          <w:szCs w:val="10"/>
          <w:color w:val="auto"/>
        </w:rPr>
        <w:t>___________</w:t>
      </w:r>
    </w:p>
    <w:p>
      <w:pPr>
        <w:spacing w:after="0" w:line="110" w:lineRule="exact"/>
        <w:rPr>
          <w:sz w:val="20"/>
          <w:szCs w:val="20"/>
          <w:color w:val="auto"/>
        </w:rPr>
      </w:pPr>
    </w:p>
    <w:p>
      <w:pPr>
        <w:jc w:val="both"/>
        <w:ind w:left="8" w:hanging="8"/>
        <w:spacing w:after="0" w:line="227" w:lineRule="auto"/>
        <w:tabs>
          <w:tab w:leader="none" w:pos="55" w:val="left"/>
        </w:tabs>
        <w:numPr>
          <w:ilvl w:val="0"/>
          <w:numId w:val="5"/>
        </w:numPr>
        <w:rPr>
          <w:rFonts w:ascii="Times New Roman" w:cs="Times New Roman" w:eastAsia="Times New Roman" w:hAnsi="Times New Roman"/>
          <w:sz w:val="12"/>
          <w:szCs w:val="12"/>
          <w:color w:val="auto"/>
          <w:vertAlign w:val="superscript"/>
        </w:rPr>
      </w:pPr>
      <w:r>
        <w:rPr>
          <w:rFonts w:ascii="Times New Roman" w:cs="Times New Roman" w:eastAsia="Times New Roman" w:hAnsi="Times New Roman"/>
          <w:sz w:val="10"/>
          <w:szCs w:val="10"/>
          <w:color w:val="auto"/>
        </w:rPr>
        <w:t>Exelon’s four business units include ComEd, which consists of electricity transmission and distribution operations in northern Illinois (and transmission in a small portion of northwestern Indiana); PECO, which consists of electricity transmission and distribution operations and retail natural gas distribution operations in southeastern Pennsylvania; BGE, which consists of electricity transmission and distribution operations and retail natural gas distribution operations in central Maryland; and PHI, which consists of electricity transmission and distribution operations in the District of Columbia and portions of Maryland, Delaware, and New Jersey and retail natural gas distribution operations in northern Delaware.</w:t>
      </w:r>
    </w:p>
    <w:p>
      <w:pPr>
        <w:spacing w:after="0" w:line="394"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2</w:t>
      </w:r>
    </w:p>
    <w:p>
      <w:pPr>
        <w:sectPr>
          <w:pgSz w:w="11900" w:h="16838" w:orient="portrait"/>
          <w:cols w:equalWidth="0" w:num="1">
            <w:col w:w="11308"/>
          </w:cols>
          <w:pgMar w:left="292" w:top="776" w:right="29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3"/>
          <w:szCs w:val="13"/>
          <w:i w:val="1"/>
          <w:iCs w:val="1"/>
          <w:color w:val="auto"/>
        </w:rPr>
        <w:t>BGE</w:t>
      </w:r>
    </w:p>
    <w:p>
      <w:pPr>
        <w:spacing w:after="0" w:line="12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4"/>
          <w:szCs w:val="14"/>
          <w:color w:val="auto"/>
        </w:rPr>
        <w:t>BGE’s first quarter of 2026 GAAP net income increased to $298 million from $260 million in the first quarter of 2025. BGE's Adjusted (non-GAAP) operating earnings for the first quarter of 2026 increased to $298 million from $260 million in the first quarter of 2025, primarily due to approved distribution rates associated with updated recovery of investments to serve customers, driving top quartile reliability and avoiding outage costs, partially offset by an increase in credit loss expense. Due to revenue decoupling, BGE's distribution earnings are not intended to be affected by actual weather or customer usage patterns.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PHI</w:t>
      </w:r>
    </w:p>
    <w:p>
      <w:pPr>
        <w:spacing w:after="0" w:line="12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4"/>
          <w:szCs w:val="14"/>
          <w:color w:val="auto"/>
        </w:rPr>
        <w:t>PHI’s first quarter of 2026 GAAP net income decreased to $169 million from $194 million in the first quarter of 2025. PHI’s Adjusted (non-GAAP) operating earnings for the first quarter of 2026 decreased to $180 million from $194 million in the first quarter of 2025, primarily due to unfavorable impacts of the Pepco Maryland multi-year plan reconciliation and an increase in depreciation expense, partially offset by approved distribution and transmission rates driven by updated recovery of investments to serve customers, driving top quartile reliability and avoiding outage costs. Due to revenue decoupling, PHI's distribution earnings related to Pepco Maryland, DPL Maryland, Pepco District of Columbia, and ACE are not intended to be affected by actual weather or customer usage patterns.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Recent Developments and First Quarter Highlights</w:t>
      </w:r>
    </w:p>
    <w:p>
      <w:pPr>
        <w:spacing w:after="0" w:line="118" w:lineRule="exact"/>
        <w:rPr>
          <w:sz w:val="20"/>
          <w:szCs w:val="20"/>
          <w:color w:val="auto"/>
        </w:rPr>
      </w:pPr>
    </w:p>
    <w:p>
      <w:pPr>
        <w:ind w:left="420" w:hanging="212"/>
        <w:spacing w:after="0" w:line="298" w:lineRule="auto"/>
        <w:tabs>
          <w:tab w:leader="none" w:pos="416" w:val="left"/>
        </w:tabs>
        <w:numPr>
          <w:ilvl w:val="0"/>
          <w:numId w:val="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Dividend: </w:t>
      </w:r>
      <w:r>
        <w:rPr>
          <w:rFonts w:ascii="Times New Roman" w:cs="Times New Roman" w:eastAsia="Times New Roman" w:hAnsi="Times New Roman"/>
          <w:sz w:val="14"/>
          <w:szCs w:val="14"/>
          <w:color w:val="auto"/>
        </w:rPr>
        <w:t>On April 28, 2026, Exelon's Board of Directors declared a regular quarterly dividend of $0.42 per share on Exelon's common stock. The dividend is payable on June 15, 2026, to</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Exelon shareholders of record as of the close of business on June 4, 2026.</w:t>
      </w:r>
    </w:p>
    <w:p>
      <w:pPr>
        <w:spacing w:after="0" w:line="50" w:lineRule="exact"/>
        <w:rPr>
          <w:rFonts w:ascii="Times New Roman" w:cs="Times New Roman" w:eastAsia="Times New Roman" w:hAnsi="Times New Roman"/>
          <w:sz w:val="14"/>
          <w:szCs w:val="14"/>
          <w:b w:val="1"/>
          <w:bCs w:val="1"/>
          <w:color w:val="auto"/>
        </w:rPr>
      </w:pPr>
    </w:p>
    <w:p>
      <w:pPr>
        <w:ind w:left="420" w:hanging="212"/>
        <w:spacing w:after="0"/>
        <w:tabs>
          <w:tab w:leader="none" w:pos="420" w:val="left"/>
        </w:tabs>
        <w:numPr>
          <w:ilvl w:val="0"/>
          <w:numId w:val="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Rate Case Developments:</w:t>
      </w:r>
    </w:p>
    <w:p>
      <w:pPr>
        <w:spacing w:after="0" w:line="129" w:lineRule="exact"/>
        <w:rPr>
          <w:rFonts w:ascii="Times New Roman" w:cs="Times New Roman" w:eastAsia="Times New Roman" w:hAnsi="Times New Roman"/>
          <w:sz w:val="14"/>
          <w:szCs w:val="14"/>
          <w:b w:val="1"/>
          <w:bCs w:val="1"/>
          <w:color w:val="auto"/>
        </w:rPr>
      </w:pPr>
    </w:p>
    <w:p>
      <w:pPr>
        <w:ind w:left="860" w:hanging="220"/>
        <w:spacing w:after="0"/>
        <w:tabs>
          <w:tab w:leader="none" w:pos="860" w:val="left"/>
        </w:tabs>
        <w:numPr>
          <w:ilvl w:val="1"/>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There were no rate case developments in the first quarter.</w:t>
      </w:r>
    </w:p>
    <w:p>
      <w:pPr>
        <w:spacing w:after="0" w:line="116" w:lineRule="exact"/>
        <w:rPr>
          <w:rFonts w:ascii="Times New Roman" w:cs="Times New Roman" w:eastAsia="Times New Roman" w:hAnsi="Times New Roman"/>
          <w:sz w:val="14"/>
          <w:szCs w:val="14"/>
          <w:color w:val="auto"/>
        </w:rPr>
      </w:pPr>
    </w:p>
    <w:p>
      <w:pPr>
        <w:ind w:left="420" w:hanging="212"/>
        <w:spacing w:after="0"/>
        <w:tabs>
          <w:tab w:leader="none" w:pos="420" w:val="left"/>
        </w:tabs>
        <w:numPr>
          <w:ilvl w:val="0"/>
          <w:numId w:val="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Financing Activities:</w:t>
      </w:r>
    </w:p>
    <w:p>
      <w:pPr>
        <w:spacing w:after="0" w:line="120" w:lineRule="exact"/>
        <w:rPr>
          <w:rFonts w:ascii="Times New Roman" w:cs="Times New Roman" w:eastAsia="Times New Roman" w:hAnsi="Times New Roman"/>
          <w:sz w:val="14"/>
          <w:szCs w:val="14"/>
          <w:b w:val="1"/>
          <w:bCs w:val="1"/>
          <w:color w:val="auto"/>
        </w:rPr>
      </w:pPr>
    </w:p>
    <w:p>
      <w:pPr>
        <w:ind w:left="860" w:hanging="220"/>
        <w:spacing w:after="0" w:line="295" w:lineRule="auto"/>
        <w:tabs>
          <w:tab w:leader="none" w:pos="857" w:val="left"/>
        </w:tabs>
        <w:numPr>
          <w:ilvl w:val="1"/>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February 20, 2026, Exelon issued $775 million of its Senior Notes, 4.95% Series due March 15, 2036. Exelon used the proceeds to repay existing indebtedness and for general corporate purposes.</w:t>
      </w:r>
    </w:p>
    <w:p>
      <w:pPr>
        <w:spacing w:after="0" w:line="54" w:lineRule="exact"/>
        <w:rPr>
          <w:rFonts w:ascii="Times New Roman" w:cs="Times New Roman" w:eastAsia="Times New Roman" w:hAnsi="Times New Roman"/>
          <w:sz w:val="14"/>
          <w:szCs w:val="14"/>
          <w:color w:val="auto"/>
        </w:rPr>
      </w:pPr>
    </w:p>
    <w:p>
      <w:pPr>
        <w:jc w:val="both"/>
        <w:ind w:left="860" w:hanging="220"/>
        <w:spacing w:after="0" w:line="282" w:lineRule="auto"/>
        <w:tabs>
          <w:tab w:leader="none" w:pos="857" w:val="left"/>
        </w:tabs>
        <w:numPr>
          <w:ilvl w:val="1"/>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March 19, 2026, Pepco issued $170 million of its First Mortgage Bonds, consisting of $110 million aggregate principal amount of its First Mortgage Bonds, 5.00% Series due March 19, 2036, and $60 million aggregate principal amount of its First Mortgage Bonds, 5.30% Series due March 19, 2041. Pepco used the proceeds to repay existing indebtedness and for general corporate purposes.</w:t>
      </w:r>
    </w:p>
    <w:p>
      <w:pPr>
        <w:spacing w:after="0" w:line="116" w:lineRule="exact"/>
        <w:rPr>
          <w:rFonts w:ascii="Times New Roman" w:cs="Times New Roman" w:eastAsia="Times New Roman" w:hAnsi="Times New Roman"/>
          <w:sz w:val="14"/>
          <w:szCs w:val="14"/>
          <w:color w:val="auto"/>
        </w:rPr>
      </w:pPr>
    </w:p>
    <w:p>
      <w:pPr>
        <w:ind w:left="860" w:hanging="220"/>
        <w:spacing w:after="0" w:line="295" w:lineRule="auto"/>
        <w:tabs>
          <w:tab w:leader="none" w:pos="857" w:val="left"/>
        </w:tabs>
        <w:numPr>
          <w:ilvl w:val="1"/>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March 19, 2026, DPL issued $75 million of its First Mortgage Bonds, 5.74% Series due March 19, 2056. DPL used the proceeds to repay existing indebtedness and for general corporate purposes.</w:t>
      </w:r>
    </w:p>
    <w:p>
      <w:pPr>
        <w:spacing w:after="0" w:line="108" w:lineRule="exact"/>
        <w:rPr>
          <w:rFonts w:ascii="Times New Roman" w:cs="Times New Roman" w:eastAsia="Times New Roman" w:hAnsi="Times New Roman"/>
          <w:sz w:val="14"/>
          <w:szCs w:val="14"/>
          <w:color w:val="auto"/>
        </w:rPr>
      </w:pPr>
    </w:p>
    <w:p>
      <w:pPr>
        <w:ind w:left="860" w:right="20" w:hanging="220"/>
        <w:spacing w:after="0" w:line="309" w:lineRule="auto"/>
        <w:tabs>
          <w:tab w:leader="none" w:pos="857" w:val="left"/>
        </w:tabs>
        <w:numPr>
          <w:ilvl w:val="1"/>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March 19, 2026, ACE issued $100 million of its First Mortgage Bonds, 4.95% Series due March 19, 2036. ACE used the proceeds to repay existing indebtedness and for general corporate purposes.</w:t>
      </w: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w:t>
      </w:r>
    </w:p>
    <w:p>
      <w:pPr>
        <w:sectPr>
          <w:pgSz w:w="11900" w:h="16838" w:orient="portrait"/>
          <w:cols w:equalWidth="0" w:num="1">
            <w:col w:w="11300"/>
          </w:cols>
          <w:pgMar w:left="300" w:top="771" w:right="29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b w:val="1"/>
          <w:bCs w:val="1"/>
          <w:color w:val="auto"/>
        </w:rPr>
        <w:t>Adjusted (non-GAAP) Operating Earnings Reconciliation</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Adjusted (non-GAAP) operating earnings for the first quarter of 2026 do not include the following items (after tax) that were included in reported GAAP net income:</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0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960" w:type="dxa"/>
            <w:vAlign w:val="bottom"/>
          </w:tcPr>
          <w:p>
            <w:pPr>
              <w:jc w:val="center"/>
              <w:ind w:right="34"/>
              <w:spacing w:after="0"/>
              <w:rPr>
                <w:sz w:val="20"/>
                <w:szCs w:val="20"/>
                <w:color w:val="auto"/>
              </w:rPr>
            </w:pPr>
            <w:r>
              <w:rPr>
                <w:rFonts w:ascii="Times New Roman" w:cs="Times New Roman" w:eastAsia="Times New Roman" w:hAnsi="Times New Roman"/>
                <w:sz w:val="13"/>
                <w:szCs w:val="13"/>
                <w:b w:val="1"/>
                <w:bCs w:val="1"/>
                <w:color w:val="auto"/>
                <w:w w:val="99"/>
              </w:rPr>
              <w:t>Exelon</w:t>
            </w: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06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960" w:type="dxa"/>
            <w:vAlign w:val="bottom"/>
          </w:tcPr>
          <w:p>
            <w:pPr>
              <w:jc w:val="center"/>
              <w:ind w:right="34"/>
              <w:spacing w:after="0" w:line="135" w:lineRule="exact"/>
              <w:rPr>
                <w:sz w:val="20"/>
                <w:szCs w:val="20"/>
                <w:color w:val="auto"/>
              </w:rPr>
            </w:pPr>
            <w:r>
              <w:rPr>
                <w:rFonts w:ascii="Times New Roman" w:cs="Times New Roman" w:eastAsia="Times New Roman" w:hAnsi="Times New Roman"/>
                <w:sz w:val="13"/>
                <w:szCs w:val="13"/>
                <w:b w:val="1"/>
                <w:bCs w:val="1"/>
                <w:color w:val="auto"/>
              </w:rPr>
              <w:t>Earnings per</w:t>
            </w: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406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(in millions, except per share amounts)</w:t>
            </w:r>
          </w:p>
        </w:tc>
        <w:tc>
          <w:tcPr>
            <w:tcW w:w="1540" w:type="dxa"/>
            <w:vAlign w:val="bottom"/>
          </w:tcPr>
          <w:p>
            <w:pPr>
              <w:spacing w:after="0"/>
              <w:rPr>
                <w:sz w:val="11"/>
                <w:szCs w:val="11"/>
                <w:color w:val="auto"/>
              </w:rPr>
            </w:pPr>
          </w:p>
        </w:tc>
        <w:tc>
          <w:tcPr>
            <w:tcW w:w="960" w:type="dxa"/>
            <w:vAlign w:val="bottom"/>
          </w:tcPr>
          <w:p>
            <w:pPr>
              <w:jc w:val="center"/>
              <w:ind w:right="34"/>
              <w:spacing w:after="0" w:line="134" w:lineRule="exact"/>
              <w:rPr>
                <w:sz w:val="20"/>
                <w:szCs w:val="20"/>
                <w:color w:val="auto"/>
              </w:rPr>
            </w:pPr>
            <w:r>
              <w:rPr>
                <w:rFonts w:ascii="Times New Roman" w:cs="Times New Roman" w:eastAsia="Times New Roman" w:hAnsi="Times New Roman"/>
                <w:sz w:val="13"/>
                <w:szCs w:val="13"/>
                <w:b w:val="1"/>
                <w:bCs w:val="1"/>
                <w:color w:val="auto"/>
              </w:rPr>
              <w:t>Diluted</w:t>
            </w:r>
          </w:p>
        </w:tc>
        <w:tc>
          <w:tcPr>
            <w:tcW w:w="200" w:type="dxa"/>
            <w:vAlign w:val="bottom"/>
          </w:tcPr>
          <w:p>
            <w:pPr>
              <w:spacing w:after="0"/>
              <w:rPr>
                <w:sz w:val="11"/>
                <w:szCs w:val="11"/>
                <w:color w:val="auto"/>
              </w:rPr>
            </w:pPr>
          </w:p>
        </w:tc>
        <w:tc>
          <w:tcPr>
            <w:tcW w:w="740" w:type="dxa"/>
            <w:vAlign w:val="bottom"/>
            <w:vMerge w:val="restart"/>
          </w:tcPr>
          <w:p>
            <w:pPr>
              <w:jc w:val="right"/>
              <w:ind w:right="176"/>
              <w:spacing w:after="0"/>
              <w:rPr>
                <w:sz w:val="20"/>
                <w:szCs w:val="20"/>
                <w:color w:val="auto"/>
              </w:rPr>
            </w:pPr>
            <w:r>
              <w:rPr>
                <w:rFonts w:ascii="Times New Roman" w:cs="Times New Roman" w:eastAsia="Times New Roman" w:hAnsi="Times New Roman"/>
                <w:sz w:val="13"/>
                <w:szCs w:val="13"/>
                <w:b w:val="1"/>
                <w:bCs w:val="1"/>
                <w:color w:val="auto"/>
              </w:rPr>
              <w:t>Exelon</w:t>
            </w:r>
          </w:p>
        </w:tc>
        <w:tc>
          <w:tcPr>
            <w:tcW w:w="180" w:type="dxa"/>
            <w:vAlign w:val="bottom"/>
          </w:tcPr>
          <w:p>
            <w:pPr>
              <w:spacing w:after="0"/>
              <w:rPr>
                <w:sz w:val="11"/>
                <w:szCs w:val="11"/>
                <w:color w:val="auto"/>
              </w:rPr>
            </w:pPr>
          </w:p>
        </w:tc>
        <w:tc>
          <w:tcPr>
            <w:tcW w:w="760" w:type="dxa"/>
            <w:vAlign w:val="bottom"/>
            <w:vMerge w:val="restart"/>
          </w:tcPr>
          <w:p>
            <w:pPr>
              <w:jc w:val="right"/>
              <w:ind w:right="174"/>
              <w:spacing w:after="0"/>
              <w:rPr>
                <w:sz w:val="20"/>
                <w:szCs w:val="20"/>
                <w:color w:val="auto"/>
              </w:rPr>
            </w:pPr>
            <w:r>
              <w:rPr>
                <w:rFonts w:ascii="Times New Roman" w:cs="Times New Roman" w:eastAsia="Times New Roman" w:hAnsi="Times New Roman"/>
                <w:sz w:val="13"/>
                <w:szCs w:val="13"/>
                <w:b w:val="1"/>
                <w:bCs w:val="1"/>
                <w:color w:val="auto"/>
              </w:rPr>
              <w:t>ComEd</w:t>
            </w:r>
          </w:p>
        </w:tc>
        <w:tc>
          <w:tcPr>
            <w:tcW w:w="200" w:type="dxa"/>
            <w:vAlign w:val="bottom"/>
          </w:tcPr>
          <w:p>
            <w:pPr>
              <w:spacing w:after="0"/>
              <w:rPr>
                <w:sz w:val="11"/>
                <w:szCs w:val="11"/>
                <w:color w:val="auto"/>
              </w:rPr>
            </w:pPr>
          </w:p>
        </w:tc>
        <w:tc>
          <w:tcPr>
            <w:tcW w:w="740" w:type="dxa"/>
            <w:vAlign w:val="bottom"/>
            <w:vMerge w:val="restart"/>
          </w:tcPr>
          <w:p>
            <w:pPr>
              <w:jc w:val="right"/>
              <w:ind w:right="194"/>
              <w:spacing w:after="0"/>
              <w:rPr>
                <w:sz w:val="20"/>
                <w:szCs w:val="20"/>
                <w:color w:val="auto"/>
              </w:rPr>
            </w:pPr>
            <w:r>
              <w:rPr>
                <w:rFonts w:ascii="Times New Roman" w:cs="Times New Roman" w:eastAsia="Times New Roman" w:hAnsi="Times New Roman"/>
                <w:sz w:val="13"/>
                <w:szCs w:val="13"/>
                <w:b w:val="1"/>
                <w:bCs w:val="1"/>
                <w:color w:val="auto"/>
              </w:rPr>
              <w:t>PECO</w:t>
            </w:r>
          </w:p>
        </w:tc>
        <w:tc>
          <w:tcPr>
            <w:tcW w:w="220" w:type="dxa"/>
            <w:vAlign w:val="bottom"/>
          </w:tcPr>
          <w:p>
            <w:pPr>
              <w:spacing w:after="0"/>
              <w:rPr>
                <w:sz w:val="11"/>
                <w:szCs w:val="11"/>
                <w:color w:val="auto"/>
              </w:rPr>
            </w:pPr>
          </w:p>
        </w:tc>
        <w:tc>
          <w:tcPr>
            <w:tcW w:w="720" w:type="dxa"/>
            <w:vAlign w:val="bottom"/>
            <w:vMerge w:val="restart"/>
          </w:tcPr>
          <w:p>
            <w:pPr>
              <w:jc w:val="right"/>
              <w:ind w:right="254"/>
              <w:spacing w:after="0"/>
              <w:rPr>
                <w:sz w:val="20"/>
                <w:szCs w:val="20"/>
                <w:color w:val="auto"/>
              </w:rPr>
            </w:pPr>
            <w:r>
              <w:rPr>
                <w:rFonts w:ascii="Times New Roman" w:cs="Times New Roman" w:eastAsia="Times New Roman" w:hAnsi="Times New Roman"/>
                <w:sz w:val="13"/>
                <w:szCs w:val="13"/>
                <w:b w:val="1"/>
                <w:bCs w:val="1"/>
                <w:color w:val="auto"/>
              </w:rPr>
              <w:t>BGE</w:t>
            </w:r>
          </w:p>
        </w:tc>
        <w:tc>
          <w:tcPr>
            <w:tcW w:w="240" w:type="dxa"/>
            <w:vAlign w:val="bottom"/>
          </w:tcPr>
          <w:p>
            <w:pPr>
              <w:spacing w:after="0"/>
              <w:rPr>
                <w:sz w:val="11"/>
                <w:szCs w:val="11"/>
                <w:color w:val="auto"/>
              </w:rPr>
            </w:pPr>
          </w:p>
        </w:tc>
        <w:tc>
          <w:tcPr>
            <w:tcW w:w="740" w:type="dxa"/>
            <w:vAlign w:val="bottom"/>
            <w:vMerge w:val="restart"/>
          </w:tcPr>
          <w:p>
            <w:pPr>
              <w:jc w:val="right"/>
              <w:ind w:right="294"/>
              <w:spacing w:after="0"/>
              <w:rPr>
                <w:sz w:val="20"/>
                <w:szCs w:val="20"/>
                <w:color w:val="auto"/>
              </w:rPr>
            </w:pPr>
            <w:r>
              <w:rPr>
                <w:rFonts w:ascii="Times New Roman" w:cs="Times New Roman" w:eastAsia="Times New Roman" w:hAnsi="Times New Roman"/>
                <w:sz w:val="13"/>
                <w:szCs w:val="13"/>
                <w:b w:val="1"/>
                <w:bCs w:val="1"/>
                <w:color w:val="auto"/>
              </w:rPr>
              <w:t>PHI</w:t>
            </w:r>
          </w:p>
        </w:tc>
        <w:tc>
          <w:tcPr>
            <w:tcW w:w="0" w:type="dxa"/>
            <w:vAlign w:val="bottom"/>
          </w:tcPr>
          <w:p>
            <w:pPr>
              <w:spacing w:after="0"/>
              <w:rPr>
                <w:sz w:val="1"/>
                <w:szCs w:val="1"/>
                <w:color w:val="auto"/>
              </w:rPr>
            </w:pPr>
          </w:p>
        </w:tc>
      </w:tr>
      <w:tr>
        <w:trPr>
          <w:trHeight w:val="171"/>
        </w:trPr>
        <w:tc>
          <w:tcPr>
            <w:tcW w:w="4060" w:type="dxa"/>
            <w:vAlign w:val="bottom"/>
            <w:tcBorders>
              <w:bottom w:val="single" w:sz="8" w:color="auto"/>
            </w:tcBorders>
            <w:vMerge w:val="continue"/>
          </w:tcPr>
          <w:p>
            <w:pPr>
              <w:spacing w:after="0"/>
              <w:rPr>
                <w:sz w:val="14"/>
                <w:szCs w:val="14"/>
                <w:color w:val="auto"/>
              </w:rPr>
            </w:pPr>
          </w:p>
        </w:tc>
        <w:tc>
          <w:tcPr>
            <w:tcW w:w="15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34"/>
              <w:spacing w:after="0"/>
              <w:rPr>
                <w:sz w:val="20"/>
                <w:szCs w:val="20"/>
                <w:color w:val="auto"/>
              </w:rPr>
            </w:pPr>
            <w:r>
              <w:rPr>
                <w:rFonts w:ascii="Times New Roman" w:cs="Times New Roman" w:eastAsia="Times New Roman" w:hAnsi="Times New Roman"/>
                <w:sz w:val="13"/>
                <w:szCs w:val="13"/>
                <w:b w:val="1"/>
                <w:bCs w:val="1"/>
                <w:color w:val="auto"/>
              </w:rPr>
              <w:t>Share</w:t>
            </w: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vMerge w:val="continue"/>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2026 GAAP net income</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0.90</w:t>
            </w:r>
          </w:p>
        </w:tc>
        <w:tc>
          <w:tcPr>
            <w:tcW w:w="2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b w:val="1"/>
                <w:bCs w:val="1"/>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919</w:t>
            </w:r>
          </w:p>
        </w:tc>
        <w:tc>
          <w:tcPr>
            <w:tcW w:w="1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b w:val="1"/>
                <w:bCs w:val="1"/>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310</w:t>
            </w:r>
          </w:p>
        </w:tc>
        <w:tc>
          <w:tcPr>
            <w:tcW w:w="2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b w:val="1"/>
                <w:bCs w:val="1"/>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278</w:t>
            </w:r>
          </w:p>
        </w:tc>
        <w:tc>
          <w:tcPr>
            <w:tcW w:w="22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3"/>
                <w:szCs w:val="13"/>
                <w:b w:val="1"/>
                <w:bCs w:val="1"/>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298</w:t>
            </w:r>
          </w:p>
        </w:tc>
        <w:tc>
          <w:tcPr>
            <w:tcW w:w="2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3"/>
                <w:szCs w:val="13"/>
                <w:b w:val="1"/>
                <w:bCs w:val="1"/>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169</w:t>
            </w:r>
          </w:p>
        </w:tc>
        <w:tc>
          <w:tcPr>
            <w:tcW w:w="0" w:type="dxa"/>
            <w:vAlign w:val="bottom"/>
          </w:tcPr>
          <w:p>
            <w:pPr>
              <w:spacing w:after="0"/>
              <w:rPr>
                <w:sz w:val="1"/>
                <w:szCs w:val="1"/>
                <w:color w:val="auto"/>
              </w:rPr>
            </w:pPr>
          </w:p>
        </w:tc>
      </w:tr>
      <w:tr>
        <w:trPr>
          <w:trHeight w:val="171"/>
        </w:trPr>
        <w:tc>
          <w:tcPr>
            <w:tcW w:w="4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Regulatory matters (net of taxes of $4)</w:t>
            </w:r>
          </w:p>
        </w:tc>
        <w:tc>
          <w:tcPr>
            <w:tcW w:w="15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0.01</w:t>
            </w: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11</w:t>
            </w:r>
          </w:p>
        </w:tc>
        <w:tc>
          <w:tcPr>
            <w:tcW w:w="1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0" w:type="dxa"/>
            <w:vAlign w:val="bottom"/>
          </w:tcPr>
          <w:p>
            <w:pPr>
              <w:spacing w:after="0"/>
              <w:rPr>
                <w:sz w:val="1"/>
                <w:szCs w:val="1"/>
                <w:color w:val="auto"/>
              </w:rPr>
            </w:pPr>
          </w:p>
        </w:tc>
      </w:tr>
      <w:tr>
        <w:trPr>
          <w:trHeight w:val="176"/>
        </w:trPr>
        <w:tc>
          <w:tcPr>
            <w:tcW w:w="40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2026 Adjusted (non-GAAP) operating earnings</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0.91</w:t>
            </w:r>
          </w:p>
        </w:tc>
        <w:tc>
          <w:tcPr>
            <w:tcW w:w="20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b w:val="1"/>
                <w:bCs w:val="1"/>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930</w:t>
            </w:r>
          </w:p>
        </w:tc>
        <w:tc>
          <w:tcPr>
            <w:tcW w:w="18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b w:val="1"/>
                <w:bCs w:val="1"/>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310</w:t>
            </w:r>
          </w:p>
        </w:tc>
        <w:tc>
          <w:tcPr>
            <w:tcW w:w="20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b w:val="1"/>
                <w:bCs w:val="1"/>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278</w:t>
            </w:r>
          </w:p>
        </w:tc>
        <w:tc>
          <w:tcPr>
            <w:tcW w:w="22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3"/>
                <w:szCs w:val="13"/>
                <w:b w:val="1"/>
                <w:bCs w:val="1"/>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298</w:t>
            </w:r>
          </w:p>
        </w:tc>
        <w:tc>
          <w:tcPr>
            <w:tcW w:w="24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3"/>
                <w:szCs w:val="13"/>
                <w:b w:val="1"/>
                <w:bCs w:val="1"/>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180</w:t>
            </w:r>
          </w:p>
        </w:tc>
        <w:tc>
          <w:tcPr>
            <w:tcW w:w="0" w:type="dxa"/>
            <w:vAlign w:val="bottom"/>
          </w:tcPr>
          <w:p>
            <w:pPr>
              <w:spacing w:after="0"/>
              <w:rPr>
                <w:sz w:val="1"/>
                <w:szCs w:val="1"/>
                <w:color w:val="auto"/>
              </w:rPr>
            </w:pPr>
          </w:p>
        </w:tc>
      </w:tr>
    </w:tbl>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Adjusted (non-GAAP) operating earnings for the first quarter of 2025 do not include the following items (after tax) that were included in reported GAAP net income:</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1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940" w:type="dxa"/>
            <w:vAlign w:val="bottom"/>
          </w:tcPr>
          <w:p>
            <w:pPr>
              <w:jc w:val="center"/>
              <w:ind w:right="54"/>
              <w:spacing w:after="0"/>
              <w:rPr>
                <w:sz w:val="20"/>
                <w:szCs w:val="20"/>
                <w:color w:val="auto"/>
              </w:rPr>
            </w:pPr>
            <w:r>
              <w:rPr>
                <w:rFonts w:ascii="Times New Roman" w:cs="Times New Roman" w:eastAsia="Times New Roman" w:hAnsi="Times New Roman"/>
                <w:sz w:val="13"/>
                <w:szCs w:val="13"/>
                <w:b w:val="1"/>
                <w:bCs w:val="1"/>
                <w:color w:val="auto"/>
                <w:w w:val="99"/>
              </w:rPr>
              <w:t>Exelon</w:t>
            </w: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1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940" w:type="dxa"/>
            <w:vAlign w:val="bottom"/>
          </w:tcPr>
          <w:p>
            <w:pPr>
              <w:jc w:val="center"/>
              <w:ind w:right="54"/>
              <w:spacing w:after="0" w:line="135" w:lineRule="exact"/>
              <w:rPr>
                <w:sz w:val="20"/>
                <w:szCs w:val="20"/>
                <w:color w:val="auto"/>
              </w:rPr>
            </w:pPr>
            <w:r>
              <w:rPr>
                <w:rFonts w:ascii="Times New Roman" w:cs="Times New Roman" w:eastAsia="Times New Roman" w:hAnsi="Times New Roman"/>
                <w:sz w:val="13"/>
                <w:szCs w:val="13"/>
                <w:b w:val="1"/>
                <w:bCs w:val="1"/>
                <w:color w:val="auto"/>
              </w:rPr>
              <w:t>Earnings per</w:t>
            </w: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412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(in millions, except per share amounts)</w:t>
            </w:r>
          </w:p>
        </w:tc>
        <w:tc>
          <w:tcPr>
            <w:tcW w:w="1500" w:type="dxa"/>
            <w:vAlign w:val="bottom"/>
          </w:tcPr>
          <w:p>
            <w:pPr>
              <w:spacing w:after="0"/>
              <w:rPr>
                <w:sz w:val="11"/>
                <w:szCs w:val="11"/>
                <w:color w:val="auto"/>
              </w:rPr>
            </w:pPr>
          </w:p>
        </w:tc>
        <w:tc>
          <w:tcPr>
            <w:tcW w:w="940" w:type="dxa"/>
            <w:vAlign w:val="bottom"/>
          </w:tcPr>
          <w:p>
            <w:pPr>
              <w:jc w:val="center"/>
              <w:ind w:right="54"/>
              <w:spacing w:after="0" w:line="134" w:lineRule="exact"/>
              <w:rPr>
                <w:sz w:val="20"/>
                <w:szCs w:val="20"/>
                <w:color w:val="auto"/>
              </w:rPr>
            </w:pPr>
            <w:r>
              <w:rPr>
                <w:rFonts w:ascii="Times New Roman" w:cs="Times New Roman" w:eastAsia="Times New Roman" w:hAnsi="Times New Roman"/>
                <w:sz w:val="13"/>
                <w:szCs w:val="13"/>
                <w:b w:val="1"/>
                <w:bCs w:val="1"/>
                <w:color w:val="auto"/>
              </w:rPr>
              <w:t>Diluted</w:t>
            </w:r>
          </w:p>
        </w:tc>
        <w:tc>
          <w:tcPr>
            <w:tcW w:w="200" w:type="dxa"/>
            <w:vAlign w:val="bottom"/>
          </w:tcPr>
          <w:p>
            <w:pPr>
              <w:spacing w:after="0"/>
              <w:rPr>
                <w:sz w:val="11"/>
                <w:szCs w:val="11"/>
                <w:color w:val="auto"/>
              </w:rPr>
            </w:pPr>
          </w:p>
        </w:tc>
        <w:tc>
          <w:tcPr>
            <w:tcW w:w="760" w:type="dxa"/>
            <w:vAlign w:val="bottom"/>
            <w:vMerge w:val="restart"/>
          </w:tcPr>
          <w:p>
            <w:pPr>
              <w:jc w:val="right"/>
              <w:ind w:right="194"/>
              <w:spacing w:after="0"/>
              <w:rPr>
                <w:sz w:val="20"/>
                <w:szCs w:val="20"/>
                <w:color w:val="auto"/>
              </w:rPr>
            </w:pPr>
            <w:r>
              <w:rPr>
                <w:rFonts w:ascii="Times New Roman" w:cs="Times New Roman" w:eastAsia="Times New Roman" w:hAnsi="Times New Roman"/>
                <w:sz w:val="13"/>
                <w:szCs w:val="13"/>
                <w:b w:val="1"/>
                <w:bCs w:val="1"/>
                <w:color w:val="auto"/>
              </w:rPr>
              <w:t>Exelon</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ComEd</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vMerge w:val="restart"/>
          </w:tcPr>
          <w:p>
            <w:pPr>
              <w:jc w:val="right"/>
              <w:ind w:right="194"/>
              <w:spacing w:after="0"/>
              <w:rPr>
                <w:sz w:val="20"/>
                <w:szCs w:val="20"/>
                <w:color w:val="auto"/>
              </w:rPr>
            </w:pPr>
            <w:r>
              <w:rPr>
                <w:rFonts w:ascii="Times New Roman" w:cs="Times New Roman" w:eastAsia="Times New Roman" w:hAnsi="Times New Roman"/>
                <w:sz w:val="13"/>
                <w:szCs w:val="13"/>
                <w:b w:val="1"/>
                <w:bCs w:val="1"/>
                <w:color w:val="auto"/>
              </w:rPr>
              <w:t>PECO</w:t>
            </w:r>
          </w:p>
        </w:tc>
        <w:tc>
          <w:tcPr>
            <w:tcW w:w="220" w:type="dxa"/>
            <w:vAlign w:val="bottom"/>
          </w:tcPr>
          <w:p>
            <w:pPr>
              <w:spacing w:after="0"/>
              <w:rPr>
                <w:sz w:val="11"/>
                <w:szCs w:val="11"/>
                <w:color w:val="auto"/>
              </w:rPr>
            </w:pPr>
          </w:p>
        </w:tc>
        <w:tc>
          <w:tcPr>
            <w:tcW w:w="720" w:type="dxa"/>
            <w:vAlign w:val="bottom"/>
            <w:vMerge w:val="restart"/>
          </w:tcPr>
          <w:p>
            <w:pPr>
              <w:jc w:val="right"/>
              <w:ind w:right="254"/>
              <w:spacing w:after="0"/>
              <w:rPr>
                <w:sz w:val="20"/>
                <w:szCs w:val="20"/>
                <w:color w:val="auto"/>
              </w:rPr>
            </w:pPr>
            <w:r>
              <w:rPr>
                <w:rFonts w:ascii="Times New Roman" w:cs="Times New Roman" w:eastAsia="Times New Roman" w:hAnsi="Times New Roman"/>
                <w:sz w:val="13"/>
                <w:szCs w:val="13"/>
                <w:b w:val="1"/>
                <w:bCs w:val="1"/>
                <w:color w:val="auto"/>
              </w:rPr>
              <w:t>BGE</w:t>
            </w:r>
          </w:p>
        </w:tc>
        <w:tc>
          <w:tcPr>
            <w:tcW w:w="240" w:type="dxa"/>
            <w:vAlign w:val="bottom"/>
          </w:tcPr>
          <w:p>
            <w:pPr>
              <w:spacing w:after="0"/>
              <w:rPr>
                <w:sz w:val="11"/>
                <w:szCs w:val="11"/>
                <w:color w:val="auto"/>
              </w:rPr>
            </w:pPr>
          </w:p>
        </w:tc>
        <w:tc>
          <w:tcPr>
            <w:tcW w:w="740" w:type="dxa"/>
            <w:vAlign w:val="bottom"/>
            <w:vMerge w:val="restart"/>
          </w:tcPr>
          <w:p>
            <w:pPr>
              <w:jc w:val="right"/>
              <w:ind w:right="294"/>
              <w:spacing w:after="0"/>
              <w:rPr>
                <w:sz w:val="20"/>
                <w:szCs w:val="20"/>
                <w:color w:val="auto"/>
              </w:rPr>
            </w:pPr>
            <w:r>
              <w:rPr>
                <w:rFonts w:ascii="Times New Roman" w:cs="Times New Roman" w:eastAsia="Times New Roman" w:hAnsi="Times New Roman"/>
                <w:sz w:val="13"/>
                <w:szCs w:val="13"/>
                <w:b w:val="1"/>
                <w:bCs w:val="1"/>
                <w:color w:val="auto"/>
              </w:rPr>
              <w:t>PHI</w:t>
            </w:r>
          </w:p>
        </w:tc>
        <w:tc>
          <w:tcPr>
            <w:tcW w:w="0" w:type="dxa"/>
            <w:vAlign w:val="bottom"/>
          </w:tcPr>
          <w:p>
            <w:pPr>
              <w:spacing w:after="0"/>
              <w:rPr>
                <w:sz w:val="1"/>
                <w:szCs w:val="1"/>
                <w:color w:val="auto"/>
              </w:rPr>
            </w:pPr>
          </w:p>
        </w:tc>
      </w:tr>
      <w:tr>
        <w:trPr>
          <w:trHeight w:val="171"/>
        </w:trPr>
        <w:tc>
          <w:tcPr>
            <w:tcW w:w="4120" w:type="dxa"/>
            <w:vAlign w:val="bottom"/>
            <w:tcBorders>
              <w:bottom w:val="single" w:sz="8" w:color="auto"/>
            </w:tcBorders>
            <w:vMerge w:val="continue"/>
          </w:tcPr>
          <w:p>
            <w:pPr>
              <w:spacing w:after="0"/>
              <w:rPr>
                <w:sz w:val="14"/>
                <w:szCs w:val="14"/>
                <w:color w:val="auto"/>
              </w:rPr>
            </w:pPr>
          </w:p>
        </w:tc>
        <w:tc>
          <w:tcPr>
            <w:tcW w:w="15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34"/>
              <w:spacing w:after="0"/>
              <w:rPr>
                <w:sz w:val="20"/>
                <w:szCs w:val="20"/>
                <w:color w:val="auto"/>
              </w:rPr>
            </w:pPr>
            <w:r>
              <w:rPr>
                <w:rFonts w:ascii="Times New Roman" w:cs="Times New Roman" w:eastAsia="Times New Roman" w:hAnsi="Times New Roman"/>
                <w:sz w:val="13"/>
                <w:szCs w:val="13"/>
                <w:b w:val="1"/>
                <w:bCs w:val="1"/>
                <w:color w:val="auto"/>
                <w:w w:val="98"/>
              </w:rPr>
              <w:t>Share</w:t>
            </w: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vMerge w:val="continue"/>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2025 GAAP net income</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0.90</w:t>
            </w:r>
          </w:p>
        </w:tc>
        <w:tc>
          <w:tcPr>
            <w:tcW w:w="2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b w:val="1"/>
                <w:bCs w:val="1"/>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908</w:t>
            </w:r>
          </w:p>
        </w:tc>
        <w:tc>
          <w:tcPr>
            <w:tcW w:w="700" w:type="dxa"/>
            <w:vAlign w:val="bottom"/>
            <w:shd w:val="clear" w:color="auto" w:fill="CCEEFF"/>
          </w:tcPr>
          <w:p>
            <w:pPr>
              <w:jc w:val="right"/>
              <w:ind w:right="554"/>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2"/>
              </w:rPr>
              <w:t>302</w:t>
            </w:r>
          </w:p>
        </w:tc>
        <w:tc>
          <w:tcPr>
            <w:tcW w:w="2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b w:val="1"/>
                <w:bCs w:val="1"/>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266</w:t>
            </w:r>
          </w:p>
        </w:tc>
        <w:tc>
          <w:tcPr>
            <w:tcW w:w="22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3"/>
                <w:szCs w:val="13"/>
                <w:b w:val="1"/>
                <w:bCs w:val="1"/>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260</w:t>
            </w:r>
          </w:p>
        </w:tc>
        <w:tc>
          <w:tcPr>
            <w:tcW w:w="2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3"/>
                <w:szCs w:val="13"/>
                <w:b w:val="1"/>
                <w:bCs w:val="1"/>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194</w:t>
            </w:r>
          </w:p>
        </w:tc>
        <w:tc>
          <w:tcPr>
            <w:tcW w:w="0" w:type="dxa"/>
            <w:vAlign w:val="bottom"/>
          </w:tcPr>
          <w:p>
            <w:pPr>
              <w:spacing w:after="0"/>
              <w:rPr>
                <w:sz w:val="1"/>
                <w:szCs w:val="1"/>
                <w:color w:val="auto"/>
              </w:rPr>
            </w:pPr>
          </w:p>
        </w:tc>
      </w:tr>
      <w:tr>
        <w:trPr>
          <w:trHeight w:val="196"/>
        </w:trPr>
        <w:tc>
          <w:tcPr>
            <w:tcW w:w="4120" w:type="dxa"/>
            <w:vAlign w:val="bottom"/>
          </w:tcPr>
          <w:p>
            <w:pPr>
              <w:spacing w:after="0"/>
              <w:rPr>
                <w:sz w:val="20"/>
                <w:szCs w:val="20"/>
                <w:color w:val="auto"/>
              </w:rPr>
            </w:pPr>
            <w:r>
              <w:rPr>
                <w:rFonts w:ascii="Times New Roman" w:cs="Times New Roman" w:eastAsia="Times New Roman" w:hAnsi="Times New Roman"/>
                <w:sz w:val="13"/>
                <w:szCs w:val="13"/>
                <w:color w:val="auto"/>
              </w:rPr>
              <w:t>Change in FERC Audit Liability (net of taxes of $1)</w:t>
            </w:r>
          </w:p>
        </w:tc>
        <w:tc>
          <w:tcPr>
            <w:tcW w:w="15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700" w:type="dxa"/>
            <w:vAlign w:val="bottom"/>
          </w:tcPr>
          <w:p>
            <w:pPr>
              <w:spacing w:after="0"/>
              <w:rPr>
                <w:sz w:val="17"/>
                <w:szCs w:val="17"/>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3"/>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Cost management charge (net of taxes of $0)</w:t>
            </w:r>
          </w:p>
        </w:tc>
        <w:tc>
          <w:tcPr>
            <w:tcW w:w="15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700" w:type="dxa"/>
            <w:vAlign w:val="bottom"/>
            <w:shd w:val="clear" w:color="auto" w:fill="CCEEFF"/>
          </w:tcPr>
          <w:p>
            <w:pPr>
              <w:spacing w:after="0"/>
              <w:rPr>
                <w:sz w:val="15"/>
                <w:szCs w:val="15"/>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1"/>
        </w:trPr>
        <w:tc>
          <w:tcPr>
            <w:tcW w:w="4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Regulatory matters (net of taxes of $7)</w:t>
            </w:r>
          </w:p>
        </w:tc>
        <w:tc>
          <w:tcPr>
            <w:tcW w:w="15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0.02</w:t>
            </w: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w:t>
            </w:r>
          </w:p>
        </w:tc>
        <w:tc>
          <w:tcPr>
            <w:tcW w:w="7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w:t>
            </w: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6"/>
        </w:trPr>
        <w:tc>
          <w:tcPr>
            <w:tcW w:w="4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2025 Adjusted (non-GAAP) operating earnings</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0.92</w:t>
            </w:r>
          </w:p>
        </w:tc>
        <w:tc>
          <w:tcPr>
            <w:tcW w:w="20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b w:val="1"/>
                <w:bCs w:val="1"/>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932</w:t>
            </w:r>
          </w:p>
        </w:tc>
        <w:tc>
          <w:tcPr>
            <w:tcW w:w="700" w:type="dxa"/>
            <w:vAlign w:val="bottom"/>
            <w:tcBorders>
              <w:bottom w:val="single" w:sz="8" w:color="auto"/>
            </w:tcBorders>
            <w:shd w:val="clear" w:color="auto" w:fill="CCEEFF"/>
          </w:tcPr>
          <w:p>
            <w:pPr>
              <w:jc w:val="right"/>
              <w:ind w:right="554"/>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2"/>
              </w:rPr>
              <w:t>325</w:t>
            </w:r>
          </w:p>
        </w:tc>
        <w:tc>
          <w:tcPr>
            <w:tcW w:w="20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b w:val="1"/>
                <w:bCs w:val="1"/>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265</w:t>
            </w:r>
          </w:p>
        </w:tc>
        <w:tc>
          <w:tcPr>
            <w:tcW w:w="22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3"/>
                <w:szCs w:val="13"/>
                <w:b w:val="1"/>
                <w:bCs w:val="1"/>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260</w:t>
            </w:r>
          </w:p>
        </w:tc>
        <w:tc>
          <w:tcPr>
            <w:tcW w:w="24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3"/>
                <w:szCs w:val="13"/>
                <w:b w:val="1"/>
                <w:bCs w:val="1"/>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194</w:t>
            </w:r>
          </w:p>
        </w:tc>
        <w:tc>
          <w:tcPr>
            <w:tcW w:w="0" w:type="dxa"/>
            <w:vAlign w:val="bottom"/>
          </w:tcPr>
          <w:p>
            <w:pPr>
              <w:spacing w:after="0"/>
              <w:rPr>
                <w:sz w:val="1"/>
                <w:szCs w:val="1"/>
                <w:color w:val="auto"/>
              </w:rPr>
            </w:pPr>
          </w:p>
        </w:tc>
      </w:tr>
    </w:tbl>
    <w:p>
      <w:pPr>
        <w:spacing w:after="0" w:line="50" w:lineRule="exact"/>
        <w:rPr>
          <w:sz w:val="20"/>
          <w:szCs w:val="20"/>
          <w:color w:val="auto"/>
        </w:rPr>
      </w:pPr>
    </w:p>
    <w:p>
      <w:pPr>
        <w:spacing w:after="0"/>
        <w:rPr>
          <w:sz w:val="20"/>
          <w:szCs w:val="20"/>
          <w:color w:val="auto"/>
        </w:rPr>
      </w:pPr>
      <w:r>
        <w:rPr>
          <w:rFonts w:ascii="Arial" w:cs="Arial" w:eastAsia="Arial" w:hAnsi="Arial"/>
          <w:sz w:val="12"/>
          <w:szCs w:val="12"/>
          <w:color w:val="auto"/>
        </w:rPr>
        <w:t>__________</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Note:</w:t>
      </w:r>
    </w:p>
    <w:p>
      <w:pPr>
        <w:spacing w:after="0" w:line="232" w:lineRule="auto"/>
        <w:rPr>
          <w:sz w:val="20"/>
          <w:szCs w:val="20"/>
          <w:color w:val="auto"/>
        </w:rPr>
      </w:pPr>
      <w:r>
        <w:rPr>
          <w:rFonts w:ascii="Times New Roman" w:cs="Times New Roman" w:eastAsia="Times New Roman" w:hAnsi="Times New Roman"/>
          <w:sz w:val="10"/>
          <w:szCs w:val="10"/>
          <w:color w:val="auto"/>
        </w:rPr>
        <w:t>Amounts may not sum due to rounding.</w:t>
      </w:r>
    </w:p>
    <w:p>
      <w:pPr>
        <w:jc w:val="both"/>
        <w:ind w:right="20"/>
        <w:spacing w:after="0" w:line="241" w:lineRule="auto"/>
        <w:rPr>
          <w:sz w:val="20"/>
          <w:szCs w:val="20"/>
          <w:color w:val="auto"/>
        </w:rPr>
      </w:pPr>
      <w:r>
        <w:rPr>
          <w:rFonts w:ascii="Times New Roman" w:cs="Times New Roman" w:eastAsia="Times New Roman" w:hAnsi="Times New Roman"/>
          <w:sz w:val="10"/>
          <w:szCs w:val="10"/>
          <w:color w:val="auto"/>
        </w:rPr>
        <w:t>Unless otherwise noted, the income tax impact of each reconciling item between GAAP net income and Adjusted (non-GAAP) operating earnings is based on the marginal statutory federal and state income tax rates for each Registrant, taking into account whether the income or expense item is taxable or deductible, respectively, in whole or in part. For all items, the marginal statutory income tax rates for 2026 and 2025 ranged from 24.0% to 29.0%.</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Webcast Information</w:t>
      </w:r>
    </w:p>
    <w:p>
      <w:pPr>
        <w:spacing w:after="0" w:line="120" w:lineRule="exact"/>
        <w:rPr>
          <w:sz w:val="20"/>
          <w:szCs w:val="20"/>
          <w:color w:val="auto"/>
        </w:rPr>
      </w:pPr>
    </w:p>
    <w:p>
      <w:pPr>
        <w:jc w:val="both"/>
        <w:ind w:right="20"/>
        <w:spacing w:after="0" w:line="295" w:lineRule="auto"/>
        <w:rPr>
          <w:sz w:val="20"/>
          <w:szCs w:val="20"/>
          <w:color w:val="auto"/>
        </w:rPr>
      </w:pPr>
      <w:r>
        <w:rPr>
          <w:rFonts w:ascii="Times New Roman" w:cs="Times New Roman" w:eastAsia="Times New Roman" w:hAnsi="Times New Roman"/>
          <w:sz w:val="14"/>
          <w:szCs w:val="14"/>
          <w:color w:val="auto"/>
        </w:rPr>
        <w:t>Exelon will discuss first quarter 2026 earnings in a conference call scheduled for today at 9 a.m. Central Time (10 a.m. Eastern Time). The webcast and associated materials can be accessed at https://investors.exeloncorp.com/.</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About Exelon</w:t>
      </w:r>
    </w:p>
    <w:p>
      <w:pPr>
        <w:spacing w:after="0" w:line="12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4"/>
          <w:szCs w:val="14"/>
          <w:color w:val="auto"/>
        </w:rPr>
        <w:t>Exelon (Nasdaq: EXC) is a Fortune 200 company and one of the nation’s largest utility companies, serving almost 11 million customers through six fully regulated transmission and distribution utilities — Atlantic City Electric (ACE), Baltimore Gas and Electric (BGE), Commonwealth Edison (ComEd), Delmarva Power &amp; Light (DPL), PECO Energy Company (PECO), and Potomac Electric Power Company (Pepco). Exelon's more than 20,000 employees dedicate their time and expertise to supporting our communities through reliable, affordable and efficient energy delivery, workforce development, equity, economic development and volunteerism. Follow @Exelon on X and LinkedIn.</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Non-GAAP Financial Measures</w:t>
      </w:r>
    </w:p>
    <w:p>
      <w:pPr>
        <w:spacing w:after="0" w:line="120" w:lineRule="exact"/>
        <w:rPr>
          <w:sz w:val="20"/>
          <w:szCs w:val="20"/>
          <w:color w:val="auto"/>
        </w:rPr>
      </w:pPr>
    </w:p>
    <w:p>
      <w:pPr>
        <w:jc w:val="both"/>
        <w:ind w:right="20"/>
        <w:spacing w:after="0" w:line="295" w:lineRule="auto"/>
        <w:rPr>
          <w:sz w:val="20"/>
          <w:szCs w:val="20"/>
          <w:color w:val="auto"/>
        </w:rPr>
      </w:pPr>
      <w:r>
        <w:rPr>
          <w:rFonts w:ascii="Times New Roman" w:cs="Times New Roman" w:eastAsia="Times New Roman" w:hAnsi="Times New Roman"/>
          <w:sz w:val="14"/>
          <w:szCs w:val="14"/>
          <w:color w:val="auto"/>
        </w:rPr>
        <w:t>In addition to net income as determined under generally accepted accounting principles in the United States (GAAP), Exelon evaluates its operating performance using the measure of Adjusted (non-GAAP) operating earnings because management believes it represents earnings directly related to the ongoing</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w:t>
      </w:r>
    </w:p>
    <w:p>
      <w:pPr>
        <w:sectPr>
          <w:pgSz w:w="11900" w:h="16838" w:orient="portrait"/>
          <w:cols w:equalWidth="0" w:num="1">
            <w:col w:w="11300"/>
          </w:cols>
          <w:pgMar w:left="300" w:top="776" w:right="299" w:bottom="1440" w:gutter="0" w:footer="0" w:header="0"/>
        </w:sectPr>
      </w:pPr>
    </w:p>
    <w:bookmarkStart w:id="11" w:name="page12"/>
    <w:bookmarkEnd w:id="11"/>
    <w:p>
      <w:pPr>
        <w:jc w:val="both"/>
        <w:spacing w:after="0" w:line="263" w:lineRule="auto"/>
        <w:rPr>
          <w:sz w:val="20"/>
          <w:szCs w:val="20"/>
          <w:color w:val="auto"/>
        </w:rPr>
      </w:pPr>
      <w:r>
        <w:rPr>
          <w:rFonts w:ascii="Times New Roman" w:cs="Times New Roman" w:eastAsia="Times New Roman" w:hAnsi="Times New Roman"/>
          <w:sz w:val="14"/>
          <w:szCs w:val="14"/>
          <w:color w:val="auto"/>
        </w:rPr>
        <w:t xml:space="preserve">operations of the business. Adjusted (non-GAAP) operating earnings exclude certain costs, expenses, gains and losses, and other specified items. This measure is intended to enhance an investor’s overall understanding of period over period operating results and provide an indication of Exelon’s baseline operating performance excluding items that are considered by management to be not directly related to the ongoing operations of the business. In addition, this measure is among the primary indicators management uses as a basis for evaluating performance, allocating resources, setting incentive compensation targets, and planning and forecasting of future periods. Adjusted (non-GAAP) operating earnings is not a presentation defined under GAAP and may not be comparable to other companies’ presentation. Exelon has provided the non-GAAP financial measure as supplemental information and in addition to the financial measures that are calculated and presented in accordance with GAAP. Adjusted (non-GAAP) operating earnings should not be deemed more useful than, a substitute for, or an alternative to the most comparable GAAP net income measures provided in this earnings release and attachments. This press release and earnings release attachments provide reconciliations of Adjusted (non-GAAP) operating earnings to the most directly comparable financial measures calculated and presented in accordance with GAAP, are posted on Exelon’s website: </w:t>
      </w:r>
      <w:r>
        <w:rPr>
          <w:rFonts w:ascii="Times New Roman" w:cs="Times New Roman" w:eastAsia="Times New Roman" w:hAnsi="Times New Roman"/>
          <w:sz w:val="14"/>
          <w:szCs w:val="14"/>
          <w:u w:val="single" w:color="auto"/>
          <w:color w:val="auto"/>
        </w:rPr>
        <w:t>https://investors.exeloncorp.com</w:t>
      </w:r>
      <w:r>
        <w:rPr>
          <w:rFonts w:ascii="Times New Roman" w:cs="Times New Roman" w:eastAsia="Times New Roman" w:hAnsi="Times New Roman"/>
          <w:sz w:val="14"/>
          <w:szCs w:val="14"/>
          <w:color w:val="auto"/>
        </w:rPr>
        <w:t>, and have been furnished to the Securities and Exchange Commission on Form 8-K on May 6, 2026.</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Cautionary Statements Regarding Forward-Looking Information</w:t>
      </w:r>
    </w:p>
    <w:p>
      <w:pPr>
        <w:spacing w:after="0" w:line="12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4"/>
          <w:szCs w:val="14"/>
          <w:color w:val="auto"/>
        </w:rPr>
        <w:t>This press release contains certain forward-looking statements within the meaning of federal securities laws that are subject to risks and uncertainties. Words such as “could,” “may,” “expects,” “anticipates,” “will,” “targets,” “goals,” “projects,” “intends,” “plans,” “believes,” “seeks,” “estimates,” “predicts,” “should,” and variations on such words, and similar expressions that reflect our current views with respect to future events and operational, economic, and financial performance, are intended to identify such forward-looking statements. Accordingly, any such statements are qualified in their entirety by reference to, and are accompanied by, the following important factors that may cause our actual results or outcomes to differ materially from those contained in our forward-looking statements, including, but not limited to: unfavorable legislative and/or regulatory actions; uncertainty as to outcomes and timing of regulatory approval proceedings and/or negotiated settlements thereof; environmental liabilities and remediation costs; state and federal legislation requiring use of low-emission, renewable, and/or alternate fuel sources and/or mandating implementation of energy conservation programs requiring implementation of new technologies; challenges to tax positions taken, tax law changes, and difficulty in quantifying potential tax effects of business decisions; negative outcomes in legal proceedings; physical security and cybersecurity risks; extreme weather events, natural disasters, operational accidents such as wildfires or natural gas explosions, war, acts and threats of terrorism, public health crises, epidemics, pandemics, or other significant events; disruptions or cost increases in the supply chain, including shortages in labor, materials or parts, or significant increases in relevant tariffs; lack of sufficient power generation resources to meet actual or forecasted demand or disruptions at generation facilities owned by third parties; emerging technologies that could affect or transform the energy industry; instability in capital and credit markets; a downgrade of any Registrant’s credit ratings or other failure to satisfy the credit standards in the Registrants’ agreements or regulatory financial requirements; significant economic downturns or increases in customer rates; impacts of climate change and weather on energy usage and maintenance and capital costs; and impairment of long-lived assets, goodwill, and other assets.</w:t>
      </w:r>
    </w:p>
    <w:p>
      <w:pPr>
        <w:spacing w:after="0" w:line="8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New factors emerge from time to time, and it is impossible for us to predict all of such factors, nor can we assess the impact of each such factor on the business or the extent to which any factor, or combination of factors, may cause actual results to differ materially from those contained in any forward-looking statements. For more information, see those factors discussed with respect to Exelon, ComEd, PECO, BGE, Pepco Holdings LLC (PHI), Pepco, DPL, and ACE (Registrants) in the Registrants' most recent</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w:t>
      </w:r>
    </w:p>
    <w:p>
      <w:pPr>
        <w:sectPr>
          <w:pgSz w:w="11900" w:h="16838" w:orient="portrait"/>
          <w:cols w:equalWidth="0" w:num="1">
            <w:col w:w="11300"/>
          </w:cols>
          <w:pgMar w:left="300" w:top="778" w:right="29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color w:val="auto"/>
        </w:rPr>
        <w:t>Annual Report on Form 10-K, including in Part I, ITEM 1A, any subsequent Quarterly Reports on Form 10-Q, and in other reports filed by the Registrants from time to time with the SEC.</w:t>
      </w:r>
    </w:p>
    <w:p>
      <w:pPr>
        <w:spacing w:after="0" w:line="118" w:lineRule="exact"/>
        <w:rPr>
          <w:sz w:val="20"/>
          <w:szCs w:val="20"/>
          <w:color w:val="auto"/>
        </w:rPr>
      </w:pPr>
    </w:p>
    <w:p>
      <w:pPr>
        <w:jc w:val="both"/>
        <w:ind w:right="20"/>
        <w:spacing w:after="0" w:line="295" w:lineRule="auto"/>
        <w:rPr>
          <w:sz w:val="20"/>
          <w:szCs w:val="20"/>
          <w:color w:val="auto"/>
        </w:rPr>
      </w:pPr>
      <w:r>
        <w:rPr>
          <w:rFonts w:ascii="Times New Roman" w:cs="Times New Roman" w:eastAsia="Times New Roman" w:hAnsi="Times New Roman"/>
          <w:sz w:val="14"/>
          <w:szCs w:val="14"/>
          <w:color w:val="auto"/>
        </w:rPr>
        <w:t>Investors are cautioned not to place undue reliance on these forward-looking statements, whether written or oral, which apply only as of the date of this press release. None of the Registrants undertakes any obligation to publicly release any revision to its forward-looking statements to reflect events or circumstances after the date of this press release.</w:t>
      </w:r>
    </w:p>
    <w:p>
      <w:pPr>
        <w:spacing w:after="0" w:line="6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4"/>
          <w:szCs w:val="14"/>
          <w:color w:val="auto"/>
        </w:rPr>
        <w:t>Exelon uses its corporate website, www.exeloncorp.com, investor relations website, investors.exeloncorp.com, and social media channels to communicate with Exelon's investors and the public about the Registrants and other matters. Exelon's posts through these channels may be deemed material. Accordingly, Exelon encourages investors and others interested in the Registrants to routinely monitor these channels, in addition to following the Registrants' press releases, Securities and Exchange Commission filings and public conference calls and webcasts. The contents of Exelon's websites and social media channels are not, however, incorporated by reference into this press release.</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w:t>
      </w:r>
    </w:p>
    <w:p>
      <w:pPr>
        <w:sectPr>
          <w:pgSz w:w="11900" w:h="16838" w:orient="portrait"/>
          <w:cols w:equalWidth="0" w:num="1">
            <w:col w:w="11300"/>
          </w:cols>
          <w:pgMar w:left="300" w:top="778" w:right="29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138"/>
        </w:trPr>
        <w:tc>
          <w:tcPr>
            <w:tcW w:w="8780" w:type="dxa"/>
            <w:vAlign w:val="bottom"/>
            <w:gridSpan w:val="12"/>
          </w:tcPr>
          <w:p>
            <w:pPr>
              <w:spacing w:after="0"/>
              <w:rPr>
                <w:sz w:val="20"/>
                <w:szCs w:val="20"/>
                <w:color w:val="auto"/>
              </w:rPr>
            </w:pPr>
            <w:r>
              <w:rPr>
                <w:rFonts w:ascii="Times New Roman" w:cs="Times New Roman" w:eastAsia="Times New Roman" w:hAnsi="Times New Roman"/>
                <w:sz w:val="12"/>
                <w:szCs w:val="12"/>
                <w:color w:val="0000FF"/>
              </w:rPr>
              <w:t>Table of Contents</w:t>
            </w:r>
          </w:p>
        </w:tc>
        <w:tc>
          <w:tcPr>
            <w:tcW w:w="23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667"/>
        </w:trPr>
        <w:tc>
          <w:tcPr>
            <w:tcW w:w="2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40" w:type="dxa"/>
            <w:vAlign w:val="bottom"/>
            <w:gridSpan w:val="2"/>
          </w:tcPr>
          <w:p>
            <w:pPr>
              <w:jc w:val="center"/>
              <w:ind w:left="500"/>
              <w:spacing w:after="0"/>
              <w:rPr>
                <w:sz w:val="20"/>
                <w:szCs w:val="20"/>
                <w:color w:val="auto"/>
              </w:rPr>
            </w:pPr>
            <w:r>
              <w:rPr>
                <w:rFonts w:ascii="Times New Roman" w:cs="Times New Roman" w:eastAsia="Times New Roman" w:hAnsi="Times New Roman"/>
                <w:sz w:val="12"/>
                <w:szCs w:val="12"/>
                <w:b w:val="1"/>
                <w:bCs w:val="1"/>
                <w:color w:val="auto"/>
                <w:w w:val="99"/>
              </w:rPr>
              <w:t>Earnings Release Attachments</w:t>
            </w:r>
          </w:p>
        </w:tc>
        <w:tc>
          <w:tcPr>
            <w:tcW w:w="23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59"/>
        </w:trPr>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40" w:type="dxa"/>
            <w:vAlign w:val="bottom"/>
            <w:gridSpan w:val="2"/>
          </w:tcPr>
          <w:p>
            <w:pPr>
              <w:jc w:val="center"/>
              <w:ind w:left="520"/>
              <w:spacing w:after="0"/>
              <w:rPr>
                <w:sz w:val="20"/>
                <w:szCs w:val="20"/>
                <w:color w:val="auto"/>
              </w:rPr>
            </w:pPr>
            <w:r>
              <w:rPr>
                <w:rFonts w:ascii="Times New Roman" w:cs="Times New Roman" w:eastAsia="Times New Roman" w:hAnsi="Times New Roman"/>
                <w:sz w:val="12"/>
                <w:szCs w:val="12"/>
                <w:b w:val="1"/>
                <w:bCs w:val="1"/>
                <w:color w:val="auto"/>
                <w:w w:val="98"/>
              </w:rPr>
              <w:t>Table of Contents</w:t>
            </w:r>
          </w:p>
        </w:tc>
        <w:tc>
          <w:tcPr>
            <w:tcW w:w="23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44"/>
        </w:trPr>
        <w:tc>
          <w:tcPr>
            <w:tcW w:w="20" w:type="dxa"/>
            <w:vAlign w:val="bottom"/>
          </w:tcPr>
          <w:p>
            <w:pPr>
              <w:spacing w:after="0"/>
              <w:rPr>
                <w:sz w:val="12"/>
                <w:szCs w:val="12"/>
                <w:color w:val="auto"/>
              </w:rPr>
            </w:pPr>
          </w:p>
        </w:tc>
        <w:tc>
          <w:tcPr>
            <w:tcW w:w="188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2"/>
                <w:szCs w:val="12"/>
                <w:color w:val="0000FF"/>
                <w:w w:val="99"/>
              </w:rPr>
              <w:t>Consolidating Statement of Operations</w:t>
            </w:r>
          </w:p>
        </w:tc>
        <w:tc>
          <w:tcPr>
            <w:tcW w:w="6880" w:type="dxa"/>
            <w:vAlign w:val="bottom"/>
            <w:gridSpan w:val="3"/>
          </w:tcPr>
          <w:p>
            <w:pPr>
              <w:spacing w:after="0"/>
              <w:rPr>
                <w:sz w:val="12"/>
                <w:szCs w:val="12"/>
                <w:color w:val="auto"/>
              </w:rPr>
            </w:pPr>
          </w:p>
        </w:tc>
        <w:tc>
          <w:tcPr>
            <w:tcW w:w="2480" w:type="dxa"/>
            <w:vAlign w:val="bottom"/>
            <w:gridSpan w:val="2"/>
          </w:tcPr>
          <w:p>
            <w:pPr>
              <w:jc w:val="right"/>
              <w:spacing w:after="0"/>
              <w:rPr>
                <w:sz w:val="20"/>
                <w:szCs w:val="20"/>
                <w:color w:val="auto"/>
              </w:rPr>
            </w:pPr>
            <w:r>
              <w:rPr>
                <w:rFonts w:ascii="Times New Roman" w:cs="Times New Roman" w:eastAsia="Times New Roman" w:hAnsi="Times New Roman"/>
                <w:sz w:val="12"/>
                <w:szCs w:val="12"/>
                <w:u w:val="single" w:color="auto"/>
                <w:color w:val="0000FF"/>
              </w:rPr>
              <w:t>1</w:t>
            </w:r>
          </w:p>
        </w:tc>
      </w:tr>
      <w:tr>
        <w:trPr>
          <w:trHeight w:val="196"/>
        </w:trPr>
        <w:tc>
          <w:tcPr>
            <w:tcW w:w="20" w:type="dxa"/>
            <w:vAlign w:val="bottom"/>
          </w:tcPr>
          <w:p>
            <w:pPr>
              <w:spacing w:after="0"/>
              <w:rPr>
                <w:sz w:val="17"/>
                <w:szCs w:val="17"/>
                <w:color w:val="auto"/>
              </w:rPr>
            </w:pPr>
          </w:p>
        </w:tc>
        <w:tc>
          <w:tcPr>
            <w:tcW w:w="140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2"/>
                <w:szCs w:val="12"/>
                <w:color w:val="0000FF"/>
                <w:w w:val="99"/>
              </w:rPr>
              <w:t>Consolidated Balance Sheets</w:t>
            </w:r>
          </w:p>
        </w:tc>
        <w:tc>
          <w:tcPr>
            <w:tcW w:w="7360" w:type="dxa"/>
            <w:vAlign w:val="bottom"/>
            <w:gridSpan w:val="4"/>
          </w:tcPr>
          <w:p>
            <w:pPr>
              <w:spacing w:after="0"/>
              <w:rPr>
                <w:sz w:val="17"/>
                <w:szCs w:val="17"/>
                <w:color w:val="auto"/>
              </w:rPr>
            </w:pPr>
          </w:p>
        </w:tc>
        <w:tc>
          <w:tcPr>
            <w:tcW w:w="2480" w:type="dxa"/>
            <w:vAlign w:val="bottom"/>
            <w:gridSpan w:val="2"/>
          </w:tcPr>
          <w:p>
            <w:pPr>
              <w:jc w:val="right"/>
              <w:spacing w:after="0"/>
              <w:rPr>
                <w:sz w:val="20"/>
                <w:szCs w:val="20"/>
                <w:color w:val="auto"/>
              </w:rPr>
            </w:pPr>
            <w:r>
              <w:rPr>
                <w:rFonts w:ascii="Times New Roman" w:cs="Times New Roman" w:eastAsia="Times New Roman" w:hAnsi="Times New Roman"/>
                <w:sz w:val="12"/>
                <w:szCs w:val="12"/>
                <w:u w:val="single" w:color="auto"/>
                <w:color w:val="0000FF"/>
              </w:rPr>
              <w:t>2</w:t>
            </w:r>
          </w:p>
        </w:tc>
      </w:tr>
      <w:tr>
        <w:trPr>
          <w:trHeight w:val="196"/>
        </w:trPr>
        <w:tc>
          <w:tcPr>
            <w:tcW w:w="20" w:type="dxa"/>
            <w:vAlign w:val="bottom"/>
          </w:tcPr>
          <w:p>
            <w:pPr>
              <w:spacing w:after="0"/>
              <w:rPr>
                <w:sz w:val="17"/>
                <w:szCs w:val="17"/>
                <w:color w:val="auto"/>
              </w:rPr>
            </w:pPr>
          </w:p>
        </w:tc>
        <w:tc>
          <w:tcPr>
            <w:tcW w:w="192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2"/>
                <w:szCs w:val="12"/>
                <w:color w:val="0000FF"/>
                <w:w w:val="99"/>
              </w:rPr>
              <w:t>Consolidated Statements of Cash Flows</w:t>
            </w:r>
          </w:p>
        </w:tc>
        <w:tc>
          <w:tcPr>
            <w:tcW w:w="6840" w:type="dxa"/>
            <w:vAlign w:val="bottom"/>
            <w:gridSpan w:val="2"/>
          </w:tcPr>
          <w:p>
            <w:pPr>
              <w:spacing w:after="0"/>
              <w:rPr>
                <w:sz w:val="17"/>
                <w:szCs w:val="17"/>
                <w:color w:val="auto"/>
              </w:rPr>
            </w:pPr>
          </w:p>
        </w:tc>
        <w:tc>
          <w:tcPr>
            <w:tcW w:w="2480" w:type="dxa"/>
            <w:vAlign w:val="bottom"/>
            <w:gridSpan w:val="2"/>
          </w:tcPr>
          <w:p>
            <w:pPr>
              <w:jc w:val="right"/>
              <w:spacing w:after="0"/>
              <w:rPr>
                <w:sz w:val="20"/>
                <w:szCs w:val="20"/>
                <w:color w:val="auto"/>
              </w:rPr>
            </w:pPr>
            <w:r>
              <w:rPr>
                <w:rFonts w:ascii="Times New Roman" w:cs="Times New Roman" w:eastAsia="Times New Roman" w:hAnsi="Times New Roman"/>
                <w:sz w:val="12"/>
                <w:szCs w:val="12"/>
                <w:u w:val="single" w:color="auto"/>
                <w:color w:val="0000FF"/>
              </w:rPr>
              <w:t>4</w:t>
            </w:r>
          </w:p>
        </w:tc>
      </w:tr>
      <w:tr>
        <w:trPr>
          <w:trHeight w:val="196"/>
        </w:trPr>
        <w:tc>
          <w:tcPr>
            <w:tcW w:w="20" w:type="dxa"/>
            <w:vAlign w:val="bottom"/>
          </w:tcPr>
          <w:p>
            <w:pPr>
              <w:spacing w:after="0"/>
              <w:rPr>
                <w:sz w:val="17"/>
                <w:szCs w:val="17"/>
                <w:color w:val="auto"/>
              </w:rPr>
            </w:pPr>
          </w:p>
        </w:tc>
        <w:tc>
          <w:tcPr>
            <w:tcW w:w="8760" w:type="dxa"/>
            <w:vAlign w:val="bottom"/>
            <w:gridSpan w:val="11"/>
          </w:tcPr>
          <w:p>
            <w:pPr>
              <w:spacing w:after="0"/>
              <w:rPr>
                <w:sz w:val="20"/>
                <w:szCs w:val="20"/>
                <w:color w:val="auto"/>
              </w:rPr>
            </w:pPr>
            <w:r>
              <w:rPr>
                <w:rFonts w:ascii="Times New Roman" w:cs="Times New Roman" w:eastAsia="Times New Roman" w:hAnsi="Times New Roman"/>
                <w:sz w:val="12"/>
                <w:szCs w:val="12"/>
                <w:color w:val="0000FF"/>
              </w:rPr>
              <w:t>Reconciliation of GAAP Net Income to Adjusted (non-GAAP) Operating Earnings and Analysis of Earnings</w:t>
            </w:r>
          </w:p>
        </w:tc>
        <w:tc>
          <w:tcPr>
            <w:tcW w:w="2480" w:type="dxa"/>
            <w:vAlign w:val="bottom"/>
            <w:gridSpan w:val="2"/>
          </w:tcPr>
          <w:p>
            <w:pPr>
              <w:jc w:val="right"/>
              <w:spacing w:after="0"/>
              <w:rPr>
                <w:sz w:val="20"/>
                <w:szCs w:val="20"/>
                <w:color w:val="auto"/>
              </w:rPr>
            </w:pPr>
            <w:r>
              <w:rPr>
                <w:rFonts w:ascii="Times New Roman" w:cs="Times New Roman" w:eastAsia="Times New Roman" w:hAnsi="Times New Roman"/>
                <w:sz w:val="12"/>
                <w:szCs w:val="12"/>
                <w:u w:val="single" w:color="auto"/>
                <w:color w:val="0000FF"/>
              </w:rPr>
              <w:t>5</w:t>
            </w:r>
          </w:p>
        </w:tc>
      </w:tr>
      <w:tr>
        <w:trPr>
          <w:trHeight w:val="196"/>
        </w:trPr>
        <w:tc>
          <w:tcPr>
            <w:tcW w:w="20" w:type="dxa"/>
            <w:vAlign w:val="bottom"/>
          </w:tcPr>
          <w:p>
            <w:pPr>
              <w:spacing w:after="0"/>
              <w:rPr>
                <w:sz w:val="17"/>
                <w:szCs w:val="17"/>
                <w:color w:val="auto"/>
              </w:rPr>
            </w:pPr>
          </w:p>
        </w:tc>
        <w:tc>
          <w:tcPr>
            <w:tcW w:w="46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2"/>
                <w:szCs w:val="12"/>
                <w:color w:val="0000FF"/>
              </w:rPr>
              <w:t>Statistics</w:t>
            </w:r>
          </w:p>
        </w:tc>
        <w:tc>
          <w:tcPr>
            <w:tcW w:w="4760" w:type="dxa"/>
            <w:vAlign w:val="bottom"/>
            <w:tcBorders>
              <w:top w:val="single" w:sz="8" w:color="0000FF"/>
            </w:tcBorders>
            <w:gridSpan w:val="6"/>
          </w:tcPr>
          <w:p>
            <w:pPr>
              <w:spacing w:after="0"/>
              <w:rPr>
                <w:sz w:val="17"/>
                <w:szCs w:val="17"/>
                <w:color w:val="auto"/>
              </w:rPr>
            </w:pPr>
          </w:p>
        </w:tc>
        <w:tc>
          <w:tcPr>
            <w:tcW w:w="354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33"/>
        </w:trPr>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20" w:type="dxa"/>
            <w:vAlign w:val="bottom"/>
            <w:gridSpan w:val="10"/>
          </w:tcPr>
          <w:p>
            <w:pPr>
              <w:spacing w:after="0" w:line="133" w:lineRule="exact"/>
              <w:rPr>
                <w:sz w:val="20"/>
                <w:szCs w:val="20"/>
                <w:color w:val="auto"/>
              </w:rPr>
            </w:pPr>
            <w:r>
              <w:rPr>
                <w:rFonts w:ascii="Times New Roman" w:cs="Times New Roman" w:eastAsia="Times New Roman" w:hAnsi="Times New Roman"/>
                <w:sz w:val="12"/>
                <w:szCs w:val="12"/>
                <w:color w:val="0000FF"/>
              </w:rPr>
              <w:t>ComEd</w:t>
            </w:r>
          </w:p>
        </w:tc>
        <w:tc>
          <w:tcPr>
            <w:tcW w:w="2480" w:type="dxa"/>
            <w:vAlign w:val="bottom"/>
            <w:gridSpan w:val="2"/>
          </w:tcPr>
          <w:p>
            <w:pPr>
              <w:jc w:val="right"/>
              <w:spacing w:after="0" w:line="133" w:lineRule="exact"/>
              <w:rPr>
                <w:sz w:val="20"/>
                <w:szCs w:val="20"/>
                <w:color w:val="auto"/>
              </w:rPr>
            </w:pPr>
            <w:r>
              <w:rPr>
                <w:rFonts w:ascii="Times New Roman" w:cs="Times New Roman" w:eastAsia="Times New Roman" w:hAnsi="Times New Roman"/>
                <w:sz w:val="12"/>
                <w:szCs w:val="12"/>
                <w:u w:val="single" w:color="auto"/>
                <w:color w:val="0000FF"/>
              </w:rPr>
              <w:t>6</w:t>
            </w:r>
          </w:p>
        </w:tc>
      </w:tr>
      <w:tr>
        <w:trPr>
          <w:trHeight w:val="133"/>
        </w:trPr>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Borders>
              <w:top w:val="single" w:sz="8" w:color="0000FF"/>
              <w:bottom w:val="single" w:sz="8" w:color="0000FF"/>
            </w:tcBorders>
            <w:gridSpan w:val="3"/>
          </w:tcPr>
          <w:p>
            <w:pPr>
              <w:spacing w:after="0" w:line="133" w:lineRule="exact"/>
              <w:rPr>
                <w:sz w:val="20"/>
                <w:szCs w:val="20"/>
                <w:color w:val="auto"/>
              </w:rPr>
            </w:pPr>
            <w:r>
              <w:rPr>
                <w:rFonts w:ascii="Times New Roman" w:cs="Times New Roman" w:eastAsia="Times New Roman" w:hAnsi="Times New Roman"/>
                <w:sz w:val="12"/>
                <w:szCs w:val="12"/>
                <w:color w:val="0000FF"/>
                <w:w w:val="97"/>
              </w:rPr>
              <w:t>PECO</w:t>
            </w:r>
          </w:p>
        </w:tc>
        <w:tc>
          <w:tcPr>
            <w:tcW w:w="40" w:type="dxa"/>
            <w:vAlign w:val="bottom"/>
            <w:tcBorders>
              <w:top w:val="single" w:sz="8" w:color="0000FF"/>
            </w:tcBorders>
          </w:tcPr>
          <w:p>
            <w:pPr>
              <w:spacing w:after="0"/>
              <w:rPr>
                <w:sz w:val="11"/>
                <w:szCs w:val="11"/>
                <w:color w:val="auto"/>
              </w:rPr>
            </w:pPr>
          </w:p>
        </w:tc>
        <w:tc>
          <w:tcPr>
            <w:tcW w:w="8260" w:type="dxa"/>
            <w:vAlign w:val="bottom"/>
            <w:gridSpan w:val="6"/>
          </w:tcPr>
          <w:p>
            <w:pPr>
              <w:spacing w:after="0"/>
              <w:rPr>
                <w:sz w:val="11"/>
                <w:szCs w:val="11"/>
                <w:color w:val="auto"/>
              </w:rPr>
            </w:pPr>
          </w:p>
        </w:tc>
        <w:tc>
          <w:tcPr>
            <w:tcW w:w="2480" w:type="dxa"/>
            <w:vAlign w:val="bottom"/>
            <w:gridSpan w:val="2"/>
          </w:tcPr>
          <w:p>
            <w:pPr>
              <w:jc w:val="right"/>
              <w:spacing w:after="0" w:line="133" w:lineRule="exact"/>
              <w:rPr>
                <w:sz w:val="20"/>
                <w:szCs w:val="20"/>
                <w:color w:val="auto"/>
              </w:rPr>
            </w:pPr>
            <w:r>
              <w:rPr>
                <w:rFonts w:ascii="Times New Roman" w:cs="Times New Roman" w:eastAsia="Times New Roman" w:hAnsi="Times New Roman"/>
                <w:sz w:val="12"/>
                <w:szCs w:val="12"/>
                <w:u w:val="single" w:color="auto"/>
                <w:color w:val="0000FF"/>
              </w:rPr>
              <w:t>7</w:t>
            </w:r>
          </w:p>
        </w:tc>
      </w:tr>
      <w:tr>
        <w:trPr>
          <w:trHeight w:val="133"/>
        </w:trPr>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Borders>
              <w:bottom w:val="single" w:sz="8" w:color="0000FF"/>
            </w:tcBorders>
          </w:tcPr>
          <w:p>
            <w:pPr>
              <w:spacing w:after="0" w:line="133" w:lineRule="exact"/>
              <w:rPr>
                <w:sz w:val="20"/>
                <w:szCs w:val="20"/>
                <w:color w:val="auto"/>
              </w:rPr>
            </w:pPr>
            <w:r>
              <w:rPr>
                <w:rFonts w:ascii="Times New Roman" w:cs="Times New Roman" w:eastAsia="Times New Roman" w:hAnsi="Times New Roman"/>
                <w:sz w:val="12"/>
                <w:szCs w:val="12"/>
                <w:color w:val="0000FF"/>
                <w:w w:val="74"/>
              </w:rPr>
              <w:t>BGE</w:t>
            </w:r>
          </w:p>
        </w:tc>
        <w:tc>
          <w:tcPr>
            <w:tcW w:w="8400" w:type="dxa"/>
            <w:vAlign w:val="bottom"/>
            <w:gridSpan w:val="9"/>
          </w:tcPr>
          <w:p>
            <w:pPr>
              <w:spacing w:after="0"/>
              <w:rPr>
                <w:sz w:val="11"/>
                <w:szCs w:val="11"/>
                <w:color w:val="auto"/>
              </w:rPr>
            </w:pPr>
          </w:p>
        </w:tc>
        <w:tc>
          <w:tcPr>
            <w:tcW w:w="2480" w:type="dxa"/>
            <w:vAlign w:val="bottom"/>
            <w:gridSpan w:val="2"/>
          </w:tcPr>
          <w:p>
            <w:pPr>
              <w:jc w:val="right"/>
              <w:spacing w:after="0" w:line="133" w:lineRule="exact"/>
              <w:rPr>
                <w:sz w:val="20"/>
                <w:szCs w:val="20"/>
                <w:color w:val="auto"/>
              </w:rPr>
            </w:pPr>
            <w:r>
              <w:rPr>
                <w:rFonts w:ascii="Times New Roman" w:cs="Times New Roman" w:eastAsia="Times New Roman" w:hAnsi="Times New Roman"/>
                <w:sz w:val="12"/>
                <w:szCs w:val="12"/>
                <w:u w:val="single" w:color="auto"/>
                <w:color w:val="0000FF"/>
              </w:rPr>
              <w:t>8</w:t>
            </w:r>
          </w:p>
        </w:tc>
      </w:tr>
      <w:tr>
        <w:trPr>
          <w:trHeight w:val="133"/>
        </w:trPr>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Borders>
              <w:bottom w:val="single" w:sz="8" w:color="0000FF"/>
            </w:tcBorders>
            <w:gridSpan w:val="2"/>
          </w:tcPr>
          <w:p>
            <w:pPr>
              <w:spacing w:after="0" w:line="133" w:lineRule="exact"/>
              <w:rPr>
                <w:sz w:val="20"/>
                <w:szCs w:val="20"/>
                <w:color w:val="auto"/>
              </w:rPr>
            </w:pPr>
            <w:r>
              <w:rPr>
                <w:rFonts w:ascii="Times New Roman" w:cs="Times New Roman" w:eastAsia="Times New Roman" w:hAnsi="Times New Roman"/>
                <w:sz w:val="12"/>
                <w:szCs w:val="12"/>
                <w:color w:val="0000FF"/>
                <w:w w:val="95"/>
              </w:rPr>
              <w:t>Pepco</w:t>
            </w:r>
          </w:p>
        </w:tc>
        <w:tc>
          <w:tcPr>
            <w:tcW w:w="8320" w:type="dxa"/>
            <w:vAlign w:val="bottom"/>
            <w:gridSpan w:val="8"/>
          </w:tcPr>
          <w:p>
            <w:pPr>
              <w:spacing w:after="0"/>
              <w:rPr>
                <w:sz w:val="11"/>
                <w:szCs w:val="11"/>
                <w:color w:val="auto"/>
              </w:rPr>
            </w:pPr>
          </w:p>
        </w:tc>
        <w:tc>
          <w:tcPr>
            <w:tcW w:w="2480" w:type="dxa"/>
            <w:vAlign w:val="bottom"/>
            <w:gridSpan w:val="2"/>
          </w:tcPr>
          <w:p>
            <w:pPr>
              <w:jc w:val="right"/>
              <w:spacing w:after="0" w:line="133" w:lineRule="exact"/>
              <w:rPr>
                <w:sz w:val="20"/>
                <w:szCs w:val="20"/>
                <w:color w:val="auto"/>
              </w:rPr>
            </w:pPr>
            <w:r>
              <w:rPr>
                <w:rFonts w:ascii="Times New Roman" w:cs="Times New Roman" w:eastAsia="Times New Roman" w:hAnsi="Times New Roman"/>
                <w:sz w:val="12"/>
                <w:szCs w:val="12"/>
                <w:u w:val="single" w:color="auto"/>
                <w:color w:val="0000FF"/>
              </w:rPr>
              <w:t>9</w:t>
            </w:r>
          </w:p>
        </w:tc>
      </w:tr>
      <w:tr>
        <w:trPr>
          <w:trHeight w:val="133"/>
        </w:trPr>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20" w:type="dxa"/>
            <w:vAlign w:val="bottom"/>
            <w:gridSpan w:val="10"/>
          </w:tcPr>
          <w:p>
            <w:pPr>
              <w:spacing w:after="0" w:line="133" w:lineRule="exact"/>
              <w:rPr>
                <w:sz w:val="20"/>
                <w:szCs w:val="20"/>
                <w:color w:val="auto"/>
              </w:rPr>
            </w:pPr>
            <w:r>
              <w:rPr>
                <w:rFonts w:ascii="Times New Roman" w:cs="Times New Roman" w:eastAsia="Times New Roman" w:hAnsi="Times New Roman"/>
                <w:sz w:val="12"/>
                <w:szCs w:val="12"/>
                <w:color w:val="0000FF"/>
              </w:rPr>
              <w:t>DPL</w:t>
            </w:r>
          </w:p>
        </w:tc>
        <w:tc>
          <w:tcPr>
            <w:tcW w:w="2480" w:type="dxa"/>
            <w:vAlign w:val="bottom"/>
            <w:gridSpan w:val="2"/>
          </w:tcPr>
          <w:p>
            <w:pPr>
              <w:jc w:val="right"/>
              <w:spacing w:after="0" w:line="133" w:lineRule="exact"/>
              <w:rPr>
                <w:sz w:val="20"/>
                <w:szCs w:val="20"/>
                <w:color w:val="auto"/>
              </w:rPr>
            </w:pPr>
            <w:r>
              <w:rPr>
                <w:rFonts w:ascii="Times New Roman" w:cs="Times New Roman" w:eastAsia="Times New Roman" w:hAnsi="Times New Roman"/>
                <w:sz w:val="12"/>
                <w:szCs w:val="12"/>
                <w:color w:val="0000FF"/>
              </w:rPr>
              <w:t>10</w:t>
            </w:r>
          </w:p>
        </w:tc>
      </w:tr>
      <w:tr>
        <w:trPr>
          <w:trHeight w:val="20"/>
        </w:trPr>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400" w:type="dxa"/>
            <w:vAlign w:val="bottom"/>
            <w:gridSpan w:val="9"/>
          </w:tcPr>
          <w:p>
            <w:pPr>
              <w:spacing w:after="0" w:line="20" w:lineRule="exact"/>
              <w:rPr>
                <w:sz w:val="1"/>
                <w:szCs w:val="1"/>
                <w:color w:val="auto"/>
              </w:rPr>
            </w:pPr>
          </w:p>
        </w:tc>
        <w:tc>
          <w:tcPr>
            <w:tcW w:w="23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line="133" w:lineRule="exact"/>
              <w:rPr>
                <w:sz w:val="20"/>
                <w:szCs w:val="20"/>
                <w:color w:val="auto"/>
              </w:rPr>
            </w:pPr>
            <w:r>
              <w:rPr>
                <w:rFonts w:ascii="Times New Roman" w:cs="Times New Roman" w:eastAsia="Times New Roman" w:hAnsi="Times New Roman"/>
                <w:sz w:val="12"/>
                <w:szCs w:val="12"/>
                <w:color w:val="0000FF"/>
                <w:w w:val="74"/>
              </w:rPr>
              <w:t>ACE</w:t>
            </w:r>
          </w:p>
        </w:tc>
        <w:tc>
          <w:tcPr>
            <w:tcW w:w="8400" w:type="dxa"/>
            <w:vAlign w:val="bottom"/>
            <w:gridSpan w:val="9"/>
          </w:tcPr>
          <w:p>
            <w:pPr>
              <w:spacing w:after="0"/>
              <w:rPr>
                <w:sz w:val="11"/>
                <w:szCs w:val="11"/>
                <w:color w:val="auto"/>
              </w:rPr>
            </w:pPr>
          </w:p>
        </w:tc>
        <w:tc>
          <w:tcPr>
            <w:tcW w:w="2480" w:type="dxa"/>
            <w:vAlign w:val="bottom"/>
            <w:gridSpan w:val="2"/>
          </w:tcPr>
          <w:p>
            <w:pPr>
              <w:jc w:val="right"/>
              <w:spacing w:after="0" w:line="133" w:lineRule="exact"/>
              <w:rPr>
                <w:sz w:val="20"/>
                <w:szCs w:val="20"/>
                <w:color w:val="auto"/>
              </w:rPr>
            </w:pPr>
            <w:r>
              <w:rPr>
                <w:rFonts w:ascii="Times New Roman" w:cs="Times New Roman" w:eastAsia="Times New Roman" w:hAnsi="Times New Roman"/>
                <w:sz w:val="12"/>
                <w:szCs w:val="12"/>
                <w:color w:val="0000FF"/>
              </w:rPr>
              <w:t>11</w:t>
            </w:r>
          </w:p>
        </w:tc>
      </w:tr>
      <w:tr>
        <w:trPr>
          <w:trHeight w:val="20"/>
        </w:trPr>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bl>
    <w:p>
      <w:pPr>
        <w:sectPr>
          <w:pgSz w:w="11900" w:h="16838" w:orient="portrait"/>
          <w:cols w:equalWidth="0" w:num="1">
            <w:col w:w="11260"/>
          </w:cols>
          <w:pgMar w:left="300" w:top="119" w:right="339" w:bottom="1440" w:gutter="0" w:footer="0" w:header="0"/>
        </w:sectPr>
      </w:pPr>
    </w:p>
    <w:bookmarkStart w:id="14" w:name="page15"/>
    <w:bookmarkEnd w:id="14"/>
    <w:p>
      <w:pPr>
        <w:ind w:left="8"/>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37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Consolidating Statements of Operations</w:t>
      </w:r>
    </w:p>
    <w:p>
      <w:pPr>
        <w:spacing w:after="0" w:line="21" w:lineRule="exact"/>
        <w:rPr>
          <w:sz w:val="20"/>
          <w:szCs w:val="20"/>
          <w:color w:val="auto"/>
        </w:rPr>
      </w:pPr>
    </w:p>
    <w:p>
      <w:pPr>
        <w:ind w:left="5368"/>
        <w:spacing w:after="0"/>
        <w:rPr>
          <w:sz w:val="20"/>
          <w:szCs w:val="20"/>
          <w:color w:val="auto"/>
        </w:rPr>
      </w:pPr>
      <w:r>
        <w:rPr>
          <w:rFonts w:ascii="Times New Roman" w:cs="Times New Roman" w:eastAsia="Times New Roman" w:hAnsi="Times New Roman"/>
          <w:sz w:val="12"/>
          <w:szCs w:val="12"/>
          <w:color w:val="auto"/>
        </w:rPr>
        <w:t>(unaudited)</w:t>
      </w:r>
    </w:p>
    <w:p>
      <w:pPr>
        <w:spacing w:after="0" w:line="6" w:lineRule="exact"/>
        <w:rPr>
          <w:sz w:val="20"/>
          <w:szCs w:val="20"/>
          <w:color w:val="auto"/>
        </w:rPr>
      </w:pPr>
    </w:p>
    <w:p>
      <w:pPr>
        <w:ind w:left="5348"/>
        <w:spacing w:after="0"/>
        <w:rPr>
          <w:sz w:val="20"/>
          <w:szCs w:val="20"/>
          <w:color w:val="auto"/>
        </w:rPr>
      </w:pPr>
      <w:r>
        <w:rPr>
          <w:rFonts w:ascii="Times New Roman" w:cs="Times New Roman" w:eastAsia="Times New Roman" w:hAnsi="Times New Roman"/>
          <w:sz w:val="12"/>
          <w:szCs w:val="12"/>
          <w:color w:val="auto"/>
        </w:rPr>
        <w:t>(in millions)</w:t>
      </w:r>
    </w:p>
    <w:p>
      <w:pPr>
        <w:spacing w:after="0" w:line="80" w:lineRule="exact"/>
        <w:rPr>
          <w:sz w:val="20"/>
          <w:szCs w:val="20"/>
          <w:color w:val="auto"/>
        </w:rPr>
      </w:pPr>
    </w:p>
    <w:tbl>
      <w:tblPr>
        <w:tblLayout w:type="fixed"/>
        <w:tblInd w:w="8" w:type="dxa"/>
        <w:tblCellMar>
          <w:top w:w="0" w:type="dxa"/>
          <w:left w:w="0" w:type="dxa"/>
          <w:bottom w:w="0" w:type="dxa"/>
          <w:right w:w="0" w:type="dxa"/>
        </w:tblCellMar>
      </w:tblPr>
      <w:tr>
        <w:trPr>
          <w:trHeight w:val="134"/>
        </w:trPr>
        <w:tc>
          <w:tcPr>
            <w:tcW w:w="50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ComEd</w:t>
            </w: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PECO</w:t>
            </w: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BGE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gridSpan w:val="2"/>
          </w:tcPr>
          <w:p>
            <w:pPr>
              <w:ind w:left="160"/>
              <w:spacing w:after="0"/>
              <w:rPr>
                <w:sz w:val="20"/>
                <w:szCs w:val="20"/>
                <w:color w:val="auto"/>
              </w:rPr>
            </w:pPr>
            <w:r>
              <w:rPr>
                <w:rFonts w:ascii="Times New Roman" w:cs="Times New Roman" w:eastAsia="Times New Roman" w:hAnsi="Times New Roman"/>
                <w:sz w:val="10"/>
                <w:szCs w:val="10"/>
                <w:b w:val="1"/>
                <w:bCs w:val="1"/>
                <w:color w:val="auto"/>
              </w:rPr>
              <w:t>PHI</w:t>
            </w:r>
          </w:p>
        </w:tc>
        <w:tc>
          <w:tcPr>
            <w:tcW w:w="180" w:type="dxa"/>
            <w:vAlign w:val="bottom"/>
          </w:tcPr>
          <w:p>
            <w:pPr>
              <w:spacing w:after="0"/>
              <w:rPr>
                <w:sz w:val="11"/>
                <w:szCs w:val="11"/>
                <w:color w:val="auto"/>
              </w:rPr>
            </w:pPr>
          </w:p>
        </w:tc>
        <w:tc>
          <w:tcPr>
            <w:tcW w:w="840" w:type="dxa"/>
            <w:vAlign w:val="bottom"/>
            <w:gridSpan w:val="2"/>
          </w:tcPr>
          <w:p>
            <w:pPr>
              <w:ind w:left="100"/>
              <w:spacing w:after="0"/>
              <w:rPr>
                <w:sz w:val="20"/>
                <w:szCs w:val="20"/>
                <w:color w:val="auto"/>
              </w:rPr>
            </w:pPr>
            <w:r>
              <w:rPr>
                <w:rFonts w:ascii="Times New Roman" w:cs="Times New Roman" w:eastAsia="Times New Roman" w:hAnsi="Times New Roman"/>
                <w:sz w:val="10"/>
                <w:szCs w:val="10"/>
                <w:b w:val="1"/>
                <w:bCs w:val="1"/>
                <w:color w:val="auto"/>
              </w:rPr>
              <w:t>Other (a)</w:t>
            </w:r>
          </w:p>
        </w:tc>
        <w:tc>
          <w:tcPr>
            <w:tcW w:w="240" w:type="dxa"/>
            <w:vAlign w:val="bottom"/>
          </w:tcPr>
          <w:p>
            <w:pPr>
              <w:spacing w:after="0"/>
              <w:rPr>
                <w:sz w:val="11"/>
                <w:szCs w:val="11"/>
                <w:color w:val="auto"/>
              </w:rPr>
            </w:pPr>
          </w:p>
        </w:tc>
        <w:tc>
          <w:tcPr>
            <w:tcW w:w="900" w:type="dxa"/>
            <w:vAlign w:val="bottom"/>
          </w:tcPr>
          <w:p>
            <w:pPr>
              <w:jc w:val="right"/>
              <w:ind w:right="372"/>
              <w:spacing w:after="0"/>
              <w:rPr>
                <w:sz w:val="20"/>
                <w:szCs w:val="20"/>
                <w:color w:val="auto"/>
              </w:rPr>
            </w:pPr>
            <w:r>
              <w:rPr>
                <w:rFonts w:ascii="Times New Roman" w:cs="Times New Roman" w:eastAsia="Times New Roman" w:hAnsi="Times New Roman"/>
                <w:sz w:val="10"/>
                <w:szCs w:val="10"/>
                <w:b w:val="1"/>
                <w:bCs w:val="1"/>
                <w:color w:val="auto"/>
              </w:rPr>
              <w:t>Exelon</w:t>
            </w:r>
          </w:p>
        </w:tc>
      </w:tr>
      <w:tr>
        <w:trPr>
          <w:trHeight w:val="114"/>
        </w:trPr>
        <w:tc>
          <w:tcPr>
            <w:tcW w:w="50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9"/>
                <w:szCs w:val="9"/>
                <w:b w:val="1"/>
                <w:bCs w:val="1"/>
                <w:color w:val="auto"/>
              </w:rPr>
              <w:t>Three Months Ended March 31, 2026</w:t>
            </w:r>
          </w:p>
        </w:tc>
        <w:tc>
          <w:tcPr>
            <w:tcW w:w="640" w:type="dxa"/>
            <w:vAlign w:val="bottom"/>
            <w:tcBorders>
              <w:top w:val="single" w:sz="8" w:color="auto"/>
            </w:tcBorders>
            <w:shd w:val="clear" w:color="auto" w:fill="CCEEFF"/>
          </w:tcPr>
          <w:p>
            <w:pPr>
              <w:spacing w:after="0"/>
              <w:rPr>
                <w:sz w:val="9"/>
                <w:szCs w:val="9"/>
                <w:color w:val="auto"/>
              </w:rPr>
            </w:pPr>
          </w:p>
        </w:tc>
        <w:tc>
          <w:tcPr>
            <w:tcW w:w="28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spacing w:after="0"/>
              <w:rPr>
                <w:sz w:val="9"/>
                <w:szCs w:val="9"/>
                <w:color w:val="auto"/>
              </w:rPr>
            </w:pPr>
          </w:p>
        </w:tc>
        <w:tc>
          <w:tcPr>
            <w:tcW w:w="30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600" w:type="dxa"/>
            <w:vAlign w:val="bottom"/>
            <w:tcBorders>
              <w:top w:val="single" w:sz="8" w:color="auto"/>
            </w:tcBorders>
            <w:shd w:val="clear" w:color="auto" w:fill="CCEEFF"/>
          </w:tcPr>
          <w:p>
            <w:pPr>
              <w:spacing w:after="0"/>
              <w:rPr>
                <w:sz w:val="9"/>
                <w:szCs w:val="9"/>
                <w:color w:val="auto"/>
              </w:rPr>
            </w:pPr>
          </w:p>
        </w:tc>
        <w:tc>
          <w:tcPr>
            <w:tcW w:w="32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220" w:type="dxa"/>
            <w:vAlign w:val="bottom"/>
            <w:tcBorders>
              <w:top w:val="single" w:sz="8" w:color="auto"/>
            </w:tcBorders>
            <w:shd w:val="clear" w:color="auto" w:fill="CCEEFF"/>
          </w:tcPr>
          <w:p>
            <w:pPr>
              <w:spacing w:after="0"/>
              <w:rPr>
                <w:sz w:val="9"/>
                <w:szCs w:val="9"/>
                <w:color w:val="auto"/>
              </w:rPr>
            </w:pPr>
          </w:p>
        </w:tc>
        <w:tc>
          <w:tcPr>
            <w:tcW w:w="72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80" w:type="dxa"/>
            <w:vAlign w:val="bottom"/>
            <w:tcBorders>
              <w:top w:val="single" w:sz="8" w:color="auto"/>
            </w:tcBorders>
            <w:shd w:val="clear" w:color="auto" w:fill="CCEEFF"/>
          </w:tcPr>
          <w:p>
            <w:pPr>
              <w:spacing w:after="0"/>
              <w:rPr>
                <w:sz w:val="9"/>
                <w:szCs w:val="9"/>
                <w:color w:val="auto"/>
              </w:rPr>
            </w:pPr>
          </w:p>
        </w:tc>
        <w:tc>
          <w:tcPr>
            <w:tcW w:w="76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240" w:type="dxa"/>
            <w:vAlign w:val="bottom"/>
            <w:tcBorders>
              <w:top w:val="single" w:sz="8" w:color="auto"/>
            </w:tcBorders>
            <w:shd w:val="clear" w:color="auto" w:fill="CCEEFF"/>
          </w:tcPr>
          <w:p>
            <w:pPr>
              <w:spacing w:after="0"/>
              <w:rPr>
                <w:sz w:val="9"/>
                <w:szCs w:val="9"/>
                <w:color w:val="auto"/>
              </w:rPr>
            </w:pPr>
          </w:p>
        </w:tc>
        <w:tc>
          <w:tcPr>
            <w:tcW w:w="900" w:type="dxa"/>
            <w:vAlign w:val="bottom"/>
            <w:tcBorders>
              <w:top w:val="single" w:sz="8" w:color="auto"/>
            </w:tcBorders>
            <w:shd w:val="clear" w:color="auto" w:fill="CCEEFF"/>
          </w:tcPr>
          <w:p>
            <w:pPr>
              <w:spacing w:after="0"/>
              <w:rPr>
                <w:sz w:val="9"/>
                <w:szCs w:val="9"/>
                <w:color w:val="auto"/>
              </w:rPr>
            </w:pPr>
          </w:p>
        </w:tc>
      </w:tr>
      <w:tr>
        <w:trPr>
          <w:trHeight w:val="130"/>
        </w:trPr>
        <w:tc>
          <w:tcPr>
            <w:tcW w:w="5080" w:type="dxa"/>
            <w:vAlign w:val="bottom"/>
          </w:tcPr>
          <w:p>
            <w:pPr>
              <w:spacing w:after="0"/>
              <w:rPr>
                <w:sz w:val="20"/>
                <w:szCs w:val="20"/>
                <w:color w:val="auto"/>
              </w:rPr>
            </w:pPr>
            <w:r>
              <w:rPr>
                <w:rFonts w:ascii="Times New Roman" w:cs="Times New Roman" w:eastAsia="Times New Roman" w:hAnsi="Times New Roman"/>
                <w:sz w:val="9"/>
                <w:szCs w:val="9"/>
                <w:b w:val="1"/>
                <w:bCs w:val="1"/>
                <w:color w:val="auto"/>
              </w:rPr>
              <w:t>Operating revenues</w:t>
            </w:r>
          </w:p>
        </w:tc>
        <w:tc>
          <w:tcPr>
            <w:tcW w:w="640" w:type="dxa"/>
            <w:vAlign w:val="bottom"/>
          </w:tcPr>
          <w:p>
            <w:pPr>
              <w:jc w:val="right"/>
              <w:ind w:right="532"/>
              <w:spacing w:after="0"/>
              <w:rPr>
                <w:sz w:val="20"/>
                <w:szCs w:val="20"/>
                <w:color w:val="auto"/>
              </w:rPr>
            </w:pPr>
            <w:r>
              <w:rPr>
                <w:rFonts w:ascii="Times New Roman" w:cs="Times New Roman" w:eastAsia="Times New Roman" w:hAnsi="Times New Roman"/>
                <w:sz w:val="10"/>
                <w:szCs w:val="10"/>
                <w:color w:val="auto"/>
                <w:w w:val="79"/>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97"/>
              </w:rPr>
              <w:t>1,913</w:t>
            </w:r>
          </w:p>
        </w:tc>
        <w:tc>
          <w:tcPr>
            <w:tcW w:w="100" w:type="dxa"/>
            <w:vAlign w:val="bottom"/>
          </w:tcPr>
          <w:p>
            <w:pPr>
              <w:spacing w:after="0"/>
              <w:rPr>
                <w:sz w:val="11"/>
                <w:szCs w:val="11"/>
                <w:color w:val="auto"/>
              </w:rPr>
            </w:pPr>
          </w:p>
        </w:tc>
        <w:tc>
          <w:tcPr>
            <w:tcW w:w="620" w:type="dxa"/>
            <w:vAlign w:val="bottom"/>
          </w:tcPr>
          <w:p>
            <w:pPr>
              <w:jc w:val="right"/>
              <w:ind w:right="512"/>
              <w:spacing w:after="0"/>
              <w:rPr>
                <w:sz w:val="20"/>
                <w:szCs w:val="20"/>
                <w:color w:val="auto"/>
              </w:rPr>
            </w:pPr>
            <w:r>
              <w:rPr>
                <w:rFonts w:ascii="Times New Roman" w:cs="Times New Roman" w:eastAsia="Times New Roman" w:hAnsi="Times New Roman"/>
                <w:sz w:val="10"/>
                <w:szCs w:val="10"/>
                <w:color w:val="auto"/>
                <w:w w:val="79"/>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1,492</w:t>
            </w:r>
          </w:p>
        </w:tc>
        <w:tc>
          <w:tcPr>
            <w:tcW w:w="100" w:type="dxa"/>
            <w:vAlign w:val="bottom"/>
          </w:tcPr>
          <w:p>
            <w:pPr>
              <w:spacing w:after="0"/>
              <w:rPr>
                <w:sz w:val="11"/>
                <w:szCs w:val="11"/>
                <w:color w:val="auto"/>
              </w:rPr>
            </w:pPr>
          </w:p>
        </w:tc>
        <w:tc>
          <w:tcPr>
            <w:tcW w:w="600" w:type="dxa"/>
            <w:vAlign w:val="bottom"/>
          </w:tcPr>
          <w:p>
            <w:pPr>
              <w:jc w:val="right"/>
              <w:ind w:right="492"/>
              <w:spacing w:after="0"/>
              <w:rPr>
                <w:sz w:val="20"/>
                <w:szCs w:val="20"/>
                <w:color w:val="auto"/>
              </w:rPr>
            </w:pPr>
            <w:r>
              <w:rPr>
                <w:rFonts w:ascii="Times New Roman" w:cs="Times New Roman" w:eastAsia="Times New Roman" w:hAnsi="Times New Roman"/>
                <w:sz w:val="10"/>
                <w:szCs w:val="10"/>
                <w:color w:val="auto"/>
                <w:w w:val="79"/>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1,828</w:t>
            </w:r>
          </w:p>
        </w:tc>
        <w:tc>
          <w:tcPr>
            <w:tcW w:w="80" w:type="dxa"/>
            <w:vAlign w:val="bottom"/>
          </w:tcPr>
          <w:p>
            <w:pPr>
              <w:spacing w:after="0"/>
              <w:rPr>
                <w:sz w:val="11"/>
                <w:szCs w:val="11"/>
                <w:color w:val="auto"/>
              </w:rPr>
            </w:pPr>
          </w:p>
        </w:tc>
        <w:tc>
          <w:tcPr>
            <w:tcW w:w="22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w w:val="7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2,030</w:t>
            </w:r>
          </w:p>
        </w:tc>
        <w:tc>
          <w:tcPr>
            <w:tcW w:w="80" w:type="dxa"/>
            <w:vAlign w:val="bottom"/>
          </w:tcPr>
          <w:p>
            <w:pPr>
              <w:spacing w:after="0"/>
              <w:rPr>
                <w:sz w:val="11"/>
                <w:szCs w:val="11"/>
                <w:color w:val="auto"/>
              </w:rPr>
            </w:pPr>
          </w:p>
        </w:tc>
        <w:tc>
          <w:tcPr>
            <w:tcW w:w="1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w w:val="7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(21)</w:t>
            </w:r>
          </w:p>
        </w:tc>
        <w:tc>
          <w:tcPr>
            <w:tcW w:w="80" w:type="dxa"/>
            <w:vAlign w:val="bottom"/>
          </w:tcPr>
          <w:p>
            <w:pPr>
              <w:spacing w:after="0"/>
              <w:rPr>
                <w:sz w:val="11"/>
                <w:szCs w:val="11"/>
                <w:color w:val="auto"/>
              </w:rPr>
            </w:pPr>
          </w:p>
        </w:tc>
        <w:tc>
          <w:tcPr>
            <w:tcW w:w="24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w w:val="7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7,242</w:t>
            </w:r>
          </w:p>
        </w:tc>
      </w:tr>
      <w:tr>
        <w:trPr>
          <w:trHeight w:val="131"/>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9"/>
                <w:szCs w:val="9"/>
                <w:b w:val="1"/>
                <w:bCs w:val="1"/>
                <w:color w:val="auto"/>
              </w:rPr>
              <w:t>Operating expenses</w:t>
            </w:r>
          </w:p>
        </w:tc>
        <w:tc>
          <w:tcPr>
            <w:tcW w:w="6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r>
      <w:tr>
        <w:trPr>
          <w:trHeight w:val="130"/>
        </w:trPr>
        <w:tc>
          <w:tcPr>
            <w:tcW w:w="5080" w:type="dxa"/>
            <w:vAlign w:val="bottom"/>
          </w:tcPr>
          <w:p>
            <w:pPr>
              <w:ind w:left="80"/>
              <w:spacing w:after="0"/>
              <w:rPr>
                <w:sz w:val="20"/>
                <w:szCs w:val="20"/>
                <w:color w:val="auto"/>
              </w:rPr>
            </w:pPr>
            <w:r>
              <w:rPr>
                <w:rFonts w:ascii="Times New Roman" w:cs="Times New Roman" w:eastAsia="Times New Roman" w:hAnsi="Times New Roman"/>
                <w:sz w:val="9"/>
                <w:szCs w:val="9"/>
                <w:color w:val="auto"/>
              </w:rPr>
              <w:t>Purchased power and fuel</w:t>
            </w:r>
          </w:p>
        </w:tc>
        <w:tc>
          <w:tcPr>
            <w:tcW w:w="640" w:type="dxa"/>
            <w:vAlign w:val="bottom"/>
          </w:tcPr>
          <w:p>
            <w:pPr>
              <w:spacing w:after="0"/>
              <w:rPr>
                <w:sz w:val="11"/>
                <w:szCs w:val="11"/>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451</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612</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808</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905</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gridSpan w:val="2"/>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2,776</w:t>
            </w:r>
          </w:p>
        </w:tc>
      </w:tr>
      <w:tr>
        <w:trPr>
          <w:trHeight w:val="140"/>
        </w:trPr>
        <w:tc>
          <w:tcPr>
            <w:tcW w:w="50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9"/>
                <w:szCs w:val="9"/>
                <w:color w:val="auto"/>
              </w:rPr>
              <w:t>Operating and maintenance</w:t>
            </w:r>
          </w:p>
        </w:tc>
        <w:tc>
          <w:tcPr>
            <w:tcW w:w="64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438</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337</w:t>
            </w: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327</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424</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(60)</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1,466</w:t>
            </w:r>
          </w:p>
        </w:tc>
      </w:tr>
      <w:tr>
        <w:trPr>
          <w:trHeight w:val="130"/>
        </w:trPr>
        <w:tc>
          <w:tcPr>
            <w:tcW w:w="5080" w:type="dxa"/>
            <w:vAlign w:val="bottom"/>
          </w:tcPr>
          <w:p>
            <w:pPr>
              <w:ind w:left="80"/>
              <w:spacing w:after="0"/>
              <w:rPr>
                <w:sz w:val="20"/>
                <w:szCs w:val="20"/>
                <w:color w:val="auto"/>
              </w:rPr>
            </w:pPr>
            <w:r>
              <w:rPr>
                <w:rFonts w:ascii="Times New Roman" w:cs="Times New Roman" w:eastAsia="Times New Roman" w:hAnsi="Times New Roman"/>
                <w:sz w:val="9"/>
                <w:szCs w:val="9"/>
                <w:color w:val="auto"/>
              </w:rPr>
              <w:t>Depreciation and amortization</w:t>
            </w:r>
          </w:p>
        </w:tc>
        <w:tc>
          <w:tcPr>
            <w:tcW w:w="640" w:type="dxa"/>
            <w:vAlign w:val="bottom"/>
          </w:tcPr>
          <w:p>
            <w:pPr>
              <w:spacing w:after="0"/>
              <w:rPr>
                <w:sz w:val="11"/>
                <w:szCs w:val="11"/>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404</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121</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167</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246</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620"/>
              <w:spacing w:after="0"/>
              <w:rPr>
                <w:sz w:val="20"/>
                <w:szCs w:val="20"/>
                <w:color w:val="auto"/>
              </w:rPr>
            </w:pPr>
            <w:r>
              <w:rPr>
                <w:rFonts w:ascii="Times New Roman" w:cs="Times New Roman" w:eastAsia="Times New Roman" w:hAnsi="Times New Roman"/>
                <w:sz w:val="10"/>
                <w:szCs w:val="10"/>
                <w:color w:val="auto"/>
              </w:rPr>
              <w:t>14</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952</w:t>
            </w:r>
          </w:p>
        </w:tc>
      </w:tr>
      <w:tr>
        <w:trPr>
          <w:trHeight w:val="135"/>
        </w:trPr>
        <w:tc>
          <w:tcPr>
            <w:tcW w:w="50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9"/>
                <w:szCs w:val="9"/>
                <w:color w:val="auto"/>
              </w:rPr>
              <w:t>Taxes other than income taxes</w:t>
            </w:r>
          </w:p>
        </w:tc>
        <w:tc>
          <w:tcPr>
            <w:tcW w:w="640" w:type="dxa"/>
            <w:vAlign w:val="bottom"/>
            <w:tcBorders>
              <w:bottom w:val="single" w:sz="8" w:color="auto"/>
            </w:tcBorders>
            <w:shd w:val="clear" w:color="auto" w:fill="CCEEFF"/>
          </w:tcPr>
          <w:p>
            <w:pPr>
              <w:spacing w:after="0"/>
              <w:rPr>
                <w:sz w:val="11"/>
                <w:szCs w:val="11"/>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105</w:t>
            </w:r>
          </w:p>
        </w:tc>
        <w:tc>
          <w:tcPr>
            <w:tcW w:w="100" w:type="dxa"/>
            <w:vAlign w:val="bottom"/>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spacing w:after="0"/>
              <w:rPr>
                <w:sz w:val="11"/>
                <w:szCs w:val="11"/>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69</w:t>
            </w:r>
          </w:p>
        </w:tc>
        <w:tc>
          <w:tcPr>
            <w:tcW w:w="100" w:type="dxa"/>
            <w:vAlign w:val="bottom"/>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spacing w:after="0"/>
              <w:rPr>
                <w:sz w:val="11"/>
                <w:szCs w:val="11"/>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104</w:t>
            </w:r>
          </w:p>
        </w:tc>
        <w:tc>
          <w:tcPr>
            <w:tcW w:w="80" w:type="dxa"/>
            <w:vAlign w:val="bottom"/>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spacing w:after="0"/>
              <w:rPr>
                <w:sz w:val="11"/>
                <w:szCs w:val="1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151</w:t>
            </w:r>
          </w:p>
        </w:tc>
        <w:tc>
          <w:tcPr>
            <w:tcW w:w="8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760" w:type="dxa"/>
            <w:vAlign w:val="bottom"/>
            <w:tcBorders>
              <w:bottom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0"/>
                <w:szCs w:val="10"/>
                <w:color w:val="auto"/>
              </w:rPr>
              <w:t>14</w:t>
            </w:r>
          </w:p>
        </w:tc>
        <w:tc>
          <w:tcPr>
            <w:tcW w:w="80" w:type="dxa"/>
            <w:vAlign w:val="bottom"/>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spacing w:after="0"/>
              <w:rPr>
                <w:sz w:val="11"/>
                <w:szCs w:val="1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443</w:t>
            </w:r>
          </w:p>
        </w:tc>
      </w:tr>
      <w:tr>
        <w:trPr>
          <w:trHeight w:val="124"/>
        </w:trPr>
        <w:tc>
          <w:tcPr>
            <w:tcW w:w="5080" w:type="dxa"/>
            <w:vAlign w:val="bottom"/>
            <w:tcBorders>
              <w:bottom w:val="single" w:sz="8" w:color="CCEEFF"/>
            </w:tcBorders>
          </w:tcPr>
          <w:p>
            <w:pPr>
              <w:ind w:left="300"/>
              <w:spacing w:after="0"/>
              <w:rPr>
                <w:sz w:val="20"/>
                <w:szCs w:val="20"/>
                <w:color w:val="auto"/>
              </w:rPr>
            </w:pPr>
            <w:r>
              <w:rPr>
                <w:rFonts w:ascii="Times New Roman" w:cs="Times New Roman" w:eastAsia="Times New Roman" w:hAnsi="Times New Roman"/>
                <w:sz w:val="9"/>
                <w:szCs w:val="9"/>
                <w:b w:val="1"/>
                <w:bCs w:val="1"/>
                <w:color w:val="auto"/>
              </w:rPr>
              <w:t>Total operating expenses</w:t>
            </w:r>
          </w:p>
        </w:tc>
        <w:tc>
          <w:tcPr>
            <w:tcW w:w="64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97"/>
              </w:rPr>
              <w:t>1,398</w:t>
            </w:r>
          </w:p>
        </w:tc>
        <w:tc>
          <w:tcPr>
            <w:tcW w:w="100" w:type="dxa"/>
            <w:vAlign w:val="bottom"/>
            <w:tcBorders>
              <w:bottom w:val="single" w:sz="8" w:color="CCEEFF"/>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1,139</w:t>
            </w:r>
          </w:p>
        </w:tc>
        <w:tc>
          <w:tcPr>
            <w:tcW w:w="100" w:type="dxa"/>
            <w:vAlign w:val="bottom"/>
            <w:tcBorders>
              <w:bottom w:val="single" w:sz="8" w:color="CCEEFF"/>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1,406</w:t>
            </w:r>
          </w:p>
        </w:tc>
        <w:tc>
          <w:tcPr>
            <w:tcW w:w="80" w:type="dxa"/>
            <w:vAlign w:val="bottom"/>
            <w:tcBorders>
              <w:bottom w:val="single" w:sz="8" w:color="CCEEFF"/>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1,726</w:t>
            </w:r>
          </w:p>
        </w:tc>
        <w:tc>
          <w:tcPr>
            <w:tcW w:w="80" w:type="dxa"/>
            <w:vAlign w:val="bottom"/>
            <w:tcBorders>
              <w:bottom w:val="single" w:sz="8" w:color="CCEEFF"/>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(32)</w:t>
            </w:r>
          </w:p>
        </w:tc>
        <w:tc>
          <w:tcPr>
            <w:tcW w:w="80" w:type="dxa"/>
            <w:vAlign w:val="bottom"/>
            <w:tcBorders>
              <w:bottom w:val="single" w:sz="8" w:color="CCEEFF"/>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5,637</w:t>
            </w:r>
          </w:p>
        </w:tc>
      </w:tr>
      <w:tr>
        <w:trPr>
          <w:trHeight w:val="129"/>
        </w:trPr>
        <w:tc>
          <w:tcPr>
            <w:tcW w:w="50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9"/>
                <w:szCs w:val="9"/>
                <w:b w:val="1"/>
                <w:bCs w:val="1"/>
                <w:color w:val="auto"/>
              </w:rPr>
              <w:t>Gain on sale of assets</w:t>
            </w:r>
          </w:p>
        </w:tc>
        <w:tc>
          <w:tcPr>
            <w:tcW w:w="640" w:type="dxa"/>
            <w:vAlign w:val="bottom"/>
            <w:tcBorders>
              <w:bottom w:val="single" w:sz="8" w:color="auto"/>
            </w:tcBorders>
            <w:shd w:val="clear" w:color="auto" w:fill="CCEEFF"/>
          </w:tcPr>
          <w:p>
            <w:pPr>
              <w:spacing w:after="0"/>
              <w:rPr>
                <w:sz w:val="11"/>
                <w:szCs w:val="11"/>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spacing w:after="0"/>
              <w:rPr>
                <w:sz w:val="11"/>
                <w:szCs w:val="11"/>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spacing w:after="0"/>
              <w:rPr>
                <w:sz w:val="11"/>
                <w:szCs w:val="11"/>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spacing w:after="0"/>
              <w:rPr>
                <w:sz w:val="11"/>
                <w:szCs w:val="1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760" w:type="dxa"/>
            <w:vAlign w:val="bottom"/>
            <w:tcBorders>
              <w:bottom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spacing w:after="0"/>
              <w:rPr>
                <w:sz w:val="11"/>
                <w:szCs w:val="1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r>
      <w:tr>
        <w:trPr>
          <w:trHeight w:val="118"/>
        </w:trPr>
        <w:tc>
          <w:tcPr>
            <w:tcW w:w="5080" w:type="dxa"/>
            <w:vAlign w:val="bottom"/>
            <w:tcBorders>
              <w:bottom w:val="single" w:sz="8" w:color="CCEEFF"/>
            </w:tcBorders>
          </w:tcPr>
          <w:p>
            <w:pPr>
              <w:spacing w:after="0" w:line="98" w:lineRule="exact"/>
              <w:rPr>
                <w:sz w:val="20"/>
                <w:szCs w:val="20"/>
                <w:color w:val="auto"/>
              </w:rPr>
            </w:pPr>
            <w:r>
              <w:rPr>
                <w:rFonts w:ascii="Times New Roman" w:cs="Times New Roman" w:eastAsia="Times New Roman" w:hAnsi="Times New Roman"/>
                <w:sz w:val="9"/>
                <w:szCs w:val="9"/>
                <w:b w:val="1"/>
                <w:bCs w:val="1"/>
                <w:color w:val="auto"/>
              </w:rPr>
              <w:t>Operating income</w:t>
            </w:r>
          </w:p>
        </w:tc>
        <w:tc>
          <w:tcPr>
            <w:tcW w:w="64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515</w:t>
            </w:r>
          </w:p>
        </w:tc>
        <w:tc>
          <w:tcPr>
            <w:tcW w:w="100" w:type="dxa"/>
            <w:vAlign w:val="bottom"/>
            <w:tcBorders>
              <w:bottom w:val="single" w:sz="8" w:color="CCEEFF"/>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353</w:t>
            </w:r>
          </w:p>
        </w:tc>
        <w:tc>
          <w:tcPr>
            <w:tcW w:w="100" w:type="dxa"/>
            <w:vAlign w:val="bottom"/>
            <w:tcBorders>
              <w:bottom w:val="single" w:sz="8" w:color="CCEEFF"/>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422</w:t>
            </w:r>
          </w:p>
        </w:tc>
        <w:tc>
          <w:tcPr>
            <w:tcW w:w="80" w:type="dxa"/>
            <w:vAlign w:val="bottom"/>
            <w:tcBorders>
              <w:bottom w:val="single" w:sz="8" w:color="CCEEFF"/>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304</w:t>
            </w:r>
          </w:p>
        </w:tc>
        <w:tc>
          <w:tcPr>
            <w:tcW w:w="80" w:type="dxa"/>
            <w:vAlign w:val="bottom"/>
            <w:tcBorders>
              <w:bottom w:val="single" w:sz="8" w:color="CCEEFF"/>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0"/>
                <w:szCs w:val="10"/>
                <w:color w:val="auto"/>
              </w:rPr>
              <w:t>11</w:t>
            </w:r>
          </w:p>
        </w:tc>
        <w:tc>
          <w:tcPr>
            <w:tcW w:w="80" w:type="dxa"/>
            <w:vAlign w:val="bottom"/>
            <w:tcBorders>
              <w:bottom w:val="single" w:sz="8" w:color="CCEEFF"/>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1,605</w:t>
            </w:r>
          </w:p>
        </w:tc>
      </w:tr>
      <w:tr>
        <w:trPr>
          <w:trHeight w:val="112"/>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9"/>
                <w:szCs w:val="9"/>
                <w:b w:val="1"/>
                <w:bCs w:val="1"/>
                <w:color w:val="auto"/>
              </w:rPr>
              <w:t>Other income and (deductions)</w:t>
            </w:r>
          </w:p>
        </w:tc>
        <w:tc>
          <w:tcPr>
            <w:tcW w:w="64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r>
      <w:tr>
        <w:trPr>
          <w:trHeight w:val="130"/>
        </w:trPr>
        <w:tc>
          <w:tcPr>
            <w:tcW w:w="5080" w:type="dxa"/>
            <w:vAlign w:val="bottom"/>
          </w:tcPr>
          <w:p>
            <w:pPr>
              <w:ind w:left="80"/>
              <w:spacing w:after="0"/>
              <w:rPr>
                <w:sz w:val="20"/>
                <w:szCs w:val="20"/>
                <w:color w:val="auto"/>
              </w:rPr>
            </w:pPr>
            <w:r>
              <w:rPr>
                <w:rFonts w:ascii="Times New Roman" w:cs="Times New Roman" w:eastAsia="Times New Roman" w:hAnsi="Times New Roman"/>
                <w:sz w:val="9"/>
                <w:szCs w:val="9"/>
                <w:color w:val="auto"/>
              </w:rPr>
              <w:t>Interest expense, net</w:t>
            </w:r>
          </w:p>
        </w:tc>
        <w:tc>
          <w:tcPr>
            <w:tcW w:w="640" w:type="dxa"/>
            <w:vAlign w:val="bottom"/>
          </w:tcPr>
          <w:p>
            <w:pPr>
              <w:spacing w:after="0"/>
              <w:rPr>
                <w:sz w:val="11"/>
                <w:szCs w:val="11"/>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(135)</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(71)</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(62)</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(106)</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(181)</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(555)</w:t>
            </w:r>
          </w:p>
        </w:tc>
      </w:tr>
      <w:tr>
        <w:trPr>
          <w:trHeight w:val="135"/>
        </w:trPr>
        <w:tc>
          <w:tcPr>
            <w:tcW w:w="50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9"/>
                <w:szCs w:val="9"/>
                <w:color w:val="auto"/>
              </w:rPr>
              <w:t>Other, net</w:t>
            </w:r>
          </w:p>
        </w:tc>
        <w:tc>
          <w:tcPr>
            <w:tcW w:w="640" w:type="dxa"/>
            <w:vAlign w:val="bottom"/>
            <w:tcBorders>
              <w:bottom w:val="single" w:sz="8" w:color="auto"/>
            </w:tcBorders>
            <w:shd w:val="clear" w:color="auto" w:fill="CCEEFF"/>
          </w:tcPr>
          <w:p>
            <w:pPr>
              <w:spacing w:after="0"/>
              <w:rPr>
                <w:sz w:val="11"/>
                <w:szCs w:val="11"/>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31</w:t>
            </w:r>
          </w:p>
        </w:tc>
        <w:tc>
          <w:tcPr>
            <w:tcW w:w="100" w:type="dxa"/>
            <w:vAlign w:val="bottom"/>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spacing w:after="0"/>
              <w:rPr>
                <w:sz w:val="11"/>
                <w:szCs w:val="11"/>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11</w:t>
            </w:r>
          </w:p>
        </w:tc>
        <w:tc>
          <w:tcPr>
            <w:tcW w:w="100" w:type="dxa"/>
            <w:vAlign w:val="bottom"/>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spacing w:after="0"/>
              <w:rPr>
                <w:sz w:val="11"/>
                <w:szCs w:val="11"/>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17</w:t>
            </w:r>
          </w:p>
        </w:tc>
        <w:tc>
          <w:tcPr>
            <w:tcW w:w="80" w:type="dxa"/>
            <w:vAlign w:val="bottom"/>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spacing w:after="0"/>
              <w:rPr>
                <w:sz w:val="11"/>
                <w:szCs w:val="1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18</w:t>
            </w:r>
          </w:p>
        </w:tc>
        <w:tc>
          <w:tcPr>
            <w:tcW w:w="8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w:t>
            </w:r>
          </w:p>
        </w:tc>
        <w:tc>
          <w:tcPr>
            <w:tcW w:w="80" w:type="dxa"/>
            <w:vAlign w:val="bottom"/>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spacing w:after="0"/>
              <w:rPr>
                <w:sz w:val="11"/>
                <w:szCs w:val="1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69</w:t>
            </w:r>
          </w:p>
        </w:tc>
      </w:tr>
      <w:tr>
        <w:trPr>
          <w:trHeight w:val="124"/>
        </w:trPr>
        <w:tc>
          <w:tcPr>
            <w:tcW w:w="5080" w:type="dxa"/>
            <w:vAlign w:val="bottom"/>
            <w:tcBorders>
              <w:bottom w:val="single" w:sz="8" w:color="CCEEFF"/>
            </w:tcBorders>
          </w:tcPr>
          <w:p>
            <w:pPr>
              <w:ind w:left="300"/>
              <w:spacing w:after="0"/>
              <w:rPr>
                <w:sz w:val="20"/>
                <w:szCs w:val="20"/>
                <w:color w:val="auto"/>
              </w:rPr>
            </w:pPr>
            <w:r>
              <w:rPr>
                <w:rFonts w:ascii="Times New Roman" w:cs="Times New Roman" w:eastAsia="Times New Roman" w:hAnsi="Times New Roman"/>
                <w:sz w:val="9"/>
                <w:szCs w:val="9"/>
                <w:b w:val="1"/>
                <w:bCs w:val="1"/>
                <w:color w:val="auto"/>
              </w:rPr>
              <w:t>Total other income and (deductions)</w:t>
            </w:r>
          </w:p>
        </w:tc>
        <w:tc>
          <w:tcPr>
            <w:tcW w:w="64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(104)</w:t>
            </w:r>
          </w:p>
        </w:tc>
        <w:tc>
          <w:tcPr>
            <w:tcW w:w="100" w:type="dxa"/>
            <w:vAlign w:val="bottom"/>
            <w:tcBorders>
              <w:bottom w:val="single" w:sz="8" w:color="CCEEFF"/>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(60)</w:t>
            </w:r>
          </w:p>
        </w:tc>
        <w:tc>
          <w:tcPr>
            <w:tcW w:w="100" w:type="dxa"/>
            <w:vAlign w:val="bottom"/>
            <w:tcBorders>
              <w:bottom w:val="single" w:sz="8" w:color="CCEEFF"/>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(45)</w:t>
            </w:r>
          </w:p>
        </w:tc>
        <w:tc>
          <w:tcPr>
            <w:tcW w:w="80" w:type="dxa"/>
            <w:vAlign w:val="bottom"/>
            <w:tcBorders>
              <w:bottom w:val="single" w:sz="8" w:color="CCEEFF"/>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(88)</w:t>
            </w:r>
          </w:p>
        </w:tc>
        <w:tc>
          <w:tcPr>
            <w:tcW w:w="80" w:type="dxa"/>
            <w:vAlign w:val="bottom"/>
            <w:tcBorders>
              <w:bottom w:val="single" w:sz="8" w:color="CCEEFF"/>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(189)</w:t>
            </w:r>
          </w:p>
        </w:tc>
        <w:tc>
          <w:tcPr>
            <w:tcW w:w="80" w:type="dxa"/>
            <w:vAlign w:val="bottom"/>
            <w:tcBorders>
              <w:bottom w:val="single" w:sz="8" w:color="CCEEFF"/>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(486)</w:t>
            </w:r>
          </w:p>
        </w:tc>
      </w:tr>
      <w:tr>
        <w:trPr>
          <w:trHeight w:val="129"/>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9"/>
                <w:szCs w:val="9"/>
                <w:b w:val="1"/>
                <w:bCs w:val="1"/>
                <w:color w:val="auto"/>
              </w:rPr>
              <w:t>Income (loss) before income taxes</w:t>
            </w:r>
          </w:p>
        </w:tc>
        <w:tc>
          <w:tcPr>
            <w:tcW w:w="640" w:type="dxa"/>
            <w:vAlign w:val="bottom"/>
            <w:shd w:val="clear" w:color="auto" w:fill="CCEEFF"/>
          </w:tcPr>
          <w:p>
            <w:pPr>
              <w:spacing w:after="0"/>
              <w:rPr>
                <w:sz w:val="11"/>
                <w:szCs w:val="11"/>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411</w:t>
            </w: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293</w:t>
            </w: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377</w:t>
            </w: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216</w:t>
            </w: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(178)</w:t>
            </w: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1,119</w:t>
            </w:r>
          </w:p>
        </w:tc>
      </w:tr>
      <w:tr>
        <w:trPr>
          <w:trHeight w:val="130"/>
        </w:trPr>
        <w:tc>
          <w:tcPr>
            <w:tcW w:w="50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9"/>
                <w:szCs w:val="9"/>
                <w:b w:val="1"/>
                <w:bCs w:val="1"/>
                <w:color w:val="auto"/>
              </w:rPr>
              <w:t>Income taxes</w:t>
            </w:r>
          </w:p>
        </w:tc>
        <w:tc>
          <w:tcPr>
            <w:tcW w:w="64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101</w:t>
            </w:r>
          </w:p>
        </w:tc>
        <w:tc>
          <w:tcPr>
            <w:tcW w:w="100" w:type="dxa"/>
            <w:vAlign w:val="bottom"/>
            <w:tcBorders>
              <w:bottom w:val="single" w:sz="8" w:color="CCEEFF"/>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15</w:t>
            </w:r>
          </w:p>
        </w:tc>
        <w:tc>
          <w:tcPr>
            <w:tcW w:w="100" w:type="dxa"/>
            <w:vAlign w:val="bottom"/>
            <w:tcBorders>
              <w:bottom w:val="single" w:sz="8" w:color="CCEEFF"/>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79</w:t>
            </w:r>
          </w:p>
        </w:tc>
        <w:tc>
          <w:tcPr>
            <w:tcW w:w="8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47</w:t>
            </w:r>
          </w:p>
        </w:tc>
        <w:tc>
          <w:tcPr>
            <w:tcW w:w="8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(42)</w:t>
            </w:r>
          </w:p>
        </w:tc>
        <w:tc>
          <w:tcPr>
            <w:tcW w:w="8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200</w:t>
            </w:r>
          </w:p>
        </w:tc>
      </w:tr>
      <w:tr>
        <w:trPr>
          <w:trHeight w:val="145"/>
        </w:trPr>
        <w:tc>
          <w:tcPr>
            <w:tcW w:w="50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9"/>
                <w:szCs w:val="9"/>
                <w:b w:val="1"/>
                <w:bCs w:val="1"/>
                <w:color w:val="auto"/>
              </w:rPr>
              <w:t>Net income (loss) attributable to common shareholders</w:t>
            </w:r>
          </w:p>
        </w:tc>
        <w:tc>
          <w:tcPr>
            <w:tcW w:w="640" w:type="dxa"/>
            <w:vAlign w:val="bottom"/>
            <w:tcBorders>
              <w:bottom w:val="single" w:sz="8" w:color="auto"/>
            </w:tcBorders>
            <w:shd w:val="clear" w:color="auto" w:fill="CCEEFF"/>
          </w:tcPr>
          <w:p>
            <w:pPr>
              <w:jc w:val="right"/>
              <w:ind w:right="532"/>
              <w:spacing w:after="0"/>
              <w:rPr>
                <w:sz w:val="20"/>
                <w:szCs w:val="20"/>
                <w:color w:val="auto"/>
              </w:rPr>
            </w:pPr>
            <w:r>
              <w:rPr>
                <w:rFonts w:ascii="Times New Roman" w:cs="Times New Roman" w:eastAsia="Times New Roman" w:hAnsi="Times New Roman"/>
                <w:sz w:val="10"/>
                <w:szCs w:val="10"/>
                <w:color w:val="auto"/>
                <w:w w:val="79"/>
              </w:rPr>
              <w:t>$</w:t>
            </w: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310</w:t>
            </w:r>
          </w:p>
        </w:tc>
        <w:tc>
          <w:tcPr>
            <w:tcW w:w="10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ind w:right="512"/>
              <w:spacing w:after="0"/>
              <w:rPr>
                <w:sz w:val="20"/>
                <w:szCs w:val="20"/>
                <w:color w:val="auto"/>
              </w:rPr>
            </w:pPr>
            <w:r>
              <w:rPr>
                <w:rFonts w:ascii="Times New Roman" w:cs="Times New Roman" w:eastAsia="Times New Roman" w:hAnsi="Times New Roman"/>
                <w:sz w:val="10"/>
                <w:szCs w:val="10"/>
                <w:color w:val="auto"/>
                <w:w w:val="79"/>
              </w:rPr>
              <w:t>$</w:t>
            </w: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278</w:t>
            </w:r>
          </w:p>
        </w:tc>
        <w:tc>
          <w:tcPr>
            <w:tcW w:w="10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ind w:right="492"/>
              <w:spacing w:after="0"/>
              <w:rPr>
                <w:sz w:val="20"/>
                <w:szCs w:val="20"/>
                <w:color w:val="auto"/>
              </w:rPr>
            </w:pPr>
            <w:r>
              <w:rPr>
                <w:rFonts w:ascii="Times New Roman" w:cs="Times New Roman" w:eastAsia="Times New Roman" w:hAnsi="Times New Roman"/>
                <w:sz w:val="10"/>
                <w:szCs w:val="10"/>
                <w:color w:val="auto"/>
                <w:w w:val="79"/>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298</w:t>
            </w:r>
          </w:p>
        </w:tc>
        <w:tc>
          <w:tcPr>
            <w:tcW w:w="8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0"/>
                <w:szCs w:val="10"/>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169</w:t>
            </w:r>
          </w:p>
        </w:tc>
        <w:tc>
          <w:tcPr>
            <w:tcW w:w="8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(136)</w:t>
            </w:r>
          </w:p>
        </w:tc>
        <w:tc>
          <w:tcPr>
            <w:tcW w:w="8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0"/>
                <w:szCs w:val="10"/>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919</w:t>
            </w:r>
          </w:p>
        </w:tc>
      </w:tr>
      <w:tr>
        <w:trPr>
          <w:trHeight w:val="126"/>
        </w:trPr>
        <w:tc>
          <w:tcPr>
            <w:tcW w:w="50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00" w:type="dxa"/>
            <w:vAlign w:val="bottom"/>
          </w:tcPr>
          <w:p>
            <w:pPr>
              <w:spacing w:after="0"/>
              <w:rPr>
                <w:sz w:val="10"/>
                <w:szCs w:val="10"/>
                <w:color w:val="auto"/>
              </w:rPr>
            </w:pPr>
          </w:p>
        </w:tc>
      </w:tr>
      <w:tr>
        <w:trPr>
          <w:trHeight w:val="12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9"/>
                <w:szCs w:val="9"/>
                <w:b w:val="1"/>
                <w:bCs w:val="1"/>
                <w:color w:val="auto"/>
              </w:rPr>
              <w:t>Three Months Ended March 31, 2025</w:t>
            </w:r>
          </w:p>
        </w:tc>
        <w:tc>
          <w:tcPr>
            <w:tcW w:w="6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r>
      <w:tr>
        <w:trPr>
          <w:trHeight w:val="130"/>
        </w:trPr>
        <w:tc>
          <w:tcPr>
            <w:tcW w:w="5080" w:type="dxa"/>
            <w:vAlign w:val="bottom"/>
          </w:tcPr>
          <w:p>
            <w:pPr>
              <w:spacing w:after="0"/>
              <w:rPr>
                <w:sz w:val="20"/>
                <w:szCs w:val="20"/>
                <w:color w:val="auto"/>
              </w:rPr>
            </w:pPr>
            <w:r>
              <w:rPr>
                <w:rFonts w:ascii="Times New Roman" w:cs="Times New Roman" w:eastAsia="Times New Roman" w:hAnsi="Times New Roman"/>
                <w:sz w:val="9"/>
                <w:szCs w:val="9"/>
                <w:b w:val="1"/>
                <w:bCs w:val="1"/>
                <w:color w:val="auto"/>
              </w:rPr>
              <w:t>Operating revenues</w:t>
            </w:r>
          </w:p>
        </w:tc>
        <w:tc>
          <w:tcPr>
            <w:tcW w:w="640" w:type="dxa"/>
            <w:vAlign w:val="bottom"/>
          </w:tcPr>
          <w:p>
            <w:pPr>
              <w:jc w:val="right"/>
              <w:ind w:right="532"/>
              <w:spacing w:after="0"/>
              <w:rPr>
                <w:sz w:val="20"/>
                <w:szCs w:val="20"/>
                <w:color w:val="auto"/>
              </w:rPr>
            </w:pPr>
            <w:r>
              <w:rPr>
                <w:rFonts w:ascii="Times New Roman" w:cs="Times New Roman" w:eastAsia="Times New Roman" w:hAnsi="Times New Roman"/>
                <w:sz w:val="10"/>
                <w:szCs w:val="10"/>
                <w:color w:val="auto"/>
                <w:w w:val="79"/>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97"/>
              </w:rPr>
              <w:t>2,065</w:t>
            </w:r>
          </w:p>
        </w:tc>
        <w:tc>
          <w:tcPr>
            <w:tcW w:w="100" w:type="dxa"/>
            <w:vAlign w:val="bottom"/>
          </w:tcPr>
          <w:p>
            <w:pPr>
              <w:spacing w:after="0"/>
              <w:rPr>
                <w:sz w:val="11"/>
                <w:szCs w:val="11"/>
                <w:color w:val="auto"/>
              </w:rPr>
            </w:pPr>
          </w:p>
        </w:tc>
        <w:tc>
          <w:tcPr>
            <w:tcW w:w="620" w:type="dxa"/>
            <w:vAlign w:val="bottom"/>
          </w:tcPr>
          <w:p>
            <w:pPr>
              <w:jc w:val="right"/>
              <w:ind w:right="512"/>
              <w:spacing w:after="0"/>
              <w:rPr>
                <w:sz w:val="20"/>
                <w:szCs w:val="20"/>
                <w:color w:val="auto"/>
              </w:rPr>
            </w:pPr>
            <w:r>
              <w:rPr>
                <w:rFonts w:ascii="Times New Roman" w:cs="Times New Roman" w:eastAsia="Times New Roman" w:hAnsi="Times New Roman"/>
                <w:sz w:val="10"/>
                <w:szCs w:val="10"/>
                <w:color w:val="auto"/>
                <w:w w:val="79"/>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1,333</w:t>
            </w:r>
          </w:p>
        </w:tc>
        <w:tc>
          <w:tcPr>
            <w:tcW w:w="100" w:type="dxa"/>
            <w:vAlign w:val="bottom"/>
          </w:tcPr>
          <w:p>
            <w:pPr>
              <w:spacing w:after="0"/>
              <w:rPr>
                <w:sz w:val="11"/>
                <w:szCs w:val="11"/>
                <w:color w:val="auto"/>
              </w:rPr>
            </w:pPr>
          </w:p>
        </w:tc>
        <w:tc>
          <w:tcPr>
            <w:tcW w:w="600" w:type="dxa"/>
            <w:vAlign w:val="bottom"/>
          </w:tcPr>
          <w:p>
            <w:pPr>
              <w:jc w:val="right"/>
              <w:ind w:right="492"/>
              <w:spacing w:after="0"/>
              <w:rPr>
                <w:sz w:val="20"/>
                <w:szCs w:val="20"/>
                <w:color w:val="auto"/>
              </w:rPr>
            </w:pPr>
            <w:r>
              <w:rPr>
                <w:rFonts w:ascii="Times New Roman" w:cs="Times New Roman" w:eastAsia="Times New Roman" w:hAnsi="Times New Roman"/>
                <w:sz w:val="10"/>
                <w:szCs w:val="10"/>
                <w:color w:val="auto"/>
                <w:w w:val="79"/>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1,554</w:t>
            </w:r>
          </w:p>
        </w:tc>
        <w:tc>
          <w:tcPr>
            <w:tcW w:w="80" w:type="dxa"/>
            <w:vAlign w:val="bottom"/>
          </w:tcPr>
          <w:p>
            <w:pPr>
              <w:spacing w:after="0"/>
              <w:rPr>
                <w:sz w:val="11"/>
                <w:szCs w:val="11"/>
                <w:color w:val="auto"/>
              </w:rPr>
            </w:pPr>
          </w:p>
        </w:tc>
        <w:tc>
          <w:tcPr>
            <w:tcW w:w="22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w w:val="7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1,778</w:t>
            </w:r>
          </w:p>
        </w:tc>
        <w:tc>
          <w:tcPr>
            <w:tcW w:w="80" w:type="dxa"/>
            <w:vAlign w:val="bottom"/>
          </w:tcPr>
          <w:p>
            <w:pPr>
              <w:spacing w:after="0"/>
              <w:rPr>
                <w:sz w:val="11"/>
                <w:szCs w:val="11"/>
                <w:color w:val="auto"/>
              </w:rPr>
            </w:pPr>
          </w:p>
        </w:tc>
        <w:tc>
          <w:tcPr>
            <w:tcW w:w="1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w w:val="7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(16)</w:t>
            </w:r>
          </w:p>
        </w:tc>
        <w:tc>
          <w:tcPr>
            <w:tcW w:w="80" w:type="dxa"/>
            <w:vAlign w:val="bottom"/>
          </w:tcPr>
          <w:p>
            <w:pPr>
              <w:spacing w:after="0"/>
              <w:rPr>
                <w:sz w:val="11"/>
                <w:szCs w:val="11"/>
                <w:color w:val="auto"/>
              </w:rPr>
            </w:pPr>
          </w:p>
        </w:tc>
        <w:tc>
          <w:tcPr>
            <w:tcW w:w="24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w w:val="7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6,714</w:t>
            </w:r>
          </w:p>
        </w:tc>
      </w:tr>
      <w:tr>
        <w:trPr>
          <w:trHeight w:val="131"/>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9"/>
                <w:szCs w:val="9"/>
                <w:b w:val="1"/>
                <w:bCs w:val="1"/>
                <w:color w:val="auto"/>
              </w:rPr>
              <w:t>Operating expenses</w:t>
            </w:r>
          </w:p>
        </w:tc>
        <w:tc>
          <w:tcPr>
            <w:tcW w:w="6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r>
      <w:tr>
        <w:trPr>
          <w:trHeight w:val="130"/>
        </w:trPr>
        <w:tc>
          <w:tcPr>
            <w:tcW w:w="5080" w:type="dxa"/>
            <w:vAlign w:val="bottom"/>
          </w:tcPr>
          <w:p>
            <w:pPr>
              <w:ind w:left="80"/>
              <w:spacing w:after="0"/>
              <w:rPr>
                <w:sz w:val="20"/>
                <w:szCs w:val="20"/>
                <w:color w:val="auto"/>
              </w:rPr>
            </w:pPr>
            <w:r>
              <w:rPr>
                <w:rFonts w:ascii="Times New Roman" w:cs="Times New Roman" w:eastAsia="Times New Roman" w:hAnsi="Times New Roman"/>
                <w:sz w:val="9"/>
                <w:szCs w:val="9"/>
                <w:color w:val="auto"/>
              </w:rPr>
              <w:t>Purchased power and fuel</w:t>
            </w:r>
          </w:p>
        </w:tc>
        <w:tc>
          <w:tcPr>
            <w:tcW w:w="640" w:type="dxa"/>
            <w:vAlign w:val="bottom"/>
          </w:tcPr>
          <w:p>
            <w:pPr>
              <w:spacing w:after="0"/>
              <w:rPr>
                <w:sz w:val="11"/>
                <w:szCs w:val="11"/>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689</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502</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609</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722</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gridSpan w:val="2"/>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2,522</w:t>
            </w:r>
          </w:p>
        </w:tc>
      </w:tr>
      <w:tr>
        <w:trPr>
          <w:trHeight w:val="140"/>
        </w:trPr>
        <w:tc>
          <w:tcPr>
            <w:tcW w:w="50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9"/>
                <w:szCs w:val="9"/>
                <w:color w:val="auto"/>
              </w:rPr>
              <w:t>Operating and maintenance</w:t>
            </w:r>
          </w:p>
        </w:tc>
        <w:tc>
          <w:tcPr>
            <w:tcW w:w="64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423</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327</w:t>
            </w: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305</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349</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(57)</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1,347</w:t>
            </w:r>
          </w:p>
        </w:tc>
      </w:tr>
      <w:tr>
        <w:trPr>
          <w:trHeight w:val="130"/>
        </w:trPr>
        <w:tc>
          <w:tcPr>
            <w:tcW w:w="5080" w:type="dxa"/>
            <w:vAlign w:val="bottom"/>
          </w:tcPr>
          <w:p>
            <w:pPr>
              <w:ind w:left="80"/>
              <w:spacing w:after="0"/>
              <w:rPr>
                <w:sz w:val="20"/>
                <w:szCs w:val="20"/>
                <w:color w:val="auto"/>
              </w:rPr>
            </w:pPr>
            <w:r>
              <w:rPr>
                <w:rFonts w:ascii="Times New Roman" w:cs="Times New Roman" w:eastAsia="Times New Roman" w:hAnsi="Times New Roman"/>
                <w:sz w:val="9"/>
                <w:szCs w:val="9"/>
                <w:color w:val="auto"/>
              </w:rPr>
              <w:t>Depreciation and amortization</w:t>
            </w:r>
          </w:p>
        </w:tc>
        <w:tc>
          <w:tcPr>
            <w:tcW w:w="640" w:type="dxa"/>
            <w:vAlign w:val="bottom"/>
          </w:tcPr>
          <w:p>
            <w:pPr>
              <w:spacing w:after="0"/>
              <w:rPr>
                <w:sz w:val="11"/>
                <w:szCs w:val="11"/>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380</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109</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164</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234</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620"/>
              <w:spacing w:after="0"/>
              <w:rPr>
                <w:sz w:val="20"/>
                <w:szCs w:val="20"/>
                <w:color w:val="auto"/>
              </w:rPr>
            </w:pPr>
            <w:r>
              <w:rPr>
                <w:rFonts w:ascii="Times New Roman" w:cs="Times New Roman" w:eastAsia="Times New Roman" w:hAnsi="Times New Roman"/>
                <w:sz w:val="10"/>
                <w:szCs w:val="10"/>
                <w:color w:val="auto"/>
              </w:rPr>
              <w:t>16</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903</w:t>
            </w:r>
          </w:p>
        </w:tc>
      </w:tr>
      <w:tr>
        <w:trPr>
          <w:trHeight w:val="135"/>
        </w:trPr>
        <w:tc>
          <w:tcPr>
            <w:tcW w:w="50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9"/>
                <w:szCs w:val="9"/>
                <w:color w:val="auto"/>
              </w:rPr>
              <w:t>Taxes other than income taxes</w:t>
            </w:r>
          </w:p>
        </w:tc>
        <w:tc>
          <w:tcPr>
            <w:tcW w:w="640" w:type="dxa"/>
            <w:vAlign w:val="bottom"/>
            <w:tcBorders>
              <w:bottom w:val="single" w:sz="8" w:color="auto"/>
            </w:tcBorders>
            <w:shd w:val="clear" w:color="auto" w:fill="CCEEFF"/>
          </w:tcPr>
          <w:p>
            <w:pPr>
              <w:spacing w:after="0"/>
              <w:rPr>
                <w:sz w:val="11"/>
                <w:szCs w:val="11"/>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99</w:t>
            </w:r>
          </w:p>
        </w:tc>
        <w:tc>
          <w:tcPr>
            <w:tcW w:w="100" w:type="dxa"/>
            <w:vAlign w:val="bottom"/>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spacing w:after="0"/>
              <w:rPr>
                <w:sz w:val="11"/>
                <w:szCs w:val="11"/>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60</w:t>
            </w:r>
          </w:p>
        </w:tc>
        <w:tc>
          <w:tcPr>
            <w:tcW w:w="100" w:type="dxa"/>
            <w:vAlign w:val="bottom"/>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spacing w:after="0"/>
              <w:rPr>
                <w:sz w:val="11"/>
                <w:szCs w:val="11"/>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96</w:t>
            </w:r>
          </w:p>
        </w:tc>
        <w:tc>
          <w:tcPr>
            <w:tcW w:w="80" w:type="dxa"/>
            <w:vAlign w:val="bottom"/>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spacing w:after="0"/>
              <w:rPr>
                <w:sz w:val="11"/>
                <w:szCs w:val="1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140</w:t>
            </w:r>
          </w:p>
        </w:tc>
        <w:tc>
          <w:tcPr>
            <w:tcW w:w="8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760" w:type="dxa"/>
            <w:vAlign w:val="bottom"/>
            <w:tcBorders>
              <w:bottom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0"/>
                <w:szCs w:val="10"/>
                <w:color w:val="auto"/>
              </w:rPr>
              <w:t>10</w:t>
            </w:r>
          </w:p>
        </w:tc>
        <w:tc>
          <w:tcPr>
            <w:tcW w:w="80" w:type="dxa"/>
            <w:vAlign w:val="bottom"/>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spacing w:after="0"/>
              <w:rPr>
                <w:sz w:val="11"/>
                <w:szCs w:val="1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405</w:t>
            </w:r>
          </w:p>
        </w:tc>
      </w:tr>
      <w:tr>
        <w:trPr>
          <w:trHeight w:val="124"/>
        </w:trPr>
        <w:tc>
          <w:tcPr>
            <w:tcW w:w="5080" w:type="dxa"/>
            <w:vAlign w:val="bottom"/>
            <w:tcBorders>
              <w:bottom w:val="single" w:sz="8" w:color="CCEEFF"/>
            </w:tcBorders>
          </w:tcPr>
          <w:p>
            <w:pPr>
              <w:ind w:left="300"/>
              <w:spacing w:after="0"/>
              <w:rPr>
                <w:sz w:val="20"/>
                <w:szCs w:val="20"/>
                <w:color w:val="auto"/>
              </w:rPr>
            </w:pPr>
            <w:r>
              <w:rPr>
                <w:rFonts w:ascii="Times New Roman" w:cs="Times New Roman" w:eastAsia="Times New Roman" w:hAnsi="Times New Roman"/>
                <w:sz w:val="9"/>
                <w:szCs w:val="9"/>
                <w:b w:val="1"/>
                <w:bCs w:val="1"/>
                <w:color w:val="auto"/>
              </w:rPr>
              <w:t>Total operating expenses</w:t>
            </w:r>
          </w:p>
        </w:tc>
        <w:tc>
          <w:tcPr>
            <w:tcW w:w="64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97"/>
              </w:rPr>
              <w:t>1,591</w:t>
            </w:r>
          </w:p>
        </w:tc>
        <w:tc>
          <w:tcPr>
            <w:tcW w:w="100" w:type="dxa"/>
            <w:vAlign w:val="bottom"/>
            <w:tcBorders>
              <w:bottom w:val="single" w:sz="8" w:color="CCEEFF"/>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998</w:t>
            </w:r>
          </w:p>
        </w:tc>
        <w:tc>
          <w:tcPr>
            <w:tcW w:w="100" w:type="dxa"/>
            <w:vAlign w:val="bottom"/>
            <w:tcBorders>
              <w:bottom w:val="single" w:sz="8" w:color="CCEEFF"/>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1,174</w:t>
            </w:r>
          </w:p>
        </w:tc>
        <w:tc>
          <w:tcPr>
            <w:tcW w:w="80" w:type="dxa"/>
            <w:vAlign w:val="bottom"/>
            <w:tcBorders>
              <w:bottom w:val="single" w:sz="8" w:color="CCEEFF"/>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1,445</w:t>
            </w:r>
          </w:p>
        </w:tc>
        <w:tc>
          <w:tcPr>
            <w:tcW w:w="80" w:type="dxa"/>
            <w:vAlign w:val="bottom"/>
            <w:tcBorders>
              <w:bottom w:val="single" w:sz="8" w:color="CCEEFF"/>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(31)</w:t>
            </w:r>
          </w:p>
        </w:tc>
        <w:tc>
          <w:tcPr>
            <w:tcW w:w="80" w:type="dxa"/>
            <w:vAlign w:val="bottom"/>
            <w:tcBorders>
              <w:bottom w:val="single" w:sz="8" w:color="CCEEFF"/>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5,177</w:t>
            </w:r>
          </w:p>
        </w:tc>
      </w:tr>
      <w:tr>
        <w:trPr>
          <w:trHeight w:val="124"/>
        </w:trPr>
        <w:tc>
          <w:tcPr>
            <w:tcW w:w="50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9"/>
                <w:szCs w:val="9"/>
                <w:b w:val="1"/>
                <w:bCs w:val="1"/>
                <w:color w:val="auto"/>
              </w:rPr>
              <w:t>Loss on sale of assets</w:t>
            </w:r>
          </w:p>
        </w:tc>
        <w:tc>
          <w:tcPr>
            <w:tcW w:w="640" w:type="dxa"/>
            <w:vAlign w:val="bottom"/>
            <w:tcBorders>
              <w:bottom w:val="single" w:sz="8" w:color="auto"/>
            </w:tcBorders>
            <w:shd w:val="clear" w:color="auto" w:fill="CCEEFF"/>
          </w:tcPr>
          <w:p>
            <w:pPr>
              <w:spacing w:after="0"/>
              <w:rPr>
                <w:sz w:val="10"/>
                <w:szCs w:val="10"/>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0"/>
                <w:szCs w:val="10"/>
                <w:color w:val="auto"/>
              </w:rPr>
            </w:pPr>
          </w:p>
        </w:tc>
        <w:tc>
          <w:tcPr>
            <w:tcW w:w="620" w:type="dxa"/>
            <w:vAlign w:val="bottom"/>
            <w:tcBorders>
              <w:bottom w:val="single" w:sz="8" w:color="auto"/>
            </w:tcBorders>
            <w:shd w:val="clear" w:color="auto" w:fill="CCEEFF"/>
          </w:tcPr>
          <w:p>
            <w:pPr>
              <w:spacing w:after="0"/>
              <w:rPr>
                <w:sz w:val="10"/>
                <w:szCs w:val="10"/>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0"/>
                <w:szCs w:val="10"/>
                <w:color w:val="auto"/>
              </w:rPr>
            </w:pPr>
          </w:p>
        </w:tc>
        <w:tc>
          <w:tcPr>
            <w:tcW w:w="600" w:type="dxa"/>
            <w:vAlign w:val="bottom"/>
            <w:tcBorders>
              <w:bottom w:val="single" w:sz="8" w:color="auto"/>
            </w:tcBorders>
            <w:shd w:val="clear" w:color="auto" w:fill="CCEEFF"/>
          </w:tcPr>
          <w:p>
            <w:pPr>
              <w:spacing w:after="0"/>
              <w:rPr>
                <w:sz w:val="10"/>
                <w:szCs w:val="10"/>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0"/>
                <w:szCs w:val="10"/>
                <w:color w:val="auto"/>
              </w:rPr>
            </w:pPr>
          </w:p>
        </w:tc>
        <w:tc>
          <w:tcPr>
            <w:tcW w:w="220" w:type="dxa"/>
            <w:vAlign w:val="bottom"/>
            <w:tcBorders>
              <w:bottom w:val="single" w:sz="8" w:color="auto"/>
            </w:tcBorders>
            <w:shd w:val="clear" w:color="auto" w:fill="CCEEFF"/>
          </w:tcPr>
          <w:p>
            <w:pPr>
              <w:spacing w:after="0"/>
              <w:rPr>
                <w:sz w:val="10"/>
                <w:szCs w:val="1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w:t>
            </w:r>
          </w:p>
        </w:tc>
        <w:tc>
          <w:tcPr>
            <w:tcW w:w="80" w:type="dxa"/>
            <w:vAlign w:val="bottom"/>
            <w:shd w:val="clear" w:color="auto" w:fill="CCEEFF"/>
          </w:tcPr>
          <w:p>
            <w:pPr>
              <w:spacing w:after="0"/>
              <w:rPr>
                <w:sz w:val="10"/>
                <w:szCs w:val="10"/>
                <w:color w:val="auto"/>
              </w:rPr>
            </w:pPr>
          </w:p>
        </w:tc>
        <w:tc>
          <w:tcPr>
            <w:tcW w:w="180" w:type="dxa"/>
            <w:vAlign w:val="bottom"/>
            <w:tcBorders>
              <w:bottom w:val="single" w:sz="8" w:color="auto"/>
            </w:tcBorders>
            <w:shd w:val="clear" w:color="auto" w:fill="CCEEFF"/>
          </w:tcPr>
          <w:p>
            <w:pPr>
              <w:spacing w:after="0"/>
              <w:rPr>
                <w:sz w:val="10"/>
                <w:szCs w:val="10"/>
                <w:color w:val="auto"/>
              </w:rPr>
            </w:pPr>
          </w:p>
        </w:tc>
        <w:tc>
          <w:tcPr>
            <w:tcW w:w="760" w:type="dxa"/>
            <w:vAlign w:val="bottom"/>
            <w:tcBorders>
              <w:bottom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0"/>
                <w:szCs w:val="10"/>
                <w:color w:val="auto"/>
              </w:rPr>
            </w:pPr>
          </w:p>
        </w:tc>
        <w:tc>
          <w:tcPr>
            <w:tcW w:w="240" w:type="dxa"/>
            <w:vAlign w:val="bottom"/>
            <w:tcBorders>
              <w:bottom w:val="single" w:sz="8" w:color="auto"/>
            </w:tcBorders>
            <w:shd w:val="clear" w:color="auto" w:fill="CCEEFF"/>
          </w:tcPr>
          <w:p>
            <w:pPr>
              <w:spacing w:after="0"/>
              <w:rPr>
                <w:sz w:val="10"/>
                <w:szCs w:val="1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w:t>
            </w:r>
          </w:p>
        </w:tc>
      </w:tr>
      <w:tr>
        <w:trPr>
          <w:trHeight w:val="124"/>
        </w:trPr>
        <w:tc>
          <w:tcPr>
            <w:tcW w:w="50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9"/>
                <w:szCs w:val="9"/>
                <w:b w:val="1"/>
                <w:bCs w:val="1"/>
                <w:color w:val="auto"/>
              </w:rPr>
              <w:t>Operating income</w:t>
            </w:r>
          </w:p>
        </w:tc>
        <w:tc>
          <w:tcPr>
            <w:tcW w:w="64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474</w:t>
            </w:r>
          </w:p>
        </w:tc>
        <w:tc>
          <w:tcPr>
            <w:tcW w:w="100" w:type="dxa"/>
            <w:vAlign w:val="bottom"/>
            <w:tcBorders>
              <w:bottom w:val="single" w:sz="8" w:color="CCEEFF"/>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335</w:t>
            </w:r>
          </w:p>
        </w:tc>
        <w:tc>
          <w:tcPr>
            <w:tcW w:w="100" w:type="dxa"/>
            <w:vAlign w:val="bottom"/>
            <w:tcBorders>
              <w:bottom w:val="single" w:sz="8" w:color="CCEEFF"/>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380</w:t>
            </w:r>
          </w:p>
        </w:tc>
        <w:tc>
          <w:tcPr>
            <w:tcW w:w="80" w:type="dxa"/>
            <w:vAlign w:val="bottom"/>
            <w:tcBorders>
              <w:bottom w:val="single" w:sz="8" w:color="CCEEFF"/>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332</w:t>
            </w:r>
          </w:p>
        </w:tc>
        <w:tc>
          <w:tcPr>
            <w:tcW w:w="80" w:type="dxa"/>
            <w:vAlign w:val="bottom"/>
            <w:tcBorders>
              <w:bottom w:val="single" w:sz="8" w:color="CCEEFF"/>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0"/>
                <w:szCs w:val="10"/>
                <w:color w:val="auto"/>
              </w:rPr>
              <w:t>15</w:t>
            </w:r>
          </w:p>
        </w:tc>
        <w:tc>
          <w:tcPr>
            <w:tcW w:w="80" w:type="dxa"/>
            <w:vAlign w:val="bottom"/>
            <w:tcBorders>
              <w:bottom w:val="single" w:sz="8" w:color="CCEEFF"/>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1,536</w:t>
            </w:r>
          </w:p>
        </w:tc>
      </w:tr>
      <w:tr>
        <w:trPr>
          <w:trHeight w:val="111"/>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9"/>
                <w:szCs w:val="9"/>
                <w:b w:val="1"/>
                <w:bCs w:val="1"/>
                <w:color w:val="auto"/>
              </w:rPr>
              <w:t>Other income and (deductions)</w:t>
            </w:r>
          </w:p>
        </w:tc>
        <w:tc>
          <w:tcPr>
            <w:tcW w:w="64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r>
      <w:tr>
        <w:trPr>
          <w:trHeight w:val="130"/>
        </w:trPr>
        <w:tc>
          <w:tcPr>
            <w:tcW w:w="5080" w:type="dxa"/>
            <w:vAlign w:val="bottom"/>
          </w:tcPr>
          <w:p>
            <w:pPr>
              <w:ind w:left="80"/>
              <w:spacing w:after="0"/>
              <w:rPr>
                <w:sz w:val="20"/>
                <w:szCs w:val="20"/>
                <w:color w:val="auto"/>
              </w:rPr>
            </w:pPr>
            <w:r>
              <w:rPr>
                <w:rFonts w:ascii="Times New Roman" w:cs="Times New Roman" w:eastAsia="Times New Roman" w:hAnsi="Times New Roman"/>
                <w:sz w:val="9"/>
                <w:szCs w:val="9"/>
                <w:color w:val="auto"/>
              </w:rPr>
              <w:t>Interest expense, net</w:t>
            </w:r>
          </w:p>
        </w:tc>
        <w:tc>
          <w:tcPr>
            <w:tcW w:w="640" w:type="dxa"/>
            <w:vAlign w:val="bottom"/>
          </w:tcPr>
          <w:p>
            <w:pPr>
              <w:spacing w:after="0"/>
              <w:rPr>
                <w:sz w:val="11"/>
                <w:szCs w:val="11"/>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(128)</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(63)</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(58)</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(100)</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(161)</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(510)</w:t>
            </w:r>
          </w:p>
        </w:tc>
      </w:tr>
      <w:tr>
        <w:trPr>
          <w:trHeight w:val="135"/>
        </w:trPr>
        <w:tc>
          <w:tcPr>
            <w:tcW w:w="50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9"/>
                <w:szCs w:val="9"/>
                <w:color w:val="auto"/>
              </w:rPr>
              <w:t>Other, net</w:t>
            </w:r>
          </w:p>
        </w:tc>
        <w:tc>
          <w:tcPr>
            <w:tcW w:w="640" w:type="dxa"/>
            <w:vAlign w:val="bottom"/>
            <w:tcBorders>
              <w:bottom w:val="single" w:sz="8" w:color="auto"/>
            </w:tcBorders>
            <w:shd w:val="clear" w:color="auto" w:fill="CCEEFF"/>
          </w:tcPr>
          <w:p>
            <w:pPr>
              <w:spacing w:after="0"/>
              <w:rPr>
                <w:sz w:val="11"/>
                <w:szCs w:val="11"/>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21</w:t>
            </w:r>
          </w:p>
        </w:tc>
        <w:tc>
          <w:tcPr>
            <w:tcW w:w="100" w:type="dxa"/>
            <w:vAlign w:val="bottom"/>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spacing w:after="0"/>
              <w:rPr>
                <w:sz w:val="11"/>
                <w:szCs w:val="11"/>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w:t>
            </w:r>
          </w:p>
        </w:tc>
        <w:tc>
          <w:tcPr>
            <w:tcW w:w="100" w:type="dxa"/>
            <w:vAlign w:val="bottom"/>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spacing w:after="0"/>
              <w:rPr>
                <w:sz w:val="11"/>
                <w:szCs w:val="11"/>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9</w:t>
            </w:r>
          </w:p>
        </w:tc>
        <w:tc>
          <w:tcPr>
            <w:tcW w:w="80" w:type="dxa"/>
            <w:vAlign w:val="bottom"/>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spacing w:after="0"/>
              <w:rPr>
                <w:sz w:val="11"/>
                <w:szCs w:val="1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19</w:t>
            </w:r>
          </w:p>
        </w:tc>
        <w:tc>
          <w:tcPr>
            <w:tcW w:w="8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w:t>
            </w:r>
          </w:p>
        </w:tc>
        <w:tc>
          <w:tcPr>
            <w:tcW w:w="80" w:type="dxa"/>
            <w:vAlign w:val="bottom"/>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spacing w:after="0"/>
              <w:rPr>
                <w:sz w:val="11"/>
                <w:szCs w:val="1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52</w:t>
            </w:r>
          </w:p>
        </w:tc>
      </w:tr>
      <w:tr>
        <w:trPr>
          <w:trHeight w:val="124"/>
        </w:trPr>
        <w:tc>
          <w:tcPr>
            <w:tcW w:w="5080" w:type="dxa"/>
            <w:vAlign w:val="bottom"/>
            <w:tcBorders>
              <w:bottom w:val="single" w:sz="8" w:color="CCEEFF"/>
            </w:tcBorders>
          </w:tcPr>
          <w:p>
            <w:pPr>
              <w:ind w:left="300"/>
              <w:spacing w:after="0"/>
              <w:rPr>
                <w:sz w:val="20"/>
                <w:szCs w:val="20"/>
                <w:color w:val="auto"/>
              </w:rPr>
            </w:pPr>
            <w:r>
              <w:rPr>
                <w:rFonts w:ascii="Times New Roman" w:cs="Times New Roman" w:eastAsia="Times New Roman" w:hAnsi="Times New Roman"/>
                <w:sz w:val="9"/>
                <w:szCs w:val="9"/>
                <w:b w:val="1"/>
                <w:bCs w:val="1"/>
                <w:color w:val="auto"/>
              </w:rPr>
              <w:t>Total other income and (deductions)</w:t>
            </w:r>
          </w:p>
        </w:tc>
        <w:tc>
          <w:tcPr>
            <w:tcW w:w="64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(107)</w:t>
            </w:r>
          </w:p>
        </w:tc>
        <w:tc>
          <w:tcPr>
            <w:tcW w:w="100" w:type="dxa"/>
            <w:vAlign w:val="bottom"/>
            <w:tcBorders>
              <w:bottom w:val="single" w:sz="8" w:color="CCEEFF"/>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(55)</w:t>
            </w:r>
          </w:p>
        </w:tc>
        <w:tc>
          <w:tcPr>
            <w:tcW w:w="100" w:type="dxa"/>
            <w:vAlign w:val="bottom"/>
            <w:tcBorders>
              <w:bottom w:val="single" w:sz="8" w:color="CCEEFF"/>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(49)</w:t>
            </w:r>
          </w:p>
        </w:tc>
        <w:tc>
          <w:tcPr>
            <w:tcW w:w="80" w:type="dxa"/>
            <w:vAlign w:val="bottom"/>
            <w:tcBorders>
              <w:bottom w:val="single" w:sz="8" w:color="CCEEFF"/>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(81)</w:t>
            </w:r>
          </w:p>
        </w:tc>
        <w:tc>
          <w:tcPr>
            <w:tcW w:w="80" w:type="dxa"/>
            <w:vAlign w:val="bottom"/>
            <w:tcBorders>
              <w:bottom w:val="single" w:sz="8" w:color="CCEEFF"/>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(166)</w:t>
            </w:r>
          </w:p>
        </w:tc>
        <w:tc>
          <w:tcPr>
            <w:tcW w:w="80" w:type="dxa"/>
            <w:vAlign w:val="bottom"/>
            <w:tcBorders>
              <w:bottom w:val="single" w:sz="8" w:color="CCEEFF"/>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(458)</w:t>
            </w:r>
          </w:p>
        </w:tc>
      </w:tr>
      <w:tr>
        <w:trPr>
          <w:trHeight w:val="129"/>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9"/>
                <w:szCs w:val="9"/>
                <w:b w:val="1"/>
                <w:bCs w:val="1"/>
                <w:color w:val="auto"/>
              </w:rPr>
              <w:t>Income (loss) before income taxes</w:t>
            </w:r>
          </w:p>
        </w:tc>
        <w:tc>
          <w:tcPr>
            <w:tcW w:w="640" w:type="dxa"/>
            <w:vAlign w:val="bottom"/>
            <w:shd w:val="clear" w:color="auto" w:fill="CCEEFF"/>
          </w:tcPr>
          <w:p>
            <w:pPr>
              <w:spacing w:after="0"/>
              <w:rPr>
                <w:sz w:val="11"/>
                <w:szCs w:val="11"/>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367</w:t>
            </w: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280</w:t>
            </w: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331</w:t>
            </w: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251</w:t>
            </w: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(151)</w:t>
            </w: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1,078</w:t>
            </w:r>
          </w:p>
        </w:tc>
      </w:tr>
      <w:tr>
        <w:trPr>
          <w:trHeight w:val="130"/>
        </w:trPr>
        <w:tc>
          <w:tcPr>
            <w:tcW w:w="50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9"/>
                <w:szCs w:val="9"/>
                <w:b w:val="1"/>
                <w:bCs w:val="1"/>
                <w:color w:val="auto"/>
              </w:rPr>
              <w:t>Income taxes</w:t>
            </w:r>
          </w:p>
        </w:tc>
        <w:tc>
          <w:tcPr>
            <w:tcW w:w="64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65</w:t>
            </w:r>
          </w:p>
        </w:tc>
        <w:tc>
          <w:tcPr>
            <w:tcW w:w="100" w:type="dxa"/>
            <w:vAlign w:val="bottom"/>
            <w:tcBorders>
              <w:bottom w:val="single" w:sz="8" w:color="CCEEFF"/>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14</w:t>
            </w:r>
          </w:p>
        </w:tc>
        <w:tc>
          <w:tcPr>
            <w:tcW w:w="100" w:type="dxa"/>
            <w:vAlign w:val="bottom"/>
            <w:tcBorders>
              <w:bottom w:val="single" w:sz="8" w:color="CCEEFF"/>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71</w:t>
            </w:r>
          </w:p>
        </w:tc>
        <w:tc>
          <w:tcPr>
            <w:tcW w:w="8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57</w:t>
            </w:r>
          </w:p>
        </w:tc>
        <w:tc>
          <w:tcPr>
            <w:tcW w:w="8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(37)</w:t>
            </w:r>
          </w:p>
        </w:tc>
        <w:tc>
          <w:tcPr>
            <w:tcW w:w="8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170</w:t>
            </w:r>
          </w:p>
        </w:tc>
      </w:tr>
      <w:tr>
        <w:trPr>
          <w:trHeight w:val="145"/>
        </w:trPr>
        <w:tc>
          <w:tcPr>
            <w:tcW w:w="50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9"/>
                <w:szCs w:val="9"/>
                <w:b w:val="1"/>
                <w:bCs w:val="1"/>
                <w:color w:val="auto"/>
              </w:rPr>
              <w:t>Net income (loss) attributable to common shareholders</w:t>
            </w:r>
          </w:p>
        </w:tc>
        <w:tc>
          <w:tcPr>
            <w:tcW w:w="640" w:type="dxa"/>
            <w:vAlign w:val="bottom"/>
            <w:tcBorders>
              <w:bottom w:val="single" w:sz="8" w:color="auto"/>
            </w:tcBorders>
            <w:shd w:val="clear" w:color="auto" w:fill="CCEEFF"/>
          </w:tcPr>
          <w:p>
            <w:pPr>
              <w:jc w:val="right"/>
              <w:ind w:right="532"/>
              <w:spacing w:after="0"/>
              <w:rPr>
                <w:sz w:val="20"/>
                <w:szCs w:val="20"/>
                <w:color w:val="auto"/>
              </w:rPr>
            </w:pPr>
            <w:r>
              <w:rPr>
                <w:rFonts w:ascii="Times New Roman" w:cs="Times New Roman" w:eastAsia="Times New Roman" w:hAnsi="Times New Roman"/>
                <w:sz w:val="10"/>
                <w:szCs w:val="10"/>
                <w:color w:val="auto"/>
                <w:w w:val="79"/>
              </w:rPr>
              <w:t>$</w:t>
            </w: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302</w:t>
            </w:r>
          </w:p>
        </w:tc>
        <w:tc>
          <w:tcPr>
            <w:tcW w:w="10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ind w:right="512"/>
              <w:spacing w:after="0"/>
              <w:rPr>
                <w:sz w:val="20"/>
                <w:szCs w:val="20"/>
                <w:color w:val="auto"/>
              </w:rPr>
            </w:pPr>
            <w:r>
              <w:rPr>
                <w:rFonts w:ascii="Times New Roman" w:cs="Times New Roman" w:eastAsia="Times New Roman" w:hAnsi="Times New Roman"/>
                <w:sz w:val="10"/>
                <w:szCs w:val="10"/>
                <w:color w:val="auto"/>
                <w:w w:val="79"/>
              </w:rPr>
              <w:t>$</w:t>
            </w: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266</w:t>
            </w:r>
          </w:p>
        </w:tc>
        <w:tc>
          <w:tcPr>
            <w:tcW w:w="10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ind w:right="492"/>
              <w:spacing w:after="0"/>
              <w:rPr>
                <w:sz w:val="20"/>
                <w:szCs w:val="20"/>
                <w:color w:val="auto"/>
              </w:rPr>
            </w:pPr>
            <w:r>
              <w:rPr>
                <w:rFonts w:ascii="Times New Roman" w:cs="Times New Roman" w:eastAsia="Times New Roman" w:hAnsi="Times New Roman"/>
                <w:sz w:val="10"/>
                <w:szCs w:val="10"/>
                <w:color w:val="auto"/>
                <w:w w:val="79"/>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260</w:t>
            </w:r>
          </w:p>
        </w:tc>
        <w:tc>
          <w:tcPr>
            <w:tcW w:w="8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0"/>
                <w:szCs w:val="10"/>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194</w:t>
            </w:r>
          </w:p>
        </w:tc>
        <w:tc>
          <w:tcPr>
            <w:tcW w:w="8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(114)</w:t>
            </w:r>
          </w:p>
        </w:tc>
        <w:tc>
          <w:tcPr>
            <w:tcW w:w="8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0"/>
                <w:szCs w:val="10"/>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908</w:t>
            </w:r>
          </w:p>
        </w:tc>
      </w:tr>
      <w:tr>
        <w:trPr>
          <w:trHeight w:val="117"/>
        </w:trPr>
        <w:tc>
          <w:tcPr>
            <w:tcW w:w="5080" w:type="dxa"/>
            <w:vAlign w:val="bottom"/>
            <w:tcBorders>
              <w:bottom w:val="single" w:sz="8" w:color="CCEEFF"/>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r>
      <w:tr>
        <w:trPr>
          <w:trHeight w:val="144"/>
        </w:trPr>
        <w:tc>
          <w:tcPr>
            <w:tcW w:w="50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9"/>
                <w:szCs w:val="9"/>
                <w:b w:val="1"/>
                <w:bCs w:val="1"/>
                <w:color w:val="auto"/>
              </w:rPr>
              <w:t>Change in net income (loss) from 2025 to 2026</w:t>
            </w:r>
          </w:p>
        </w:tc>
        <w:tc>
          <w:tcPr>
            <w:tcW w:w="640" w:type="dxa"/>
            <w:vAlign w:val="bottom"/>
            <w:tcBorders>
              <w:bottom w:val="single" w:sz="8" w:color="auto"/>
            </w:tcBorders>
            <w:shd w:val="clear" w:color="auto" w:fill="CCEEFF"/>
          </w:tcPr>
          <w:p>
            <w:pPr>
              <w:jc w:val="right"/>
              <w:ind w:right="532"/>
              <w:spacing w:after="0"/>
              <w:rPr>
                <w:sz w:val="20"/>
                <w:szCs w:val="20"/>
                <w:color w:val="auto"/>
              </w:rPr>
            </w:pPr>
            <w:r>
              <w:rPr>
                <w:rFonts w:ascii="Times New Roman" w:cs="Times New Roman" w:eastAsia="Times New Roman" w:hAnsi="Times New Roman"/>
                <w:sz w:val="10"/>
                <w:szCs w:val="10"/>
                <w:color w:val="auto"/>
                <w:w w:val="79"/>
              </w:rPr>
              <w:t>$</w:t>
            </w: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w:t>
            </w:r>
          </w:p>
        </w:tc>
        <w:tc>
          <w:tcPr>
            <w:tcW w:w="10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ind w:right="512"/>
              <w:spacing w:after="0"/>
              <w:rPr>
                <w:sz w:val="20"/>
                <w:szCs w:val="20"/>
                <w:color w:val="auto"/>
              </w:rPr>
            </w:pPr>
            <w:r>
              <w:rPr>
                <w:rFonts w:ascii="Times New Roman" w:cs="Times New Roman" w:eastAsia="Times New Roman" w:hAnsi="Times New Roman"/>
                <w:sz w:val="10"/>
                <w:szCs w:val="10"/>
                <w:color w:val="auto"/>
                <w:w w:val="79"/>
              </w:rPr>
              <w:t>$</w:t>
            </w: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12</w:t>
            </w:r>
          </w:p>
        </w:tc>
        <w:tc>
          <w:tcPr>
            <w:tcW w:w="10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ind w:right="492"/>
              <w:spacing w:after="0"/>
              <w:rPr>
                <w:sz w:val="20"/>
                <w:szCs w:val="20"/>
                <w:color w:val="auto"/>
              </w:rPr>
            </w:pPr>
            <w:r>
              <w:rPr>
                <w:rFonts w:ascii="Times New Roman" w:cs="Times New Roman" w:eastAsia="Times New Roman" w:hAnsi="Times New Roman"/>
                <w:sz w:val="10"/>
                <w:szCs w:val="10"/>
                <w:color w:val="auto"/>
                <w:w w:val="79"/>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38</w:t>
            </w:r>
          </w:p>
        </w:tc>
        <w:tc>
          <w:tcPr>
            <w:tcW w:w="8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0"/>
                <w:szCs w:val="10"/>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(25)</w:t>
            </w:r>
          </w:p>
        </w:tc>
        <w:tc>
          <w:tcPr>
            <w:tcW w:w="8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(22)</w:t>
            </w:r>
          </w:p>
        </w:tc>
        <w:tc>
          <w:tcPr>
            <w:tcW w:w="8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0"/>
                <w:szCs w:val="10"/>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11</w:t>
            </w:r>
          </w:p>
        </w:tc>
      </w:tr>
      <w:tr>
        <w:trPr>
          <w:trHeight w:val="190"/>
        </w:trPr>
        <w:tc>
          <w:tcPr>
            <w:tcW w:w="5080" w:type="dxa"/>
            <w:vAlign w:val="bottom"/>
          </w:tcPr>
          <w:p>
            <w:pPr>
              <w:spacing w:after="0"/>
              <w:rPr>
                <w:sz w:val="20"/>
                <w:szCs w:val="20"/>
                <w:color w:val="auto"/>
              </w:rPr>
            </w:pPr>
            <w:r>
              <w:rPr>
                <w:rFonts w:ascii="Arial" w:cs="Arial" w:eastAsia="Arial" w:hAnsi="Arial"/>
                <w:sz w:val="12"/>
                <w:szCs w:val="12"/>
                <w:color w:val="auto"/>
              </w:rPr>
              <w:t>__________</w:t>
            </w:r>
          </w:p>
        </w:tc>
        <w:tc>
          <w:tcPr>
            <w:tcW w:w="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r>
    </w:tbl>
    <w:p>
      <w:pPr>
        <w:ind w:left="208" w:hanging="208"/>
        <w:spacing w:after="0" w:line="236" w:lineRule="auto"/>
        <w:tabs>
          <w:tab w:leader="none" w:pos="208" w:val="left"/>
        </w:tabs>
        <w:numPr>
          <w:ilvl w:val="0"/>
          <w:numId w:val="7"/>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Other primarily includes eliminating and consolidating adjustments, Exelon’s corporate operations, shared service entities, and other financing and investment activities.</w:t>
      </w:r>
    </w:p>
    <w:p>
      <w:pPr>
        <w:spacing w:after="0" w:line="367"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1</w:t>
      </w:r>
    </w:p>
    <w:p>
      <w:pPr>
        <w:sectPr>
          <w:pgSz w:w="11900" w:h="16838" w:orient="portrait"/>
          <w:cols w:equalWidth="0" w:num="1">
            <w:col w:w="11308"/>
          </w:cols>
          <w:pgMar w:left="292" w:top="129" w:right="29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Exelon</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Consolidated Balance Sheets</w:t>
      </w:r>
    </w:p>
    <w:p>
      <w:pPr>
        <w:spacing w:after="0" w:line="6"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2"/>
          <w:szCs w:val="12"/>
          <w:color w:val="auto"/>
        </w:rPr>
        <w:t>(unaudited)</w:t>
      </w:r>
    </w:p>
    <w:p>
      <w:pPr>
        <w:spacing w:after="0" w:line="6"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2"/>
          <w:szCs w:val="12"/>
          <w:color w:val="auto"/>
        </w:rPr>
        <w:t>(in millions)</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260" w:type="dxa"/>
            <w:vAlign w:val="bottom"/>
            <w:tcBorders>
              <w:bottom w:val="single" w:sz="8" w:color="CCEEFF"/>
            </w:tcBorders>
          </w:tcPr>
          <w:p>
            <w:pPr>
              <w:spacing w:after="0"/>
              <w:rPr>
                <w:sz w:val="11"/>
                <w:szCs w:val="11"/>
                <w:color w:val="auto"/>
              </w:rPr>
            </w:pPr>
          </w:p>
        </w:tc>
        <w:tc>
          <w:tcPr>
            <w:tcW w:w="7280" w:type="dxa"/>
            <w:vAlign w:val="bottom"/>
            <w:tcBorders>
              <w:bottom w:val="single" w:sz="8" w:color="CCEEFF"/>
            </w:tcBorders>
          </w:tcPr>
          <w:p>
            <w:pPr>
              <w:spacing w:after="0"/>
              <w:rPr>
                <w:sz w:val="11"/>
                <w:szCs w:val="11"/>
                <w:color w:val="auto"/>
              </w:rPr>
            </w:pPr>
          </w:p>
        </w:tc>
        <w:tc>
          <w:tcPr>
            <w:tcW w:w="136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0"/>
                <w:szCs w:val="10"/>
                <w:b w:val="1"/>
                <w:bCs w:val="1"/>
                <w:color w:val="auto"/>
              </w:rPr>
              <w:t>March 31, 2026</w:t>
            </w:r>
          </w:p>
        </w:tc>
        <w:tc>
          <w:tcPr>
            <w:tcW w:w="46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46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0"/>
                <w:szCs w:val="10"/>
                <w:b w:val="1"/>
                <w:bCs w:val="1"/>
                <w:color w:val="auto"/>
              </w:rPr>
              <w:t>December 31, 2025</w:t>
            </w:r>
          </w:p>
        </w:tc>
      </w:tr>
      <w:tr>
        <w:trPr>
          <w:trHeight w:val="103"/>
        </w:trPr>
        <w:tc>
          <w:tcPr>
            <w:tcW w:w="260" w:type="dxa"/>
            <w:vAlign w:val="bottom"/>
            <w:tcBorders>
              <w:bottom w:val="single" w:sz="8" w:color="auto"/>
            </w:tcBorders>
            <w:shd w:val="clear" w:color="auto" w:fill="CCEEFF"/>
          </w:tcPr>
          <w:p>
            <w:pPr>
              <w:spacing w:after="0" w:line="88" w:lineRule="exact"/>
              <w:rPr>
                <w:sz w:val="20"/>
                <w:szCs w:val="20"/>
                <w:color w:val="auto"/>
              </w:rPr>
            </w:pPr>
            <w:r>
              <w:rPr>
                <w:rFonts w:ascii="Times New Roman" w:cs="Times New Roman" w:eastAsia="Times New Roman" w:hAnsi="Times New Roman"/>
                <w:sz w:val="10"/>
                <w:szCs w:val="10"/>
                <w:b w:val="1"/>
                <w:bCs w:val="1"/>
                <w:color w:val="auto"/>
                <w:w w:val="89"/>
              </w:rPr>
              <w:t>Assets</w:t>
            </w:r>
          </w:p>
        </w:tc>
        <w:tc>
          <w:tcPr>
            <w:tcW w:w="7280" w:type="dxa"/>
            <w:vAlign w:val="bottom"/>
            <w:tcBorders>
              <w:bottom w:val="single" w:sz="8" w:color="CCEEFF"/>
            </w:tcBorders>
            <w:shd w:val="clear" w:color="auto" w:fill="CCEEFF"/>
          </w:tcPr>
          <w:p>
            <w:pPr>
              <w:spacing w:after="0"/>
              <w:rPr>
                <w:sz w:val="9"/>
                <w:szCs w:val="9"/>
                <w:color w:val="auto"/>
              </w:rPr>
            </w:pPr>
          </w:p>
        </w:tc>
        <w:tc>
          <w:tcPr>
            <w:tcW w:w="1360" w:type="dxa"/>
            <w:vAlign w:val="bottom"/>
            <w:tcBorders>
              <w:bottom w:val="single" w:sz="8" w:color="CCEEFF"/>
            </w:tcBorders>
            <w:shd w:val="clear" w:color="auto" w:fill="CCEEFF"/>
          </w:tcPr>
          <w:p>
            <w:pPr>
              <w:spacing w:after="0"/>
              <w:rPr>
                <w:sz w:val="9"/>
                <w:szCs w:val="9"/>
                <w:color w:val="auto"/>
              </w:rPr>
            </w:pPr>
          </w:p>
        </w:tc>
        <w:tc>
          <w:tcPr>
            <w:tcW w:w="460" w:type="dxa"/>
            <w:vAlign w:val="bottom"/>
            <w:tcBorders>
              <w:bottom w:val="single" w:sz="8" w:color="CCEEFF"/>
            </w:tcBorders>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380" w:type="dxa"/>
            <w:vAlign w:val="bottom"/>
            <w:tcBorders>
              <w:bottom w:val="single" w:sz="8" w:color="CCEEFF"/>
            </w:tcBorders>
            <w:shd w:val="clear" w:color="auto" w:fill="CCEEFF"/>
          </w:tcPr>
          <w:p>
            <w:pPr>
              <w:spacing w:after="0"/>
              <w:rPr>
                <w:sz w:val="9"/>
                <w:szCs w:val="9"/>
                <w:color w:val="auto"/>
              </w:rPr>
            </w:pPr>
          </w:p>
        </w:tc>
        <w:tc>
          <w:tcPr>
            <w:tcW w:w="1460" w:type="dxa"/>
            <w:vAlign w:val="bottom"/>
            <w:tcBorders>
              <w:bottom w:val="single" w:sz="8" w:color="CCEEFF"/>
            </w:tcBorders>
            <w:shd w:val="clear" w:color="auto" w:fill="CCEEFF"/>
          </w:tcPr>
          <w:p>
            <w:pPr>
              <w:spacing w:after="0"/>
              <w:rPr>
                <w:sz w:val="9"/>
                <w:szCs w:val="9"/>
                <w:color w:val="auto"/>
              </w:rPr>
            </w:pPr>
          </w:p>
        </w:tc>
      </w:tr>
      <w:tr>
        <w:trPr>
          <w:trHeight w:val="130"/>
        </w:trPr>
        <w:tc>
          <w:tcPr>
            <w:tcW w:w="754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Current assets</w:t>
            </w:r>
          </w:p>
        </w:tc>
        <w:tc>
          <w:tcPr>
            <w:tcW w:w="13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60" w:type="dxa"/>
            <w:vAlign w:val="bottom"/>
          </w:tcPr>
          <w:p>
            <w:pPr>
              <w:spacing w:after="0"/>
              <w:rPr>
                <w:sz w:val="11"/>
                <w:szCs w:val="11"/>
                <w:color w:val="auto"/>
              </w:rPr>
            </w:pPr>
          </w:p>
        </w:tc>
      </w:tr>
      <w:tr>
        <w:trPr>
          <w:trHeight w:val="140"/>
        </w:trPr>
        <w:tc>
          <w:tcPr>
            <w:tcW w:w="75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0"/>
                <w:szCs w:val="10"/>
                <w:color w:val="auto"/>
              </w:rPr>
              <w:t>Cash and cash equivalents</w:t>
            </w:r>
          </w:p>
        </w:tc>
        <w:tc>
          <w:tcPr>
            <w:tcW w:w="136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713</w:t>
            </w: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626</w:t>
            </w:r>
          </w:p>
        </w:tc>
      </w:tr>
      <w:tr>
        <w:trPr>
          <w:trHeight w:val="129"/>
        </w:trPr>
        <w:tc>
          <w:tcPr>
            <w:tcW w:w="7540" w:type="dxa"/>
            <w:vAlign w:val="bottom"/>
            <w:gridSpan w:val="2"/>
          </w:tcPr>
          <w:p>
            <w:pPr>
              <w:ind w:left="80"/>
              <w:spacing w:after="0"/>
              <w:rPr>
                <w:sz w:val="20"/>
                <w:szCs w:val="20"/>
                <w:color w:val="auto"/>
              </w:rPr>
            </w:pPr>
            <w:r>
              <w:rPr>
                <w:rFonts w:ascii="Times New Roman" w:cs="Times New Roman" w:eastAsia="Times New Roman" w:hAnsi="Times New Roman"/>
                <w:sz w:val="10"/>
                <w:szCs w:val="10"/>
                <w:color w:val="auto"/>
              </w:rPr>
              <w:t>Restricted cash and cash equivalents</w:t>
            </w:r>
          </w:p>
        </w:tc>
        <w:tc>
          <w:tcPr>
            <w:tcW w:w="136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560</w:t>
            </w: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525</w:t>
            </w:r>
          </w:p>
        </w:tc>
      </w:tr>
      <w:tr>
        <w:trPr>
          <w:trHeight w:val="141"/>
        </w:trPr>
        <w:tc>
          <w:tcPr>
            <w:tcW w:w="75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0"/>
                <w:szCs w:val="10"/>
                <w:color w:val="auto"/>
              </w:rPr>
              <w:t>Accounts receivable</w:t>
            </w:r>
          </w:p>
        </w:tc>
        <w:tc>
          <w:tcPr>
            <w:tcW w:w="13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r>
      <w:tr>
        <w:trPr>
          <w:trHeight w:val="129"/>
        </w:trPr>
        <w:tc>
          <w:tcPr>
            <w:tcW w:w="7540" w:type="dxa"/>
            <w:vAlign w:val="bottom"/>
            <w:gridSpan w:val="2"/>
          </w:tcPr>
          <w:p>
            <w:pPr>
              <w:ind w:left="220"/>
              <w:spacing w:after="0"/>
              <w:rPr>
                <w:sz w:val="20"/>
                <w:szCs w:val="20"/>
                <w:color w:val="auto"/>
              </w:rPr>
            </w:pPr>
            <w:r>
              <w:rPr>
                <w:rFonts w:ascii="Times New Roman" w:cs="Times New Roman" w:eastAsia="Times New Roman" w:hAnsi="Times New Roman"/>
                <w:sz w:val="10"/>
                <w:szCs w:val="10"/>
                <w:color w:val="auto"/>
              </w:rPr>
              <w:t>Customer accounts receivable</w:t>
            </w:r>
          </w:p>
        </w:tc>
        <w:tc>
          <w:tcPr>
            <w:tcW w:w="1360" w:type="dxa"/>
            <w:vAlign w:val="bottom"/>
          </w:tcPr>
          <w:p>
            <w:pPr>
              <w:spacing w:after="0"/>
              <w:rPr>
                <w:sz w:val="20"/>
                <w:szCs w:val="20"/>
                <w:color w:val="auto"/>
              </w:rPr>
            </w:pPr>
            <w:r>
              <w:rPr>
                <w:rFonts w:ascii="Times New Roman" w:cs="Times New Roman" w:eastAsia="Times New Roman" w:hAnsi="Times New Roman"/>
                <w:sz w:val="10"/>
                <w:szCs w:val="10"/>
                <w:color w:val="auto"/>
              </w:rPr>
              <w:t>3,636</w:t>
            </w: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3,732</w:t>
            </w:r>
          </w:p>
        </w:tc>
        <w:tc>
          <w:tcPr>
            <w:tcW w:w="1460" w:type="dxa"/>
            <w:vAlign w:val="bottom"/>
          </w:tcPr>
          <w:p>
            <w:pPr>
              <w:spacing w:after="0"/>
              <w:rPr>
                <w:sz w:val="11"/>
                <w:szCs w:val="11"/>
                <w:color w:val="auto"/>
              </w:rPr>
            </w:pPr>
          </w:p>
        </w:tc>
      </w:tr>
      <w:tr>
        <w:trPr>
          <w:trHeight w:val="141"/>
        </w:trPr>
        <w:tc>
          <w:tcPr>
            <w:tcW w:w="75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0"/>
                <w:szCs w:val="10"/>
                <w:color w:val="auto"/>
              </w:rPr>
              <w:t>Customer allowance for credit losses</w:t>
            </w:r>
          </w:p>
        </w:tc>
        <w:tc>
          <w:tcPr>
            <w:tcW w:w="13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0"/>
                <w:szCs w:val="10"/>
                <w:color w:val="auto"/>
              </w:rPr>
              <w:t>(522)</w:t>
            </w:r>
          </w:p>
        </w:tc>
        <w:tc>
          <w:tcPr>
            <w:tcW w:w="460" w:type="dxa"/>
            <w:vAlign w:val="bottom"/>
            <w:tcBorders>
              <w:bottom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(435)</w:t>
            </w:r>
          </w:p>
        </w:tc>
        <w:tc>
          <w:tcPr>
            <w:tcW w:w="1460" w:type="dxa"/>
            <w:vAlign w:val="bottom"/>
            <w:tcBorders>
              <w:bottom w:val="single" w:sz="8" w:color="auto"/>
            </w:tcBorders>
            <w:shd w:val="clear" w:color="auto" w:fill="CCEEFF"/>
          </w:tcPr>
          <w:p>
            <w:pPr>
              <w:spacing w:after="0"/>
              <w:rPr>
                <w:sz w:val="12"/>
                <w:szCs w:val="12"/>
                <w:color w:val="auto"/>
              </w:rPr>
            </w:pPr>
          </w:p>
        </w:tc>
      </w:tr>
      <w:tr>
        <w:trPr>
          <w:trHeight w:val="118"/>
        </w:trPr>
        <w:tc>
          <w:tcPr>
            <w:tcW w:w="260" w:type="dxa"/>
            <w:vAlign w:val="bottom"/>
          </w:tcPr>
          <w:p>
            <w:pPr>
              <w:spacing w:after="0"/>
              <w:rPr>
                <w:sz w:val="10"/>
                <w:szCs w:val="10"/>
                <w:color w:val="auto"/>
              </w:rPr>
            </w:pPr>
          </w:p>
        </w:tc>
        <w:tc>
          <w:tcPr>
            <w:tcW w:w="7280" w:type="dxa"/>
            <w:vAlign w:val="bottom"/>
          </w:tcPr>
          <w:p>
            <w:pPr>
              <w:ind w:left="100"/>
              <w:spacing w:after="0" w:line="107" w:lineRule="exact"/>
              <w:rPr>
                <w:sz w:val="20"/>
                <w:szCs w:val="20"/>
                <w:color w:val="auto"/>
              </w:rPr>
            </w:pPr>
            <w:r>
              <w:rPr>
                <w:rFonts w:ascii="Times New Roman" w:cs="Times New Roman" w:eastAsia="Times New Roman" w:hAnsi="Times New Roman"/>
                <w:sz w:val="10"/>
                <w:szCs w:val="10"/>
                <w:color w:val="auto"/>
              </w:rPr>
              <w:t>Customer accounts receivable, net</w:t>
            </w:r>
          </w:p>
        </w:tc>
        <w:tc>
          <w:tcPr>
            <w:tcW w:w="1360" w:type="dxa"/>
            <w:vAlign w:val="bottom"/>
          </w:tcPr>
          <w:p>
            <w:pPr>
              <w:spacing w:after="0"/>
              <w:rPr>
                <w:sz w:val="10"/>
                <w:szCs w:val="1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3,114</w:t>
            </w: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3,297</w:t>
            </w:r>
          </w:p>
        </w:tc>
      </w:tr>
      <w:tr>
        <w:trPr>
          <w:trHeight w:val="141"/>
        </w:trPr>
        <w:tc>
          <w:tcPr>
            <w:tcW w:w="75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0"/>
                <w:szCs w:val="10"/>
                <w:color w:val="auto"/>
              </w:rPr>
              <w:t>Other accounts receivable</w:t>
            </w:r>
          </w:p>
        </w:tc>
        <w:tc>
          <w:tcPr>
            <w:tcW w:w="136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1,680</w:t>
            </w: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1,879</w:t>
            </w:r>
          </w:p>
        </w:tc>
        <w:tc>
          <w:tcPr>
            <w:tcW w:w="1460" w:type="dxa"/>
            <w:vAlign w:val="bottom"/>
            <w:shd w:val="clear" w:color="auto" w:fill="CCEEFF"/>
          </w:tcPr>
          <w:p>
            <w:pPr>
              <w:spacing w:after="0"/>
              <w:rPr>
                <w:sz w:val="12"/>
                <w:szCs w:val="12"/>
                <w:color w:val="auto"/>
              </w:rPr>
            </w:pPr>
          </w:p>
        </w:tc>
      </w:tr>
      <w:tr>
        <w:trPr>
          <w:trHeight w:val="129"/>
        </w:trPr>
        <w:tc>
          <w:tcPr>
            <w:tcW w:w="754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0"/>
                <w:szCs w:val="10"/>
                <w:color w:val="auto"/>
              </w:rPr>
              <w:t>Other allowance for credit losses</w:t>
            </w:r>
          </w:p>
        </w:tc>
        <w:tc>
          <w:tcPr>
            <w:tcW w:w="1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0"/>
                <w:szCs w:val="10"/>
                <w:color w:val="auto"/>
              </w:rPr>
              <w:t>(102)</w:t>
            </w:r>
          </w:p>
        </w:tc>
        <w:tc>
          <w:tcPr>
            <w:tcW w:w="46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0"/>
                <w:szCs w:val="10"/>
                <w:color w:val="auto"/>
              </w:rPr>
              <w:t>(94)</w:t>
            </w:r>
          </w:p>
        </w:tc>
        <w:tc>
          <w:tcPr>
            <w:tcW w:w="1460" w:type="dxa"/>
            <w:vAlign w:val="bottom"/>
            <w:tcBorders>
              <w:bottom w:val="single" w:sz="8" w:color="auto"/>
            </w:tcBorders>
          </w:tcPr>
          <w:p>
            <w:pPr>
              <w:spacing w:after="0"/>
              <w:rPr>
                <w:sz w:val="11"/>
                <w:szCs w:val="11"/>
                <w:color w:val="auto"/>
              </w:rPr>
            </w:pPr>
          </w:p>
        </w:tc>
      </w:tr>
      <w:tr>
        <w:trPr>
          <w:trHeight w:val="130"/>
        </w:trPr>
        <w:tc>
          <w:tcPr>
            <w:tcW w:w="260" w:type="dxa"/>
            <w:vAlign w:val="bottom"/>
            <w:shd w:val="clear" w:color="auto" w:fill="CCEEFF"/>
          </w:tcPr>
          <w:p>
            <w:pPr>
              <w:spacing w:after="0"/>
              <w:rPr>
                <w:sz w:val="11"/>
                <w:szCs w:val="11"/>
                <w:color w:val="auto"/>
              </w:rPr>
            </w:pPr>
          </w:p>
        </w:tc>
        <w:tc>
          <w:tcPr>
            <w:tcW w:w="7280" w:type="dxa"/>
            <w:vAlign w:val="bottom"/>
            <w:shd w:val="clear" w:color="auto" w:fill="CCEEFF"/>
          </w:tcPr>
          <w:p>
            <w:pPr>
              <w:ind w:left="100"/>
              <w:spacing w:after="0" w:line="113" w:lineRule="exact"/>
              <w:rPr>
                <w:sz w:val="20"/>
                <w:szCs w:val="20"/>
                <w:color w:val="auto"/>
              </w:rPr>
            </w:pPr>
            <w:r>
              <w:rPr>
                <w:rFonts w:ascii="Times New Roman" w:cs="Times New Roman" w:eastAsia="Times New Roman" w:hAnsi="Times New Roman"/>
                <w:sz w:val="10"/>
                <w:szCs w:val="10"/>
                <w:color w:val="auto"/>
              </w:rPr>
              <w:t>Other accounts receivable, net</w:t>
            </w:r>
          </w:p>
        </w:tc>
        <w:tc>
          <w:tcPr>
            <w:tcW w:w="136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1,578</w:t>
            </w: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1,785</w:t>
            </w:r>
          </w:p>
        </w:tc>
      </w:tr>
      <w:tr>
        <w:trPr>
          <w:trHeight w:val="129"/>
        </w:trPr>
        <w:tc>
          <w:tcPr>
            <w:tcW w:w="7540" w:type="dxa"/>
            <w:vAlign w:val="bottom"/>
            <w:gridSpan w:val="2"/>
          </w:tcPr>
          <w:p>
            <w:pPr>
              <w:ind w:left="80"/>
              <w:spacing w:after="0"/>
              <w:rPr>
                <w:sz w:val="20"/>
                <w:szCs w:val="20"/>
                <w:color w:val="auto"/>
              </w:rPr>
            </w:pPr>
            <w:r>
              <w:rPr>
                <w:rFonts w:ascii="Times New Roman" w:cs="Times New Roman" w:eastAsia="Times New Roman" w:hAnsi="Times New Roman"/>
                <w:sz w:val="10"/>
                <w:szCs w:val="10"/>
                <w:color w:val="auto"/>
              </w:rPr>
              <w:t>Inventories, net</w:t>
            </w:r>
          </w:p>
        </w:tc>
        <w:tc>
          <w:tcPr>
            <w:tcW w:w="13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60" w:type="dxa"/>
            <w:vAlign w:val="bottom"/>
          </w:tcPr>
          <w:p>
            <w:pPr>
              <w:spacing w:after="0"/>
              <w:rPr>
                <w:sz w:val="11"/>
                <w:szCs w:val="11"/>
                <w:color w:val="auto"/>
              </w:rPr>
            </w:pPr>
          </w:p>
        </w:tc>
      </w:tr>
      <w:tr>
        <w:trPr>
          <w:trHeight w:val="141"/>
        </w:trPr>
        <w:tc>
          <w:tcPr>
            <w:tcW w:w="75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0"/>
                <w:szCs w:val="10"/>
                <w:color w:val="auto"/>
              </w:rPr>
              <w:t>Fossil fuel</w:t>
            </w:r>
          </w:p>
        </w:tc>
        <w:tc>
          <w:tcPr>
            <w:tcW w:w="13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35</w:t>
            </w: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88</w:t>
            </w:r>
          </w:p>
        </w:tc>
      </w:tr>
      <w:tr>
        <w:trPr>
          <w:trHeight w:val="129"/>
        </w:trPr>
        <w:tc>
          <w:tcPr>
            <w:tcW w:w="7540" w:type="dxa"/>
            <w:vAlign w:val="bottom"/>
            <w:gridSpan w:val="2"/>
          </w:tcPr>
          <w:p>
            <w:pPr>
              <w:ind w:left="220"/>
              <w:spacing w:after="0"/>
              <w:rPr>
                <w:sz w:val="20"/>
                <w:szCs w:val="20"/>
                <w:color w:val="auto"/>
              </w:rPr>
            </w:pPr>
            <w:r>
              <w:rPr>
                <w:rFonts w:ascii="Times New Roman" w:cs="Times New Roman" w:eastAsia="Times New Roman" w:hAnsi="Times New Roman"/>
                <w:sz w:val="10"/>
                <w:szCs w:val="10"/>
                <w:color w:val="auto"/>
              </w:rPr>
              <w:t>Materials and supplies</w:t>
            </w:r>
          </w:p>
        </w:tc>
        <w:tc>
          <w:tcPr>
            <w:tcW w:w="136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811</w:t>
            </w: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780</w:t>
            </w:r>
          </w:p>
        </w:tc>
      </w:tr>
      <w:tr>
        <w:trPr>
          <w:trHeight w:val="141"/>
        </w:trPr>
        <w:tc>
          <w:tcPr>
            <w:tcW w:w="75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0"/>
                <w:szCs w:val="10"/>
                <w:color w:val="auto"/>
              </w:rPr>
              <w:t>Regulatory assets</w:t>
            </w:r>
          </w:p>
        </w:tc>
        <w:tc>
          <w:tcPr>
            <w:tcW w:w="13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1,373</w:t>
            </w: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1,359</w:t>
            </w:r>
          </w:p>
        </w:tc>
      </w:tr>
      <w:tr>
        <w:trPr>
          <w:trHeight w:val="129"/>
        </w:trPr>
        <w:tc>
          <w:tcPr>
            <w:tcW w:w="7540" w:type="dxa"/>
            <w:vAlign w:val="bottom"/>
            <w:gridSpan w:val="2"/>
          </w:tcPr>
          <w:p>
            <w:pPr>
              <w:ind w:left="80"/>
              <w:spacing w:after="0"/>
              <w:rPr>
                <w:sz w:val="20"/>
                <w:szCs w:val="20"/>
                <w:color w:val="auto"/>
              </w:rPr>
            </w:pPr>
            <w:r>
              <w:rPr>
                <w:rFonts w:ascii="Times New Roman" w:cs="Times New Roman" w:eastAsia="Times New Roman" w:hAnsi="Times New Roman"/>
                <w:sz w:val="10"/>
                <w:szCs w:val="10"/>
                <w:color w:val="auto"/>
              </w:rPr>
              <w:t>Prepaid renewable energy credits</w:t>
            </w:r>
          </w:p>
        </w:tc>
        <w:tc>
          <w:tcPr>
            <w:tcW w:w="136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314</w:t>
            </w: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563</w:t>
            </w:r>
          </w:p>
        </w:tc>
      </w:tr>
      <w:tr>
        <w:trPr>
          <w:trHeight w:val="141"/>
        </w:trPr>
        <w:tc>
          <w:tcPr>
            <w:tcW w:w="75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0"/>
                <w:szCs w:val="10"/>
                <w:color w:val="auto"/>
              </w:rPr>
              <w:t>Other</w:t>
            </w:r>
          </w:p>
        </w:tc>
        <w:tc>
          <w:tcPr>
            <w:tcW w:w="1360" w:type="dxa"/>
            <w:vAlign w:val="bottom"/>
            <w:tcBorders>
              <w:bottom w:val="single" w:sz="8" w:color="auto"/>
            </w:tcBorders>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504</w:t>
            </w:r>
          </w:p>
        </w:tc>
        <w:tc>
          <w:tcPr>
            <w:tcW w:w="100" w:type="dxa"/>
            <w:vAlign w:val="bottom"/>
            <w:shd w:val="clear" w:color="auto" w:fill="CCEEFF"/>
          </w:tcPr>
          <w:p>
            <w:pPr>
              <w:spacing w:after="0"/>
              <w:rPr>
                <w:sz w:val="12"/>
                <w:szCs w:val="12"/>
                <w:color w:val="auto"/>
              </w:rPr>
            </w:pPr>
          </w:p>
        </w:tc>
        <w:tc>
          <w:tcPr>
            <w:tcW w:w="380" w:type="dxa"/>
            <w:vAlign w:val="bottom"/>
            <w:tcBorders>
              <w:bottom w:val="single" w:sz="8" w:color="auto"/>
            </w:tcBorders>
            <w:shd w:val="clear" w:color="auto" w:fill="CCEEFF"/>
          </w:tcPr>
          <w:p>
            <w:pPr>
              <w:spacing w:after="0"/>
              <w:rPr>
                <w:sz w:val="12"/>
                <w:szCs w:val="12"/>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523</w:t>
            </w:r>
          </w:p>
        </w:tc>
      </w:tr>
      <w:tr>
        <w:trPr>
          <w:trHeight w:val="118"/>
        </w:trPr>
        <w:tc>
          <w:tcPr>
            <w:tcW w:w="7540" w:type="dxa"/>
            <w:vAlign w:val="bottom"/>
            <w:tcBorders>
              <w:bottom w:val="single" w:sz="8" w:color="CCEEFF"/>
            </w:tcBorders>
            <w:gridSpan w:val="2"/>
          </w:tcPr>
          <w:p>
            <w:pPr>
              <w:ind w:left="220"/>
              <w:spacing w:after="0" w:line="107" w:lineRule="exact"/>
              <w:rPr>
                <w:sz w:val="20"/>
                <w:szCs w:val="20"/>
                <w:color w:val="auto"/>
              </w:rPr>
            </w:pPr>
            <w:r>
              <w:rPr>
                <w:rFonts w:ascii="Times New Roman" w:cs="Times New Roman" w:eastAsia="Times New Roman" w:hAnsi="Times New Roman"/>
                <w:sz w:val="10"/>
                <w:szCs w:val="10"/>
                <w:b w:val="1"/>
                <w:bCs w:val="1"/>
                <w:color w:val="auto"/>
              </w:rPr>
              <w:t>Total current assets</w:t>
            </w:r>
          </w:p>
        </w:tc>
        <w:tc>
          <w:tcPr>
            <w:tcW w:w="136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9,002</w:t>
            </w:r>
          </w:p>
        </w:tc>
        <w:tc>
          <w:tcPr>
            <w:tcW w:w="100" w:type="dxa"/>
            <w:vAlign w:val="bottom"/>
            <w:tcBorders>
              <w:bottom w:val="single" w:sz="8" w:color="CCEEFF"/>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9,546</w:t>
            </w:r>
          </w:p>
        </w:tc>
      </w:tr>
      <w:tr>
        <w:trPr>
          <w:trHeight w:val="130"/>
        </w:trPr>
        <w:tc>
          <w:tcPr>
            <w:tcW w:w="7540" w:type="dxa"/>
            <w:vAlign w:val="bottom"/>
            <w:gridSpan w:val="2"/>
            <w:shd w:val="clear" w:color="auto" w:fill="CCEEFF"/>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Property, plant, and equipment, net</w:t>
            </w:r>
          </w:p>
        </w:tc>
        <w:tc>
          <w:tcPr>
            <w:tcW w:w="136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85,564</w:t>
            </w: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84,318</w:t>
            </w:r>
          </w:p>
        </w:tc>
      </w:tr>
      <w:tr>
        <w:trPr>
          <w:trHeight w:val="130"/>
        </w:trPr>
        <w:tc>
          <w:tcPr>
            <w:tcW w:w="754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Deferred debits and other assets</w:t>
            </w:r>
          </w:p>
        </w:tc>
        <w:tc>
          <w:tcPr>
            <w:tcW w:w="13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60" w:type="dxa"/>
            <w:vAlign w:val="bottom"/>
          </w:tcPr>
          <w:p>
            <w:pPr>
              <w:spacing w:after="0"/>
              <w:rPr>
                <w:sz w:val="11"/>
                <w:szCs w:val="11"/>
                <w:color w:val="auto"/>
              </w:rPr>
            </w:pPr>
          </w:p>
        </w:tc>
      </w:tr>
      <w:tr>
        <w:trPr>
          <w:trHeight w:val="140"/>
        </w:trPr>
        <w:tc>
          <w:tcPr>
            <w:tcW w:w="75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0"/>
                <w:szCs w:val="10"/>
                <w:color w:val="auto"/>
              </w:rPr>
              <w:t>Regulatory assets</w:t>
            </w:r>
          </w:p>
        </w:tc>
        <w:tc>
          <w:tcPr>
            <w:tcW w:w="13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9,322</w:t>
            </w: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9,214</w:t>
            </w:r>
          </w:p>
        </w:tc>
      </w:tr>
      <w:tr>
        <w:trPr>
          <w:trHeight w:val="129"/>
        </w:trPr>
        <w:tc>
          <w:tcPr>
            <w:tcW w:w="7540" w:type="dxa"/>
            <w:vAlign w:val="bottom"/>
            <w:gridSpan w:val="2"/>
          </w:tcPr>
          <w:p>
            <w:pPr>
              <w:ind w:left="80"/>
              <w:spacing w:after="0"/>
              <w:rPr>
                <w:sz w:val="20"/>
                <w:szCs w:val="20"/>
                <w:color w:val="auto"/>
              </w:rPr>
            </w:pPr>
            <w:r>
              <w:rPr>
                <w:rFonts w:ascii="Times New Roman" w:cs="Times New Roman" w:eastAsia="Times New Roman" w:hAnsi="Times New Roman"/>
                <w:sz w:val="10"/>
                <w:szCs w:val="10"/>
                <w:color w:val="auto"/>
              </w:rPr>
              <w:t>Goodwill</w:t>
            </w:r>
          </w:p>
        </w:tc>
        <w:tc>
          <w:tcPr>
            <w:tcW w:w="136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6,630</w:t>
            </w: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6,630</w:t>
            </w:r>
          </w:p>
        </w:tc>
      </w:tr>
      <w:tr>
        <w:trPr>
          <w:trHeight w:val="141"/>
        </w:trPr>
        <w:tc>
          <w:tcPr>
            <w:tcW w:w="75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0"/>
                <w:szCs w:val="10"/>
                <w:color w:val="auto"/>
              </w:rPr>
              <w:t>Receivable related to Regulatory Agreement Units</w:t>
            </w:r>
          </w:p>
        </w:tc>
        <w:tc>
          <w:tcPr>
            <w:tcW w:w="13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4,830</w:t>
            </w: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4,755</w:t>
            </w:r>
          </w:p>
        </w:tc>
      </w:tr>
      <w:tr>
        <w:trPr>
          <w:trHeight w:val="129"/>
        </w:trPr>
        <w:tc>
          <w:tcPr>
            <w:tcW w:w="7540" w:type="dxa"/>
            <w:vAlign w:val="bottom"/>
            <w:gridSpan w:val="2"/>
          </w:tcPr>
          <w:p>
            <w:pPr>
              <w:ind w:left="80"/>
              <w:spacing w:after="0"/>
              <w:rPr>
                <w:sz w:val="20"/>
                <w:szCs w:val="20"/>
                <w:color w:val="auto"/>
              </w:rPr>
            </w:pPr>
            <w:r>
              <w:rPr>
                <w:rFonts w:ascii="Times New Roman" w:cs="Times New Roman" w:eastAsia="Times New Roman" w:hAnsi="Times New Roman"/>
                <w:sz w:val="10"/>
                <w:szCs w:val="10"/>
                <w:color w:val="auto"/>
              </w:rPr>
              <w:t>Investments</w:t>
            </w:r>
          </w:p>
        </w:tc>
        <w:tc>
          <w:tcPr>
            <w:tcW w:w="136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317</w:t>
            </w: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312</w:t>
            </w:r>
          </w:p>
        </w:tc>
      </w:tr>
      <w:tr>
        <w:trPr>
          <w:trHeight w:val="141"/>
        </w:trPr>
        <w:tc>
          <w:tcPr>
            <w:tcW w:w="75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0"/>
                <w:szCs w:val="10"/>
                <w:color w:val="auto"/>
              </w:rPr>
              <w:t>Other</w:t>
            </w:r>
          </w:p>
        </w:tc>
        <w:tc>
          <w:tcPr>
            <w:tcW w:w="1360" w:type="dxa"/>
            <w:vAlign w:val="bottom"/>
            <w:tcBorders>
              <w:bottom w:val="single" w:sz="8" w:color="auto"/>
            </w:tcBorders>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1,880</w:t>
            </w:r>
          </w:p>
        </w:tc>
        <w:tc>
          <w:tcPr>
            <w:tcW w:w="100" w:type="dxa"/>
            <w:vAlign w:val="bottom"/>
            <w:shd w:val="clear" w:color="auto" w:fill="CCEEFF"/>
          </w:tcPr>
          <w:p>
            <w:pPr>
              <w:spacing w:after="0"/>
              <w:rPr>
                <w:sz w:val="12"/>
                <w:szCs w:val="12"/>
                <w:color w:val="auto"/>
              </w:rPr>
            </w:pPr>
          </w:p>
        </w:tc>
        <w:tc>
          <w:tcPr>
            <w:tcW w:w="380" w:type="dxa"/>
            <w:vAlign w:val="bottom"/>
            <w:tcBorders>
              <w:bottom w:val="single" w:sz="8" w:color="auto"/>
            </w:tcBorders>
            <w:shd w:val="clear" w:color="auto" w:fill="CCEEFF"/>
          </w:tcPr>
          <w:p>
            <w:pPr>
              <w:spacing w:after="0"/>
              <w:rPr>
                <w:sz w:val="12"/>
                <w:szCs w:val="12"/>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1,795</w:t>
            </w:r>
          </w:p>
        </w:tc>
      </w:tr>
      <w:tr>
        <w:trPr>
          <w:trHeight w:val="118"/>
        </w:trPr>
        <w:tc>
          <w:tcPr>
            <w:tcW w:w="7540" w:type="dxa"/>
            <w:vAlign w:val="bottom"/>
            <w:tcBorders>
              <w:bottom w:val="single" w:sz="8" w:color="CCEEFF"/>
            </w:tcBorders>
            <w:gridSpan w:val="2"/>
          </w:tcPr>
          <w:p>
            <w:pPr>
              <w:ind w:left="220"/>
              <w:spacing w:after="0" w:line="107" w:lineRule="exact"/>
              <w:rPr>
                <w:sz w:val="20"/>
                <w:szCs w:val="20"/>
                <w:color w:val="auto"/>
              </w:rPr>
            </w:pPr>
            <w:r>
              <w:rPr>
                <w:rFonts w:ascii="Times New Roman" w:cs="Times New Roman" w:eastAsia="Times New Roman" w:hAnsi="Times New Roman"/>
                <w:sz w:val="10"/>
                <w:szCs w:val="10"/>
                <w:b w:val="1"/>
                <w:bCs w:val="1"/>
                <w:color w:val="auto"/>
              </w:rPr>
              <w:t>Total deferred debits and other assets</w:t>
            </w:r>
          </w:p>
        </w:tc>
        <w:tc>
          <w:tcPr>
            <w:tcW w:w="136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22,979</w:t>
            </w:r>
          </w:p>
        </w:tc>
        <w:tc>
          <w:tcPr>
            <w:tcW w:w="100" w:type="dxa"/>
            <w:vAlign w:val="bottom"/>
            <w:tcBorders>
              <w:bottom w:val="single" w:sz="8" w:color="CCEEFF"/>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22,706</w:t>
            </w:r>
          </w:p>
        </w:tc>
      </w:tr>
      <w:tr>
        <w:trPr>
          <w:trHeight w:val="146"/>
        </w:trPr>
        <w:tc>
          <w:tcPr>
            <w:tcW w:w="75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0"/>
                <w:szCs w:val="10"/>
                <w:b w:val="1"/>
                <w:bCs w:val="1"/>
                <w:color w:val="auto"/>
              </w:rPr>
              <w:t>Total assets</w:t>
            </w:r>
          </w:p>
        </w:tc>
        <w:tc>
          <w:tcPr>
            <w:tcW w:w="13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0"/>
                <w:szCs w:val="10"/>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117,545</w:t>
            </w:r>
          </w:p>
        </w:tc>
        <w:tc>
          <w:tcPr>
            <w:tcW w:w="100" w:type="dxa"/>
            <w:vAlign w:val="bottom"/>
            <w:tcBorders>
              <w:bottom w:val="single" w:sz="8" w:color="CCEEFF"/>
            </w:tcBorders>
            <w:shd w:val="clear" w:color="auto" w:fill="CCEEFF"/>
          </w:tcPr>
          <w:p>
            <w:pPr>
              <w:spacing w:after="0"/>
              <w:rPr>
                <w:sz w:val="12"/>
                <w:szCs w:val="12"/>
                <w:color w:val="auto"/>
              </w:rPr>
            </w:pPr>
          </w:p>
        </w:tc>
        <w:tc>
          <w:tcPr>
            <w:tcW w:w="3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116,570</w:t>
            </w:r>
          </w:p>
        </w:tc>
      </w:tr>
    </w:tbl>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w:t>
      </w:r>
    </w:p>
    <w:p>
      <w:pPr>
        <w:sectPr>
          <w:pgSz w:w="11900" w:h="16838" w:orient="portrait"/>
          <w:cols w:equalWidth="0" w:num="1">
            <w:col w:w="11300"/>
          </w:cols>
          <w:pgMar w:left="300" w:top="129" w:right="29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1460" w:type="dxa"/>
            <w:vAlign w:val="bottom"/>
            <w:tcBorders>
              <w:bottom w:val="single" w:sz="8" w:color="CCEEFF"/>
            </w:tcBorders>
          </w:tcPr>
          <w:p>
            <w:pPr>
              <w:spacing w:after="0"/>
              <w:rPr>
                <w:sz w:val="11"/>
                <w:szCs w:val="11"/>
                <w:color w:val="auto"/>
              </w:rPr>
            </w:pPr>
          </w:p>
        </w:tc>
        <w:tc>
          <w:tcPr>
            <w:tcW w:w="6080" w:type="dxa"/>
            <w:vAlign w:val="bottom"/>
            <w:tcBorders>
              <w:bottom w:val="single" w:sz="8" w:color="CCEEFF"/>
            </w:tcBorders>
          </w:tcPr>
          <w:p>
            <w:pPr>
              <w:spacing w:after="0"/>
              <w:rPr>
                <w:sz w:val="11"/>
                <w:szCs w:val="11"/>
                <w:color w:val="auto"/>
              </w:rPr>
            </w:pPr>
          </w:p>
        </w:tc>
        <w:tc>
          <w:tcPr>
            <w:tcW w:w="136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0"/>
                <w:szCs w:val="10"/>
                <w:b w:val="1"/>
                <w:bCs w:val="1"/>
                <w:color w:val="auto"/>
              </w:rPr>
              <w:t>March 31, 2026</w:t>
            </w:r>
          </w:p>
        </w:tc>
        <w:tc>
          <w:tcPr>
            <w:tcW w:w="46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54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0"/>
                <w:szCs w:val="10"/>
                <w:b w:val="1"/>
                <w:bCs w:val="1"/>
                <w:color w:val="auto"/>
              </w:rPr>
              <w:t>December 31, 2025</w:t>
            </w:r>
          </w:p>
        </w:tc>
      </w:tr>
      <w:tr>
        <w:trPr>
          <w:trHeight w:val="103"/>
        </w:trPr>
        <w:tc>
          <w:tcPr>
            <w:tcW w:w="1460" w:type="dxa"/>
            <w:vAlign w:val="bottom"/>
            <w:tcBorders>
              <w:bottom w:val="single" w:sz="8" w:color="auto"/>
            </w:tcBorders>
            <w:shd w:val="clear" w:color="auto" w:fill="CCEEFF"/>
          </w:tcPr>
          <w:p>
            <w:pPr>
              <w:spacing w:after="0" w:line="88" w:lineRule="exact"/>
              <w:rPr>
                <w:sz w:val="20"/>
                <w:szCs w:val="20"/>
                <w:color w:val="auto"/>
              </w:rPr>
            </w:pPr>
            <w:r>
              <w:rPr>
                <w:rFonts w:ascii="Times New Roman" w:cs="Times New Roman" w:eastAsia="Times New Roman" w:hAnsi="Times New Roman"/>
                <w:sz w:val="10"/>
                <w:szCs w:val="10"/>
                <w:b w:val="1"/>
                <w:bCs w:val="1"/>
                <w:color w:val="auto"/>
                <w:w w:val="95"/>
              </w:rPr>
              <w:t>Liabilities and shareholders’ equity</w:t>
            </w:r>
          </w:p>
        </w:tc>
        <w:tc>
          <w:tcPr>
            <w:tcW w:w="6080" w:type="dxa"/>
            <w:vAlign w:val="bottom"/>
            <w:tcBorders>
              <w:bottom w:val="single" w:sz="8" w:color="CCEEFF"/>
            </w:tcBorders>
            <w:shd w:val="clear" w:color="auto" w:fill="CCEEFF"/>
          </w:tcPr>
          <w:p>
            <w:pPr>
              <w:spacing w:after="0"/>
              <w:rPr>
                <w:sz w:val="9"/>
                <w:szCs w:val="9"/>
                <w:color w:val="auto"/>
              </w:rPr>
            </w:pPr>
          </w:p>
        </w:tc>
        <w:tc>
          <w:tcPr>
            <w:tcW w:w="1360" w:type="dxa"/>
            <w:vAlign w:val="bottom"/>
            <w:tcBorders>
              <w:bottom w:val="single" w:sz="8" w:color="CCEEFF"/>
            </w:tcBorders>
            <w:shd w:val="clear" w:color="auto" w:fill="CCEEFF"/>
          </w:tcPr>
          <w:p>
            <w:pPr>
              <w:spacing w:after="0"/>
              <w:rPr>
                <w:sz w:val="9"/>
                <w:szCs w:val="9"/>
                <w:color w:val="auto"/>
              </w:rPr>
            </w:pPr>
          </w:p>
        </w:tc>
        <w:tc>
          <w:tcPr>
            <w:tcW w:w="460" w:type="dxa"/>
            <w:vAlign w:val="bottom"/>
            <w:tcBorders>
              <w:bottom w:val="single" w:sz="8" w:color="CCEEFF"/>
            </w:tcBorders>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300" w:type="dxa"/>
            <w:vAlign w:val="bottom"/>
            <w:tcBorders>
              <w:bottom w:val="single" w:sz="8" w:color="CCEEFF"/>
            </w:tcBorders>
            <w:shd w:val="clear" w:color="auto" w:fill="CCEEFF"/>
          </w:tcPr>
          <w:p>
            <w:pPr>
              <w:spacing w:after="0"/>
              <w:rPr>
                <w:sz w:val="9"/>
                <w:szCs w:val="9"/>
                <w:color w:val="auto"/>
              </w:rPr>
            </w:pPr>
          </w:p>
        </w:tc>
        <w:tc>
          <w:tcPr>
            <w:tcW w:w="1540" w:type="dxa"/>
            <w:vAlign w:val="bottom"/>
            <w:tcBorders>
              <w:bottom w:val="single" w:sz="8" w:color="CCEEFF"/>
            </w:tcBorders>
            <w:shd w:val="clear" w:color="auto" w:fill="CCEEFF"/>
          </w:tcPr>
          <w:p>
            <w:pPr>
              <w:spacing w:after="0"/>
              <w:rPr>
                <w:sz w:val="9"/>
                <w:szCs w:val="9"/>
                <w:color w:val="auto"/>
              </w:rPr>
            </w:pPr>
          </w:p>
        </w:tc>
      </w:tr>
      <w:tr>
        <w:trPr>
          <w:trHeight w:val="130"/>
        </w:trPr>
        <w:tc>
          <w:tcPr>
            <w:tcW w:w="754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Current liabilities</w:t>
            </w:r>
          </w:p>
        </w:tc>
        <w:tc>
          <w:tcPr>
            <w:tcW w:w="13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540" w:type="dxa"/>
            <w:vAlign w:val="bottom"/>
          </w:tcPr>
          <w:p>
            <w:pPr>
              <w:spacing w:after="0"/>
              <w:rPr>
                <w:sz w:val="11"/>
                <w:szCs w:val="11"/>
                <w:color w:val="auto"/>
              </w:rPr>
            </w:pPr>
          </w:p>
        </w:tc>
      </w:tr>
      <w:tr>
        <w:trPr>
          <w:trHeight w:val="140"/>
        </w:trPr>
        <w:tc>
          <w:tcPr>
            <w:tcW w:w="75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0"/>
                <w:szCs w:val="10"/>
                <w:color w:val="auto"/>
              </w:rPr>
              <w:t>Short-term borrowings</w:t>
            </w:r>
          </w:p>
        </w:tc>
        <w:tc>
          <w:tcPr>
            <w:tcW w:w="1360" w:type="dxa"/>
            <w:vAlign w:val="bottom"/>
            <w:shd w:val="clear" w:color="auto" w:fill="CCEEFF"/>
          </w:tcPr>
          <w:p>
            <w:pPr>
              <w:jc w:val="right"/>
              <w:ind w:right="1252"/>
              <w:spacing w:after="0"/>
              <w:rPr>
                <w:sz w:val="20"/>
                <w:szCs w:val="20"/>
                <w:color w:val="auto"/>
              </w:rPr>
            </w:pPr>
            <w:r>
              <w:rPr>
                <w:rFonts w:ascii="Times New Roman" w:cs="Times New Roman" w:eastAsia="Times New Roman" w:hAnsi="Times New Roman"/>
                <w:sz w:val="10"/>
                <w:szCs w:val="10"/>
                <w:color w:val="auto"/>
                <w:w w:val="79"/>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665</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0"/>
                <w:szCs w:val="10"/>
                <w:color w:val="auto"/>
                <w:w w:val="79"/>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612</w:t>
            </w:r>
          </w:p>
        </w:tc>
      </w:tr>
      <w:tr>
        <w:trPr>
          <w:trHeight w:val="129"/>
        </w:trPr>
        <w:tc>
          <w:tcPr>
            <w:tcW w:w="7540" w:type="dxa"/>
            <w:vAlign w:val="bottom"/>
            <w:gridSpan w:val="2"/>
          </w:tcPr>
          <w:p>
            <w:pPr>
              <w:ind w:left="80"/>
              <w:spacing w:after="0"/>
              <w:rPr>
                <w:sz w:val="20"/>
                <w:szCs w:val="20"/>
                <w:color w:val="auto"/>
              </w:rPr>
            </w:pPr>
            <w:r>
              <w:rPr>
                <w:rFonts w:ascii="Times New Roman" w:cs="Times New Roman" w:eastAsia="Times New Roman" w:hAnsi="Times New Roman"/>
                <w:sz w:val="10"/>
                <w:szCs w:val="10"/>
                <w:color w:val="auto"/>
              </w:rPr>
              <w:t>Long-term debt due within one year</w:t>
            </w:r>
          </w:p>
        </w:tc>
        <w:tc>
          <w:tcPr>
            <w:tcW w:w="136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2,326</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1,665</w:t>
            </w:r>
          </w:p>
        </w:tc>
      </w:tr>
      <w:tr>
        <w:trPr>
          <w:trHeight w:val="141"/>
        </w:trPr>
        <w:tc>
          <w:tcPr>
            <w:tcW w:w="75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0"/>
                <w:szCs w:val="10"/>
                <w:color w:val="auto"/>
              </w:rPr>
              <w:t>Accounts payable</w:t>
            </w:r>
          </w:p>
        </w:tc>
        <w:tc>
          <w:tcPr>
            <w:tcW w:w="13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3,119</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3,721</w:t>
            </w:r>
          </w:p>
        </w:tc>
      </w:tr>
      <w:tr>
        <w:trPr>
          <w:trHeight w:val="129"/>
        </w:trPr>
        <w:tc>
          <w:tcPr>
            <w:tcW w:w="7540" w:type="dxa"/>
            <w:vAlign w:val="bottom"/>
            <w:gridSpan w:val="2"/>
          </w:tcPr>
          <w:p>
            <w:pPr>
              <w:ind w:left="80"/>
              <w:spacing w:after="0"/>
              <w:rPr>
                <w:sz w:val="20"/>
                <w:szCs w:val="20"/>
                <w:color w:val="auto"/>
              </w:rPr>
            </w:pPr>
            <w:r>
              <w:rPr>
                <w:rFonts w:ascii="Times New Roman" w:cs="Times New Roman" w:eastAsia="Times New Roman" w:hAnsi="Times New Roman"/>
                <w:sz w:val="10"/>
                <w:szCs w:val="10"/>
                <w:color w:val="auto"/>
              </w:rPr>
              <w:t>Accrued expenses</w:t>
            </w:r>
          </w:p>
        </w:tc>
        <w:tc>
          <w:tcPr>
            <w:tcW w:w="136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1,203</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1,582</w:t>
            </w:r>
          </w:p>
        </w:tc>
      </w:tr>
      <w:tr>
        <w:trPr>
          <w:trHeight w:val="141"/>
        </w:trPr>
        <w:tc>
          <w:tcPr>
            <w:tcW w:w="75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0"/>
                <w:szCs w:val="10"/>
                <w:color w:val="auto"/>
              </w:rPr>
              <w:t>Payables to affiliates</w:t>
            </w:r>
          </w:p>
        </w:tc>
        <w:tc>
          <w:tcPr>
            <w:tcW w:w="13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w:t>
            </w:r>
          </w:p>
        </w:tc>
      </w:tr>
      <w:tr>
        <w:trPr>
          <w:trHeight w:val="129"/>
        </w:trPr>
        <w:tc>
          <w:tcPr>
            <w:tcW w:w="7540" w:type="dxa"/>
            <w:vAlign w:val="bottom"/>
            <w:gridSpan w:val="2"/>
          </w:tcPr>
          <w:p>
            <w:pPr>
              <w:ind w:left="80"/>
              <w:spacing w:after="0"/>
              <w:rPr>
                <w:sz w:val="20"/>
                <w:szCs w:val="20"/>
                <w:color w:val="auto"/>
              </w:rPr>
            </w:pPr>
            <w:r>
              <w:rPr>
                <w:rFonts w:ascii="Times New Roman" w:cs="Times New Roman" w:eastAsia="Times New Roman" w:hAnsi="Times New Roman"/>
                <w:sz w:val="10"/>
                <w:szCs w:val="10"/>
                <w:color w:val="auto"/>
              </w:rPr>
              <w:t>Customer deposits</w:t>
            </w:r>
          </w:p>
        </w:tc>
        <w:tc>
          <w:tcPr>
            <w:tcW w:w="136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565</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533</w:t>
            </w:r>
          </w:p>
        </w:tc>
      </w:tr>
      <w:tr>
        <w:trPr>
          <w:trHeight w:val="141"/>
        </w:trPr>
        <w:tc>
          <w:tcPr>
            <w:tcW w:w="75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0"/>
                <w:szCs w:val="10"/>
                <w:color w:val="auto"/>
              </w:rPr>
              <w:t>Regulatory liabilities</w:t>
            </w:r>
          </w:p>
        </w:tc>
        <w:tc>
          <w:tcPr>
            <w:tcW w:w="13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910</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1,128</w:t>
            </w:r>
          </w:p>
        </w:tc>
      </w:tr>
      <w:tr>
        <w:trPr>
          <w:trHeight w:val="129"/>
        </w:trPr>
        <w:tc>
          <w:tcPr>
            <w:tcW w:w="7540" w:type="dxa"/>
            <w:vAlign w:val="bottom"/>
            <w:gridSpan w:val="2"/>
          </w:tcPr>
          <w:p>
            <w:pPr>
              <w:ind w:left="80"/>
              <w:spacing w:after="0"/>
              <w:rPr>
                <w:sz w:val="20"/>
                <w:szCs w:val="20"/>
                <w:color w:val="auto"/>
              </w:rPr>
            </w:pPr>
            <w:r>
              <w:rPr>
                <w:rFonts w:ascii="Times New Roman" w:cs="Times New Roman" w:eastAsia="Times New Roman" w:hAnsi="Times New Roman"/>
                <w:sz w:val="10"/>
                <w:szCs w:val="10"/>
                <w:color w:val="auto"/>
              </w:rPr>
              <w:t>Mark-to-market derivative liabilities</w:t>
            </w:r>
          </w:p>
        </w:tc>
        <w:tc>
          <w:tcPr>
            <w:tcW w:w="136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21</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30</w:t>
            </w:r>
          </w:p>
        </w:tc>
      </w:tr>
      <w:tr>
        <w:trPr>
          <w:trHeight w:val="141"/>
        </w:trPr>
        <w:tc>
          <w:tcPr>
            <w:tcW w:w="75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0"/>
                <w:szCs w:val="10"/>
                <w:color w:val="auto"/>
              </w:rPr>
              <w:t>Unamortized energy contract liabilities</w:t>
            </w:r>
          </w:p>
        </w:tc>
        <w:tc>
          <w:tcPr>
            <w:tcW w:w="13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w:t>
            </w:r>
          </w:p>
        </w:tc>
      </w:tr>
      <w:tr>
        <w:trPr>
          <w:trHeight w:val="129"/>
        </w:trPr>
        <w:tc>
          <w:tcPr>
            <w:tcW w:w="7540" w:type="dxa"/>
            <w:vAlign w:val="bottom"/>
            <w:gridSpan w:val="2"/>
          </w:tcPr>
          <w:p>
            <w:pPr>
              <w:ind w:left="80"/>
              <w:spacing w:after="0"/>
              <w:rPr>
                <w:sz w:val="20"/>
                <w:szCs w:val="20"/>
                <w:color w:val="auto"/>
              </w:rPr>
            </w:pPr>
            <w:r>
              <w:rPr>
                <w:rFonts w:ascii="Times New Roman" w:cs="Times New Roman" w:eastAsia="Times New Roman" w:hAnsi="Times New Roman"/>
                <w:sz w:val="10"/>
                <w:szCs w:val="10"/>
                <w:color w:val="auto"/>
              </w:rPr>
              <w:t>Renewable energy credit obligations</w:t>
            </w:r>
          </w:p>
        </w:tc>
        <w:tc>
          <w:tcPr>
            <w:tcW w:w="136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222</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473</w:t>
            </w:r>
          </w:p>
        </w:tc>
      </w:tr>
      <w:tr>
        <w:trPr>
          <w:trHeight w:val="141"/>
        </w:trPr>
        <w:tc>
          <w:tcPr>
            <w:tcW w:w="75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0"/>
                <w:szCs w:val="10"/>
                <w:color w:val="auto"/>
              </w:rPr>
              <w:t>Other</w:t>
            </w:r>
          </w:p>
        </w:tc>
        <w:tc>
          <w:tcPr>
            <w:tcW w:w="1360" w:type="dxa"/>
            <w:vAlign w:val="bottom"/>
            <w:tcBorders>
              <w:bottom w:val="single" w:sz="8" w:color="auto"/>
            </w:tcBorders>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547</w:t>
            </w:r>
          </w:p>
        </w:tc>
        <w:tc>
          <w:tcPr>
            <w:tcW w:w="100" w:type="dxa"/>
            <w:vAlign w:val="bottom"/>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spacing w:after="0"/>
              <w:rPr>
                <w:sz w:val="12"/>
                <w:szCs w:val="12"/>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577</w:t>
            </w:r>
          </w:p>
        </w:tc>
      </w:tr>
      <w:tr>
        <w:trPr>
          <w:trHeight w:val="118"/>
        </w:trPr>
        <w:tc>
          <w:tcPr>
            <w:tcW w:w="7540" w:type="dxa"/>
            <w:vAlign w:val="bottom"/>
            <w:tcBorders>
              <w:bottom w:val="single" w:sz="8" w:color="CCEEFF"/>
            </w:tcBorders>
            <w:gridSpan w:val="2"/>
          </w:tcPr>
          <w:p>
            <w:pPr>
              <w:ind w:left="300"/>
              <w:spacing w:after="0" w:line="107" w:lineRule="exact"/>
              <w:rPr>
                <w:sz w:val="20"/>
                <w:szCs w:val="20"/>
                <w:color w:val="auto"/>
              </w:rPr>
            </w:pPr>
            <w:r>
              <w:rPr>
                <w:rFonts w:ascii="Times New Roman" w:cs="Times New Roman" w:eastAsia="Times New Roman" w:hAnsi="Times New Roman"/>
                <w:sz w:val="10"/>
                <w:szCs w:val="10"/>
                <w:b w:val="1"/>
                <w:bCs w:val="1"/>
                <w:color w:val="auto"/>
              </w:rPr>
              <w:t>Total current liabilities</w:t>
            </w:r>
          </w:p>
        </w:tc>
        <w:tc>
          <w:tcPr>
            <w:tcW w:w="136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9,588</w:t>
            </w:r>
          </w:p>
        </w:tc>
        <w:tc>
          <w:tcPr>
            <w:tcW w:w="100" w:type="dxa"/>
            <w:vAlign w:val="bottom"/>
            <w:tcBorders>
              <w:bottom w:val="single" w:sz="8" w:color="CCEEFF"/>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10,331</w:t>
            </w:r>
          </w:p>
        </w:tc>
      </w:tr>
      <w:tr>
        <w:trPr>
          <w:trHeight w:val="130"/>
        </w:trPr>
        <w:tc>
          <w:tcPr>
            <w:tcW w:w="7540" w:type="dxa"/>
            <w:vAlign w:val="bottom"/>
            <w:gridSpan w:val="2"/>
            <w:shd w:val="clear" w:color="auto" w:fill="CCEEFF"/>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Long-term debt</w:t>
            </w:r>
          </w:p>
        </w:tc>
        <w:tc>
          <w:tcPr>
            <w:tcW w:w="136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47,859</w:t>
            </w: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47,413</w:t>
            </w:r>
          </w:p>
        </w:tc>
      </w:tr>
      <w:tr>
        <w:trPr>
          <w:trHeight w:val="130"/>
        </w:trPr>
        <w:tc>
          <w:tcPr>
            <w:tcW w:w="754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Long-term debt to financing trusts</w:t>
            </w:r>
          </w:p>
        </w:tc>
        <w:tc>
          <w:tcPr>
            <w:tcW w:w="136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390</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390</w:t>
            </w:r>
          </w:p>
        </w:tc>
      </w:tr>
      <w:tr>
        <w:trPr>
          <w:trHeight w:val="140"/>
        </w:trPr>
        <w:tc>
          <w:tcPr>
            <w:tcW w:w="7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0"/>
                <w:szCs w:val="10"/>
                <w:b w:val="1"/>
                <w:bCs w:val="1"/>
                <w:color w:val="auto"/>
              </w:rPr>
              <w:t>Deferred credits and other liabilities</w:t>
            </w:r>
          </w:p>
        </w:tc>
        <w:tc>
          <w:tcPr>
            <w:tcW w:w="13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540" w:type="dxa"/>
            <w:vAlign w:val="bottom"/>
            <w:shd w:val="clear" w:color="auto" w:fill="CCEEFF"/>
          </w:tcPr>
          <w:p>
            <w:pPr>
              <w:spacing w:after="0"/>
              <w:rPr>
                <w:sz w:val="12"/>
                <w:szCs w:val="12"/>
                <w:color w:val="auto"/>
              </w:rPr>
            </w:pPr>
          </w:p>
        </w:tc>
      </w:tr>
      <w:tr>
        <w:trPr>
          <w:trHeight w:val="129"/>
        </w:trPr>
        <w:tc>
          <w:tcPr>
            <w:tcW w:w="7540" w:type="dxa"/>
            <w:vAlign w:val="bottom"/>
            <w:gridSpan w:val="2"/>
          </w:tcPr>
          <w:p>
            <w:pPr>
              <w:ind w:left="80"/>
              <w:spacing w:after="0"/>
              <w:rPr>
                <w:sz w:val="20"/>
                <w:szCs w:val="20"/>
                <w:color w:val="auto"/>
              </w:rPr>
            </w:pPr>
            <w:r>
              <w:rPr>
                <w:rFonts w:ascii="Times New Roman" w:cs="Times New Roman" w:eastAsia="Times New Roman" w:hAnsi="Times New Roman"/>
                <w:sz w:val="10"/>
                <w:szCs w:val="10"/>
                <w:color w:val="auto"/>
              </w:rPr>
              <w:t>Deferred income taxes and unamortized investment tax credits</w:t>
            </w:r>
          </w:p>
        </w:tc>
        <w:tc>
          <w:tcPr>
            <w:tcW w:w="136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14,201</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13,715</w:t>
            </w:r>
          </w:p>
        </w:tc>
      </w:tr>
      <w:tr>
        <w:trPr>
          <w:trHeight w:val="141"/>
        </w:trPr>
        <w:tc>
          <w:tcPr>
            <w:tcW w:w="75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0"/>
                <w:szCs w:val="10"/>
                <w:color w:val="auto"/>
              </w:rPr>
              <w:t>Regulatory liabilities</w:t>
            </w:r>
          </w:p>
        </w:tc>
        <w:tc>
          <w:tcPr>
            <w:tcW w:w="13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11,186</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11,016</w:t>
            </w:r>
          </w:p>
        </w:tc>
      </w:tr>
      <w:tr>
        <w:trPr>
          <w:trHeight w:val="129"/>
        </w:trPr>
        <w:tc>
          <w:tcPr>
            <w:tcW w:w="7540" w:type="dxa"/>
            <w:vAlign w:val="bottom"/>
            <w:gridSpan w:val="2"/>
          </w:tcPr>
          <w:p>
            <w:pPr>
              <w:ind w:left="80"/>
              <w:spacing w:after="0"/>
              <w:rPr>
                <w:sz w:val="20"/>
                <w:szCs w:val="20"/>
                <w:color w:val="auto"/>
              </w:rPr>
            </w:pPr>
            <w:r>
              <w:rPr>
                <w:rFonts w:ascii="Times New Roman" w:cs="Times New Roman" w:eastAsia="Times New Roman" w:hAnsi="Times New Roman"/>
                <w:sz w:val="10"/>
                <w:szCs w:val="10"/>
                <w:color w:val="auto"/>
              </w:rPr>
              <w:t>Pension obligations</w:t>
            </w:r>
          </w:p>
        </w:tc>
        <w:tc>
          <w:tcPr>
            <w:tcW w:w="136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1,426</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1,749</w:t>
            </w:r>
          </w:p>
        </w:tc>
      </w:tr>
      <w:tr>
        <w:trPr>
          <w:trHeight w:val="141"/>
        </w:trPr>
        <w:tc>
          <w:tcPr>
            <w:tcW w:w="75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0"/>
                <w:szCs w:val="10"/>
                <w:color w:val="auto"/>
              </w:rPr>
              <w:t>Non-pension postretirement benefit obligations</w:t>
            </w:r>
          </w:p>
        </w:tc>
        <w:tc>
          <w:tcPr>
            <w:tcW w:w="13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558</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546</w:t>
            </w:r>
          </w:p>
        </w:tc>
      </w:tr>
      <w:tr>
        <w:trPr>
          <w:trHeight w:val="129"/>
        </w:trPr>
        <w:tc>
          <w:tcPr>
            <w:tcW w:w="7540" w:type="dxa"/>
            <w:vAlign w:val="bottom"/>
            <w:gridSpan w:val="2"/>
          </w:tcPr>
          <w:p>
            <w:pPr>
              <w:ind w:left="80"/>
              <w:spacing w:after="0"/>
              <w:rPr>
                <w:sz w:val="20"/>
                <w:szCs w:val="20"/>
                <w:color w:val="auto"/>
              </w:rPr>
            </w:pPr>
            <w:r>
              <w:rPr>
                <w:rFonts w:ascii="Times New Roman" w:cs="Times New Roman" w:eastAsia="Times New Roman" w:hAnsi="Times New Roman"/>
                <w:sz w:val="10"/>
                <w:szCs w:val="10"/>
                <w:color w:val="auto"/>
              </w:rPr>
              <w:t>Asset retirement obligations</w:t>
            </w:r>
          </w:p>
        </w:tc>
        <w:tc>
          <w:tcPr>
            <w:tcW w:w="136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321</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321</w:t>
            </w:r>
          </w:p>
        </w:tc>
      </w:tr>
      <w:tr>
        <w:trPr>
          <w:trHeight w:val="141"/>
        </w:trPr>
        <w:tc>
          <w:tcPr>
            <w:tcW w:w="75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0"/>
                <w:szCs w:val="10"/>
                <w:color w:val="auto"/>
              </w:rPr>
              <w:t>Mark-to-market derivative liabilities</w:t>
            </w:r>
          </w:p>
        </w:tc>
        <w:tc>
          <w:tcPr>
            <w:tcW w:w="13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112</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106</w:t>
            </w:r>
          </w:p>
        </w:tc>
      </w:tr>
      <w:tr>
        <w:trPr>
          <w:trHeight w:val="129"/>
        </w:trPr>
        <w:tc>
          <w:tcPr>
            <w:tcW w:w="7540" w:type="dxa"/>
            <w:vAlign w:val="bottom"/>
            <w:gridSpan w:val="2"/>
          </w:tcPr>
          <w:p>
            <w:pPr>
              <w:ind w:left="80"/>
              <w:spacing w:after="0"/>
              <w:rPr>
                <w:sz w:val="20"/>
                <w:szCs w:val="20"/>
                <w:color w:val="auto"/>
              </w:rPr>
            </w:pPr>
            <w:r>
              <w:rPr>
                <w:rFonts w:ascii="Times New Roman" w:cs="Times New Roman" w:eastAsia="Times New Roman" w:hAnsi="Times New Roman"/>
                <w:sz w:val="10"/>
                <w:szCs w:val="10"/>
                <w:color w:val="auto"/>
              </w:rPr>
              <w:t>Unamortized energy contract liabilities</w:t>
            </w:r>
          </w:p>
        </w:tc>
        <w:tc>
          <w:tcPr>
            <w:tcW w:w="136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16</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16</w:t>
            </w:r>
          </w:p>
        </w:tc>
      </w:tr>
      <w:tr>
        <w:trPr>
          <w:trHeight w:val="141"/>
        </w:trPr>
        <w:tc>
          <w:tcPr>
            <w:tcW w:w="75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0"/>
                <w:szCs w:val="10"/>
                <w:color w:val="auto"/>
              </w:rPr>
              <w:t>Other</w:t>
            </w:r>
          </w:p>
        </w:tc>
        <w:tc>
          <w:tcPr>
            <w:tcW w:w="1360" w:type="dxa"/>
            <w:vAlign w:val="bottom"/>
            <w:tcBorders>
              <w:bottom w:val="single" w:sz="8" w:color="auto"/>
            </w:tcBorders>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2,573</w:t>
            </w:r>
          </w:p>
        </w:tc>
        <w:tc>
          <w:tcPr>
            <w:tcW w:w="100" w:type="dxa"/>
            <w:vAlign w:val="bottom"/>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spacing w:after="0"/>
              <w:rPr>
                <w:sz w:val="12"/>
                <w:szCs w:val="12"/>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2,169</w:t>
            </w:r>
          </w:p>
        </w:tc>
      </w:tr>
      <w:tr>
        <w:trPr>
          <w:trHeight w:val="118"/>
        </w:trPr>
        <w:tc>
          <w:tcPr>
            <w:tcW w:w="7540" w:type="dxa"/>
            <w:vAlign w:val="bottom"/>
            <w:tcBorders>
              <w:bottom w:val="single" w:sz="8" w:color="CCEEFF"/>
            </w:tcBorders>
            <w:gridSpan w:val="2"/>
          </w:tcPr>
          <w:p>
            <w:pPr>
              <w:ind w:left="300"/>
              <w:spacing w:after="0" w:line="107" w:lineRule="exact"/>
              <w:rPr>
                <w:sz w:val="20"/>
                <w:szCs w:val="20"/>
                <w:color w:val="auto"/>
              </w:rPr>
            </w:pPr>
            <w:r>
              <w:rPr>
                <w:rFonts w:ascii="Times New Roman" w:cs="Times New Roman" w:eastAsia="Times New Roman" w:hAnsi="Times New Roman"/>
                <w:sz w:val="10"/>
                <w:szCs w:val="10"/>
                <w:b w:val="1"/>
                <w:bCs w:val="1"/>
                <w:color w:val="auto"/>
              </w:rPr>
              <w:t>Total deferred credits and other liabilities</w:t>
            </w:r>
          </w:p>
        </w:tc>
        <w:tc>
          <w:tcPr>
            <w:tcW w:w="136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30,393</w:t>
            </w:r>
          </w:p>
        </w:tc>
        <w:tc>
          <w:tcPr>
            <w:tcW w:w="100" w:type="dxa"/>
            <w:vAlign w:val="bottom"/>
            <w:tcBorders>
              <w:bottom w:val="single" w:sz="8" w:color="CCEEFF"/>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29,638</w:t>
            </w:r>
          </w:p>
        </w:tc>
      </w:tr>
      <w:tr>
        <w:trPr>
          <w:trHeight w:val="130"/>
        </w:trPr>
        <w:tc>
          <w:tcPr>
            <w:tcW w:w="7540" w:type="dxa"/>
            <w:vAlign w:val="bottom"/>
            <w:gridSpan w:val="2"/>
            <w:shd w:val="clear" w:color="auto" w:fill="CCEEFF"/>
          </w:tcPr>
          <w:p>
            <w:pPr>
              <w:ind w:left="300"/>
              <w:spacing w:after="0" w:line="113" w:lineRule="exact"/>
              <w:rPr>
                <w:sz w:val="20"/>
                <w:szCs w:val="20"/>
                <w:color w:val="auto"/>
              </w:rPr>
            </w:pPr>
            <w:r>
              <w:rPr>
                <w:rFonts w:ascii="Times New Roman" w:cs="Times New Roman" w:eastAsia="Times New Roman" w:hAnsi="Times New Roman"/>
                <w:sz w:val="10"/>
                <w:szCs w:val="10"/>
                <w:b w:val="1"/>
                <w:bCs w:val="1"/>
                <w:color w:val="auto"/>
              </w:rPr>
              <w:t>Total liabilities</w:t>
            </w:r>
          </w:p>
        </w:tc>
        <w:tc>
          <w:tcPr>
            <w:tcW w:w="1360" w:type="dxa"/>
            <w:vAlign w:val="bottom"/>
            <w:tcBorders>
              <w:bottom w:val="single" w:sz="8" w:color="auto"/>
            </w:tcBorders>
            <w:shd w:val="clear" w:color="auto" w:fill="CCEEFF"/>
          </w:tcPr>
          <w:p>
            <w:pPr>
              <w:spacing w:after="0"/>
              <w:rPr>
                <w:sz w:val="11"/>
                <w:szCs w:val="11"/>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88,230</w:t>
            </w:r>
          </w:p>
        </w:tc>
        <w:tc>
          <w:tcPr>
            <w:tcW w:w="100" w:type="dxa"/>
            <w:vAlign w:val="bottom"/>
            <w:shd w:val="clear" w:color="auto" w:fill="CCEEFF"/>
          </w:tcPr>
          <w:p>
            <w:pPr>
              <w:spacing w:after="0"/>
              <w:rPr>
                <w:sz w:val="11"/>
                <w:szCs w:val="11"/>
                <w:color w:val="auto"/>
              </w:rPr>
            </w:pPr>
          </w:p>
        </w:tc>
        <w:tc>
          <w:tcPr>
            <w:tcW w:w="300" w:type="dxa"/>
            <w:vAlign w:val="bottom"/>
            <w:tcBorders>
              <w:bottom w:val="single" w:sz="8" w:color="auto"/>
            </w:tcBorders>
            <w:shd w:val="clear" w:color="auto" w:fill="CCEEFF"/>
          </w:tcPr>
          <w:p>
            <w:pPr>
              <w:spacing w:after="0"/>
              <w:rPr>
                <w:sz w:val="11"/>
                <w:szCs w:val="11"/>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87,772</w:t>
            </w:r>
          </w:p>
        </w:tc>
      </w:tr>
      <w:tr>
        <w:trPr>
          <w:trHeight w:val="110"/>
        </w:trPr>
        <w:tc>
          <w:tcPr>
            <w:tcW w:w="7540" w:type="dxa"/>
            <w:vAlign w:val="bottom"/>
            <w:gridSpan w:val="2"/>
          </w:tcPr>
          <w:p>
            <w:pPr>
              <w:spacing w:after="0" w:line="106" w:lineRule="exact"/>
              <w:rPr>
                <w:sz w:val="20"/>
                <w:szCs w:val="20"/>
                <w:color w:val="auto"/>
              </w:rPr>
            </w:pPr>
            <w:r>
              <w:rPr>
                <w:rFonts w:ascii="Times New Roman" w:cs="Times New Roman" w:eastAsia="Times New Roman" w:hAnsi="Times New Roman"/>
                <w:sz w:val="10"/>
                <w:szCs w:val="10"/>
                <w:b w:val="1"/>
                <w:bCs w:val="1"/>
                <w:color w:val="auto"/>
              </w:rPr>
              <w:t>Commitments and contingencies</w:t>
            </w:r>
          </w:p>
        </w:tc>
        <w:tc>
          <w:tcPr>
            <w:tcW w:w="13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540" w:type="dxa"/>
            <w:vAlign w:val="bottom"/>
          </w:tcPr>
          <w:p>
            <w:pPr>
              <w:spacing w:after="0"/>
              <w:rPr>
                <w:sz w:val="9"/>
                <w:szCs w:val="9"/>
                <w:color w:val="auto"/>
              </w:rPr>
            </w:pPr>
          </w:p>
        </w:tc>
      </w:tr>
      <w:tr>
        <w:trPr>
          <w:trHeight w:val="140"/>
        </w:trPr>
        <w:tc>
          <w:tcPr>
            <w:tcW w:w="7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0"/>
                <w:szCs w:val="10"/>
                <w:b w:val="1"/>
                <w:bCs w:val="1"/>
                <w:color w:val="auto"/>
              </w:rPr>
              <w:t>Shareholders’ equity</w:t>
            </w:r>
          </w:p>
        </w:tc>
        <w:tc>
          <w:tcPr>
            <w:tcW w:w="13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540" w:type="dxa"/>
            <w:vAlign w:val="bottom"/>
            <w:shd w:val="clear" w:color="auto" w:fill="CCEEFF"/>
          </w:tcPr>
          <w:p>
            <w:pPr>
              <w:spacing w:after="0"/>
              <w:rPr>
                <w:sz w:val="12"/>
                <w:szCs w:val="12"/>
                <w:color w:val="auto"/>
              </w:rPr>
            </w:pPr>
          </w:p>
        </w:tc>
      </w:tr>
      <w:tr>
        <w:trPr>
          <w:trHeight w:val="129"/>
        </w:trPr>
        <w:tc>
          <w:tcPr>
            <w:tcW w:w="7540" w:type="dxa"/>
            <w:vAlign w:val="bottom"/>
            <w:gridSpan w:val="2"/>
          </w:tcPr>
          <w:p>
            <w:pPr>
              <w:ind w:left="80"/>
              <w:spacing w:after="0"/>
              <w:rPr>
                <w:sz w:val="20"/>
                <w:szCs w:val="20"/>
                <w:color w:val="auto"/>
              </w:rPr>
            </w:pPr>
            <w:r>
              <w:rPr>
                <w:rFonts w:ascii="Times New Roman" w:cs="Times New Roman" w:eastAsia="Times New Roman" w:hAnsi="Times New Roman"/>
                <w:sz w:val="10"/>
                <w:szCs w:val="10"/>
                <w:color w:val="auto"/>
              </w:rPr>
              <w:t>Common stock</w:t>
            </w:r>
          </w:p>
        </w:tc>
        <w:tc>
          <w:tcPr>
            <w:tcW w:w="136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22,129</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22,106</w:t>
            </w:r>
          </w:p>
        </w:tc>
      </w:tr>
      <w:tr>
        <w:trPr>
          <w:trHeight w:val="141"/>
        </w:trPr>
        <w:tc>
          <w:tcPr>
            <w:tcW w:w="75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0"/>
                <w:szCs w:val="10"/>
                <w:color w:val="auto"/>
              </w:rPr>
              <w:t>Treasury stock, at cost</w:t>
            </w:r>
          </w:p>
        </w:tc>
        <w:tc>
          <w:tcPr>
            <w:tcW w:w="13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(123)</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(123)</w:t>
            </w:r>
          </w:p>
        </w:tc>
      </w:tr>
      <w:tr>
        <w:trPr>
          <w:trHeight w:val="129"/>
        </w:trPr>
        <w:tc>
          <w:tcPr>
            <w:tcW w:w="7540" w:type="dxa"/>
            <w:vAlign w:val="bottom"/>
            <w:gridSpan w:val="2"/>
          </w:tcPr>
          <w:p>
            <w:pPr>
              <w:ind w:left="80"/>
              <w:spacing w:after="0"/>
              <w:rPr>
                <w:sz w:val="20"/>
                <w:szCs w:val="20"/>
                <w:color w:val="auto"/>
              </w:rPr>
            </w:pPr>
            <w:r>
              <w:rPr>
                <w:rFonts w:ascii="Times New Roman" w:cs="Times New Roman" w:eastAsia="Times New Roman" w:hAnsi="Times New Roman"/>
                <w:sz w:val="10"/>
                <w:szCs w:val="10"/>
                <w:color w:val="auto"/>
              </w:rPr>
              <w:t>Retained earnings</w:t>
            </w:r>
          </w:p>
        </w:tc>
        <w:tc>
          <w:tcPr>
            <w:tcW w:w="136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8,065</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7,577</w:t>
            </w:r>
          </w:p>
        </w:tc>
      </w:tr>
      <w:tr>
        <w:trPr>
          <w:trHeight w:val="141"/>
        </w:trPr>
        <w:tc>
          <w:tcPr>
            <w:tcW w:w="75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0"/>
                <w:szCs w:val="10"/>
                <w:color w:val="auto"/>
              </w:rPr>
              <w:t>Accumulated other comprehensive loss, net</w:t>
            </w:r>
          </w:p>
        </w:tc>
        <w:tc>
          <w:tcPr>
            <w:tcW w:w="1360" w:type="dxa"/>
            <w:vAlign w:val="bottom"/>
            <w:tcBorders>
              <w:bottom w:val="single" w:sz="8" w:color="auto"/>
            </w:tcBorders>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(756)</w:t>
            </w:r>
          </w:p>
        </w:tc>
        <w:tc>
          <w:tcPr>
            <w:tcW w:w="100" w:type="dxa"/>
            <w:vAlign w:val="bottom"/>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spacing w:after="0"/>
              <w:rPr>
                <w:sz w:val="12"/>
                <w:szCs w:val="12"/>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(762)</w:t>
            </w:r>
          </w:p>
        </w:tc>
      </w:tr>
      <w:tr>
        <w:trPr>
          <w:trHeight w:val="118"/>
        </w:trPr>
        <w:tc>
          <w:tcPr>
            <w:tcW w:w="7540" w:type="dxa"/>
            <w:vAlign w:val="bottom"/>
            <w:tcBorders>
              <w:bottom w:val="single" w:sz="8" w:color="CCEEFF"/>
            </w:tcBorders>
            <w:gridSpan w:val="2"/>
          </w:tcPr>
          <w:p>
            <w:pPr>
              <w:ind w:left="300"/>
              <w:spacing w:after="0" w:line="107" w:lineRule="exact"/>
              <w:rPr>
                <w:sz w:val="20"/>
                <w:szCs w:val="20"/>
                <w:color w:val="auto"/>
              </w:rPr>
            </w:pPr>
            <w:r>
              <w:rPr>
                <w:rFonts w:ascii="Times New Roman" w:cs="Times New Roman" w:eastAsia="Times New Roman" w:hAnsi="Times New Roman"/>
                <w:sz w:val="10"/>
                <w:szCs w:val="10"/>
                <w:b w:val="1"/>
                <w:bCs w:val="1"/>
                <w:color w:val="auto"/>
              </w:rPr>
              <w:t>Total shareholders’ equity</w:t>
            </w:r>
          </w:p>
        </w:tc>
        <w:tc>
          <w:tcPr>
            <w:tcW w:w="136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29,315</w:t>
            </w:r>
          </w:p>
        </w:tc>
        <w:tc>
          <w:tcPr>
            <w:tcW w:w="100" w:type="dxa"/>
            <w:vAlign w:val="bottom"/>
            <w:tcBorders>
              <w:bottom w:val="single" w:sz="8" w:color="CCEEFF"/>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28,798</w:t>
            </w:r>
          </w:p>
        </w:tc>
      </w:tr>
      <w:tr>
        <w:trPr>
          <w:trHeight w:val="146"/>
        </w:trPr>
        <w:tc>
          <w:tcPr>
            <w:tcW w:w="75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0"/>
                <w:szCs w:val="10"/>
                <w:b w:val="1"/>
                <w:bCs w:val="1"/>
                <w:color w:val="auto"/>
              </w:rPr>
              <w:t>Total liabilities and shareholders’ equity</w:t>
            </w:r>
          </w:p>
        </w:tc>
        <w:tc>
          <w:tcPr>
            <w:tcW w:w="1360" w:type="dxa"/>
            <w:vAlign w:val="bottom"/>
            <w:tcBorders>
              <w:bottom w:val="single" w:sz="8" w:color="auto"/>
            </w:tcBorders>
            <w:shd w:val="clear" w:color="auto" w:fill="CCEEFF"/>
          </w:tcPr>
          <w:p>
            <w:pPr>
              <w:jc w:val="right"/>
              <w:ind w:right="1252"/>
              <w:spacing w:after="0"/>
              <w:rPr>
                <w:sz w:val="20"/>
                <w:szCs w:val="20"/>
                <w:color w:val="auto"/>
              </w:rPr>
            </w:pPr>
            <w:r>
              <w:rPr>
                <w:rFonts w:ascii="Times New Roman" w:cs="Times New Roman" w:eastAsia="Times New Roman" w:hAnsi="Times New Roman"/>
                <w:sz w:val="10"/>
                <w:szCs w:val="10"/>
                <w:color w:val="auto"/>
                <w:w w:val="7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117,545</w:t>
            </w:r>
          </w:p>
        </w:tc>
        <w:tc>
          <w:tcPr>
            <w:tcW w:w="100" w:type="dxa"/>
            <w:vAlign w:val="bottom"/>
            <w:tcBorders>
              <w:bottom w:val="single" w:sz="8" w:color="CCEEFF"/>
            </w:tcBorders>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0"/>
                <w:szCs w:val="10"/>
                <w:color w:val="auto"/>
                <w:w w:val="7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116,570</w:t>
            </w:r>
          </w:p>
        </w:tc>
      </w:tr>
    </w:tbl>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w:t>
      </w:r>
    </w:p>
    <w:p>
      <w:pPr>
        <w:sectPr>
          <w:pgSz w:w="11900" w:h="16838" w:orient="portrait"/>
          <w:cols w:equalWidth="0" w:num="1">
            <w:col w:w="11300"/>
          </w:cols>
          <w:pgMar w:left="300" w:top="129" w:right="29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Exelon</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Consolidated Statements of Cash Flows</w:t>
      </w:r>
    </w:p>
    <w:p>
      <w:pPr>
        <w:spacing w:after="0" w:line="6"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2"/>
          <w:szCs w:val="12"/>
          <w:color w:val="auto"/>
        </w:rPr>
        <w:t>(unaudited)</w:t>
      </w:r>
    </w:p>
    <w:p>
      <w:pPr>
        <w:spacing w:after="0" w:line="6"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2"/>
          <w:szCs w:val="12"/>
          <w:color w:val="auto"/>
        </w:rPr>
        <w:t>(in millions)</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7540" w:type="dxa"/>
            <w:vAlign w:val="bottom"/>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c>
          <w:tcPr>
            <w:tcW w:w="1520" w:type="dxa"/>
            <w:vAlign w:val="bottom"/>
            <w:tcBorders>
              <w:bottom w:val="single" w:sz="8" w:color="auto"/>
            </w:tcBorders>
            <w:gridSpan w:val="3"/>
          </w:tcPr>
          <w:p>
            <w:pPr>
              <w:jc w:val="right"/>
              <w:ind w:right="52"/>
              <w:spacing w:after="0"/>
              <w:rPr>
                <w:sz w:val="20"/>
                <w:szCs w:val="20"/>
                <w:color w:val="auto"/>
              </w:rPr>
            </w:pPr>
            <w:r>
              <w:rPr>
                <w:rFonts w:ascii="Times New Roman" w:cs="Times New Roman" w:eastAsia="Times New Roman" w:hAnsi="Times New Roman"/>
                <w:sz w:val="10"/>
                <w:szCs w:val="10"/>
                <w:b w:val="1"/>
                <w:bCs w:val="1"/>
                <w:color w:val="auto"/>
              </w:rPr>
              <w:t>Three Months Ended March 31,</w:t>
            </w:r>
          </w:p>
        </w:tc>
        <w:tc>
          <w:tcPr>
            <w:tcW w:w="1120" w:type="dxa"/>
            <w:vAlign w:val="bottom"/>
            <w:tcBorders>
              <w:bottom w:val="single" w:sz="8" w:color="auto"/>
            </w:tcBorders>
          </w:tcPr>
          <w:p>
            <w:pPr>
              <w:spacing w:after="0"/>
              <w:rPr>
                <w:sz w:val="11"/>
                <w:szCs w:val="11"/>
                <w:color w:val="auto"/>
              </w:rPr>
            </w:pPr>
          </w:p>
        </w:tc>
      </w:tr>
      <w:tr>
        <w:trPr>
          <w:trHeight w:val="128"/>
        </w:trPr>
        <w:tc>
          <w:tcPr>
            <w:tcW w:w="7540" w:type="dxa"/>
            <w:vAlign w:val="bottom"/>
            <w:tcBorders>
              <w:bottom w:val="single" w:sz="8" w:color="CCEEFF"/>
            </w:tcBorders>
          </w:tcPr>
          <w:p>
            <w:pPr>
              <w:spacing w:after="0"/>
              <w:rPr>
                <w:sz w:val="11"/>
                <w:szCs w:val="11"/>
                <w:color w:val="auto"/>
              </w:rPr>
            </w:pPr>
          </w:p>
        </w:tc>
        <w:tc>
          <w:tcPr>
            <w:tcW w:w="112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0"/>
                <w:szCs w:val="10"/>
                <w:b w:val="1"/>
                <w:bCs w:val="1"/>
                <w:color w:val="auto"/>
              </w:rPr>
              <w:t>2026</w:t>
            </w:r>
          </w:p>
        </w:tc>
        <w:tc>
          <w:tcPr>
            <w:tcW w:w="70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jc w:val="right"/>
              <w:ind w:right="772"/>
              <w:spacing w:after="0"/>
              <w:rPr>
                <w:sz w:val="20"/>
                <w:szCs w:val="20"/>
                <w:color w:val="auto"/>
              </w:rPr>
            </w:pPr>
            <w:r>
              <w:rPr>
                <w:rFonts w:ascii="Times New Roman" w:cs="Times New Roman" w:eastAsia="Times New Roman" w:hAnsi="Times New Roman"/>
                <w:sz w:val="10"/>
                <w:szCs w:val="10"/>
                <w:b w:val="1"/>
                <w:bCs w:val="1"/>
                <w:color w:val="auto"/>
              </w:rPr>
              <w:t>2025</w:t>
            </w:r>
          </w:p>
        </w:tc>
      </w:tr>
      <w:tr>
        <w:trPr>
          <w:trHeight w:val="120"/>
        </w:trPr>
        <w:tc>
          <w:tcPr>
            <w:tcW w:w="7540" w:type="dxa"/>
            <w:vAlign w:val="bottom"/>
            <w:shd w:val="clear" w:color="auto" w:fill="CCEEFF"/>
          </w:tcPr>
          <w:p>
            <w:pPr>
              <w:spacing w:after="0" w:line="111" w:lineRule="exact"/>
              <w:rPr>
                <w:sz w:val="20"/>
                <w:szCs w:val="20"/>
                <w:color w:val="auto"/>
              </w:rPr>
            </w:pPr>
            <w:r>
              <w:rPr>
                <w:rFonts w:ascii="Times New Roman" w:cs="Times New Roman" w:eastAsia="Times New Roman" w:hAnsi="Times New Roman"/>
                <w:sz w:val="10"/>
                <w:szCs w:val="10"/>
                <w:b w:val="1"/>
                <w:bCs w:val="1"/>
                <w:color w:val="auto"/>
              </w:rPr>
              <w:t>Cash flows from operating activities</w:t>
            </w:r>
          </w:p>
        </w:tc>
        <w:tc>
          <w:tcPr>
            <w:tcW w:w="11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r>
      <w:tr>
        <w:trPr>
          <w:trHeight w:val="129"/>
        </w:trPr>
        <w:tc>
          <w:tcPr>
            <w:tcW w:w="754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Net income</w:t>
            </w:r>
          </w:p>
        </w:tc>
        <w:tc>
          <w:tcPr>
            <w:tcW w:w="1120" w:type="dxa"/>
            <w:vAlign w:val="bottom"/>
          </w:tcPr>
          <w:p>
            <w:pPr>
              <w:jc w:val="right"/>
              <w:ind w:right="1012"/>
              <w:spacing w:after="0"/>
              <w:rPr>
                <w:sz w:val="20"/>
                <w:szCs w:val="20"/>
                <w:color w:val="auto"/>
              </w:rPr>
            </w:pPr>
            <w:r>
              <w:rPr>
                <w:rFonts w:ascii="Times New Roman" w:cs="Times New Roman" w:eastAsia="Times New Roman" w:hAnsi="Times New Roman"/>
                <w:sz w:val="10"/>
                <w:szCs w:val="10"/>
                <w:color w:val="auto"/>
                <w:w w:val="7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919</w:t>
            </w:r>
          </w:p>
        </w:tc>
        <w:tc>
          <w:tcPr>
            <w:tcW w:w="100" w:type="dxa"/>
            <w:vAlign w:val="bottom"/>
          </w:tcPr>
          <w:p>
            <w:pPr>
              <w:spacing w:after="0"/>
              <w:rPr>
                <w:sz w:val="11"/>
                <w:szCs w:val="11"/>
                <w:color w:val="auto"/>
              </w:rPr>
            </w:pPr>
          </w:p>
        </w:tc>
        <w:tc>
          <w:tcPr>
            <w:tcW w:w="720" w:type="dxa"/>
            <w:vAlign w:val="bottom"/>
          </w:tcPr>
          <w:p>
            <w:pPr>
              <w:jc w:val="right"/>
              <w:ind w:right="612"/>
              <w:spacing w:after="0"/>
              <w:rPr>
                <w:sz w:val="20"/>
                <w:szCs w:val="20"/>
                <w:color w:val="auto"/>
              </w:rPr>
            </w:pPr>
            <w:r>
              <w:rPr>
                <w:rFonts w:ascii="Times New Roman" w:cs="Times New Roman" w:eastAsia="Times New Roman" w:hAnsi="Times New Roman"/>
                <w:sz w:val="10"/>
                <w:szCs w:val="10"/>
                <w:color w:val="auto"/>
                <w:w w:val="7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908</w:t>
            </w:r>
          </w:p>
        </w:tc>
      </w:tr>
      <w:tr>
        <w:trPr>
          <w:trHeight w:val="141"/>
        </w:trPr>
        <w:tc>
          <w:tcPr>
            <w:tcW w:w="75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0"/>
                <w:szCs w:val="10"/>
                <w:color w:val="auto"/>
              </w:rPr>
              <w:t>Adjustments to reconcile net income to net cash flows provided by operating activities:</w:t>
            </w:r>
          </w:p>
        </w:tc>
        <w:tc>
          <w:tcPr>
            <w:tcW w:w="1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r>
      <w:tr>
        <w:trPr>
          <w:trHeight w:val="129"/>
        </w:trPr>
        <w:tc>
          <w:tcPr>
            <w:tcW w:w="7540" w:type="dxa"/>
            <w:vAlign w:val="bottom"/>
          </w:tcPr>
          <w:p>
            <w:pPr>
              <w:ind w:left="220"/>
              <w:spacing w:after="0"/>
              <w:rPr>
                <w:sz w:val="20"/>
                <w:szCs w:val="20"/>
                <w:color w:val="auto"/>
              </w:rPr>
            </w:pPr>
            <w:r>
              <w:rPr>
                <w:rFonts w:ascii="Times New Roman" w:cs="Times New Roman" w:eastAsia="Times New Roman" w:hAnsi="Times New Roman"/>
                <w:sz w:val="10"/>
                <w:szCs w:val="10"/>
                <w:color w:val="auto"/>
              </w:rPr>
              <w:t>Depreciation, amortization, and accretion</w:t>
            </w:r>
          </w:p>
        </w:tc>
        <w:tc>
          <w:tcPr>
            <w:tcW w:w="11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953</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905</w:t>
            </w:r>
          </w:p>
        </w:tc>
      </w:tr>
      <w:tr>
        <w:trPr>
          <w:trHeight w:val="141"/>
        </w:trPr>
        <w:tc>
          <w:tcPr>
            <w:tcW w:w="7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0"/>
                <w:szCs w:val="10"/>
                <w:color w:val="auto"/>
              </w:rPr>
              <w:t>Loss on sales of assets</w:t>
            </w:r>
          </w:p>
        </w:tc>
        <w:tc>
          <w:tcPr>
            <w:tcW w:w="1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w:t>
            </w:r>
          </w:p>
        </w:tc>
      </w:tr>
      <w:tr>
        <w:trPr>
          <w:trHeight w:val="129"/>
        </w:trPr>
        <w:tc>
          <w:tcPr>
            <w:tcW w:w="7540" w:type="dxa"/>
            <w:vAlign w:val="bottom"/>
          </w:tcPr>
          <w:p>
            <w:pPr>
              <w:ind w:left="220"/>
              <w:spacing w:after="0"/>
              <w:rPr>
                <w:sz w:val="20"/>
                <w:szCs w:val="20"/>
                <w:color w:val="auto"/>
              </w:rPr>
            </w:pPr>
            <w:r>
              <w:rPr>
                <w:rFonts w:ascii="Times New Roman" w:cs="Times New Roman" w:eastAsia="Times New Roman" w:hAnsi="Times New Roman"/>
                <w:sz w:val="10"/>
                <w:szCs w:val="10"/>
                <w:color w:val="auto"/>
              </w:rPr>
              <w:t>Deferred income taxes and amortization of investment tax credits</w:t>
            </w:r>
          </w:p>
        </w:tc>
        <w:tc>
          <w:tcPr>
            <w:tcW w:w="11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345</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121</w:t>
            </w:r>
          </w:p>
        </w:tc>
      </w:tr>
      <w:tr>
        <w:trPr>
          <w:trHeight w:val="141"/>
        </w:trPr>
        <w:tc>
          <w:tcPr>
            <w:tcW w:w="7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0"/>
                <w:szCs w:val="10"/>
                <w:color w:val="auto"/>
              </w:rPr>
              <w:t>Net fair value changes related to derivatives</w:t>
            </w:r>
          </w:p>
        </w:tc>
        <w:tc>
          <w:tcPr>
            <w:tcW w:w="1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w:t>
            </w:r>
          </w:p>
        </w:tc>
      </w:tr>
      <w:tr>
        <w:trPr>
          <w:trHeight w:val="129"/>
        </w:trPr>
        <w:tc>
          <w:tcPr>
            <w:tcW w:w="7540" w:type="dxa"/>
            <w:vAlign w:val="bottom"/>
          </w:tcPr>
          <w:p>
            <w:pPr>
              <w:ind w:left="220"/>
              <w:spacing w:after="0"/>
              <w:rPr>
                <w:sz w:val="20"/>
                <w:szCs w:val="20"/>
                <w:color w:val="auto"/>
              </w:rPr>
            </w:pPr>
            <w:r>
              <w:rPr>
                <w:rFonts w:ascii="Times New Roman" w:cs="Times New Roman" w:eastAsia="Times New Roman" w:hAnsi="Times New Roman"/>
                <w:sz w:val="10"/>
                <w:szCs w:val="10"/>
                <w:color w:val="auto"/>
              </w:rPr>
              <w:t>Other non-cash operating activities</w:t>
            </w:r>
          </w:p>
        </w:tc>
        <w:tc>
          <w:tcPr>
            <w:tcW w:w="11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222</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344</w:t>
            </w:r>
          </w:p>
        </w:tc>
      </w:tr>
      <w:tr>
        <w:trPr>
          <w:trHeight w:val="141"/>
        </w:trPr>
        <w:tc>
          <w:tcPr>
            <w:tcW w:w="7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0"/>
                <w:szCs w:val="10"/>
                <w:color w:val="auto"/>
              </w:rPr>
              <w:t>Changes in assets and liabilities:</w:t>
            </w:r>
          </w:p>
        </w:tc>
        <w:tc>
          <w:tcPr>
            <w:tcW w:w="1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r>
      <w:tr>
        <w:trPr>
          <w:trHeight w:val="129"/>
        </w:trPr>
        <w:tc>
          <w:tcPr>
            <w:tcW w:w="7540" w:type="dxa"/>
            <w:vAlign w:val="bottom"/>
          </w:tcPr>
          <w:p>
            <w:pPr>
              <w:ind w:left="360"/>
              <w:spacing w:after="0"/>
              <w:rPr>
                <w:sz w:val="20"/>
                <w:szCs w:val="20"/>
                <w:color w:val="auto"/>
              </w:rPr>
            </w:pPr>
            <w:r>
              <w:rPr>
                <w:rFonts w:ascii="Times New Roman" w:cs="Times New Roman" w:eastAsia="Times New Roman" w:hAnsi="Times New Roman"/>
                <w:sz w:val="10"/>
                <w:szCs w:val="10"/>
                <w:color w:val="auto"/>
              </w:rPr>
              <w:t>Accounts receivable</w:t>
            </w:r>
          </w:p>
        </w:tc>
        <w:tc>
          <w:tcPr>
            <w:tcW w:w="11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395</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(402)</w:t>
            </w:r>
          </w:p>
        </w:tc>
      </w:tr>
      <w:tr>
        <w:trPr>
          <w:trHeight w:val="141"/>
        </w:trPr>
        <w:tc>
          <w:tcPr>
            <w:tcW w:w="7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0"/>
                <w:szCs w:val="10"/>
                <w:color w:val="auto"/>
              </w:rPr>
              <w:t>Inventories</w:t>
            </w:r>
          </w:p>
        </w:tc>
        <w:tc>
          <w:tcPr>
            <w:tcW w:w="11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20</w:t>
            </w: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17</w:t>
            </w:r>
          </w:p>
        </w:tc>
      </w:tr>
      <w:tr>
        <w:trPr>
          <w:trHeight w:val="129"/>
        </w:trPr>
        <w:tc>
          <w:tcPr>
            <w:tcW w:w="7540" w:type="dxa"/>
            <w:vAlign w:val="bottom"/>
          </w:tcPr>
          <w:p>
            <w:pPr>
              <w:ind w:left="360"/>
              <w:spacing w:after="0"/>
              <w:rPr>
                <w:sz w:val="20"/>
                <w:szCs w:val="20"/>
                <w:color w:val="auto"/>
              </w:rPr>
            </w:pPr>
            <w:r>
              <w:rPr>
                <w:rFonts w:ascii="Times New Roman" w:cs="Times New Roman" w:eastAsia="Times New Roman" w:hAnsi="Times New Roman"/>
                <w:sz w:val="10"/>
                <w:szCs w:val="10"/>
                <w:color w:val="auto"/>
              </w:rPr>
              <w:t>Accounts payable and accrued expenses</w:t>
            </w:r>
          </w:p>
        </w:tc>
        <w:tc>
          <w:tcPr>
            <w:tcW w:w="11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(632)</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(397)</w:t>
            </w:r>
          </w:p>
        </w:tc>
      </w:tr>
      <w:tr>
        <w:trPr>
          <w:trHeight w:val="141"/>
        </w:trPr>
        <w:tc>
          <w:tcPr>
            <w:tcW w:w="7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0"/>
                <w:szCs w:val="10"/>
                <w:color w:val="auto"/>
              </w:rPr>
              <w:t>Collateral received, net</w:t>
            </w:r>
          </w:p>
        </w:tc>
        <w:tc>
          <w:tcPr>
            <w:tcW w:w="11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45</w:t>
            </w: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44</w:t>
            </w:r>
          </w:p>
        </w:tc>
      </w:tr>
      <w:tr>
        <w:trPr>
          <w:trHeight w:val="129"/>
        </w:trPr>
        <w:tc>
          <w:tcPr>
            <w:tcW w:w="7540" w:type="dxa"/>
            <w:vAlign w:val="bottom"/>
          </w:tcPr>
          <w:p>
            <w:pPr>
              <w:ind w:left="360"/>
              <w:spacing w:after="0"/>
              <w:rPr>
                <w:sz w:val="20"/>
                <w:szCs w:val="20"/>
                <w:color w:val="auto"/>
              </w:rPr>
            </w:pPr>
            <w:r>
              <w:rPr>
                <w:rFonts w:ascii="Times New Roman" w:cs="Times New Roman" w:eastAsia="Times New Roman" w:hAnsi="Times New Roman"/>
                <w:sz w:val="10"/>
                <w:szCs w:val="10"/>
                <w:color w:val="auto"/>
              </w:rPr>
              <w:t>Income taxes</w:t>
            </w:r>
          </w:p>
        </w:tc>
        <w:tc>
          <w:tcPr>
            <w:tcW w:w="11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(144)</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59</w:t>
            </w:r>
          </w:p>
        </w:tc>
      </w:tr>
      <w:tr>
        <w:trPr>
          <w:trHeight w:val="141"/>
        </w:trPr>
        <w:tc>
          <w:tcPr>
            <w:tcW w:w="7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0"/>
                <w:szCs w:val="10"/>
                <w:color w:val="auto"/>
              </w:rPr>
              <w:t>Regulatory assets and liabilities, net</w:t>
            </w:r>
          </w:p>
        </w:tc>
        <w:tc>
          <w:tcPr>
            <w:tcW w:w="11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(329)</w:t>
            </w: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86</w:t>
            </w:r>
          </w:p>
        </w:tc>
      </w:tr>
      <w:tr>
        <w:trPr>
          <w:trHeight w:val="129"/>
        </w:trPr>
        <w:tc>
          <w:tcPr>
            <w:tcW w:w="7540" w:type="dxa"/>
            <w:vAlign w:val="bottom"/>
          </w:tcPr>
          <w:p>
            <w:pPr>
              <w:ind w:left="360"/>
              <w:spacing w:after="0"/>
              <w:rPr>
                <w:sz w:val="20"/>
                <w:szCs w:val="20"/>
                <w:color w:val="auto"/>
              </w:rPr>
            </w:pPr>
            <w:r>
              <w:rPr>
                <w:rFonts w:ascii="Times New Roman" w:cs="Times New Roman" w:eastAsia="Times New Roman" w:hAnsi="Times New Roman"/>
                <w:sz w:val="10"/>
                <w:szCs w:val="10"/>
                <w:color w:val="auto"/>
              </w:rPr>
              <w:t>Pension and non-pension postretirement benefit contributions</w:t>
            </w:r>
          </w:p>
        </w:tc>
        <w:tc>
          <w:tcPr>
            <w:tcW w:w="11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(346)</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(292)</w:t>
            </w:r>
          </w:p>
        </w:tc>
      </w:tr>
      <w:tr>
        <w:trPr>
          <w:trHeight w:val="141"/>
        </w:trPr>
        <w:tc>
          <w:tcPr>
            <w:tcW w:w="7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0"/>
                <w:szCs w:val="10"/>
                <w:color w:val="auto"/>
              </w:rPr>
              <w:t>Other assets and liabilities</w:t>
            </w:r>
          </w:p>
        </w:tc>
        <w:tc>
          <w:tcPr>
            <w:tcW w:w="112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276</w:t>
            </w:r>
          </w:p>
        </w:tc>
        <w:tc>
          <w:tcPr>
            <w:tcW w:w="100" w:type="dxa"/>
            <w:vAlign w:val="bottom"/>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spacing w:after="0"/>
              <w:rPr>
                <w:sz w:val="12"/>
                <w:szCs w:val="1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(195)</w:t>
            </w:r>
          </w:p>
        </w:tc>
      </w:tr>
      <w:tr>
        <w:trPr>
          <w:trHeight w:val="118"/>
        </w:trPr>
        <w:tc>
          <w:tcPr>
            <w:tcW w:w="7540" w:type="dxa"/>
            <w:vAlign w:val="bottom"/>
            <w:tcBorders>
              <w:bottom w:val="single" w:sz="8" w:color="CCEEFF"/>
            </w:tcBorders>
          </w:tcPr>
          <w:p>
            <w:pPr>
              <w:spacing w:after="0" w:line="107" w:lineRule="exact"/>
              <w:rPr>
                <w:sz w:val="20"/>
                <w:szCs w:val="20"/>
                <w:color w:val="auto"/>
              </w:rPr>
            </w:pPr>
            <w:r>
              <w:rPr>
                <w:rFonts w:ascii="Times New Roman" w:cs="Times New Roman" w:eastAsia="Times New Roman" w:hAnsi="Times New Roman"/>
                <w:sz w:val="10"/>
                <w:szCs w:val="10"/>
                <w:color w:val="auto"/>
              </w:rPr>
              <w:t>Net cash flows provided by operating activities</w:t>
            </w:r>
          </w:p>
        </w:tc>
        <w:tc>
          <w:tcPr>
            <w:tcW w:w="112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1,724</w:t>
            </w:r>
          </w:p>
        </w:tc>
        <w:tc>
          <w:tcPr>
            <w:tcW w:w="100" w:type="dxa"/>
            <w:vAlign w:val="bottom"/>
            <w:tcBorders>
              <w:bottom w:val="single" w:sz="8" w:color="CCEEFF"/>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1,200</w:t>
            </w:r>
          </w:p>
        </w:tc>
      </w:tr>
      <w:tr>
        <w:trPr>
          <w:trHeight w:val="121"/>
        </w:trPr>
        <w:tc>
          <w:tcPr>
            <w:tcW w:w="7540" w:type="dxa"/>
            <w:vAlign w:val="bottom"/>
            <w:shd w:val="clear" w:color="auto" w:fill="CCEEFF"/>
          </w:tcPr>
          <w:p>
            <w:pPr>
              <w:spacing w:after="0" w:line="112" w:lineRule="exact"/>
              <w:rPr>
                <w:sz w:val="20"/>
                <w:szCs w:val="20"/>
                <w:color w:val="auto"/>
              </w:rPr>
            </w:pPr>
            <w:r>
              <w:rPr>
                <w:rFonts w:ascii="Times New Roman" w:cs="Times New Roman" w:eastAsia="Times New Roman" w:hAnsi="Times New Roman"/>
                <w:sz w:val="10"/>
                <w:szCs w:val="10"/>
                <w:b w:val="1"/>
                <w:bCs w:val="1"/>
                <w:color w:val="auto"/>
              </w:rPr>
              <w:t>Cash flows from investing activities</w:t>
            </w:r>
          </w:p>
        </w:tc>
        <w:tc>
          <w:tcPr>
            <w:tcW w:w="11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r>
      <w:tr>
        <w:trPr>
          <w:trHeight w:val="129"/>
        </w:trPr>
        <w:tc>
          <w:tcPr>
            <w:tcW w:w="754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Capital expenditures</w:t>
            </w:r>
          </w:p>
        </w:tc>
        <w:tc>
          <w:tcPr>
            <w:tcW w:w="11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(2,358)</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(1,946)</w:t>
            </w:r>
          </w:p>
        </w:tc>
      </w:tr>
      <w:tr>
        <w:trPr>
          <w:trHeight w:val="141"/>
        </w:trPr>
        <w:tc>
          <w:tcPr>
            <w:tcW w:w="75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0"/>
                <w:szCs w:val="10"/>
                <w:color w:val="auto"/>
              </w:rPr>
              <w:t>Other investing activities</w:t>
            </w:r>
          </w:p>
        </w:tc>
        <w:tc>
          <w:tcPr>
            <w:tcW w:w="112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w:t>
            </w:r>
          </w:p>
        </w:tc>
        <w:tc>
          <w:tcPr>
            <w:tcW w:w="100" w:type="dxa"/>
            <w:vAlign w:val="bottom"/>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spacing w:after="0"/>
              <w:rPr>
                <w:sz w:val="12"/>
                <w:szCs w:val="1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w:t>
            </w:r>
          </w:p>
        </w:tc>
      </w:tr>
      <w:tr>
        <w:trPr>
          <w:trHeight w:val="118"/>
        </w:trPr>
        <w:tc>
          <w:tcPr>
            <w:tcW w:w="7540" w:type="dxa"/>
            <w:vAlign w:val="bottom"/>
            <w:tcBorders>
              <w:bottom w:val="single" w:sz="8" w:color="CCEEFF"/>
            </w:tcBorders>
          </w:tcPr>
          <w:p>
            <w:pPr>
              <w:ind w:left="80"/>
              <w:spacing w:after="0" w:line="107" w:lineRule="exact"/>
              <w:rPr>
                <w:sz w:val="20"/>
                <w:szCs w:val="20"/>
                <w:color w:val="auto"/>
              </w:rPr>
            </w:pPr>
            <w:r>
              <w:rPr>
                <w:rFonts w:ascii="Times New Roman" w:cs="Times New Roman" w:eastAsia="Times New Roman" w:hAnsi="Times New Roman"/>
                <w:sz w:val="10"/>
                <w:szCs w:val="10"/>
                <w:color w:val="auto"/>
              </w:rPr>
              <w:t>Net cash flows used in investing activities</w:t>
            </w:r>
          </w:p>
        </w:tc>
        <w:tc>
          <w:tcPr>
            <w:tcW w:w="112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(2,356)</w:t>
            </w:r>
          </w:p>
        </w:tc>
        <w:tc>
          <w:tcPr>
            <w:tcW w:w="100" w:type="dxa"/>
            <w:vAlign w:val="bottom"/>
            <w:tcBorders>
              <w:bottom w:val="single" w:sz="8" w:color="CCEEFF"/>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(1,942)</w:t>
            </w:r>
          </w:p>
        </w:tc>
      </w:tr>
      <w:tr>
        <w:trPr>
          <w:trHeight w:val="121"/>
        </w:trPr>
        <w:tc>
          <w:tcPr>
            <w:tcW w:w="7540" w:type="dxa"/>
            <w:vAlign w:val="bottom"/>
            <w:shd w:val="clear" w:color="auto" w:fill="CCEEFF"/>
          </w:tcPr>
          <w:p>
            <w:pPr>
              <w:spacing w:after="0" w:line="112" w:lineRule="exact"/>
              <w:rPr>
                <w:sz w:val="20"/>
                <w:szCs w:val="20"/>
                <w:color w:val="auto"/>
              </w:rPr>
            </w:pPr>
            <w:r>
              <w:rPr>
                <w:rFonts w:ascii="Times New Roman" w:cs="Times New Roman" w:eastAsia="Times New Roman" w:hAnsi="Times New Roman"/>
                <w:sz w:val="10"/>
                <w:szCs w:val="10"/>
                <w:b w:val="1"/>
                <w:bCs w:val="1"/>
                <w:color w:val="auto"/>
              </w:rPr>
              <w:t>Cash flows from financing activities</w:t>
            </w:r>
          </w:p>
        </w:tc>
        <w:tc>
          <w:tcPr>
            <w:tcW w:w="11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r>
      <w:tr>
        <w:trPr>
          <w:trHeight w:val="129"/>
        </w:trPr>
        <w:tc>
          <w:tcPr>
            <w:tcW w:w="754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Changes in short-term borrowings</w:t>
            </w:r>
          </w:p>
        </w:tc>
        <w:tc>
          <w:tcPr>
            <w:tcW w:w="11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(447)</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(775)</w:t>
            </w:r>
          </w:p>
        </w:tc>
      </w:tr>
      <w:tr>
        <w:trPr>
          <w:trHeight w:val="141"/>
        </w:trPr>
        <w:tc>
          <w:tcPr>
            <w:tcW w:w="75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0"/>
                <w:szCs w:val="10"/>
                <w:color w:val="auto"/>
              </w:rPr>
              <w:t>Proceeds from short-term borrowings with maturities greater than 90 days</w:t>
            </w:r>
          </w:p>
        </w:tc>
        <w:tc>
          <w:tcPr>
            <w:tcW w:w="11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500</w:t>
            </w: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r>
      <w:tr>
        <w:trPr>
          <w:trHeight w:val="129"/>
        </w:trPr>
        <w:tc>
          <w:tcPr>
            <w:tcW w:w="754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Issuance of long-term debt</w:t>
            </w:r>
          </w:p>
        </w:tc>
        <w:tc>
          <w:tcPr>
            <w:tcW w:w="11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1,120</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2,425</w:t>
            </w:r>
          </w:p>
        </w:tc>
      </w:tr>
      <w:tr>
        <w:trPr>
          <w:trHeight w:val="141"/>
        </w:trPr>
        <w:tc>
          <w:tcPr>
            <w:tcW w:w="75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0"/>
                <w:szCs w:val="10"/>
                <w:color w:val="auto"/>
              </w:rPr>
              <w:t>Issuance of common stock</w:t>
            </w:r>
          </w:p>
        </w:tc>
        <w:tc>
          <w:tcPr>
            <w:tcW w:w="1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173</w:t>
            </w:r>
          </w:p>
        </w:tc>
      </w:tr>
      <w:tr>
        <w:trPr>
          <w:trHeight w:val="129"/>
        </w:trPr>
        <w:tc>
          <w:tcPr>
            <w:tcW w:w="754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Dividends paid on common stock</w:t>
            </w:r>
          </w:p>
        </w:tc>
        <w:tc>
          <w:tcPr>
            <w:tcW w:w="11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(430)</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(403)</w:t>
            </w:r>
          </w:p>
        </w:tc>
      </w:tr>
      <w:tr>
        <w:trPr>
          <w:trHeight w:val="141"/>
        </w:trPr>
        <w:tc>
          <w:tcPr>
            <w:tcW w:w="75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0"/>
                <w:szCs w:val="10"/>
                <w:color w:val="auto"/>
              </w:rPr>
              <w:t>Proceeds from employee stock plans</w:t>
            </w:r>
          </w:p>
        </w:tc>
        <w:tc>
          <w:tcPr>
            <w:tcW w:w="11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12</w:t>
            </w: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r>
      <w:tr>
        <w:trPr>
          <w:trHeight w:val="129"/>
        </w:trPr>
        <w:tc>
          <w:tcPr>
            <w:tcW w:w="754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0"/>
                <w:szCs w:val="10"/>
                <w:color w:val="auto"/>
              </w:rPr>
              <w:t>Other financing activities</w:t>
            </w:r>
          </w:p>
        </w:tc>
        <w:tc>
          <w:tcPr>
            <w:tcW w:w="112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(27)</w:t>
            </w:r>
          </w:p>
        </w:tc>
        <w:tc>
          <w:tcPr>
            <w:tcW w:w="100" w:type="dxa"/>
            <w:vAlign w:val="bottom"/>
            <w:tcBorders>
              <w:bottom w:val="single" w:sz="8" w:color="CCEEFF"/>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(35)</w:t>
            </w:r>
          </w:p>
        </w:tc>
      </w:tr>
      <w:tr>
        <w:trPr>
          <w:trHeight w:val="130"/>
        </w:trPr>
        <w:tc>
          <w:tcPr>
            <w:tcW w:w="7540" w:type="dxa"/>
            <w:vAlign w:val="bottom"/>
            <w:shd w:val="clear" w:color="auto" w:fill="CCEEFF"/>
          </w:tcPr>
          <w:p>
            <w:pPr>
              <w:spacing w:after="0" w:line="113" w:lineRule="exact"/>
              <w:rPr>
                <w:sz w:val="20"/>
                <w:szCs w:val="20"/>
                <w:color w:val="auto"/>
              </w:rPr>
            </w:pPr>
            <w:r>
              <w:rPr>
                <w:rFonts w:ascii="Times New Roman" w:cs="Times New Roman" w:eastAsia="Times New Roman" w:hAnsi="Times New Roman"/>
                <w:sz w:val="10"/>
                <w:szCs w:val="10"/>
                <w:color w:val="auto"/>
              </w:rPr>
              <w:t>Net cash flows provided by financing activities</w:t>
            </w:r>
          </w:p>
        </w:tc>
        <w:tc>
          <w:tcPr>
            <w:tcW w:w="1120" w:type="dxa"/>
            <w:vAlign w:val="bottom"/>
            <w:tcBorders>
              <w:bottom w:val="single" w:sz="8" w:color="auto"/>
            </w:tcBorders>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728</w:t>
            </w:r>
          </w:p>
        </w:tc>
        <w:tc>
          <w:tcPr>
            <w:tcW w:w="100" w:type="dxa"/>
            <w:vAlign w:val="bottom"/>
            <w:shd w:val="clear" w:color="auto" w:fill="CCEEFF"/>
          </w:tcPr>
          <w:p>
            <w:pPr>
              <w:spacing w:after="0"/>
              <w:rPr>
                <w:sz w:val="11"/>
                <w:szCs w:val="11"/>
                <w:color w:val="auto"/>
              </w:rPr>
            </w:pPr>
          </w:p>
        </w:tc>
        <w:tc>
          <w:tcPr>
            <w:tcW w:w="720" w:type="dxa"/>
            <w:vAlign w:val="bottom"/>
            <w:tcBorders>
              <w:bottom w:val="single" w:sz="8" w:color="auto"/>
            </w:tcBorders>
            <w:shd w:val="clear" w:color="auto" w:fill="CCEEFF"/>
          </w:tcPr>
          <w:p>
            <w:pPr>
              <w:spacing w:after="0"/>
              <w:rPr>
                <w:sz w:val="11"/>
                <w:szCs w:val="1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1,385</w:t>
            </w:r>
          </w:p>
        </w:tc>
      </w:tr>
      <w:tr>
        <w:trPr>
          <w:trHeight w:val="118"/>
        </w:trPr>
        <w:tc>
          <w:tcPr>
            <w:tcW w:w="7540" w:type="dxa"/>
            <w:vAlign w:val="bottom"/>
          </w:tcPr>
          <w:p>
            <w:pPr>
              <w:spacing w:after="0" w:line="107" w:lineRule="exact"/>
              <w:rPr>
                <w:sz w:val="20"/>
                <w:szCs w:val="20"/>
                <w:color w:val="auto"/>
              </w:rPr>
            </w:pPr>
            <w:r>
              <w:rPr>
                <w:rFonts w:ascii="Times New Roman" w:cs="Times New Roman" w:eastAsia="Times New Roman" w:hAnsi="Times New Roman"/>
                <w:sz w:val="10"/>
                <w:szCs w:val="10"/>
                <w:b w:val="1"/>
                <w:bCs w:val="1"/>
                <w:color w:val="auto"/>
              </w:rPr>
              <w:t>Increase in cash, restricted cash, and cash equivalents</w:t>
            </w:r>
          </w:p>
        </w:tc>
        <w:tc>
          <w:tcPr>
            <w:tcW w:w="1120" w:type="dxa"/>
            <w:vAlign w:val="bottom"/>
          </w:tcPr>
          <w:p>
            <w:pPr>
              <w:spacing w:after="0"/>
              <w:rPr>
                <w:sz w:val="10"/>
                <w:szCs w:val="1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96</w:t>
            </w: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643</w:t>
            </w:r>
          </w:p>
        </w:tc>
      </w:tr>
      <w:tr>
        <w:trPr>
          <w:trHeight w:val="136"/>
        </w:trPr>
        <w:tc>
          <w:tcPr>
            <w:tcW w:w="754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b w:val="1"/>
                <w:bCs w:val="1"/>
                <w:color w:val="auto"/>
              </w:rPr>
              <w:t>Cash, restricted cash, and cash equivalents at beginning of period</w:t>
            </w:r>
          </w:p>
        </w:tc>
        <w:tc>
          <w:tcPr>
            <w:tcW w:w="1120" w:type="dxa"/>
            <w:vAlign w:val="bottom"/>
            <w:tcBorders>
              <w:bottom w:val="single" w:sz="8" w:color="auto"/>
            </w:tcBorders>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1,201</w:t>
            </w:r>
          </w:p>
        </w:tc>
        <w:tc>
          <w:tcPr>
            <w:tcW w:w="100" w:type="dxa"/>
            <w:vAlign w:val="bottom"/>
            <w:shd w:val="clear" w:color="auto" w:fill="CCEEFF"/>
          </w:tcPr>
          <w:p>
            <w:pPr>
              <w:spacing w:after="0"/>
              <w:rPr>
                <w:sz w:val="11"/>
                <w:szCs w:val="11"/>
                <w:color w:val="auto"/>
              </w:rPr>
            </w:pPr>
          </w:p>
        </w:tc>
        <w:tc>
          <w:tcPr>
            <w:tcW w:w="720" w:type="dxa"/>
            <w:vAlign w:val="bottom"/>
            <w:tcBorders>
              <w:bottom w:val="single" w:sz="8" w:color="auto"/>
            </w:tcBorders>
            <w:shd w:val="clear" w:color="auto" w:fill="CCEEFF"/>
          </w:tcPr>
          <w:p>
            <w:pPr>
              <w:spacing w:after="0"/>
              <w:rPr>
                <w:sz w:val="11"/>
                <w:szCs w:val="1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939</w:t>
            </w:r>
          </w:p>
        </w:tc>
      </w:tr>
      <w:tr>
        <w:trPr>
          <w:trHeight w:val="129"/>
        </w:trPr>
        <w:tc>
          <w:tcPr>
            <w:tcW w:w="754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Cash, restricted cash, and cash equivalents at end of period</w:t>
            </w:r>
          </w:p>
        </w:tc>
        <w:tc>
          <w:tcPr>
            <w:tcW w:w="1120" w:type="dxa"/>
            <w:vAlign w:val="bottom"/>
            <w:tcBorders>
              <w:bottom w:val="single" w:sz="8" w:color="auto"/>
            </w:tcBorders>
          </w:tcPr>
          <w:p>
            <w:pPr>
              <w:jc w:val="right"/>
              <w:ind w:right="1012"/>
              <w:spacing w:after="0"/>
              <w:rPr>
                <w:sz w:val="20"/>
                <w:szCs w:val="20"/>
                <w:color w:val="auto"/>
              </w:rPr>
            </w:pPr>
            <w:r>
              <w:rPr>
                <w:rFonts w:ascii="Times New Roman" w:cs="Times New Roman" w:eastAsia="Times New Roman" w:hAnsi="Times New Roman"/>
                <w:sz w:val="10"/>
                <w:szCs w:val="10"/>
                <w:color w:val="auto"/>
                <w:w w:val="79"/>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1,297</w:t>
            </w:r>
          </w:p>
        </w:tc>
        <w:tc>
          <w:tcPr>
            <w:tcW w:w="100" w:type="dxa"/>
            <w:vAlign w:val="bottom"/>
          </w:tcPr>
          <w:p>
            <w:pPr>
              <w:spacing w:after="0"/>
              <w:rPr>
                <w:sz w:val="11"/>
                <w:szCs w:val="11"/>
                <w:color w:val="auto"/>
              </w:rPr>
            </w:pPr>
          </w:p>
        </w:tc>
        <w:tc>
          <w:tcPr>
            <w:tcW w:w="720" w:type="dxa"/>
            <w:vAlign w:val="bottom"/>
            <w:tcBorders>
              <w:bottom w:val="single" w:sz="8" w:color="auto"/>
            </w:tcBorders>
          </w:tcPr>
          <w:p>
            <w:pPr>
              <w:jc w:val="right"/>
              <w:ind w:right="612"/>
              <w:spacing w:after="0"/>
              <w:rPr>
                <w:sz w:val="20"/>
                <w:szCs w:val="20"/>
                <w:color w:val="auto"/>
              </w:rPr>
            </w:pPr>
            <w:r>
              <w:rPr>
                <w:rFonts w:ascii="Times New Roman" w:cs="Times New Roman" w:eastAsia="Times New Roman" w:hAnsi="Times New Roman"/>
                <w:sz w:val="10"/>
                <w:szCs w:val="10"/>
                <w:color w:val="auto"/>
                <w:w w:val="7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1,582</w:t>
            </w:r>
          </w:p>
        </w:tc>
      </w:tr>
      <w:tr>
        <w:trPr>
          <w:trHeight w:val="20"/>
        </w:trPr>
        <w:tc>
          <w:tcPr>
            <w:tcW w:w="75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w:t>
      </w:r>
    </w:p>
    <w:p>
      <w:pPr>
        <w:sectPr>
          <w:pgSz w:w="11900" w:h="16838" w:orient="portrait"/>
          <w:cols w:equalWidth="0" w:num="1">
            <w:col w:w="11300"/>
          </w:cols>
          <w:pgMar w:left="300" w:top="129" w:right="299" w:bottom="1440" w:gutter="0" w:footer="0" w:header="0"/>
        </w:sectPr>
      </w:pPr>
    </w:p>
    <w:bookmarkStart w:id="18" w:name="page19"/>
    <w:bookmarkEnd w:id="18"/>
    <w:p>
      <w:pPr>
        <w:ind w:left="20"/>
        <w:spacing w:after="0"/>
        <w:rPr>
          <w:sz w:val="20"/>
          <w:szCs w:val="20"/>
          <w:color w:val="auto"/>
        </w:rPr>
      </w:pPr>
      <w:r>
        <w:rPr>
          <w:rFonts w:ascii="Times New Roman" w:cs="Times New Roman" w:eastAsia="Times New Roman" w:hAnsi="Times New Roman"/>
          <w:sz w:val="11"/>
          <w:szCs w:val="11"/>
          <w:u w:val="single" w:color="auto"/>
          <w:color w:val="0000FF"/>
        </w:rPr>
        <w:t>Table of Contents</w:t>
      </w:r>
    </w:p>
    <w:p>
      <w:pPr>
        <w:sectPr>
          <w:pgSz w:w="11900" w:h="16838" w:orient="portrait"/>
          <w:cols w:equalWidth="0" w:num="1">
            <w:col w:w="11320"/>
          </w:cols>
          <w:pgMar w:left="280" w:top="129" w:right="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8"/>
          <w:szCs w:val="8"/>
          <w:b w:val="1"/>
          <w:bCs w:val="1"/>
          <w:color w:val="auto"/>
        </w:rPr>
        <w:t>2025 GAAP net income (loss)</w:t>
      </w:r>
    </w:p>
    <w:p>
      <w:pPr>
        <w:spacing w:after="0" w:line="2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8"/>
          <w:szCs w:val="8"/>
          <w:color w:val="auto"/>
        </w:rPr>
        <w:t>Change in FERC audit liability (net of taxes of $1)</w:t>
      </w:r>
    </w:p>
    <w:p>
      <w:pPr>
        <w:spacing w:after="0" w:line="2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8"/>
          <w:szCs w:val="8"/>
          <w:color w:val="auto"/>
        </w:rPr>
        <w:t>Cost management charge (net of taxes of $0) (1)</w:t>
      </w:r>
    </w:p>
    <w:p>
      <w:pPr>
        <w:spacing w:after="0" w:line="2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8"/>
          <w:szCs w:val="8"/>
          <w:color w:val="auto"/>
        </w:rPr>
        <w:t>Regulatory matters (net of taxes of $7) (2)</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8"/>
          <w:szCs w:val="8"/>
          <w:b w:val="1"/>
          <w:bCs w:val="1"/>
          <w:color w:val="auto"/>
        </w:rPr>
        <w:t>2025 Adjusted (non-GAAP) operating earnings (loss)</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8"/>
          <w:szCs w:val="8"/>
          <w:b w:val="1"/>
          <w:bCs w:val="1"/>
          <w:color w:val="auto"/>
        </w:rPr>
        <w:t>Year over year effects on Adjusted (non-GAAP) operating earnings:</w:t>
      </w:r>
    </w:p>
    <w:p>
      <w:pPr>
        <w:spacing w:after="0" w:line="20" w:lineRule="exact"/>
        <w:rPr>
          <w:sz w:val="20"/>
          <w:szCs w:val="20"/>
          <w:color w:val="auto"/>
        </w:rPr>
      </w:pPr>
      <w:r>
        <w:rPr>
          <w:sz w:val="20"/>
          <w:szCs w:val="20"/>
          <w:color w:val="auto"/>
        </w:rPr>
        <w:br w:type="column"/>
      </w:r>
    </w:p>
    <w:p>
      <w:pPr>
        <w:spacing w:after="0" w:line="255" w:lineRule="exact"/>
        <w:rPr>
          <w:sz w:val="20"/>
          <w:szCs w:val="20"/>
          <w:color w:val="auto"/>
        </w:rPr>
      </w:pPr>
    </w:p>
    <w:p>
      <w:pPr>
        <w:jc w:val="center"/>
        <w:ind w:right="2720"/>
        <w:spacing w:after="0"/>
        <w:rPr>
          <w:sz w:val="20"/>
          <w:szCs w:val="20"/>
          <w:color w:val="auto"/>
        </w:rPr>
      </w:pPr>
      <w:r>
        <w:rPr>
          <w:rFonts w:ascii="Times New Roman" w:cs="Times New Roman" w:eastAsia="Times New Roman" w:hAnsi="Times New Roman"/>
          <w:sz w:val="12"/>
          <w:szCs w:val="12"/>
          <w:b w:val="1"/>
          <w:bCs w:val="1"/>
          <w:color w:val="auto"/>
        </w:rPr>
        <w:t>Exelon</w:t>
      </w:r>
    </w:p>
    <w:p>
      <w:pPr>
        <w:spacing w:after="0" w:line="21" w:lineRule="exact"/>
        <w:rPr>
          <w:sz w:val="20"/>
          <w:szCs w:val="20"/>
          <w:color w:val="auto"/>
        </w:rPr>
      </w:pPr>
    </w:p>
    <w:p>
      <w:pPr>
        <w:jc w:val="center"/>
        <w:ind w:right="2720"/>
        <w:spacing w:after="0"/>
        <w:rPr>
          <w:sz w:val="20"/>
          <w:szCs w:val="20"/>
          <w:color w:val="auto"/>
        </w:rPr>
      </w:pPr>
      <w:r>
        <w:rPr>
          <w:rFonts w:ascii="Times New Roman" w:cs="Times New Roman" w:eastAsia="Times New Roman" w:hAnsi="Times New Roman"/>
          <w:sz w:val="12"/>
          <w:szCs w:val="12"/>
          <w:b w:val="1"/>
          <w:bCs w:val="1"/>
          <w:color w:val="auto"/>
        </w:rPr>
        <w:t>Reconciliation of GAAP Net Income (Loss) to Adjusted (non-GAAP) Operating Earnings and Analysis of Earnings</w:t>
      </w:r>
    </w:p>
    <w:p>
      <w:pPr>
        <w:jc w:val="center"/>
        <w:ind w:right="2720"/>
        <w:spacing w:after="0"/>
        <w:rPr>
          <w:sz w:val="20"/>
          <w:szCs w:val="20"/>
          <w:color w:val="auto"/>
        </w:rPr>
      </w:pPr>
      <w:r>
        <w:rPr>
          <w:rFonts w:ascii="Times New Roman" w:cs="Times New Roman" w:eastAsia="Times New Roman" w:hAnsi="Times New Roman"/>
          <w:sz w:val="10"/>
          <w:szCs w:val="10"/>
          <w:color w:val="auto"/>
        </w:rPr>
        <w:t>Three Months Ended March 31, 2026 and 2025</w:t>
      </w:r>
    </w:p>
    <w:p>
      <w:pPr>
        <w:jc w:val="center"/>
        <w:ind w:right="2720"/>
        <w:spacing w:after="0"/>
        <w:rPr>
          <w:sz w:val="20"/>
          <w:szCs w:val="20"/>
          <w:color w:val="auto"/>
        </w:rPr>
      </w:pPr>
      <w:r>
        <w:rPr>
          <w:rFonts w:ascii="Times New Roman" w:cs="Times New Roman" w:eastAsia="Times New Roman" w:hAnsi="Times New Roman"/>
          <w:sz w:val="10"/>
          <w:szCs w:val="10"/>
          <w:color w:val="auto"/>
        </w:rPr>
        <w:t>(unaudited)</w:t>
      </w:r>
    </w:p>
    <w:p>
      <w:pPr>
        <w:spacing w:after="0" w:line="14"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0"/>
          <w:szCs w:val="10"/>
          <w:color w:val="auto"/>
        </w:rPr>
        <w:t>(in millions, except per share data)</w:t>
      </w:r>
    </w:p>
    <w:p>
      <w:pPr>
        <w:spacing w:after="0" w:line="25" w:lineRule="exact"/>
        <w:rPr>
          <w:sz w:val="20"/>
          <w:szCs w:val="20"/>
          <w:color w:val="auto"/>
        </w:rPr>
      </w:pPr>
    </w:p>
    <w:tbl>
      <w:tblPr>
        <w:tblLayout w:type="fixed"/>
        <w:tblInd w:w="2080" w:type="dxa"/>
        <w:tblCellMar>
          <w:top w:w="0" w:type="dxa"/>
          <w:left w:w="0" w:type="dxa"/>
          <w:bottom w:w="0" w:type="dxa"/>
          <w:right w:w="0" w:type="dxa"/>
        </w:tblCellMar>
      </w:tblPr>
      <w:tr>
        <w:trPr>
          <w:trHeight w:val="92"/>
        </w:trPr>
        <w:tc>
          <w:tcPr>
            <w:tcW w:w="140" w:type="dxa"/>
            <w:vAlign w:val="bottom"/>
          </w:tcPr>
          <w:p>
            <w:pPr>
              <w:spacing w:after="0"/>
              <w:rPr>
                <w:sz w:val="7"/>
                <w:szCs w:val="7"/>
                <w:color w:val="auto"/>
              </w:rPr>
            </w:pPr>
          </w:p>
        </w:tc>
        <w:tc>
          <w:tcPr>
            <w:tcW w:w="1060" w:type="dxa"/>
            <w:vAlign w:val="bottom"/>
            <w:gridSpan w:val="2"/>
          </w:tcPr>
          <w:p>
            <w:pPr>
              <w:jc w:val="center"/>
              <w:ind w:right="480"/>
              <w:spacing w:after="0"/>
              <w:rPr>
                <w:sz w:val="20"/>
                <w:szCs w:val="20"/>
                <w:color w:val="auto"/>
              </w:rPr>
            </w:pPr>
            <w:r>
              <w:rPr>
                <w:rFonts w:ascii="Times New Roman" w:cs="Times New Roman" w:eastAsia="Times New Roman" w:hAnsi="Times New Roman"/>
                <w:sz w:val="8"/>
                <w:szCs w:val="8"/>
                <w:b w:val="1"/>
                <w:bCs w:val="1"/>
                <w:color w:val="auto"/>
                <w:w w:val="93"/>
              </w:rPr>
              <w:t>Exelon</w:t>
            </w:r>
          </w:p>
        </w:tc>
        <w:tc>
          <w:tcPr>
            <w:tcW w:w="120" w:type="dxa"/>
            <w:vAlign w:val="bottom"/>
          </w:tcPr>
          <w:p>
            <w:pPr>
              <w:spacing w:after="0"/>
              <w:rPr>
                <w:sz w:val="7"/>
                <w:szCs w:val="7"/>
                <w:color w:val="auto"/>
              </w:rPr>
            </w:pPr>
          </w:p>
        </w:tc>
        <w:tc>
          <w:tcPr>
            <w:tcW w:w="52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44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44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9"/>
        </w:trPr>
        <w:tc>
          <w:tcPr>
            <w:tcW w:w="140" w:type="dxa"/>
            <w:vAlign w:val="bottom"/>
          </w:tcPr>
          <w:p>
            <w:pPr>
              <w:spacing w:after="0"/>
              <w:rPr>
                <w:sz w:val="6"/>
                <w:szCs w:val="6"/>
                <w:color w:val="auto"/>
              </w:rPr>
            </w:pPr>
          </w:p>
        </w:tc>
        <w:tc>
          <w:tcPr>
            <w:tcW w:w="1060" w:type="dxa"/>
            <w:vAlign w:val="bottom"/>
            <w:gridSpan w:val="2"/>
          </w:tcPr>
          <w:p>
            <w:pPr>
              <w:jc w:val="center"/>
              <w:ind w:right="520"/>
              <w:spacing w:after="0" w:line="80" w:lineRule="exact"/>
              <w:rPr>
                <w:sz w:val="20"/>
                <w:szCs w:val="20"/>
                <w:color w:val="auto"/>
              </w:rPr>
            </w:pPr>
            <w:r>
              <w:rPr>
                <w:rFonts w:ascii="Times New Roman" w:cs="Times New Roman" w:eastAsia="Times New Roman" w:hAnsi="Times New Roman"/>
                <w:sz w:val="8"/>
                <w:szCs w:val="8"/>
                <w:b w:val="1"/>
                <w:bCs w:val="1"/>
                <w:color w:val="auto"/>
                <w:w w:val="96"/>
              </w:rPr>
              <w:t>Earnings</w:t>
            </w:r>
          </w:p>
        </w:tc>
        <w:tc>
          <w:tcPr>
            <w:tcW w:w="120" w:type="dxa"/>
            <w:vAlign w:val="bottom"/>
          </w:tcPr>
          <w:p>
            <w:pPr>
              <w:spacing w:after="0"/>
              <w:rPr>
                <w:sz w:val="6"/>
                <w:szCs w:val="6"/>
                <w:color w:val="auto"/>
              </w:rPr>
            </w:pPr>
          </w:p>
        </w:tc>
        <w:tc>
          <w:tcPr>
            <w:tcW w:w="5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3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5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4"/>
        </w:trPr>
        <w:tc>
          <w:tcPr>
            <w:tcW w:w="140" w:type="dxa"/>
            <w:vAlign w:val="bottom"/>
          </w:tcPr>
          <w:p>
            <w:pPr>
              <w:spacing w:after="0"/>
              <w:rPr>
                <w:sz w:val="6"/>
                <w:szCs w:val="6"/>
                <w:color w:val="auto"/>
              </w:rPr>
            </w:pPr>
          </w:p>
        </w:tc>
        <w:tc>
          <w:tcPr>
            <w:tcW w:w="1060" w:type="dxa"/>
            <w:vAlign w:val="bottom"/>
            <w:gridSpan w:val="2"/>
          </w:tcPr>
          <w:p>
            <w:pPr>
              <w:jc w:val="center"/>
              <w:ind w:right="480"/>
              <w:spacing w:after="0" w:line="74" w:lineRule="exact"/>
              <w:rPr>
                <w:sz w:val="20"/>
                <w:szCs w:val="20"/>
                <w:color w:val="auto"/>
              </w:rPr>
            </w:pPr>
            <w:r>
              <w:rPr>
                <w:rFonts w:ascii="Times New Roman" w:cs="Times New Roman" w:eastAsia="Times New Roman" w:hAnsi="Times New Roman"/>
                <w:sz w:val="8"/>
                <w:szCs w:val="8"/>
                <w:b w:val="1"/>
                <w:bCs w:val="1"/>
                <w:color w:val="auto"/>
                <w:w w:val="97"/>
              </w:rPr>
              <w:t>per Diluted</w:t>
            </w:r>
          </w:p>
        </w:tc>
        <w:tc>
          <w:tcPr>
            <w:tcW w:w="120" w:type="dxa"/>
            <w:vAlign w:val="bottom"/>
          </w:tcPr>
          <w:p>
            <w:pPr>
              <w:spacing w:after="0"/>
              <w:rPr>
                <w:sz w:val="6"/>
                <w:szCs w:val="6"/>
                <w:color w:val="auto"/>
              </w:rPr>
            </w:pPr>
          </w:p>
        </w:tc>
        <w:tc>
          <w:tcPr>
            <w:tcW w:w="860" w:type="dxa"/>
            <w:vAlign w:val="bottom"/>
            <w:gridSpan w:val="2"/>
            <w:vMerge w:val="restart"/>
          </w:tcPr>
          <w:p>
            <w:pPr>
              <w:ind w:left="60"/>
              <w:spacing w:after="0"/>
              <w:rPr>
                <w:sz w:val="20"/>
                <w:szCs w:val="20"/>
                <w:color w:val="auto"/>
              </w:rPr>
            </w:pPr>
            <w:r>
              <w:rPr>
                <w:rFonts w:ascii="Times New Roman" w:cs="Times New Roman" w:eastAsia="Times New Roman" w:hAnsi="Times New Roman"/>
                <w:sz w:val="8"/>
                <w:szCs w:val="8"/>
                <w:b w:val="1"/>
                <w:bCs w:val="1"/>
                <w:color w:val="auto"/>
              </w:rPr>
              <w:t>ComEd</w:t>
            </w:r>
          </w:p>
        </w:tc>
        <w:tc>
          <w:tcPr>
            <w:tcW w:w="120" w:type="dxa"/>
            <w:vAlign w:val="bottom"/>
          </w:tcPr>
          <w:p>
            <w:pPr>
              <w:spacing w:after="0"/>
              <w:rPr>
                <w:sz w:val="6"/>
                <w:szCs w:val="6"/>
                <w:color w:val="auto"/>
              </w:rPr>
            </w:pPr>
          </w:p>
        </w:tc>
        <w:tc>
          <w:tcPr>
            <w:tcW w:w="800" w:type="dxa"/>
            <w:vAlign w:val="bottom"/>
            <w:gridSpan w:val="2"/>
            <w:vMerge w:val="restart"/>
          </w:tcPr>
          <w:p>
            <w:pPr>
              <w:ind w:left="60"/>
              <w:spacing w:after="0"/>
              <w:rPr>
                <w:sz w:val="20"/>
                <w:szCs w:val="20"/>
                <w:color w:val="auto"/>
              </w:rPr>
            </w:pPr>
            <w:r>
              <w:rPr>
                <w:rFonts w:ascii="Times New Roman" w:cs="Times New Roman" w:eastAsia="Times New Roman" w:hAnsi="Times New Roman"/>
                <w:sz w:val="8"/>
                <w:szCs w:val="8"/>
                <w:b w:val="1"/>
                <w:bCs w:val="1"/>
                <w:color w:val="auto"/>
              </w:rPr>
              <w:t>PECO</w:t>
            </w:r>
          </w:p>
        </w:tc>
        <w:tc>
          <w:tcPr>
            <w:tcW w:w="140" w:type="dxa"/>
            <w:vAlign w:val="bottom"/>
          </w:tcPr>
          <w:p>
            <w:pPr>
              <w:spacing w:after="0"/>
              <w:rPr>
                <w:sz w:val="6"/>
                <w:szCs w:val="6"/>
                <w:color w:val="auto"/>
              </w:rPr>
            </w:pPr>
          </w:p>
        </w:tc>
        <w:tc>
          <w:tcPr>
            <w:tcW w:w="780" w:type="dxa"/>
            <w:vAlign w:val="bottom"/>
            <w:gridSpan w:val="2"/>
            <w:vMerge w:val="restart"/>
          </w:tcPr>
          <w:p>
            <w:pPr>
              <w:ind w:left="60"/>
              <w:spacing w:after="0"/>
              <w:rPr>
                <w:sz w:val="20"/>
                <w:szCs w:val="20"/>
                <w:color w:val="auto"/>
              </w:rPr>
            </w:pPr>
            <w:r>
              <w:rPr>
                <w:rFonts w:ascii="Times New Roman" w:cs="Times New Roman" w:eastAsia="Times New Roman" w:hAnsi="Times New Roman"/>
                <w:sz w:val="8"/>
                <w:szCs w:val="8"/>
                <w:b w:val="1"/>
                <w:bCs w:val="1"/>
                <w:color w:val="auto"/>
              </w:rPr>
              <w:t>BGE</w:t>
            </w:r>
          </w:p>
        </w:tc>
        <w:tc>
          <w:tcPr>
            <w:tcW w:w="140" w:type="dxa"/>
            <w:vAlign w:val="bottom"/>
          </w:tcPr>
          <w:p>
            <w:pPr>
              <w:spacing w:after="0"/>
              <w:rPr>
                <w:sz w:val="6"/>
                <w:szCs w:val="6"/>
                <w:color w:val="auto"/>
              </w:rPr>
            </w:pPr>
          </w:p>
        </w:tc>
        <w:tc>
          <w:tcPr>
            <w:tcW w:w="780" w:type="dxa"/>
            <w:vAlign w:val="bottom"/>
            <w:gridSpan w:val="2"/>
            <w:vMerge w:val="restart"/>
          </w:tcPr>
          <w:p>
            <w:pPr>
              <w:ind w:left="80"/>
              <w:spacing w:after="0"/>
              <w:rPr>
                <w:sz w:val="20"/>
                <w:szCs w:val="20"/>
                <w:color w:val="auto"/>
              </w:rPr>
            </w:pPr>
            <w:r>
              <w:rPr>
                <w:rFonts w:ascii="Times New Roman" w:cs="Times New Roman" w:eastAsia="Times New Roman" w:hAnsi="Times New Roman"/>
                <w:sz w:val="8"/>
                <w:szCs w:val="8"/>
                <w:b w:val="1"/>
                <w:bCs w:val="1"/>
                <w:color w:val="auto"/>
              </w:rPr>
              <w:t>PHI</w:t>
            </w:r>
          </w:p>
        </w:tc>
        <w:tc>
          <w:tcPr>
            <w:tcW w:w="100" w:type="dxa"/>
            <w:vAlign w:val="bottom"/>
          </w:tcPr>
          <w:p>
            <w:pPr>
              <w:spacing w:after="0"/>
              <w:rPr>
                <w:sz w:val="6"/>
                <w:szCs w:val="6"/>
                <w:color w:val="auto"/>
              </w:rPr>
            </w:pPr>
          </w:p>
        </w:tc>
        <w:tc>
          <w:tcPr>
            <w:tcW w:w="840" w:type="dxa"/>
            <w:vAlign w:val="bottom"/>
            <w:gridSpan w:val="2"/>
            <w:vMerge w:val="restart"/>
          </w:tcPr>
          <w:p>
            <w:pPr>
              <w:ind w:left="40"/>
              <w:spacing w:after="0"/>
              <w:rPr>
                <w:sz w:val="20"/>
                <w:szCs w:val="20"/>
                <w:color w:val="auto"/>
              </w:rPr>
            </w:pPr>
            <w:r>
              <w:rPr>
                <w:rFonts w:ascii="Times New Roman" w:cs="Times New Roman" w:eastAsia="Times New Roman" w:hAnsi="Times New Roman"/>
                <w:sz w:val="8"/>
                <w:szCs w:val="8"/>
                <w:b w:val="1"/>
                <w:bCs w:val="1"/>
                <w:color w:val="auto"/>
              </w:rPr>
              <w:t>Other (a)</w:t>
            </w:r>
          </w:p>
        </w:tc>
        <w:tc>
          <w:tcPr>
            <w:tcW w:w="120" w:type="dxa"/>
            <w:vAlign w:val="bottom"/>
          </w:tcPr>
          <w:p>
            <w:pPr>
              <w:spacing w:after="0"/>
              <w:rPr>
                <w:sz w:val="6"/>
                <w:szCs w:val="6"/>
                <w:color w:val="auto"/>
              </w:rPr>
            </w:pPr>
          </w:p>
        </w:tc>
        <w:tc>
          <w:tcPr>
            <w:tcW w:w="520" w:type="dxa"/>
            <w:vAlign w:val="bottom"/>
            <w:vMerge w:val="restart"/>
          </w:tcPr>
          <w:p>
            <w:pPr>
              <w:jc w:val="right"/>
              <w:ind w:right="158"/>
              <w:spacing w:after="0"/>
              <w:rPr>
                <w:sz w:val="20"/>
                <w:szCs w:val="20"/>
                <w:color w:val="auto"/>
              </w:rPr>
            </w:pPr>
            <w:r>
              <w:rPr>
                <w:rFonts w:ascii="Times New Roman" w:cs="Times New Roman" w:eastAsia="Times New Roman" w:hAnsi="Times New Roman"/>
                <w:sz w:val="8"/>
                <w:szCs w:val="8"/>
                <w:b w:val="1"/>
                <w:bCs w:val="1"/>
                <w:color w:val="auto"/>
              </w:rPr>
              <w:t>Exelon</w:t>
            </w:r>
          </w:p>
        </w:tc>
        <w:tc>
          <w:tcPr>
            <w:tcW w:w="0" w:type="dxa"/>
            <w:vAlign w:val="bottom"/>
          </w:tcPr>
          <w:p>
            <w:pPr>
              <w:spacing w:after="0"/>
              <w:rPr>
                <w:sz w:val="1"/>
                <w:szCs w:val="1"/>
                <w:color w:val="auto"/>
              </w:rPr>
            </w:pPr>
          </w:p>
        </w:tc>
      </w:tr>
      <w:tr>
        <w:trPr>
          <w:trHeight w:val="109"/>
        </w:trPr>
        <w:tc>
          <w:tcPr>
            <w:tcW w:w="140" w:type="dxa"/>
            <w:vAlign w:val="bottom"/>
          </w:tcPr>
          <w:p>
            <w:pPr>
              <w:spacing w:after="0"/>
              <w:rPr>
                <w:sz w:val="9"/>
                <w:szCs w:val="9"/>
                <w:color w:val="auto"/>
              </w:rPr>
            </w:pPr>
          </w:p>
        </w:tc>
        <w:tc>
          <w:tcPr>
            <w:tcW w:w="1060" w:type="dxa"/>
            <w:vAlign w:val="bottom"/>
            <w:gridSpan w:val="2"/>
          </w:tcPr>
          <w:p>
            <w:pPr>
              <w:jc w:val="center"/>
              <w:ind w:right="480"/>
              <w:spacing w:after="0"/>
              <w:rPr>
                <w:sz w:val="20"/>
                <w:szCs w:val="20"/>
                <w:color w:val="auto"/>
              </w:rPr>
            </w:pPr>
            <w:r>
              <w:rPr>
                <w:rFonts w:ascii="Times New Roman" w:cs="Times New Roman" w:eastAsia="Times New Roman" w:hAnsi="Times New Roman"/>
                <w:sz w:val="8"/>
                <w:szCs w:val="8"/>
                <w:b w:val="1"/>
                <w:bCs w:val="1"/>
                <w:color w:val="auto"/>
                <w:w w:val="89"/>
              </w:rPr>
              <w:t>Share</w:t>
            </w:r>
          </w:p>
        </w:tc>
        <w:tc>
          <w:tcPr>
            <w:tcW w:w="120" w:type="dxa"/>
            <w:vAlign w:val="bottom"/>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40" w:type="dxa"/>
            <w:vAlign w:val="bottom"/>
            <w:tcBorders>
              <w:top w:val="single" w:sz="8" w:color="auto"/>
            </w:tcBorders>
          </w:tcPr>
          <w:p>
            <w:pPr>
              <w:jc w:val="right"/>
              <w:ind w:right="74"/>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8"/>
                <w:szCs w:val="8"/>
                <w:b w:val="1"/>
                <w:bCs w:val="1"/>
                <w:color w:val="auto"/>
              </w:rPr>
              <w:t>0.90</w:t>
            </w:r>
          </w:p>
        </w:tc>
        <w:tc>
          <w:tcPr>
            <w:tcW w:w="340" w:type="dxa"/>
            <w:vAlign w:val="bottom"/>
          </w:tcPr>
          <w:p>
            <w:pPr>
              <w:spacing w:after="0"/>
              <w:rPr>
                <w:sz w:val="9"/>
                <w:szCs w:val="9"/>
                <w:color w:val="auto"/>
              </w:rPr>
            </w:pPr>
          </w:p>
        </w:tc>
        <w:tc>
          <w:tcPr>
            <w:tcW w:w="120" w:type="dxa"/>
            <w:vAlign w:val="bottom"/>
            <w:tcBorders>
              <w:top w:val="single" w:sz="8" w:color="auto"/>
            </w:tcBorders>
          </w:tcPr>
          <w:p>
            <w:pPr>
              <w:jc w:val="right"/>
              <w:ind w:right="18"/>
              <w:spacing w:after="0"/>
              <w:rPr>
                <w:sz w:val="20"/>
                <w:szCs w:val="20"/>
                <w:color w:val="auto"/>
              </w:rPr>
            </w:pPr>
            <w:r>
              <w:rPr>
                <w:rFonts w:ascii="Times New Roman" w:cs="Times New Roman" w:eastAsia="Times New Roman" w:hAnsi="Times New Roman"/>
                <w:sz w:val="8"/>
                <w:szCs w:val="8"/>
                <w:b w:val="1"/>
                <w:bCs w:val="1"/>
                <w:color w:val="auto"/>
                <w:w w:val="98"/>
              </w:rPr>
              <w:t>$</w:t>
            </w: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8"/>
                <w:szCs w:val="8"/>
                <w:b w:val="1"/>
                <w:bCs w:val="1"/>
                <w:color w:val="auto"/>
              </w:rPr>
              <w:t>302</w:t>
            </w:r>
          </w:p>
        </w:tc>
        <w:tc>
          <w:tcPr>
            <w:tcW w:w="340" w:type="dxa"/>
            <w:vAlign w:val="bottom"/>
          </w:tcPr>
          <w:p>
            <w:pPr>
              <w:spacing w:after="0"/>
              <w:rPr>
                <w:sz w:val="9"/>
                <w:szCs w:val="9"/>
                <w:color w:val="auto"/>
              </w:rPr>
            </w:pPr>
          </w:p>
        </w:tc>
        <w:tc>
          <w:tcPr>
            <w:tcW w:w="120" w:type="dxa"/>
            <w:vAlign w:val="bottom"/>
            <w:tcBorders>
              <w:top w:val="single" w:sz="8" w:color="auto"/>
            </w:tcBorders>
          </w:tcPr>
          <w:p>
            <w:pPr>
              <w:jc w:val="right"/>
              <w:ind w:right="18"/>
              <w:spacing w:after="0"/>
              <w:rPr>
                <w:sz w:val="20"/>
                <w:szCs w:val="20"/>
                <w:color w:val="auto"/>
              </w:rPr>
            </w:pPr>
            <w:r>
              <w:rPr>
                <w:rFonts w:ascii="Times New Roman" w:cs="Times New Roman" w:eastAsia="Times New Roman" w:hAnsi="Times New Roman"/>
                <w:sz w:val="8"/>
                <w:szCs w:val="8"/>
                <w:b w:val="1"/>
                <w:bCs w:val="1"/>
                <w:color w:val="auto"/>
                <w:w w:val="98"/>
              </w:rPr>
              <w:t>$</w:t>
            </w: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8"/>
                <w:szCs w:val="8"/>
                <w:b w:val="1"/>
                <w:bCs w:val="1"/>
                <w:color w:val="auto"/>
              </w:rPr>
              <w:t>266</w:t>
            </w:r>
          </w:p>
        </w:tc>
        <w:tc>
          <w:tcPr>
            <w:tcW w:w="340" w:type="dxa"/>
            <w:vAlign w:val="bottom"/>
          </w:tcPr>
          <w:p>
            <w:pPr>
              <w:spacing w:after="0"/>
              <w:rPr>
                <w:sz w:val="9"/>
                <w:szCs w:val="9"/>
                <w:color w:val="auto"/>
              </w:rPr>
            </w:pPr>
          </w:p>
        </w:tc>
        <w:tc>
          <w:tcPr>
            <w:tcW w:w="140" w:type="dxa"/>
            <w:vAlign w:val="bottom"/>
            <w:tcBorders>
              <w:top w:val="single" w:sz="8" w:color="auto"/>
            </w:tcBorders>
          </w:tcPr>
          <w:p>
            <w:pPr>
              <w:jc w:val="right"/>
              <w:ind w:right="38"/>
              <w:spacing w:after="0"/>
              <w:rPr>
                <w:sz w:val="20"/>
                <w:szCs w:val="20"/>
                <w:color w:val="auto"/>
              </w:rPr>
            </w:pPr>
            <w:r>
              <w:rPr>
                <w:rFonts w:ascii="Times New Roman" w:cs="Times New Roman" w:eastAsia="Times New Roman" w:hAnsi="Times New Roman"/>
                <w:sz w:val="8"/>
                <w:szCs w:val="8"/>
                <w:b w:val="1"/>
                <w:bCs w:val="1"/>
                <w:color w:val="auto"/>
                <w:w w:val="98"/>
              </w:rPr>
              <w:t>$</w:t>
            </w: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8"/>
                <w:szCs w:val="8"/>
                <w:b w:val="1"/>
                <w:bCs w:val="1"/>
                <w:color w:val="auto"/>
              </w:rPr>
              <w:t>260</w:t>
            </w:r>
          </w:p>
        </w:tc>
        <w:tc>
          <w:tcPr>
            <w:tcW w:w="340" w:type="dxa"/>
            <w:vAlign w:val="bottom"/>
          </w:tcPr>
          <w:p>
            <w:pPr>
              <w:spacing w:after="0"/>
              <w:rPr>
                <w:sz w:val="9"/>
                <w:szCs w:val="9"/>
                <w:color w:val="auto"/>
              </w:rPr>
            </w:pPr>
          </w:p>
        </w:tc>
        <w:tc>
          <w:tcPr>
            <w:tcW w:w="140" w:type="dxa"/>
            <w:vAlign w:val="bottom"/>
            <w:tcBorders>
              <w:top w:val="single" w:sz="8" w:color="auto"/>
            </w:tcBorders>
          </w:tcPr>
          <w:p>
            <w:pPr>
              <w:jc w:val="right"/>
              <w:ind w:right="38"/>
              <w:spacing w:after="0"/>
              <w:rPr>
                <w:sz w:val="20"/>
                <w:szCs w:val="20"/>
                <w:color w:val="auto"/>
              </w:rPr>
            </w:pPr>
            <w:r>
              <w:rPr>
                <w:rFonts w:ascii="Times New Roman" w:cs="Times New Roman" w:eastAsia="Times New Roman" w:hAnsi="Times New Roman"/>
                <w:sz w:val="8"/>
                <w:szCs w:val="8"/>
                <w:b w:val="1"/>
                <w:bCs w:val="1"/>
                <w:color w:val="auto"/>
                <w:w w:val="98"/>
              </w:rPr>
              <w:t>$</w:t>
            </w: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8"/>
                <w:szCs w:val="8"/>
                <w:b w:val="1"/>
                <w:bCs w:val="1"/>
                <w:color w:val="auto"/>
              </w:rPr>
              <w:t>194</w:t>
            </w:r>
          </w:p>
        </w:tc>
        <w:tc>
          <w:tcPr>
            <w:tcW w:w="340" w:type="dxa"/>
            <w:vAlign w:val="bottom"/>
          </w:tcPr>
          <w:p>
            <w:pPr>
              <w:spacing w:after="0"/>
              <w:rPr>
                <w:sz w:val="9"/>
                <w:szCs w:val="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8"/>
                <w:szCs w:val="8"/>
                <w:b w:val="1"/>
                <w:bCs w:val="1"/>
                <w:color w:val="auto"/>
                <w:w w:val="98"/>
              </w:rPr>
              <w:t>$</w:t>
            </w: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8"/>
                <w:szCs w:val="8"/>
                <w:b w:val="1"/>
                <w:bCs w:val="1"/>
                <w:color w:val="auto"/>
              </w:rPr>
              <w:t>(114)</w:t>
            </w:r>
          </w:p>
        </w:tc>
        <w:tc>
          <w:tcPr>
            <w:tcW w:w="340" w:type="dxa"/>
            <w:vAlign w:val="bottom"/>
          </w:tcPr>
          <w:p>
            <w:pPr>
              <w:spacing w:after="0"/>
              <w:rPr>
                <w:sz w:val="9"/>
                <w:szCs w:val="9"/>
                <w:color w:val="auto"/>
              </w:rPr>
            </w:pPr>
          </w:p>
        </w:tc>
        <w:tc>
          <w:tcPr>
            <w:tcW w:w="120" w:type="dxa"/>
            <w:vAlign w:val="bottom"/>
            <w:tcBorders>
              <w:top w:val="single" w:sz="8" w:color="auto"/>
            </w:tcBorders>
          </w:tcPr>
          <w:p>
            <w:pPr>
              <w:jc w:val="right"/>
              <w:ind w:right="18"/>
              <w:spacing w:after="0"/>
              <w:rPr>
                <w:sz w:val="20"/>
                <w:szCs w:val="20"/>
                <w:color w:val="auto"/>
              </w:rPr>
            </w:pPr>
            <w:r>
              <w:rPr>
                <w:rFonts w:ascii="Times New Roman" w:cs="Times New Roman" w:eastAsia="Times New Roman" w:hAnsi="Times New Roman"/>
                <w:sz w:val="8"/>
                <w:szCs w:val="8"/>
                <w:b w:val="1"/>
                <w:bCs w:val="1"/>
                <w:color w:val="auto"/>
                <w:w w:val="98"/>
              </w:rPr>
              <w:t>$</w:t>
            </w: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8"/>
                <w:szCs w:val="8"/>
                <w:b w:val="1"/>
                <w:bCs w:val="1"/>
                <w:color w:val="auto"/>
              </w:rPr>
              <w:t>908</w:t>
            </w:r>
          </w:p>
        </w:tc>
        <w:tc>
          <w:tcPr>
            <w:tcW w:w="0" w:type="dxa"/>
            <w:vAlign w:val="bottom"/>
          </w:tcPr>
          <w:p>
            <w:pPr>
              <w:spacing w:after="0"/>
              <w:rPr>
                <w:sz w:val="1"/>
                <w:szCs w:val="1"/>
                <w:color w:val="auto"/>
              </w:rPr>
            </w:pPr>
          </w:p>
        </w:tc>
      </w:tr>
      <w:tr>
        <w:trPr>
          <w:trHeight w:val="113"/>
        </w:trPr>
        <w:tc>
          <w:tcPr>
            <w:tcW w:w="140" w:type="dxa"/>
            <w:vAlign w:val="bottom"/>
          </w:tcPr>
          <w:p>
            <w:pPr>
              <w:spacing w:after="0"/>
              <w:rPr>
                <w:sz w:val="9"/>
                <w:szCs w:val="9"/>
                <w:color w:val="auto"/>
              </w:rPr>
            </w:pPr>
          </w:p>
        </w:tc>
        <w:tc>
          <w:tcPr>
            <w:tcW w:w="1060" w:type="dxa"/>
            <w:vAlign w:val="bottom"/>
            <w:gridSpan w:val="2"/>
          </w:tcPr>
          <w:p>
            <w:pPr>
              <w:jc w:val="right"/>
              <w:ind w:right="380"/>
              <w:spacing w:after="0"/>
              <w:rPr>
                <w:sz w:val="20"/>
                <w:szCs w:val="20"/>
                <w:color w:val="auto"/>
              </w:rPr>
            </w:pPr>
            <w:r>
              <w:rPr>
                <w:rFonts w:ascii="Times New Roman" w:cs="Times New Roman" w:eastAsia="Times New Roman" w:hAnsi="Times New Roman"/>
                <w:sz w:val="8"/>
                <w:szCs w:val="8"/>
                <w:color w:val="auto"/>
              </w:rPr>
              <w:t>—</w:t>
            </w:r>
          </w:p>
        </w:tc>
        <w:tc>
          <w:tcPr>
            <w:tcW w:w="120" w:type="dxa"/>
            <w:vAlign w:val="bottom"/>
          </w:tcPr>
          <w:p>
            <w:pPr>
              <w:spacing w:after="0"/>
              <w:rPr>
                <w:sz w:val="9"/>
                <w:szCs w:val="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2</w:t>
            </w: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gridSpan w:val="2"/>
          </w:tcPr>
          <w:p>
            <w:pPr>
              <w:jc w:val="right"/>
              <w:ind w:right="380"/>
              <w:spacing w:after="0"/>
              <w:rPr>
                <w:sz w:val="20"/>
                <w:szCs w:val="20"/>
                <w:color w:val="auto"/>
              </w:rPr>
            </w:pPr>
            <w:r>
              <w:rPr>
                <w:rFonts w:ascii="Times New Roman" w:cs="Times New Roman" w:eastAsia="Times New Roman" w:hAnsi="Times New Roman"/>
                <w:sz w:val="8"/>
                <w:szCs w:val="8"/>
                <w:color w:val="auto"/>
              </w:rPr>
              <w:t>—</w:t>
            </w:r>
          </w:p>
        </w:tc>
        <w:tc>
          <w:tcPr>
            <w:tcW w:w="140" w:type="dxa"/>
            <w:vAlign w:val="bottom"/>
          </w:tcPr>
          <w:p>
            <w:pPr>
              <w:spacing w:after="0"/>
              <w:rPr>
                <w:sz w:val="9"/>
                <w:szCs w:val="9"/>
                <w:color w:val="auto"/>
              </w:rPr>
            </w:pPr>
          </w:p>
        </w:tc>
        <w:tc>
          <w:tcPr>
            <w:tcW w:w="780" w:type="dxa"/>
            <w:vAlign w:val="bottom"/>
            <w:gridSpan w:val="2"/>
          </w:tcPr>
          <w:p>
            <w:pPr>
              <w:jc w:val="right"/>
              <w:ind w:right="380"/>
              <w:spacing w:after="0"/>
              <w:rPr>
                <w:sz w:val="20"/>
                <w:szCs w:val="20"/>
                <w:color w:val="auto"/>
              </w:rPr>
            </w:pPr>
            <w:r>
              <w:rPr>
                <w:rFonts w:ascii="Times New Roman" w:cs="Times New Roman" w:eastAsia="Times New Roman" w:hAnsi="Times New Roman"/>
                <w:sz w:val="8"/>
                <w:szCs w:val="8"/>
                <w:color w:val="auto"/>
              </w:rPr>
              <w:t>—</w:t>
            </w:r>
          </w:p>
        </w:tc>
        <w:tc>
          <w:tcPr>
            <w:tcW w:w="140" w:type="dxa"/>
            <w:vAlign w:val="bottom"/>
          </w:tcPr>
          <w:p>
            <w:pPr>
              <w:spacing w:after="0"/>
              <w:rPr>
                <w:sz w:val="9"/>
                <w:szCs w:val="9"/>
                <w:color w:val="auto"/>
              </w:rPr>
            </w:pPr>
          </w:p>
        </w:tc>
        <w:tc>
          <w:tcPr>
            <w:tcW w:w="780" w:type="dxa"/>
            <w:vAlign w:val="bottom"/>
            <w:gridSpan w:val="2"/>
          </w:tcPr>
          <w:p>
            <w:pPr>
              <w:jc w:val="right"/>
              <w:ind w:right="380"/>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tcPr>
          <w:p>
            <w:pPr>
              <w:spacing w:after="0"/>
              <w:rPr>
                <w:sz w:val="9"/>
                <w:szCs w:val="9"/>
                <w:color w:val="auto"/>
              </w:rPr>
            </w:pPr>
          </w:p>
        </w:tc>
        <w:tc>
          <w:tcPr>
            <w:tcW w:w="840" w:type="dxa"/>
            <w:vAlign w:val="bottom"/>
            <w:gridSpan w:val="2"/>
          </w:tcPr>
          <w:p>
            <w:pPr>
              <w:jc w:val="right"/>
              <w:ind w:right="380"/>
              <w:spacing w:after="0"/>
              <w:rPr>
                <w:sz w:val="20"/>
                <w:szCs w:val="20"/>
                <w:color w:val="auto"/>
              </w:rPr>
            </w:pPr>
            <w:r>
              <w:rPr>
                <w:rFonts w:ascii="Times New Roman" w:cs="Times New Roman" w:eastAsia="Times New Roman" w:hAnsi="Times New Roman"/>
                <w:sz w:val="8"/>
                <w:szCs w:val="8"/>
                <w:color w:val="auto"/>
              </w:rPr>
              <w:t>—</w:t>
            </w:r>
          </w:p>
        </w:tc>
        <w:tc>
          <w:tcPr>
            <w:tcW w:w="120" w:type="dxa"/>
            <w:vAlign w:val="bottom"/>
          </w:tcPr>
          <w:p>
            <w:pPr>
              <w:spacing w:after="0"/>
              <w:rPr>
                <w:sz w:val="9"/>
                <w:szCs w:val="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2</w:t>
            </w:r>
          </w:p>
        </w:tc>
        <w:tc>
          <w:tcPr>
            <w:tcW w:w="0" w:type="dxa"/>
            <w:vAlign w:val="bottom"/>
          </w:tcPr>
          <w:p>
            <w:pPr>
              <w:spacing w:after="0"/>
              <w:rPr>
                <w:sz w:val="1"/>
                <w:szCs w:val="1"/>
                <w:color w:val="auto"/>
              </w:rPr>
            </w:pPr>
          </w:p>
        </w:tc>
      </w:tr>
      <w:tr>
        <w:trPr>
          <w:trHeight w:val="117"/>
        </w:trPr>
        <w:tc>
          <w:tcPr>
            <w:tcW w:w="140" w:type="dxa"/>
            <w:vAlign w:val="bottom"/>
          </w:tcPr>
          <w:p>
            <w:pPr>
              <w:spacing w:after="0"/>
              <w:rPr>
                <w:sz w:val="10"/>
                <w:szCs w:val="10"/>
                <w:color w:val="auto"/>
              </w:rPr>
            </w:pPr>
          </w:p>
        </w:tc>
        <w:tc>
          <w:tcPr>
            <w:tcW w:w="1060" w:type="dxa"/>
            <w:vAlign w:val="bottom"/>
            <w:gridSpan w:val="2"/>
          </w:tcPr>
          <w:p>
            <w:pPr>
              <w:jc w:val="right"/>
              <w:ind w:right="380"/>
              <w:spacing w:after="0"/>
              <w:rPr>
                <w:sz w:val="20"/>
                <w:szCs w:val="20"/>
                <w:color w:val="auto"/>
              </w:rPr>
            </w:pPr>
            <w:r>
              <w:rPr>
                <w:rFonts w:ascii="Times New Roman" w:cs="Times New Roman" w:eastAsia="Times New Roman" w:hAnsi="Times New Roman"/>
                <w:sz w:val="8"/>
                <w:szCs w:val="8"/>
                <w:color w:val="auto"/>
              </w:rPr>
              <w:t>—</w:t>
            </w:r>
          </w:p>
        </w:tc>
        <w:tc>
          <w:tcPr>
            <w:tcW w:w="120" w:type="dxa"/>
            <w:vAlign w:val="bottom"/>
          </w:tcPr>
          <w:p>
            <w:pPr>
              <w:spacing w:after="0"/>
              <w:rPr>
                <w:sz w:val="10"/>
                <w:szCs w:val="10"/>
                <w:color w:val="auto"/>
              </w:rPr>
            </w:pPr>
          </w:p>
        </w:tc>
        <w:tc>
          <w:tcPr>
            <w:tcW w:w="860" w:type="dxa"/>
            <w:vAlign w:val="bottom"/>
            <w:gridSpan w:val="2"/>
          </w:tcPr>
          <w:p>
            <w:pPr>
              <w:jc w:val="right"/>
              <w:ind w:right="380"/>
              <w:spacing w:after="0"/>
              <w:rPr>
                <w:sz w:val="20"/>
                <w:szCs w:val="20"/>
                <w:color w:val="auto"/>
              </w:rPr>
            </w:pPr>
            <w:r>
              <w:rPr>
                <w:rFonts w:ascii="Times New Roman" w:cs="Times New Roman" w:eastAsia="Times New Roman" w:hAnsi="Times New Roman"/>
                <w:sz w:val="8"/>
                <w:szCs w:val="8"/>
                <w:color w:val="auto"/>
              </w:rPr>
              <w:t>—</w:t>
            </w:r>
          </w:p>
        </w:tc>
        <w:tc>
          <w:tcPr>
            <w:tcW w:w="120" w:type="dxa"/>
            <w:vAlign w:val="bottom"/>
          </w:tcPr>
          <w:p>
            <w:pPr>
              <w:spacing w:after="0"/>
              <w:rPr>
                <w:sz w:val="10"/>
                <w:szCs w:val="10"/>
                <w:color w:val="auto"/>
              </w:rPr>
            </w:pPr>
          </w:p>
        </w:tc>
        <w:tc>
          <w:tcPr>
            <w:tcW w:w="800" w:type="dxa"/>
            <w:vAlign w:val="bottom"/>
            <w:gridSpan w:val="2"/>
          </w:tcPr>
          <w:p>
            <w:pPr>
              <w:jc w:val="right"/>
              <w:ind w:right="380"/>
              <w:spacing w:after="0"/>
              <w:rPr>
                <w:sz w:val="20"/>
                <w:szCs w:val="20"/>
                <w:color w:val="auto"/>
              </w:rPr>
            </w:pPr>
            <w:r>
              <w:rPr>
                <w:rFonts w:ascii="Times New Roman" w:cs="Times New Roman" w:eastAsia="Times New Roman" w:hAnsi="Times New Roman"/>
                <w:sz w:val="8"/>
                <w:szCs w:val="8"/>
                <w:color w:val="auto"/>
              </w:rPr>
              <w:t>—</w:t>
            </w:r>
          </w:p>
        </w:tc>
        <w:tc>
          <w:tcPr>
            <w:tcW w:w="140" w:type="dxa"/>
            <w:vAlign w:val="bottom"/>
          </w:tcPr>
          <w:p>
            <w:pPr>
              <w:spacing w:after="0"/>
              <w:rPr>
                <w:sz w:val="10"/>
                <w:szCs w:val="10"/>
                <w:color w:val="auto"/>
              </w:rPr>
            </w:pPr>
          </w:p>
        </w:tc>
        <w:tc>
          <w:tcPr>
            <w:tcW w:w="780" w:type="dxa"/>
            <w:vAlign w:val="bottom"/>
            <w:gridSpan w:val="2"/>
          </w:tcPr>
          <w:p>
            <w:pPr>
              <w:jc w:val="right"/>
              <w:ind w:right="380"/>
              <w:spacing w:after="0"/>
              <w:rPr>
                <w:sz w:val="20"/>
                <w:szCs w:val="20"/>
                <w:color w:val="auto"/>
              </w:rPr>
            </w:pPr>
            <w:r>
              <w:rPr>
                <w:rFonts w:ascii="Times New Roman" w:cs="Times New Roman" w:eastAsia="Times New Roman" w:hAnsi="Times New Roman"/>
                <w:sz w:val="8"/>
                <w:szCs w:val="8"/>
                <w:color w:val="auto"/>
              </w:rPr>
              <w:t>—</w:t>
            </w:r>
          </w:p>
        </w:tc>
        <w:tc>
          <w:tcPr>
            <w:tcW w:w="140" w:type="dxa"/>
            <w:vAlign w:val="bottom"/>
          </w:tcPr>
          <w:p>
            <w:pPr>
              <w:spacing w:after="0"/>
              <w:rPr>
                <w:sz w:val="10"/>
                <w:szCs w:val="10"/>
                <w:color w:val="auto"/>
              </w:rPr>
            </w:pPr>
          </w:p>
        </w:tc>
        <w:tc>
          <w:tcPr>
            <w:tcW w:w="780" w:type="dxa"/>
            <w:vAlign w:val="bottom"/>
            <w:gridSpan w:val="2"/>
          </w:tcPr>
          <w:p>
            <w:pPr>
              <w:jc w:val="right"/>
              <w:ind w:right="380"/>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w:t>
            </w: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w:t>
            </w:r>
          </w:p>
        </w:tc>
        <w:tc>
          <w:tcPr>
            <w:tcW w:w="0" w:type="dxa"/>
            <w:vAlign w:val="bottom"/>
          </w:tcPr>
          <w:p>
            <w:pPr>
              <w:spacing w:after="0"/>
              <w:rPr>
                <w:sz w:val="1"/>
                <w:szCs w:val="1"/>
                <w:color w:val="auto"/>
              </w:rPr>
            </w:pPr>
          </w:p>
        </w:tc>
      </w:tr>
      <w:tr>
        <w:trPr>
          <w:trHeight w:val="123"/>
        </w:trPr>
        <w:tc>
          <w:tcPr>
            <w:tcW w:w="140" w:type="dxa"/>
            <w:vAlign w:val="bottom"/>
          </w:tcPr>
          <w:p>
            <w:pPr>
              <w:spacing w:after="0"/>
              <w:rPr>
                <w:sz w:val="10"/>
                <w:szCs w:val="1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0.02</w:t>
            </w: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21</w:t>
            </w: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gridSpan w:val="2"/>
          </w:tcPr>
          <w:p>
            <w:pPr>
              <w:jc w:val="right"/>
              <w:ind w:right="380"/>
              <w:spacing w:after="0"/>
              <w:rPr>
                <w:sz w:val="20"/>
                <w:szCs w:val="20"/>
                <w:color w:val="auto"/>
              </w:rPr>
            </w:pPr>
            <w:r>
              <w:rPr>
                <w:rFonts w:ascii="Times New Roman" w:cs="Times New Roman" w:eastAsia="Times New Roman" w:hAnsi="Times New Roman"/>
                <w:sz w:val="8"/>
                <w:szCs w:val="8"/>
                <w:color w:val="auto"/>
              </w:rPr>
              <w:t>—</w:t>
            </w:r>
          </w:p>
        </w:tc>
        <w:tc>
          <w:tcPr>
            <w:tcW w:w="140" w:type="dxa"/>
            <w:vAlign w:val="bottom"/>
          </w:tcPr>
          <w:p>
            <w:pPr>
              <w:spacing w:after="0"/>
              <w:rPr>
                <w:sz w:val="10"/>
                <w:szCs w:val="10"/>
                <w:color w:val="auto"/>
              </w:rPr>
            </w:pPr>
          </w:p>
        </w:tc>
        <w:tc>
          <w:tcPr>
            <w:tcW w:w="780" w:type="dxa"/>
            <w:vAlign w:val="bottom"/>
            <w:gridSpan w:val="2"/>
          </w:tcPr>
          <w:p>
            <w:pPr>
              <w:jc w:val="right"/>
              <w:ind w:right="380"/>
              <w:spacing w:after="0"/>
              <w:rPr>
                <w:sz w:val="20"/>
                <w:szCs w:val="20"/>
                <w:color w:val="auto"/>
              </w:rPr>
            </w:pPr>
            <w:r>
              <w:rPr>
                <w:rFonts w:ascii="Times New Roman" w:cs="Times New Roman" w:eastAsia="Times New Roman" w:hAnsi="Times New Roman"/>
                <w:sz w:val="8"/>
                <w:szCs w:val="8"/>
                <w:color w:val="auto"/>
              </w:rPr>
              <w:t>—</w:t>
            </w:r>
          </w:p>
        </w:tc>
        <w:tc>
          <w:tcPr>
            <w:tcW w:w="140" w:type="dxa"/>
            <w:vAlign w:val="bottom"/>
          </w:tcPr>
          <w:p>
            <w:pPr>
              <w:spacing w:after="0"/>
              <w:rPr>
                <w:sz w:val="10"/>
                <w:szCs w:val="10"/>
                <w:color w:val="auto"/>
              </w:rPr>
            </w:pPr>
          </w:p>
        </w:tc>
        <w:tc>
          <w:tcPr>
            <w:tcW w:w="780" w:type="dxa"/>
            <w:vAlign w:val="bottom"/>
            <w:gridSpan w:val="2"/>
          </w:tcPr>
          <w:p>
            <w:pPr>
              <w:jc w:val="right"/>
              <w:ind w:right="380"/>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w:t>
            </w: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22</w:t>
            </w:r>
          </w:p>
        </w:tc>
        <w:tc>
          <w:tcPr>
            <w:tcW w:w="0" w:type="dxa"/>
            <w:vAlign w:val="bottom"/>
          </w:tcPr>
          <w:p>
            <w:pPr>
              <w:spacing w:after="0"/>
              <w:rPr>
                <w:sz w:val="1"/>
                <w:szCs w:val="1"/>
                <w:color w:val="auto"/>
              </w:rPr>
            </w:pPr>
          </w:p>
        </w:tc>
      </w:tr>
      <w:tr>
        <w:trPr>
          <w:trHeight w:val="108"/>
        </w:trPr>
        <w:tc>
          <w:tcPr>
            <w:tcW w:w="140" w:type="dxa"/>
            <w:vAlign w:val="bottom"/>
            <w:tcBorders>
              <w:top w:val="single" w:sz="8" w:color="auto"/>
              <w:bottom w:val="single" w:sz="8" w:color="auto"/>
            </w:tcBorders>
          </w:tcPr>
          <w:p>
            <w:pPr>
              <w:jc w:val="right"/>
              <w:ind w:right="74"/>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8"/>
                <w:szCs w:val="8"/>
                <w:b w:val="1"/>
                <w:bCs w:val="1"/>
                <w:color w:val="auto"/>
              </w:rPr>
              <w:t>0.92</w:t>
            </w:r>
          </w:p>
        </w:tc>
        <w:tc>
          <w:tcPr>
            <w:tcW w:w="340" w:type="dxa"/>
            <w:vAlign w:val="bottom"/>
          </w:tcPr>
          <w:p>
            <w:pPr>
              <w:spacing w:after="0"/>
              <w:rPr>
                <w:sz w:val="9"/>
                <w:szCs w:val="9"/>
                <w:color w:val="auto"/>
              </w:rPr>
            </w:pPr>
          </w:p>
        </w:tc>
        <w:tc>
          <w:tcPr>
            <w:tcW w:w="120" w:type="dxa"/>
            <w:vAlign w:val="bottom"/>
            <w:tcBorders>
              <w:top w:val="single" w:sz="8" w:color="auto"/>
              <w:bottom w:val="single" w:sz="8" w:color="auto"/>
            </w:tcBorders>
          </w:tcPr>
          <w:p>
            <w:pPr>
              <w:jc w:val="right"/>
              <w:ind w:right="18"/>
              <w:spacing w:after="0"/>
              <w:rPr>
                <w:sz w:val="20"/>
                <w:szCs w:val="20"/>
                <w:color w:val="auto"/>
              </w:rPr>
            </w:pPr>
            <w:r>
              <w:rPr>
                <w:rFonts w:ascii="Times New Roman" w:cs="Times New Roman" w:eastAsia="Times New Roman" w:hAnsi="Times New Roman"/>
                <w:sz w:val="8"/>
                <w:szCs w:val="8"/>
                <w:b w:val="1"/>
                <w:bCs w:val="1"/>
                <w:color w:val="auto"/>
                <w:w w:val="98"/>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8"/>
                <w:szCs w:val="8"/>
                <w:b w:val="1"/>
                <w:bCs w:val="1"/>
                <w:color w:val="auto"/>
              </w:rPr>
              <w:t>325</w:t>
            </w:r>
          </w:p>
        </w:tc>
        <w:tc>
          <w:tcPr>
            <w:tcW w:w="340" w:type="dxa"/>
            <w:vAlign w:val="bottom"/>
          </w:tcPr>
          <w:p>
            <w:pPr>
              <w:spacing w:after="0"/>
              <w:rPr>
                <w:sz w:val="9"/>
                <w:szCs w:val="9"/>
                <w:color w:val="auto"/>
              </w:rPr>
            </w:pPr>
          </w:p>
        </w:tc>
        <w:tc>
          <w:tcPr>
            <w:tcW w:w="120" w:type="dxa"/>
            <w:vAlign w:val="bottom"/>
            <w:tcBorders>
              <w:top w:val="single" w:sz="8" w:color="auto"/>
              <w:bottom w:val="single" w:sz="8" w:color="auto"/>
            </w:tcBorders>
          </w:tcPr>
          <w:p>
            <w:pPr>
              <w:jc w:val="right"/>
              <w:ind w:right="18"/>
              <w:spacing w:after="0"/>
              <w:rPr>
                <w:sz w:val="20"/>
                <w:szCs w:val="20"/>
                <w:color w:val="auto"/>
              </w:rPr>
            </w:pPr>
            <w:r>
              <w:rPr>
                <w:rFonts w:ascii="Times New Roman" w:cs="Times New Roman" w:eastAsia="Times New Roman" w:hAnsi="Times New Roman"/>
                <w:sz w:val="8"/>
                <w:szCs w:val="8"/>
                <w:b w:val="1"/>
                <w:bCs w:val="1"/>
                <w:color w:val="auto"/>
                <w:w w:val="98"/>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8"/>
                <w:szCs w:val="8"/>
                <w:b w:val="1"/>
                <w:bCs w:val="1"/>
                <w:color w:val="auto"/>
              </w:rPr>
              <w:t>265</w:t>
            </w:r>
          </w:p>
        </w:tc>
        <w:tc>
          <w:tcPr>
            <w:tcW w:w="340" w:type="dxa"/>
            <w:vAlign w:val="bottom"/>
          </w:tcPr>
          <w:p>
            <w:pPr>
              <w:spacing w:after="0"/>
              <w:rPr>
                <w:sz w:val="9"/>
                <w:szCs w:val="9"/>
                <w:color w:val="auto"/>
              </w:rPr>
            </w:pPr>
          </w:p>
        </w:tc>
        <w:tc>
          <w:tcPr>
            <w:tcW w:w="140" w:type="dxa"/>
            <w:vAlign w:val="bottom"/>
            <w:tcBorders>
              <w:top w:val="single" w:sz="8" w:color="auto"/>
              <w:bottom w:val="single" w:sz="8" w:color="auto"/>
            </w:tcBorders>
          </w:tcPr>
          <w:p>
            <w:pPr>
              <w:jc w:val="right"/>
              <w:ind w:right="38"/>
              <w:spacing w:after="0"/>
              <w:rPr>
                <w:sz w:val="20"/>
                <w:szCs w:val="20"/>
                <w:color w:val="auto"/>
              </w:rPr>
            </w:pPr>
            <w:r>
              <w:rPr>
                <w:rFonts w:ascii="Times New Roman" w:cs="Times New Roman" w:eastAsia="Times New Roman" w:hAnsi="Times New Roman"/>
                <w:sz w:val="8"/>
                <w:szCs w:val="8"/>
                <w:b w:val="1"/>
                <w:bCs w:val="1"/>
                <w:color w:val="auto"/>
                <w:w w:val="98"/>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8"/>
                <w:szCs w:val="8"/>
                <w:b w:val="1"/>
                <w:bCs w:val="1"/>
                <w:color w:val="auto"/>
              </w:rPr>
              <w:t>260</w:t>
            </w:r>
          </w:p>
        </w:tc>
        <w:tc>
          <w:tcPr>
            <w:tcW w:w="340" w:type="dxa"/>
            <w:vAlign w:val="bottom"/>
          </w:tcPr>
          <w:p>
            <w:pPr>
              <w:spacing w:after="0"/>
              <w:rPr>
                <w:sz w:val="9"/>
                <w:szCs w:val="9"/>
                <w:color w:val="auto"/>
              </w:rPr>
            </w:pPr>
          </w:p>
        </w:tc>
        <w:tc>
          <w:tcPr>
            <w:tcW w:w="140" w:type="dxa"/>
            <w:vAlign w:val="bottom"/>
            <w:tcBorders>
              <w:top w:val="single" w:sz="8" w:color="auto"/>
              <w:bottom w:val="single" w:sz="8" w:color="auto"/>
            </w:tcBorders>
          </w:tcPr>
          <w:p>
            <w:pPr>
              <w:jc w:val="right"/>
              <w:ind w:right="38"/>
              <w:spacing w:after="0"/>
              <w:rPr>
                <w:sz w:val="20"/>
                <w:szCs w:val="20"/>
                <w:color w:val="auto"/>
              </w:rPr>
            </w:pPr>
            <w:r>
              <w:rPr>
                <w:rFonts w:ascii="Times New Roman" w:cs="Times New Roman" w:eastAsia="Times New Roman" w:hAnsi="Times New Roman"/>
                <w:sz w:val="8"/>
                <w:szCs w:val="8"/>
                <w:b w:val="1"/>
                <w:bCs w:val="1"/>
                <w:color w:val="auto"/>
                <w:w w:val="98"/>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8"/>
                <w:szCs w:val="8"/>
                <w:b w:val="1"/>
                <w:bCs w:val="1"/>
                <w:color w:val="auto"/>
              </w:rPr>
              <w:t>194</w:t>
            </w:r>
          </w:p>
        </w:tc>
        <w:tc>
          <w:tcPr>
            <w:tcW w:w="340" w:type="dxa"/>
            <w:vAlign w:val="bottom"/>
          </w:tcPr>
          <w:p>
            <w:pPr>
              <w:spacing w:after="0"/>
              <w:rPr>
                <w:sz w:val="9"/>
                <w:szCs w:val="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8"/>
                <w:szCs w:val="8"/>
                <w:b w:val="1"/>
                <w:bCs w:val="1"/>
                <w:color w:val="auto"/>
                <w:w w:val="98"/>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8"/>
                <w:szCs w:val="8"/>
                <w:b w:val="1"/>
                <w:bCs w:val="1"/>
                <w:color w:val="auto"/>
              </w:rPr>
              <w:t>(112)</w:t>
            </w:r>
          </w:p>
        </w:tc>
        <w:tc>
          <w:tcPr>
            <w:tcW w:w="340" w:type="dxa"/>
            <w:vAlign w:val="bottom"/>
          </w:tcPr>
          <w:p>
            <w:pPr>
              <w:spacing w:after="0"/>
              <w:rPr>
                <w:sz w:val="9"/>
                <w:szCs w:val="9"/>
                <w:color w:val="auto"/>
              </w:rPr>
            </w:pPr>
          </w:p>
        </w:tc>
        <w:tc>
          <w:tcPr>
            <w:tcW w:w="120" w:type="dxa"/>
            <w:vAlign w:val="bottom"/>
            <w:tcBorders>
              <w:top w:val="single" w:sz="8" w:color="auto"/>
              <w:bottom w:val="single" w:sz="8" w:color="auto"/>
            </w:tcBorders>
          </w:tcPr>
          <w:p>
            <w:pPr>
              <w:jc w:val="right"/>
              <w:ind w:right="18"/>
              <w:spacing w:after="0"/>
              <w:rPr>
                <w:sz w:val="20"/>
                <w:szCs w:val="20"/>
                <w:color w:val="auto"/>
              </w:rPr>
            </w:pPr>
            <w:r>
              <w:rPr>
                <w:rFonts w:ascii="Times New Roman" w:cs="Times New Roman" w:eastAsia="Times New Roman" w:hAnsi="Times New Roman"/>
                <w:sz w:val="8"/>
                <w:szCs w:val="8"/>
                <w:b w:val="1"/>
                <w:bCs w:val="1"/>
                <w:color w:val="auto"/>
                <w:w w:val="98"/>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8"/>
                <w:szCs w:val="8"/>
                <w:b w:val="1"/>
                <w:bCs w:val="1"/>
                <w:color w:val="auto"/>
              </w:rPr>
              <w:t>932</w:t>
            </w:r>
          </w:p>
        </w:tc>
        <w:tc>
          <w:tcPr>
            <w:tcW w:w="0" w:type="dxa"/>
            <w:vAlign w:val="bottom"/>
          </w:tcPr>
          <w:p>
            <w:pPr>
              <w:spacing w:after="0"/>
              <w:rPr>
                <w:sz w:val="1"/>
                <w:szCs w:val="1"/>
                <w:color w:val="auto"/>
              </w:rPr>
            </w:pPr>
          </w:p>
        </w:tc>
      </w:tr>
      <w:tr>
        <w:trPr>
          <w:trHeight w:val="20"/>
        </w:trPr>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-1718945</wp:posOffset>
            </wp:positionH>
            <wp:positionV relativeFrom="paragraph">
              <wp:posOffset>-405130</wp:posOffset>
            </wp:positionV>
            <wp:extent cx="7178040" cy="800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8040" cy="80010"/>
                    </a:xfrm>
                    <a:prstGeom prst="rect">
                      <a:avLst/>
                    </a:prstGeom>
                    <a:noFill/>
                  </pic:spPr>
                </pic:pic>
              </a:graphicData>
            </a:graphic>
          </wp:anchor>
        </w:drawing>
        <w:drawing>
          <wp:anchor simplePos="0" relativeHeight="251657728" behindDoc="1" locked="0" layoutInCell="0" allowOverlap="1">
            <wp:simplePos x="0" y="0"/>
            <wp:positionH relativeFrom="column">
              <wp:posOffset>-1718945</wp:posOffset>
            </wp:positionH>
            <wp:positionV relativeFrom="paragraph">
              <wp:posOffset>-250825</wp:posOffset>
            </wp:positionV>
            <wp:extent cx="7178040" cy="742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8040" cy="74295"/>
                    </a:xfrm>
                    <a:prstGeom prst="rect">
                      <a:avLst/>
                    </a:prstGeom>
                    <a:noFill/>
                  </pic:spPr>
                </pic:pic>
              </a:graphicData>
            </a:graphic>
          </wp:anchor>
        </w:drawing>
        <w:drawing>
          <wp:anchor simplePos="0" relativeHeight="251657728" behindDoc="1" locked="0" layoutInCell="0" allowOverlap="1">
            <wp:simplePos x="0" y="0"/>
            <wp:positionH relativeFrom="column">
              <wp:posOffset>-1718945</wp:posOffset>
            </wp:positionH>
            <wp:positionV relativeFrom="paragraph">
              <wp:posOffset>-102235</wp:posOffset>
            </wp:positionV>
            <wp:extent cx="7178040" cy="914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8040" cy="91440"/>
                    </a:xfrm>
                    <a:prstGeom prst="rect">
                      <a:avLst/>
                    </a:prstGeom>
                    <a:noFill/>
                  </pic:spPr>
                </pic:pic>
              </a:graphicData>
            </a:graphic>
          </wp:anchor>
        </w:drawing>
        <w:drawing>
          <wp:anchor simplePos="0" relativeHeight="251657728" behindDoc="1" locked="0" layoutInCell="0" allowOverlap="1">
            <wp:simplePos x="0" y="0"/>
            <wp:positionH relativeFrom="column">
              <wp:posOffset>-1718945</wp:posOffset>
            </wp:positionH>
            <wp:positionV relativeFrom="paragraph">
              <wp:posOffset>28575</wp:posOffset>
            </wp:positionV>
            <wp:extent cx="7178040" cy="742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8040" cy="74295"/>
                    </a:xfrm>
                    <a:prstGeom prst="rect">
                      <a:avLst/>
                    </a:prstGeom>
                    <a:noFill/>
                  </pic:spPr>
                </pic:pic>
              </a:graphicData>
            </a:graphic>
          </wp:anchor>
        </w:drawing>
      </w:r>
    </w:p>
    <w:p>
      <w:pPr>
        <w:spacing w:after="0" w:line="160" w:lineRule="exact"/>
        <w:rPr>
          <w:sz w:val="20"/>
          <w:szCs w:val="20"/>
          <w:color w:val="auto"/>
        </w:rPr>
      </w:pPr>
    </w:p>
    <w:p>
      <w:pPr>
        <w:sectPr>
          <w:pgSz w:w="11900" w:h="16838" w:orient="portrait"/>
          <w:cols w:equalWidth="0" w:num="2">
            <w:col w:w="2440" w:space="280"/>
            <w:col w:w="8600"/>
          </w:cols>
          <w:pgMar w:left="280" w:top="129" w:right="299" w:bottom="1440" w:gutter="0" w:footer="0" w:header="0"/>
          <w:type w:val="continuous"/>
        </w:sectPr>
      </w:pPr>
    </w:p>
    <w:tbl>
      <w:tblPr>
        <w:tblLayout w:type="fixed"/>
        <w:tblInd w:w="20" w:type="dxa"/>
        <w:tblCellMar>
          <w:top w:w="0" w:type="dxa"/>
          <w:left w:w="0" w:type="dxa"/>
          <w:bottom w:w="0" w:type="dxa"/>
          <w:right w:w="0" w:type="dxa"/>
        </w:tblCellMar>
      </w:tblPr>
      <w:tr>
        <w:trPr>
          <w:trHeight w:val="113"/>
        </w:trPr>
        <w:tc>
          <w:tcPr>
            <w:tcW w:w="4780" w:type="dxa"/>
            <w:vAlign w:val="bottom"/>
          </w:tcPr>
          <w:p>
            <w:pPr>
              <w:ind w:left="220"/>
              <w:spacing w:after="0"/>
              <w:rPr>
                <w:sz w:val="20"/>
                <w:szCs w:val="20"/>
                <w:color w:val="auto"/>
              </w:rPr>
            </w:pPr>
            <w:r>
              <w:rPr>
                <w:rFonts w:ascii="Times New Roman" w:cs="Times New Roman" w:eastAsia="Times New Roman" w:hAnsi="Times New Roman"/>
                <w:sz w:val="8"/>
                <w:szCs w:val="8"/>
                <w:color w:val="auto"/>
              </w:rPr>
              <w:t>Weather</w:t>
            </w:r>
          </w:p>
        </w:tc>
        <w:tc>
          <w:tcPr>
            <w:tcW w:w="340" w:type="dxa"/>
            <w:vAlign w:val="bottom"/>
          </w:tcPr>
          <w:p>
            <w:pPr>
              <w:jc w:val="right"/>
              <w:ind w:right="274"/>
              <w:spacing w:after="0"/>
              <w:rPr>
                <w:sz w:val="20"/>
                <w:szCs w:val="20"/>
                <w:color w:val="auto"/>
              </w:rPr>
            </w:pPr>
            <w:r>
              <w:rPr>
                <w:rFonts w:ascii="Times New Roman" w:cs="Times New Roman" w:eastAsia="Times New Roman" w:hAnsi="Times New Roman"/>
                <w:sz w:val="5"/>
                <w:szCs w:val="5"/>
                <w:color w:val="auto"/>
                <w:w w:val="7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0.01</w:t>
            </w:r>
          </w:p>
        </w:tc>
        <w:tc>
          <w:tcPr>
            <w:tcW w:w="340" w:type="dxa"/>
            <w:vAlign w:val="bottom"/>
          </w:tcPr>
          <w:p>
            <w:pPr>
              <w:spacing w:after="0"/>
              <w:rPr>
                <w:sz w:val="9"/>
                <w:szCs w:val="9"/>
                <w:color w:val="auto"/>
              </w:rPr>
            </w:pPr>
          </w:p>
        </w:tc>
        <w:tc>
          <w:tcPr>
            <w:tcW w:w="280" w:type="dxa"/>
            <w:vAlign w:val="bottom"/>
          </w:tcPr>
          <w:p>
            <w:pPr>
              <w:jc w:val="right"/>
              <w:ind w:right="178"/>
              <w:spacing w:after="0"/>
              <w:rPr>
                <w:sz w:val="20"/>
                <w:szCs w:val="20"/>
                <w:color w:val="auto"/>
              </w:rPr>
            </w:pPr>
            <w:r>
              <w:rPr>
                <w:rFonts w:ascii="Times New Roman" w:cs="Times New Roman" w:eastAsia="Times New Roman" w:hAnsi="Times New Roman"/>
                <w:sz w:val="8"/>
                <w:szCs w:val="8"/>
                <w:color w:val="auto"/>
                <w:w w:val="98"/>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340" w:type="dxa"/>
            <w:vAlign w:val="bottom"/>
          </w:tcPr>
          <w:p>
            <w:pPr>
              <w:ind w:left="20"/>
              <w:spacing w:after="0"/>
              <w:rPr>
                <w:sz w:val="20"/>
                <w:szCs w:val="20"/>
                <w:color w:val="auto"/>
              </w:rPr>
            </w:pPr>
            <w:r>
              <w:rPr>
                <w:rFonts w:ascii="Times New Roman" w:cs="Times New Roman" w:eastAsia="Times New Roman" w:hAnsi="Times New Roman"/>
                <w:sz w:val="8"/>
                <w:szCs w:val="8"/>
                <w:color w:val="auto"/>
              </w:rPr>
              <w:t>(b)</w:t>
            </w:r>
          </w:p>
        </w:tc>
        <w:tc>
          <w:tcPr>
            <w:tcW w:w="240" w:type="dxa"/>
            <w:vAlign w:val="bottom"/>
          </w:tcPr>
          <w:p>
            <w:pPr>
              <w:jc w:val="right"/>
              <w:ind w:right="138"/>
              <w:spacing w:after="0"/>
              <w:rPr>
                <w:sz w:val="20"/>
                <w:szCs w:val="20"/>
                <w:color w:val="auto"/>
              </w:rPr>
            </w:pPr>
            <w:r>
              <w:rPr>
                <w:rFonts w:ascii="Times New Roman" w:cs="Times New Roman" w:eastAsia="Times New Roman" w:hAnsi="Times New Roman"/>
                <w:sz w:val="8"/>
                <w:szCs w:val="8"/>
                <w:color w:val="auto"/>
                <w:w w:val="98"/>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12</w:t>
            </w:r>
          </w:p>
        </w:tc>
        <w:tc>
          <w:tcPr>
            <w:tcW w:w="340" w:type="dxa"/>
            <w:vAlign w:val="bottom"/>
          </w:tcPr>
          <w:p>
            <w:pPr>
              <w:spacing w:after="0"/>
              <w:rPr>
                <w:sz w:val="9"/>
                <w:szCs w:val="9"/>
                <w:color w:val="auto"/>
              </w:rPr>
            </w:pPr>
          </w:p>
        </w:tc>
        <w:tc>
          <w:tcPr>
            <w:tcW w:w="240" w:type="dxa"/>
            <w:vAlign w:val="bottom"/>
          </w:tcPr>
          <w:p>
            <w:pPr>
              <w:jc w:val="right"/>
              <w:ind w:right="138"/>
              <w:spacing w:after="0"/>
              <w:rPr>
                <w:sz w:val="20"/>
                <w:szCs w:val="20"/>
                <w:color w:val="auto"/>
              </w:rPr>
            </w:pPr>
            <w:r>
              <w:rPr>
                <w:rFonts w:ascii="Times New Roman" w:cs="Times New Roman" w:eastAsia="Times New Roman" w:hAnsi="Times New Roman"/>
                <w:sz w:val="8"/>
                <w:szCs w:val="8"/>
                <w:color w:val="auto"/>
                <w:w w:val="98"/>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340" w:type="dxa"/>
            <w:vAlign w:val="bottom"/>
          </w:tcPr>
          <w:p>
            <w:pPr>
              <w:ind w:left="20"/>
              <w:spacing w:after="0"/>
              <w:rPr>
                <w:sz w:val="20"/>
                <w:szCs w:val="20"/>
                <w:color w:val="auto"/>
              </w:rPr>
            </w:pPr>
            <w:r>
              <w:rPr>
                <w:rFonts w:ascii="Times New Roman" w:cs="Times New Roman" w:eastAsia="Times New Roman" w:hAnsi="Times New Roman"/>
                <w:sz w:val="8"/>
                <w:szCs w:val="8"/>
                <w:color w:val="auto"/>
              </w:rPr>
              <w:t>(b)</w:t>
            </w:r>
          </w:p>
        </w:tc>
        <w:tc>
          <w:tcPr>
            <w:tcW w:w="240" w:type="dxa"/>
            <w:vAlign w:val="bottom"/>
          </w:tcPr>
          <w:p>
            <w:pPr>
              <w:jc w:val="right"/>
              <w:ind w:right="138"/>
              <w:spacing w:after="0"/>
              <w:rPr>
                <w:sz w:val="20"/>
                <w:szCs w:val="20"/>
                <w:color w:val="auto"/>
              </w:rPr>
            </w:pPr>
            <w:r>
              <w:rPr>
                <w:rFonts w:ascii="Times New Roman" w:cs="Times New Roman" w:eastAsia="Times New Roman" w:hAnsi="Times New Roman"/>
                <w:sz w:val="8"/>
                <w:szCs w:val="8"/>
                <w:color w:val="auto"/>
                <w:w w:val="98"/>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3</w:t>
            </w:r>
          </w:p>
        </w:tc>
        <w:tc>
          <w:tcPr>
            <w:tcW w:w="340" w:type="dxa"/>
            <w:vAlign w:val="bottom"/>
          </w:tcPr>
          <w:p>
            <w:pPr>
              <w:ind w:left="20"/>
              <w:spacing w:after="0"/>
              <w:rPr>
                <w:sz w:val="20"/>
                <w:szCs w:val="20"/>
                <w:color w:val="auto"/>
              </w:rPr>
            </w:pPr>
            <w:r>
              <w:rPr>
                <w:rFonts w:ascii="Times New Roman" w:cs="Times New Roman" w:eastAsia="Times New Roman" w:hAnsi="Times New Roman"/>
                <w:sz w:val="8"/>
                <w:szCs w:val="8"/>
                <w:color w:val="auto"/>
              </w:rPr>
              <w:t>(b)</w:t>
            </w:r>
          </w:p>
        </w:tc>
        <w:tc>
          <w:tcPr>
            <w:tcW w:w="220" w:type="dxa"/>
            <w:vAlign w:val="bottom"/>
          </w:tcPr>
          <w:p>
            <w:pPr>
              <w:jc w:val="right"/>
              <w:ind w:right="118"/>
              <w:spacing w:after="0"/>
              <w:rPr>
                <w:sz w:val="20"/>
                <w:szCs w:val="20"/>
                <w:color w:val="auto"/>
              </w:rPr>
            </w:pPr>
            <w:r>
              <w:rPr>
                <w:rFonts w:ascii="Times New Roman" w:cs="Times New Roman" w:eastAsia="Times New Roman" w:hAnsi="Times New Roman"/>
                <w:sz w:val="8"/>
                <w:szCs w:val="8"/>
                <w:color w:val="auto"/>
                <w:w w:val="98"/>
              </w:rPr>
              <w:t>$</w:t>
            </w:r>
          </w:p>
        </w:tc>
        <w:tc>
          <w:tcPr>
            <w:tcW w:w="720" w:type="dxa"/>
            <w:vAlign w:val="bottom"/>
            <w:gridSpan w:val="2"/>
          </w:tcPr>
          <w:p>
            <w:pPr>
              <w:jc w:val="right"/>
              <w:ind w:right="380"/>
              <w:spacing w:after="0"/>
              <w:rPr>
                <w:sz w:val="20"/>
                <w:szCs w:val="20"/>
                <w:color w:val="auto"/>
              </w:rPr>
            </w:pPr>
            <w:r>
              <w:rPr>
                <w:rFonts w:ascii="Times New Roman" w:cs="Times New Roman" w:eastAsia="Times New Roman" w:hAnsi="Times New Roman"/>
                <w:sz w:val="8"/>
                <w:szCs w:val="8"/>
                <w:color w:val="auto"/>
              </w:rPr>
              <w:t>—</w:t>
            </w:r>
          </w:p>
        </w:tc>
        <w:tc>
          <w:tcPr>
            <w:tcW w:w="260" w:type="dxa"/>
            <w:vAlign w:val="bottom"/>
          </w:tcPr>
          <w:p>
            <w:pPr>
              <w:jc w:val="right"/>
              <w:ind w:right="158"/>
              <w:spacing w:after="0"/>
              <w:rPr>
                <w:sz w:val="20"/>
                <w:szCs w:val="20"/>
                <w:color w:val="auto"/>
              </w:rPr>
            </w:pPr>
            <w:r>
              <w:rPr>
                <w:rFonts w:ascii="Times New Roman" w:cs="Times New Roman" w:eastAsia="Times New Roman" w:hAnsi="Times New Roman"/>
                <w:sz w:val="8"/>
                <w:szCs w:val="8"/>
                <w:color w:val="auto"/>
                <w:w w:val="98"/>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15</w:t>
            </w:r>
          </w:p>
        </w:tc>
      </w:tr>
      <w:tr>
        <w:trPr>
          <w:trHeight w:val="123"/>
        </w:trPr>
        <w:tc>
          <w:tcPr>
            <w:tcW w:w="4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8"/>
                <w:szCs w:val="8"/>
                <w:color w:val="auto"/>
              </w:rPr>
              <w:t>Load</w:t>
            </w:r>
          </w:p>
        </w:tc>
        <w:tc>
          <w:tcPr>
            <w:tcW w:w="340" w:type="dxa"/>
            <w:vAlign w:val="bottom"/>
            <w:shd w:val="clear" w:color="auto" w:fill="CCEEFF"/>
          </w:tcPr>
          <w:p>
            <w:pPr>
              <w:spacing w:after="0"/>
              <w:rPr>
                <w:sz w:val="10"/>
                <w:szCs w:val="10"/>
                <w:color w:val="auto"/>
              </w:rPr>
            </w:pPr>
          </w:p>
        </w:tc>
        <w:tc>
          <w:tcPr>
            <w:tcW w:w="8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8"/>
                <w:szCs w:val="8"/>
                <w:color w:val="auto"/>
              </w:rPr>
              <w:t>—</w:t>
            </w:r>
          </w:p>
        </w:tc>
        <w:tc>
          <w:tcPr>
            <w:tcW w:w="280" w:type="dxa"/>
            <w:vAlign w:val="bottom"/>
            <w:shd w:val="clear" w:color="auto" w:fill="CCEEFF"/>
          </w:tcPr>
          <w:p>
            <w:pPr>
              <w:spacing w:after="0"/>
              <w:rPr>
                <w:sz w:val="10"/>
                <w:szCs w:val="10"/>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(b)</w:t>
            </w:r>
          </w:p>
        </w:tc>
        <w:tc>
          <w:tcPr>
            <w:tcW w:w="240" w:type="dxa"/>
            <w:vAlign w:val="bottom"/>
            <w:shd w:val="clear" w:color="auto" w:fill="CCEEFF"/>
          </w:tcPr>
          <w:p>
            <w:pPr>
              <w:spacing w:after="0"/>
              <w:rPr>
                <w:sz w:val="10"/>
                <w:szCs w:val="10"/>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(2)</w:t>
            </w:r>
          </w:p>
        </w:tc>
        <w:tc>
          <w:tcPr>
            <w:tcW w:w="3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(b)</w:t>
            </w:r>
          </w:p>
        </w:tc>
        <w:tc>
          <w:tcPr>
            <w:tcW w:w="240" w:type="dxa"/>
            <w:vAlign w:val="bottom"/>
            <w:shd w:val="clear" w:color="auto" w:fill="CCEEFF"/>
          </w:tcPr>
          <w:p>
            <w:pPr>
              <w:spacing w:after="0"/>
              <w:rPr>
                <w:sz w:val="10"/>
                <w:szCs w:val="10"/>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(b)</w:t>
            </w:r>
          </w:p>
        </w:tc>
        <w:tc>
          <w:tcPr>
            <w:tcW w:w="22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8"/>
                <w:szCs w:val="8"/>
                <w:color w:val="auto"/>
              </w:rPr>
              <w:t>—</w:t>
            </w:r>
          </w:p>
        </w:tc>
        <w:tc>
          <w:tcPr>
            <w:tcW w:w="260" w:type="dxa"/>
            <w:vAlign w:val="bottom"/>
            <w:shd w:val="clear" w:color="auto" w:fill="CCEEFF"/>
          </w:tcPr>
          <w:p>
            <w:pPr>
              <w:spacing w:after="0"/>
              <w:rPr>
                <w:sz w:val="10"/>
                <w:szCs w:val="10"/>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(2)</w:t>
            </w:r>
          </w:p>
        </w:tc>
      </w:tr>
      <w:tr>
        <w:trPr>
          <w:trHeight w:val="112"/>
        </w:trPr>
        <w:tc>
          <w:tcPr>
            <w:tcW w:w="4780" w:type="dxa"/>
            <w:vAlign w:val="bottom"/>
          </w:tcPr>
          <w:p>
            <w:pPr>
              <w:ind w:left="220"/>
              <w:spacing w:after="0"/>
              <w:rPr>
                <w:sz w:val="20"/>
                <w:szCs w:val="20"/>
                <w:color w:val="auto"/>
              </w:rPr>
            </w:pPr>
            <w:r>
              <w:rPr>
                <w:rFonts w:ascii="Times New Roman" w:cs="Times New Roman" w:eastAsia="Times New Roman" w:hAnsi="Times New Roman"/>
                <w:sz w:val="8"/>
                <w:szCs w:val="8"/>
                <w:color w:val="auto"/>
              </w:rPr>
              <w:t>Distribution and transmission rates (3)</w:t>
            </w:r>
          </w:p>
        </w:tc>
        <w:tc>
          <w:tcPr>
            <w:tcW w:w="340" w:type="dxa"/>
            <w:vAlign w:val="bottom"/>
          </w:tcPr>
          <w:p>
            <w:pPr>
              <w:spacing w:after="0"/>
              <w:rPr>
                <w:sz w:val="9"/>
                <w:szCs w:val="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0.06</w:t>
            </w: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15</w:t>
            </w:r>
          </w:p>
        </w:tc>
        <w:tc>
          <w:tcPr>
            <w:tcW w:w="340" w:type="dxa"/>
            <w:vAlign w:val="bottom"/>
          </w:tcPr>
          <w:p>
            <w:pPr>
              <w:ind w:left="20"/>
              <w:spacing w:after="0"/>
              <w:rPr>
                <w:sz w:val="20"/>
                <w:szCs w:val="20"/>
                <w:color w:val="auto"/>
              </w:rPr>
            </w:pPr>
            <w:r>
              <w:rPr>
                <w:rFonts w:ascii="Times New Roman" w:cs="Times New Roman" w:eastAsia="Times New Roman" w:hAnsi="Times New Roman"/>
                <w:sz w:val="8"/>
                <w:szCs w:val="8"/>
                <w:color w:val="auto"/>
              </w:rPr>
              <w:t>(c)</w:t>
            </w:r>
          </w:p>
        </w:tc>
        <w:tc>
          <w:tcPr>
            <w:tcW w:w="240" w:type="dxa"/>
            <w:vAlign w:val="bottom"/>
          </w:tcPr>
          <w:p>
            <w:pPr>
              <w:spacing w:after="0"/>
              <w:rPr>
                <w:sz w:val="9"/>
                <w:szCs w:val="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5</w:t>
            </w:r>
          </w:p>
        </w:tc>
        <w:tc>
          <w:tcPr>
            <w:tcW w:w="340" w:type="dxa"/>
            <w:vAlign w:val="bottom"/>
          </w:tcPr>
          <w:p>
            <w:pPr>
              <w:ind w:left="20"/>
              <w:spacing w:after="0"/>
              <w:rPr>
                <w:sz w:val="20"/>
                <w:szCs w:val="20"/>
                <w:color w:val="auto"/>
              </w:rPr>
            </w:pPr>
            <w:r>
              <w:rPr>
                <w:rFonts w:ascii="Times New Roman" w:cs="Times New Roman" w:eastAsia="Times New Roman" w:hAnsi="Times New Roman"/>
                <w:sz w:val="8"/>
                <w:szCs w:val="8"/>
                <w:color w:val="auto"/>
              </w:rPr>
              <w:t>(c)</w:t>
            </w:r>
          </w:p>
        </w:tc>
        <w:tc>
          <w:tcPr>
            <w:tcW w:w="240" w:type="dxa"/>
            <w:vAlign w:val="bottom"/>
          </w:tcPr>
          <w:p>
            <w:pPr>
              <w:spacing w:after="0"/>
              <w:rPr>
                <w:sz w:val="9"/>
                <w:szCs w:val="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25</w:t>
            </w:r>
          </w:p>
        </w:tc>
        <w:tc>
          <w:tcPr>
            <w:tcW w:w="340" w:type="dxa"/>
            <w:vAlign w:val="bottom"/>
          </w:tcPr>
          <w:p>
            <w:pPr>
              <w:ind w:left="20"/>
              <w:spacing w:after="0"/>
              <w:rPr>
                <w:sz w:val="20"/>
                <w:szCs w:val="20"/>
                <w:color w:val="auto"/>
              </w:rPr>
            </w:pPr>
            <w:r>
              <w:rPr>
                <w:rFonts w:ascii="Times New Roman" w:cs="Times New Roman" w:eastAsia="Times New Roman" w:hAnsi="Times New Roman"/>
                <w:sz w:val="8"/>
                <w:szCs w:val="8"/>
                <w:color w:val="auto"/>
              </w:rPr>
              <w:t>(c)</w:t>
            </w:r>
          </w:p>
        </w:tc>
        <w:tc>
          <w:tcPr>
            <w:tcW w:w="240" w:type="dxa"/>
            <w:vAlign w:val="bottom"/>
          </w:tcPr>
          <w:p>
            <w:pPr>
              <w:spacing w:after="0"/>
              <w:rPr>
                <w:sz w:val="9"/>
                <w:szCs w:val="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14</w:t>
            </w:r>
          </w:p>
        </w:tc>
        <w:tc>
          <w:tcPr>
            <w:tcW w:w="340" w:type="dxa"/>
            <w:vAlign w:val="bottom"/>
          </w:tcPr>
          <w:p>
            <w:pPr>
              <w:ind w:left="20"/>
              <w:spacing w:after="0"/>
              <w:rPr>
                <w:sz w:val="20"/>
                <w:szCs w:val="20"/>
                <w:color w:val="auto"/>
              </w:rPr>
            </w:pPr>
            <w:r>
              <w:rPr>
                <w:rFonts w:ascii="Times New Roman" w:cs="Times New Roman" w:eastAsia="Times New Roman" w:hAnsi="Times New Roman"/>
                <w:sz w:val="8"/>
                <w:szCs w:val="8"/>
                <w:color w:val="auto"/>
              </w:rPr>
              <w:t>(c)</w:t>
            </w:r>
          </w:p>
        </w:tc>
        <w:tc>
          <w:tcPr>
            <w:tcW w:w="220" w:type="dxa"/>
            <w:vAlign w:val="bottom"/>
          </w:tcPr>
          <w:p>
            <w:pPr>
              <w:spacing w:after="0"/>
              <w:rPr>
                <w:sz w:val="9"/>
                <w:szCs w:val="9"/>
                <w:color w:val="auto"/>
              </w:rPr>
            </w:pPr>
          </w:p>
        </w:tc>
        <w:tc>
          <w:tcPr>
            <w:tcW w:w="720" w:type="dxa"/>
            <w:vAlign w:val="bottom"/>
            <w:gridSpan w:val="2"/>
          </w:tcPr>
          <w:p>
            <w:pPr>
              <w:jc w:val="right"/>
              <w:ind w:right="380"/>
              <w:spacing w:after="0"/>
              <w:rPr>
                <w:sz w:val="20"/>
                <w:szCs w:val="20"/>
                <w:color w:val="auto"/>
              </w:rPr>
            </w:pPr>
            <w:r>
              <w:rPr>
                <w:rFonts w:ascii="Times New Roman" w:cs="Times New Roman" w:eastAsia="Times New Roman" w:hAnsi="Times New Roman"/>
                <w:sz w:val="8"/>
                <w:szCs w:val="8"/>
                <w:color w:val="auto"/>
              </w:rPr>
              <w:t>—</w:t>
            </w:r>
          </w:p>
        </w:tc>
        <w:tc>
          <w:tcPr>
            <w:tcW w:w="260" w:type="dxa"/>
            <w:vAlign w:val="bottom"/>
          </w:tcPr>
          <w:p>
            <w:pPr>
              <w:spacing w:after="0"/>
              <w:rPr>
                <w:sz w:val="9"/>
                <w:szCs w:val="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59</w:t>
            </w:r>
          </w:p>
        </w:tc>
      </w:tr>
      <w:tr>
        <w:trPr>
          <w:trHeight w:val="122"/>
        </w:trPr>
        <w:tc>
          <w:tcPr>
            <w:tcW w:w="4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8"/>
                <w:szCs w:val="8"/>
                <w:color w:val="auto"/>
              </w:rPr>
              <w:t>Other energy delivery (4)</w:t>
            </w:r>
          </w:p>
        </w:tc>
        <w:tc>
          <w:tcPr>
            <w:tcW w:w="340" w:type="dxa"/>
            <w:vAlign w:val="bottom"/>
            <w:shd w:val="clear" w:color="auto" w:fill="CCEEFF"/>
          </w:tcPr>
          <w:p>
            <w:pPr>
              <w:spacing w:after="0"/>
              <w:rPr>
                <w:sz w:val="10"/>
                <w:szCs w:val="10"/>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0.05</w:t>
            </w:r>
          </w:p>
        </w:tc>
        <w:tc>
          <w:tcPr>
            <w:tcW w:w="3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17</w:t>
            </w:r>
          </w:p>
        </w:tc>
        <w:tc>
          <w:tcPr>
            <w:tcW w:w="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(c)</w:t>
            </w:r>
          </w:p>
        </w:tc>
        <w:tc>
          <w:tcPr>
            <w:tcW w:w="240" w:type="dxa"/>
            <w:vAlign w:val="bottom"/>
            <w:shd w:val="clear" w:color="auto" w:fill="CCEEFF"/>
          </w:tcPr>
          <w:p>
            <w:pPr>
              <w:spacing w:after="0"/>
              <w:rPr>
                <w:sz w:val="10"/>
                <w:szCs w:val="10"/>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13</w:t>
            </w:r>
          </w:p>
        </w:tc>
        <w:tc>
          <w:tcPr>
            <w:tcW w:w="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(c)</w:t>
            </w:r>
          </w:p>
        </w:tc>
        <w:tc>
          <w:tcPr>
            <w:tcW w:w="240" w:type="dxa"/>
            <w:vAlign w:val="bottom"/>
            <w:shd w:val="clear" w:color="auto" w:fill="CCEEFF"/>
          </w:tcPr>
          <w:p>
            <w:pPr>
              <w:spacing w:after="0"/>
              <w:rPr>
                <w:sz w:val="10"/>
                <w:szCs w:val="10"/>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14</w:t>
            </w:r>
          </w:p>
        </w:tc>
        <w:tc>
          <w:tcPr>
            <w:tcW w:w="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(c)</w:t>
            </w:r>
          </w:p>
        </w:tc>
        <w:tc>
          <w:tcPr>
            <w:tcW w:w="240" w:type="dxa"/>
            <w:vAlign w:val="bottom"/>
            <w:shd w:val="clear" w:color="auto" w:fill="CCEEFF"/>
          </w:tcPr>
          <w:p>
            <w:pPr>
              <w:spacing w:after="0"/>
              <w:rPr>
                <w:sz w:val="10"/>
                <w:szCs w:val="10"/>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10</w:t>
            </w:r>
          </w:p>
        </w:tc>
        <w:tc>
          <w:tcPr>
            <w:tcW w:w="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(c)</w:t>
            </w:r>
          </w:p>
        </w:tc>
        <w:tc>
          <w:tcPr>
            <w:tcW w:w="22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8"/>
                <w:szCs w:val="8"/>
                <w:color w:val="auto"/>
              </w:rPr>
              <w:t>—</w:t>
            </w:r>
          </w:p>
        </w:tc>
        <w:tc>
          <w:tcPr>
            <w:tcW w:w="260" w:type="dxa"/>
            <w:vAlign w:val="bottom"/>
            <w:shd w:val="clear" w:color="auto" w:fill="CCEEFF"/>
          </w:tcPr>
          <w:p>
            <w:pPr>
              <w:spacing w:after="0"/>
              <w:rPr>
                <w:sz w:val="10"/>
                <w:szCs w:val="10"/>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54</w:t>
            </w:r>
          </w:p>
        </w:tc>
      </w:tr>
      <w:tr>
        <w:trPr>
          <w:trHeight w:val="112"/>
        </w:trPr>
        <w:tc>
          <w:tcPr>
            <w:tcW w:w="4780" w:type="dxa"/>
            <w:vAlign w:val="bottom"/>
          </w:tcPr>
          <w:p>
            <w:pPr>
              <w:ind w:left="220"/>
              <w:spacing w:after="0"/>
              <w:rPr>
                <w:sz w:val="20"/>
                <w:szCs w:val="20"/>
                <w:color w:val="auto"/>
              </w:rPr>
            </w:pPr>
            <w:r>
              <w:rPr>
                <w:rFonts w:ascii="Times New Roman" w:cs="Times New Roman" w:eastAsia="Times New Roman" w:hAnsi="Times New Roman"/>
                <w:sz w:val="8"/>
                <w:szCs w:val="8"/>
                <w:color w:val="auto"/>
              </w:rPr>
              <w:t>Operating and maintenance expense (5)</w:t>
            </w:r>
          </w:p>
        </w:tc>
        <w:tc>
          <w:tcPr>
            <w:tcW w:w="340" w:type="dxa"/>
            <w:vAlign w:val="bottom"/>
          </w:tcPr>
          <w:p>
            <w:pPr>
              <w:spacing w:after="0"/>
              <w:rPr>
                <w:sz w:val="9"/>
                <w:szCs w:val="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(0.06)</w:t>
            </w: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(32)</w:t>
            </w:r>
          </w:p>
        </w:tc>
        <w:tc>
          <w:tcPr>
            <w:tcW w:w="340" w:type="dxa"/>
            <w:vAlign w:val="bottom"/>
          </w:tcPr>
          <w:p>
            <w:pPr>
              <w:spacing w:after="0"/>
              <w:rPr>
                <w:sz w:val="9"/>
                <w:szCs w:val="9"/>
                <w:color w:val="auto"/>
              </w:rPr>
            </w:pPr>
          </w:p>
        </w:tc>
        <w:tc>
          <w:tcPr>
            <w:tcW w:w="240" w:type="dxa"/>
            <w:vAlign w:val="bottom"/>
          </w:tcPr>
          <w:p>
            <w:pPr>
              <w:spacing w:after="0"/>
              <w:rPr>
                <w:sz w:val="9"/>
                <w:szCs w:val="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(8)</w:t>
            </w:r>
          </w:p>
        </w:tc>
        <w:tc>
          <w:tcPr>
            <w:tcW w:w="340" w:type="dxa"/>
            <w:vAlign w:val="bottom"/>
          </w:tcPr>
          <w:p>
            <w:pPr>
              <w:spacing w:after="0"/>
              <w:rPr>
                <w:sz w:val="9"/>
                <w:szCs w:val="9"/>
                <w:color w:val="auto"/>
              </w:rPr>
            </w:pPr>
          </w:p>
        </w:tc>
        <w:tc>
          <w:tcPr>
            <w:tcW w:w="240" w:type="dxa"/>
            <w:vAlign w:val="bottom"/>
          </w:tcPr>
          <w:p>
            <w:pPr>
              <w:spacing w:after="0"/>
              <w:rPr>
                <w:sz w:val="9"/>
                <w:szCs w:val="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4</w:t>
            </w:r>
          </w:p>
        </w:tc>
        <w:tc>
          <w:tcPr>
            <w:tcW w:w="340" w:type="dxa"/>
            <w:vAlign w:val="bottom"/>
          </w:tcPr>
          <w:p>
            <w:pPr>
              <w:spacing w:after="0"/>
              <w:rPr>
                <w:sz w:val="9"/>
                <w:szCs w:val="9"/>
                <w:color w:val="auto"/>
              </w:rPr>
            </w:pPr>
          </w:p>
        </w:tc>
        <w:tc>
          <w:tcPr>
            <w:tcW w:w="240" w:type="dxa"/>
            <w:vAlign w:val="bottom"/>
          </w:tcPr>
          <w:p>
            <w:pPr>
              <w:spacing w:after="0"/>
              <w:rPr>
                <w:sz w:val="9"/>
                <w:szCs w:val="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(21)</w:t>
            </w:r>
          </w:p>
        </w:tc>
        <w:tc>
          <w:tcPr>
            <w:tcW w:w="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gridSpan w:val="2"/>
          </w:tcPr>
          <w:p>
            <w:pPr>
              <w:jc w:val="right"/>
              <w:ind w:right="380"/>
              <w:spacing w:after="0"/>
              <w:rPr>
                <w:sz w:val="20"/>
                <w:szCs w:val="20"/>
                <w:color w:val="auto"/>
              </w:rPr>
            </w:pPr>
            <w:r>
              <w:rPr>
                <w:rFonts w:ascii="Times New Roman" w:cs="Times New Roman" w:eastAsia="Times New Roman" w:hAnsi="Times New Roman"/>
                <w:sz w:val="8"/>
                <w:szCs w:val="8"/>
                <w:color w:val="auto"/>
              </w:rPr>
              <w:t>—</w:t>
            </w:r>
          </w:p>
        </w:tc>
        <w:tc>
          <w:tcPr>
            <w:tcW w:w="260" w:type="dxa"/>
            <w:vAlign w:val="bottom"/>
          </w:tcPr>
          <w:p>
            <w:pPr>
              <w:spacing w:after="0"/>
              <w:rPr>
                <w:sz w:val="9"/>
                <w:szCs w:val="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(57)</w:t>
            </w:r>
          </w:p>
        </w:tc>
      </w:tr>
      <w:tr>
        <w:trPr>
          <w:trHeight w:val="122"/>
        </w:trPr>
        <w:tc>
          <w:tcPr>
            <w:tcW w:w="4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8"/>
                <w:szCs w:val="8"/>
                <w:color w:val="auto"/>
              </w:rPr>
              <w:t>Depreciation and amortization expense (6)</w:t>
            </w:r>
          </w:p>
        </w:tc>
        <w:tc>
          <w:tcPr>
            <w:tcW w:w="340" w:type="dxa"/>
            <w:vAlign w:val="bottom"/>
            <w:shd w:val="clear" w:color="auto" w:fill="CCEEFF"/>
          </w:tcPr>
          <w:p>
            <w:pPr>
              <w:spacing w:after="0"/>
              <w:rPr>
                <w:sz w:val="10"/>
                <w:szCs w:val="10"/>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(0.04)</w:t>
            </w:r>
          </w:p>
        </w:tc>
        <w:tc>
          <w:tcPr>
            <w:tcW w:w="3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(17)</w:t>
            </w:r>
          </w:p>
        </w:tc>
        <w:tc>
          <w:tcPr>
            <w:tcW w:w="3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(9)</w:t>
            </w:r>
          </w:p>
        </w:tc>
        <w:tc>
          <w:tcPr>
            <w:tcW w:w="3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(7)</w:t>
            </w:r>
          </w:p>
        </w:tc>
        <w:tc>
          <w:tcPr>
            <w:tcW w:w="3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(12)</w:t>
            </w:r>
          </w:p>
        </w:tc>
        <w:tc>
          <w:tcPr>
            <w:tcW w:w="3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2</w:t>
            </w:r>
          </w:p>
        </w:tc>
        <w:tc>
          <w:tcPr>
            <w:tcW w:w="3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(43)</w:t>
            </w:r>
          </w:p>
        </w:tc>
      </w:tr>
      <w:tr>
        <w:trPr>
          <w:trHeight w:val="112"/>
        </w:trPr>
        <w:tc>
          <w:tcPr>
            <w:tcW w:w="47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8"/>
                <w:szCs w:val="8"/>
                <w:color w:val="auto"/>
              </w:rPr>
              <w:t>Interest expense and other (7)</w:t>
            </w:r>
          </w:p>
        </w:tc>
        <w:tc>
          <w:tcPr>
            <w:tcW w:w="34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8"/>
                <w:szCs w:val="8"/>
                <w:color w:val="auto"/>
              </w:rPr>
              <w:t>(0.03)</w:t>
            </w:r>
          </w:p>
        </w:tc>
        <w:tc>
          <w:tcPr>
            <w:tcW w:w="340" w:type="dxa"/>
            <w:vAlign w:val="bottom"/>
            <w:tcBorders>
              <w:bottom w:val="single" w:sz="8" w:color="CCEEFF"/>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8"/>
                <w:szCs w:val="8"/>
                <w:color w:val="auto"/>
              </w:rPr>
              <w:t>2</w:t>
            </w:r>
          </w:p>
        </w:tc>
        <w:tc>
          <w:tcPr>
            <w:tcW w:w="340" w:type="dxa"/>
            <w:vAlign w:val="bottom"/>
            <w:tcBorders>
              <w:bottom w:val="single" w:sz="8" w:color="CCEEFF"/>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8"/>
                <w:szCs w:val="8"/>
                <w:color w:val="auto"/>
              </w:rPr>
              <w:t>2</w:t>
            </w:r>
          </w:p>
        </w:tc>
        <w:tc>
          <w:tcPr>
            <w:tcW w:w="340" w:type="dxa"/>
            <w:vAlign w:val="bottom"/>
            <w:tcBorders>
              <w:bottom w:val="single" w:sz="8" w:color="CCEEFF"/>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8"/>
                <w:szCs w:val="8"/>
                <w:color w:val="auto"/>
              </w:rPr>
              <w:t>2</w:t>
            </w:r>
          </w:p>
        </w:tc>
        <w:tc>
          <w:tcPr>
            <w:tcW w:w="340" w:type="dxa"/>
            <w:vAlign w:val="bottom"/>
            <w:tcBorders>
              <w:bottom w:val="single" w:sz="8" w:color="CCEEFF"/>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8"/>
                <w:szCs w:val="8"/>
                <w:color w:val="auto"/>
              </w:rPr>
              <w:t>(8)</w:t>
            </w:r>
          </w:p>
        </w:tc>
        <w:tc>
          <w:tcPr>
            <w:tcW w:w="340" w:type="dxa"/>
            <w:vAlign w:val="bottom"/>
            <w:tcBorders>
              <w:bottom w:val="single" w:sz="8" w:color="CCEEFF"/>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8"/>
                <w:szCs w:val="8"/>
                <w:color w:val="auto"/>
              </w:rPr>
              <w:t>(26)</w:t>
            </w:r>
          </w:p>
        </w:tc>
        <w:tc>
          <w:tcPr>
            <w:tcW w:w="340" w:type="dxa"/>
            <w:vAlign w:val="bottom"/>
            <w:tcBorders>
              <w:bottom w:val="single" w:sz="8" w:color="CCEEFF"/>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8"/>
                <w:szCs w:val="8"/>
                <w:color w:val="auto"/>
              </w:rPr>
              <w:t>(28)</w:t>
            </w:r>
          </w:p>
        </w:tc>
      </w:tr>
      <w:tr>
        <w:trPr>
          <w:trHeight w:val="127"/>
        </w:trPr>
        <w:tc>
          <w:tcPr>
            <w:tcW w:w="4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8"/>
                <w:szCs w:val="8"/>
                <w:b w:val="1"/>
                <w:bCs w:val="1"/>
                <w:color w:val="auto"/>
              </w:rPr>
              <w:t>Total year over year effects on Adjusted (non-GAAP) operating earnings</w:t>
            </w:r>
          </w:p>
        </w:tc>
        <w:tc>
          <w:tcPr>
            <w:tcW w:w="340" w:type="dxa"/>
            <w:vAlign w:val="bottom"/>
            <w:tcBorders>
              <w:bottom w:val="single" w:sz="8" w:color="auto"/>
            </w:tcBorders>
            <w:shd w:val="clear" w:color="auto" w:fill="CCEEFF"/>
          </w:tcPr>
          <w:p>
            <w:pPr>
              <w:jc w:val="right"/>
              <w:ind w:right="274"/>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b w:val="1"/>
                <w:bCs w:val="1"/>
                <w:color w:val="auto"/>
              </w:rPr>
              <w:t>(0.01)</w:t>
            </w:r>
          </w:p>
        </w:tc>
        <w:tc>
          <w:tcPr>
            <w:tcW w:w="340" w:type="dxa"/>
            <w:vAlign w:val="bottom"/>
            <w:tcBorders>
              <w:bottom w:val="single" w:sz="8" w:color="CCEEFF"/>
            </w:tcBorders>
            <w:shd w:val="clear" w:color="auto" w:fill="CCEEFF"/>
          </w:tcPr>
          <w:p>
            <w:pPr>
              <w:spacing w:after="0"/>
              <w:rPr>
                <w:sz w:val="11"/>
                <w:szCs w:val="11"/>
                <w:color w:val="auto"/>
              </w:rPr>
            </w:pPr>
          </w:p>
        </w:tc>
        <w:tc>
          <w:tcPr>
            <w:tcW w:w="280" w:type="dxa"/>
            <w:vAlign w:val="bottom"/>
            <w:tcBorders>
              <w:bottom w:val="single" w:sz="8" w:color="auto"/>
            </w:tcBorders>
            <w:shd w:val="clear" w:color="auto" w:fill="CCEEFF"/>
          </w:tcPr>
          <w:p>
            <w:pPr>
              <w:jc w:val="right"/>
              <w:ind w:right="178"/>
              <w:spacing w:after="0"/>
              <w:rPr>
                <w:sz w:val="20"/>
                <w:szCs w:val="20"/>
                <w:color w:val="auto"/>
              </w:rPr>
            </w:pPr>
            <w:r>
              <w:rPr>
                <w:rFonts w:ascii="Times New Roman" w:cs="Times New Roman" w:eastAsia="Times New Roman" w:hAnsi="Times New Roman"/>
                <w:sz w:val="8"/>
                <w:szCs w:val="8"/>
                <w:b w:val="1"/>
                <w:bCs w:val="1"/>
                <w:color w:val="auto"/>
                <w:w w:val="98"/>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b w:val="1"/>
                <w:bCs w:val="1"/>
                <w:color w:val="auto"/>
              </w:rPr>
              <w:t>(15)</w:t>
            </w:r>
          </w:p>
        </w:tc>
        <w:tc>
          <w:tcPr>
            <w:tcW w:w="340" w:type="dxa"/>
            <w:vAlign w:val="bottom"/>
            <w:tcBorders>
              <w:bottom w:val="single" w:sz="8" w:color="CCEEFF"/>
            </w:tcBorders>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jc w:val="right"/>
              <w:ind w:right="138"/>
              <w:spacing w:after="0"/>
              <w:rPr>
                <w:sz w:val="20"/>
                <w:szCs w:val="20"/>
                <w:color w:val="auto"/>
              </w:rPr>
            </w:pPr>
            <w:r>
              <w:rPr>
                <w:rFonts w:ascii="Times New Roman" w:cs="Times New Roman" w:eastAsia="Times New Roman" w:hAnsi="Times New Roman"/>
                <w:sz w:val="8"/>
                <w:szCs w:val="8"/>
                <w:b w:val="1"/>
                <w:bCs w:val="1"/>
                <w:color w:val="auto"/>
                <w:w w:val="98"/>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b w:val="1"/>
                <w:bCs w:val="1"/>
                <w:color w:val="auto"/>
              </w:rPr>
              <w:t>13</w:t>
            </w:r>
          </w:p>
        </w:tc>
        <w:tc>
          <w:tcPr>
            <w:tcW w:w="340" w:type="dxa"/>
            <w:vAlign w:val="bottom"/>
            <w:tcBorders>
              <w:bottom w:val="single" w:sz="8" w:color="CCEEFF"/>
            </w:tcBorders>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jc w:val="right"/>
              <w:ind w:right="138"/>
              <w:spacing w:after="0"/>
              <w:rPr>
                <w:sz w:val="20"/>
                <w:szCs w:val="20"/>
                <w:color w:val="auto"/>
              </w:rPr>
            </w:pPr>
            <w:r>
              <w:rPr>
                <w:rFonts w:ascii="Times New Roman" w:cs="Times New Roman" w:eastAsia="Times New Roman" w:hAnsi="Times New Roman"/>
                <w:sz w:val="8"/>
                <w:szCs w:val="8"/>
                <w:b w:val="1"/>
                <w:bCs w:val="1"/>
                <w:color w:val="auto"/>
                <w:w w:val="98"/>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b w:val="1"/>
                <w:bCs w:val="1"/>
                <w:color w:val="auto"/>
              </w:rPr>
              <w:t>38</w:t>
            </w:r>
          </w:p>
        </w:tc>
        <w:tc>
          <w:tcPr>
            <w:tcW w:w="340" w:type="dxa"/>
            <w:vAlign w:val="bottom"/>
            <w:tcBorders>
              <w:bottom w:val="single" w:sz="8" w:color="CCEEFF"/>
            </w:tcBorders>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jc w:val="right"/>
              <w:ind w:right="138"/>
              <w:spacing w:after="0"/>
              <w:rPr>
                <w:sz w:val="20"/>
                <w:szCs w:val="20"/>
                <w:color w:val="auto"/>
              </w:rPr>
            </w:pPr>
            <w:r>
              <w:rPr>
                <w:rFonts w:ascii="Times New Roman" w:cs="Times New Roman" w:eastAsia="Times New Roman" w:hAnsi="Times New Roman"/>
                <w:sz w:val="8"/>
                <w:szCs w:val="8"/>
                <w:b w:val="1"/>
                <w:bCs w:val="1"/>
                <w:color w:val="auto"/>
                <w:w w:val="98"/>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b w:val="1"/>
                <w:bCs w:val="1"/>
                <w:color w:val="auto"/>
              </w:rPr>
              <w:t>(14)</w:t>
            </w:r>
          </w:p>
        </w:tc>
        <w:tc>
          <w:tcPr>
            <w:tcW w:w="340" w:type="dxa"/>
            <w:vAlign w:val="bottom"/>
            <w:tcBorders>
              <w:bottom w:val="single" w:sz="8" w:color="CCEEFF"/>
            </w:tcBorders>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8"/>
                <w:szCs w:val="8"/>
                <w:b w:val="1"/>
                <w:bCs w:val="1"/>
                <w:color w:val="auto"/>
                <w:w w:val="98"/>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b w:val="1"/>
                <w:bCs w:val="1"/>
                <w:color w:val="auto"/>
              </w:rPr>
              <w:t>(24)</w:t>
            </w:r>
          </w:p>
        </w:tc>
        <w:tc>
          <w:tcPr>
            <w:tcW w:w="340" w:type="dxa"/>
            <w:vAlign w:val="bottom"/>
            <w:tcBorders>
              <w:bottom w:val="single" w:sz="8" w:color="CCEEFF"/>
            </w:tcBorders>
            <w:shd w:val="clear" w:color="auto" w:fill="CCEEFF"/>
          </w:tcPr>
          <w:p>
            <w:pPr>
              <w:spacing w:after="0"/>
              <w:rPr>
                <w:sz w:val="11"/>
                <w:szCs w:val="11"/>
                <w:color w:val="auto"/>
              </w:rPr>
            </w:pPr>
          </w:p>
        </w:tc>
        <w:tc>
          <w:tcPr>
            <w:tcW w:w="260" w:type="dxa"/>
            <w:vAlign w:val="bottom"/>
            <w:tcBorders>
              <w:bottom w:val="single" w:sz="8" w:color="auto"/>
            </w:tcBorders>
            <w:shd w:val="clear" w:color="auto" w:fill="CCEEFF"/>
          </w:tcPr>
          <w:p>
            <w:pPr>
              <w:jc w:val="right"/>
              <w:ind w:right="158"/>
              <w:spacing w:after="0"/>
              <w:rPr>
                <w:sz w:val="20"/>
                <w:szCs w:val="20"/>
                <w:color w:val="auto"/>
              </w:rPr>
            </w:pPr>
            <w:r>
              <w:rPr>
                <w:rFonts w:ascii="Times New Roman" w:cs="Times New Roman" w:eastAsia="Times New Roman" w:hAnsi="Times New Roman"/>
                <w:sz w:val="8"/>
                <w:szCs w:val="8"/>
                <w:b w:val="1"/>
                <w:bCs w:val="1"/>
                <w:color w:val="auto"/>
                <w:w w:val="98"/>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b w:val="1"/>
                <w:bCs w:val="1"/>
                <w:color w:val="auto"/>
              </w:rPr>
              <w:t>(2)</w:t>
            </w:r>
          </w:p>
        </w:tc>
      </w:tr>
      <w:tr>
        <w:trPr>
          <w:trHeight w:val="45"/>
        </w:trPr>
        <w:tc>
          <w:tcPr>
            <w:tcW w:w="4780" w:type="dxa"/>
            <w:vAlign w:val="bottom"/>
          </w:tcPr>
          <w:p>
            <w:pPr>
              <w:spacing w:after="0"/>
              <w:rPr>
                <w:sz w:val="3"/>
                <w:szCs w:val="3"/>
                <w:color w:val="auto"/>
              </w:rPr>
            </w:pPr>
          </w:p>
        </w:tc>
        <w:tc>
          <w:tcPr>
            <w:tcW w:w="340" w:type="dxa"/>
            <w:vAlign w:val="bottom"/>
          </w:tcPr>
          <w:p>
            <w:pPr>
              <w:spacing w:after="0"/>
              <w:rPr>
                <w:sz w:val="3"/>
                <w:szCs w:val="3"/>
                <w:color w:val="auto"/>
              </w:rPr>
            </w:pPr>
          </w:p>
        </w:tc>
        <w:tc>
          <w:tcPr>
            <w:tcW w:w="520" w:type="dxa"/>
            <w:vAlign w:val="bottom"/>
          </w:tcPr>
          <w:p>
            <w:pPr>
              <w:spacing w:after="0"/>
              <w:rPr>
                <w:sz w:val="3"/>
                <w:szCs w:val="3"/>
                <w:color w:val="auto"/>
              </w:rPr>
            </w:pPr>
          </w:p>
        </w:tc>
        <w:tc>
          <w:tcPr>
            <w:tcW w:w="340" w:type="dxa"/>
            <w:vAlign w:val="bottom"/>
          </w:tcPr>
          <w:p>
            <w:pPr>
              <w:spacing w:after="0"/>
              <w:rPr>
                <w:sz w:val="3"/>
                <w:szCs w:val="3"/>
                <w:color w:val="auto"/>
              </w:rPr>
            </w:pPr>
          </w:p>
        </w:tc>
        <w:tc>
          <w:tcPr>
            <w:tcW w:w="280" w:type="dxa"/>
            <w:vAlign w:val="bottom"/>
          </w:tcPr>
          <w:p>
            <w:pPr>
              <w:spacing w:after="0"/>
              <w:rPr>
                <w:sz w:val="3"/>
                <w:szCs w:val="3"/>
                <w:color w:val="auto"/>
              </w:rPr>
            </w:pPr>
          </w:p>
        </w:tc>
        <w:tc>
          <w:tcPr>
            <w:tcW w:w="360" w:type="dxa"/>
            <w:vAlign w:val="bottom"/>
          </w:tcPr>
          <w:p>
            <w:pPr>
              <w:spacing w:after="0"/>
              <w:rPr>
                <w:sz w:val="3"/>
                <w:szCs w:val="3"/>
                <w:color w:val="auto"/>
              </w:rPr>
            </w:pPr>
          </w:p>
        </w:tc>
        <w:tc>
          <w:tcPr>
            <w:tcW w:w="340" w:type="dxa"/>
            <w:vAlign w:val="bottom"/>
          </w:tcPr>
          <w:p>
            <w:pPr>
              <w:spacing w:after="0"/>
              <w:rPr>
                <w:sz w:val="3"/>
                <w:szCs w:val="3"/>
                <w:color w:val="auto"/>
              </w:rPr>
            </w:pPr>
          </w:p>
        </w:tc>
        <w:tc>
          <w:tcPr>
            <w:tcW w:w="240" w:type="dxa"/>
            <w:vAlign w:val="bottom"/>
          </w:tcPr>
          <w:p>
            <w:pPr>
              <w:spacing w:after="0"/>
              <w:rPr>
                <w:sz w:val="3"/>
                <w:szCs w:val="3"/>
                <w:color w:val="auto"/>
              </w:rPr>
            </w:pPr>
          </w:p>
        </w:tc>
        <w:tc>
          <w:tcPr>
            <w:tcW w:w="340" w:type="dxa"/>
            <w:vAlign w:val="bottom"/>
          </w:tcPr>
          <w:p>
            <w:pPr>
              <w:spacing w:after="0"/>
              <w:rPr>
                <w:sz w:val="3"/>
                <w:szCs w:val="3"/>
                <w:color w:val="auto"/>
              </w:rPr>
            </w:pPr>
          </w:p>
        </w:tc>
        <w:tc>
          <w:tcPr>
            <w:tcW w:w="340" w:type="dxa"/>
            <w:vAlign w:val="bottom"/>
          </w:tcPr>
          <w:p>
            <w:pPr>
              <w:spacing w:after="0"/>
              <w:rPr>
                <w:sz w:val="3"/>
                <w:szCs w:val="3"/>
                <w:color w:val="auto"/>
              </w:rPr>
            </w:pPr>
          </w:p>
        </w:tc>
        <w:tc>
          <w:tcPr>
            <w:tcW w:w="240" w:type="dxa"/>
            <w:vAlign w:val="bottom"/>
          </w:tcPr>
          <w:p>
            <w:pPr>
              <w:spacing w:after="0"/>
              <w:rPr>
                <w:sz w:val="3"/>
                <w:szCs w:val="3"/>
                <w:color w:val="auto"/>
              </w:rPr>
            </w:pPr>
          </w:p>
        </w:tc>
        <w:tc>
          <w:tcPr>
            <w:tcW w:w="340" w:type="dxa"/>
            <w:vAlign w:val="bottom"/>
          </w:tcPr>
          <w:p>
            <w:pPr>
              <w:spacing w:after="0"/>
              <w:rPr>
                <w:sz w:val="3"/>
                <w:szCs w:val="3"/>
                <w:color w:val="auto"/>
              </w:rPr>
            </w:pPr>
          </w:p>
        </w:tc>
        <w:tc>
          <w:tcPr>
            <w:tcW w:w="340" w:type="dxa"/>
            <w:vAlign w:val="bottom"/>
          </w:tcPr>
          <w:p>
            <w:pPr>
              <w:spacing w:after="0"/>
              <w:rPr>
                <w:sz w:val="3"/>
                <w:szCs w:val="3"/>
                <w:color w:val="auto"/>
              </w:rPr>
            </w:pPr>
          </w:p>
        </w:tc>
        <w:tc>
          <w:tcPr>
            <w:tcW w:w="240" w:type="dxa"/>
            <w:vAlign w:val="bottom"/>
          </w:tcPr>
          <w:p>
            <w:pPr>
              <w:spacing w:after="0"/>
              <w:rPr>
                <w:sz w:val="3"/>
                <w:szCs w:val="3"/>
                <w:color w:val="auto"/>
              </w:rPr>
            </w:pPr>
          </w:p>
        </w:tc>
        <w:tc>
          <w:tcPr>
            <w:tcW w:w="340" w:type="dxa"/>
            <w:vAlign w:val="bottom"/>
          </w:tcPr>
          <w:p>
            <w:pPr>
              <w:spacing w:after="0"/>
              <w:rPr>
                <w:sz w:val="3"/>
                <w:szCs w:val="3"/>
                <w:color w:val="auto"/>
              </w:rPr>
            </w:pPr>
          </w:p>
        </w:tc>
        <w:tc>
          <w:tcPr>
            <w:tcW w:w="340" w:type="dxa"/>
            <w:vAlign w:val="bottom"/>
          </w:tcPr>
          <w:p>
            <w:pPr>
              <w:spacing w:after="0"/>
              <w:rPr>
                <w:sz w:val="3"/>
                <w:szCs w:val="3"/>
                <w:color w:val="auto"/>
              </w:rPr>
            </w:pPr>
          </w:p>
        </w:tc>
        <w:tc>
          <w:tcPr>
            <w:tcW w:w="220" w:type="dxa"/>
            <w:vAlign w:val="bottom"/>
          </w:tcPr>
          <w:p>
            <w:pPr>
              <w:spacing w:after="0"/>
              <w:rPr>
                <w:sz w:val="3"/>
                <w:szCs w:val="3"/>
                <w:color w:val="auto"/>
              </w:rPr>
            </w:pPr>
          </w:p>
        </w:tc>
        <w:tc>
          <w:tcPr>
            <w:tcW w:w="380" w:type="dxa"/>
            <w:vAlign w:val="bottom"/>
          </w:tcPr>
          <w:p>
            <w:pPr>
              <w:spacing w:after="0"/>
              <w:rPr>
                <w:sz w:val="3"/>
                <w:szCs w:val="3"/>
                <w:color w:val="auto"/>
              </w:rPr>
            </w:pPr>
          </w:p>
        </w:tc>
        <w:tc>
          <w:tcPr>
            <w:tcW w:w="340" w:type="dxa"/>
            <w:vAlign w:val="bottom"/>
          </w:tcPr>
          <w:p>
            <w:pPr>
              <w:spacing w:after="0"/>
              <w:rPr>
                <w:sz w:val="3"/>
                <w:szCs w:val="3"/>
                <w:color w:val="auto"/>
              </w:rPr>
            </w:pPr>
          </w:p>
        </w:tc>
        <w:tc>
          <w:tcPr>
            <w:tcW w:w="260" w:type="dxa"/>
            <w:vAlign w:val="bottom"/>
          </w:tcPr>
          <w:p>
            <w:pPr>
              <w:spacing w:after="0"/>
              <w:rPr>
                <w:sz w:val="3"/>
                <w:szCs w:val="3"/>
                <w:color w:val="auto"/>
              </w:rPr>
            </w:pPr>
          </w:p>
        </w:tc>
        <w:tc>
          <w:tcPr>
            <w:tcW w:w="380" w:type="dxa"/>
            <w:vAlign w:val="bottom"/>
          </w:tcPr>
          <w:p>
            <w:pPr>
              <w:spacing w:after="0"/>
              <w:rPr>
                <w:sz w:val="3"/>
                <w:szCs w:val="3"/>
                <w:color w:val="auto"/>
              </w:rPr>
            </w:pPr>
          </w:p>
        </w:tc>
      </w:tr>
      <w:tr>
        <w:trPr>
          <w:trHeight w:val="117"/>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8"/>
                <w:szCs w:val="8"/>
                <w:b w:val="1"/>
                <w:bCs w:val="1"/>
                <w:color w:val="auto"/>
              </w:rPr>
              <w:t>2026 GAAP net income (loss)</w:t>
            </w:r>
          </w:p>
        </w:tc>
        <w:tc>
          <w:tcPr>
            <w:tcW w:w="340" w:type="dxa"/>
            <w:vAlign w:val="bottom"/>
            <w:shd w:val="clear" w:color="auto" w:fill="CCEEFF"/>
          </w:tcPr>
          <w:p>
            <w:pPr>
              <w:jc w:val="right"/>
              <w:ind w:right="274"/>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b w:val="1"/>
                <w:bCs w:val="1"/>
                <w:color w:val="auto"/>
              </w:rPr>
              <w:t>0.90</w:t>
            </w:r>
          </w:p>
        </w:tc>
        <w:tc>
          <w:tcPr>
            <w:tcW w:w="340" w:type="dxa"/>
            <w:vAlign w:val="bottom"/>
            <w:shd w:val="clear" w:color="auto" w:fill="CCEEFF"/>
          </w:tcPr>
          <w:p>
            <w:pPr>
              <w:spacing w:after="0"/>
              <w:rPr>
                <w:sz w:val="10"/>
                <w:szCs w:val="10"/>
                <w:color w:val="auto"/>
              </w:rPr>
            </w:pPr>
          </w:p>
        </w:tc>
        <w:tc>
          <w:tcPr>
            <w:tcW w:w="280" w:type="dxa"/>
            <w:vAlign w:val="bottom"/>
            <w:shd w:val="clear" w:color="auto" w:fill="CCEEFF"/>
          </w:tcPr>
          <w:p>
            <w:pPr>
              <w:jc w:val="right"/>
              <w:ind w:right="178"/>
              <w:spacing w:after="0"/>
              <w:rPr>
                <w:sz w:val="20"/>
                <w:szCs w:val="20"/>
                <w:color w:val="auto"/>
              </w:rPr>
            </w:pPr>
            <w:r>
              <w:rPr>
                <w:rFonts w:ascii="Times New Roman" w:cs="Times New Roman" w:eastAsia="Times New Roman" w:hAnsi="Times New Roman"/>
                <w:sz w:val="8"/>
                <w:szCs w:val="8"/>
                <w:b w:val="1"/>
                <w:bCs w:val="1"/>
                <w:color w:val="auto"/>
                <w:w w:val="98"/>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b w:val="1"/>
                <w:bCs w:val="1"/>
                <w:color w:val="auto"/>
              </w:rPr>
              <w:t>310</w:t>
            </w:r>
          </w:p>
        </w:tc>
        <w:tc>
          <w:tcPr>
            <w:tcW w:w="340" w:type="dxa"/>
            <w:vAlign w:val="bottom"/>
            <w:shd w:val="clear" w:color="auto" w:fill="CCEEFF"/>
          </w:tcPr>
          <w:p>
            <w:pPr>
              <w:spacing w:after="0"/>
              <w:rPr>
                <w:sz w:val="10"/>
                <w:szCs w:val="10"/>
                <w:color w:val="auto"/>
              </w:rPr>
            </w:pPr>
          </w:p>
        </w:tc>
        <w:tc>
          <w:tcPr>
            <w:tcW w:w="240" w:type="dxa"/>
            <w:vAlign w:val="bottom"/>
            <w:shd w:val="clear" w:color="auto" w:fill="CCEEFF"/>
          </w:tcPr>
          <w:p>
            <w:pPr>
              <w:jc w:val="right"/>
              <w:ind w:right="138"/>
              <w:spacing w:after="0"/>
              <w:rPr>
                <w:sz w:val="20"/>
                <w:szCs w:val="20"/>
                <w:color w:val="auto"/>
              </w:rPr>
            </w:pPr>
            <w:r>
              <w:rPr>
                <w:rFonts w:ascii="Times New Roman" w:cs="Times New Roman" w:eastAsia="Times New Roman" w:hAnsi="Times New Roman"/>
                <w:sz w:val="8"/>
                <w:szCs w:val="8"/>
                <w:b w:val="1"/>
                <w:bCs w:val="1"/>
                <w:color w:val="auto"/>
                <w:w w:val="98"/>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b w:val="1"/>
                <w:bCs w:val="1"/>
                <w:color w:val="auto"/>
              </w:rPr>
              <w:t>278</w:t>
            </w:r>
          </w:p>
        </w:tc>
        <w:tc>
          <w:tcPr>
            <w:tcW w:w="340" w:type="dxa"/>
            <w:vAlign w:val="bottom"/>
            <w:shd w:val="clear" w:color="auto" w:fill="CCEEFF"/>
          </w:tcPr>
          <w:p>
            <w:pPr>
              <w:spacing w:after="0"/>
              <w:rPr>
                <w:sz w:val="10"/>
                <w:szCs w:val="10"/>
                <w:color w:val="auto"/>
              </w:rPr>
            </w:pPr>
          </w:p>
        </w:tc>
        <w:tc>
          <w:tcPr>
            <w:tcW w:w="240" w:type="dxa"/>
            <w:vAlign w:val="bottom"/>
            <w:shd w:val="clear" w:color="auto" w:fill="CCEEFF"/>
          </w:tcPr>
          <w:p>
            <w:pPr>
              <w:jc w:val="right"/>
              <w:ind w:right="138"/>
              <w:spacing w:after="0"/>
              <w:rPr>
                <w:sz w:val="20"/>
                <w:szCs w:val="20"/>
                <w:color w:val="auto"/>
              </w:rPr>
            </w:pPr>
            <w:r>
              <w:rPr>
                <w:rFonts w:ascii="Times New Roman" w:cs="Times New Roman" w:eastAsia="Times New Roman" w:hAnsi="Times New Roman"/>
                <w:sz w:val="8"/>
                <w:szCs w:val="8"/>
                <w:b w:val="1"/>
                <w:bCs w:val="1"/>
                <w:color w:val="auto"/>
                <w:w w:val="98"/>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b w:val="1"/>
                <w:bCs w:val="1"/>
                <w:color w:val="auto"/>
              </w:rPr>
              <w:t>298</w:t>
            </w:r>
          </w:p>
        </w:tc>
        <w:tc>
          <w:tcPr>
            <w:tcW w:w="340" w:type="dxa"/>
            <w:vAlign w:val="bottom"/>
            <w:shd w:val="clear" w:color="auto" w:fill="CCEEFF"/>
          </w:tcPr>
          <w:p>
            <w:pPr>
              <w:spacing w:after="0"/>
              <w:rPr>
                <w:sz w:val="10"/>
                <w:szCs w:val="10"/>
                <w:color w:val="auto"/>
              </w:rPr>
            </w:pPr>
          </w:p>
        </w:tc>
        <w:tc>
          <w:tcPr>
            <w:tcW w:w="240" w:type="dxa"/>
            <w:vAlign w:val="bottom"/>
            <w:shd w:val="clear" w:color="auto" w:fill="CCEEFF"/>
          </w:tcPr>
          <w:p>
            <w:pPr>
              <w:jc w:val="right"/>
              <w:ind w:right="138"/>
              <w:spacing w:after="0"/>
              <w:rPr>
                <w:sz w:val="20"/>
                <w:szCs w:val="20"/>
                <w:color w:val="auto"/>
              </w:rPr>
            </w:pPr>
            <w:r>
              <w:rPr>
                <w:rFonts w:ascii="Times New Roman" w:cs="Times New Roman" w:eastAsia="Times New Roman" w:hAnsi="Times New Roman"/>
                <w:sz w:val="8"/>
                <w:szCs w:val="8"/>
                <w:b w:val="1"/>
                <w:bCs w:val="1"/>
                <w:color w:val="auto"/>
                <w:w w:val="98"/>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b w:val="1"/>
                <w:bCs w:val="1"/>
                <w:color w:val="auto"/>
              </w:rPr>
              <w:t>169</w:t>
            </w:r>
          </w:p>
        </w:tc>
        <w:tc>
          <w:tcPr>
            <w:tcW w:w="340" w:type="dxa"/>
            <w:vAlign w:val="bottom"/>
            <w:shd w:val="clear" w:color="auto" w:fill="CCEEFF"/>
          </w:tcPr>
          <w:p>
            <w:pPr>
              <w:spacing w:after="0"/>
              <w:rPr>
                <w:sz w:val="10"/>
                <w:szCs w:val="10"/>
                <w:color w:val="auto"/>
              </w:rPr>
            </w:pPr>
          </w:p>
        </w:tc>
        <w:tc>
          <w:tcPr>
            <w:tcW w:w="22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8"/>
                <w:szCs w:val="8"/>
                <w:b w:val="1"/>
                <w:bCs w:val="1"/>
                <w:color w:val="auto"/>
                <w:w w:val="98"/>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b w:val="1"/>
                <w:bCs w:val="1"/>
                <w:color w:val="auto"/>
              </w:rPr>
              <w:t>(136)</w:t>
            </w:r>
          </w:p>
        </w:tc>
        <w:tc>
          <w:tcPr>
            <w:tcW w:w="340" w:type="dxa"/>
            <w:vAlign w:val="bottom"/>
            <w:shd w:val="clear" w:color="auto" w:fill="CCEEFF"/>
          </w:tcPr>
          <w:p>
            <w:pPr>
              <w:spacing w:after="0"/>
              <w:rPr>
                <w:sz w:val="10"/>
                <w:szCs w:val="10"/>
                <w:color w:val="auto"/>
              </w:rPr>
            </w:pPr>
          </w:p>
        </w:tc>
        <w:tc>
          <w:tcPr>
            <w:tcW w:w="260" w:type="dxa"/>
            <w:vAlign w:val="bottom"/>
            <w:shd w:val="clear" w:color="auto" w:fill="CCEEFF"/>
          </w:tcPr>
          <w:p>
            <w:pPr>
              <w:jc w:val="right"/>
              <w:ind w:right="158"/>
              <w:spacing w:after="0"/>
              <w:rPr>
                <w:sz w:val="20"/>
                <w:szCs w:val="20"/>
                <w:color w:val="auto"/>
              </w:rPr>
            </w:pPr>
            <w:r>
              <w:rPr>
                <w:rFonts w:ascii="Times New Roman" w:cs="Times New Roman" w:eastAsia="Times New Roman" w:hAnsi="Times New Roman"/>
                <w:sz w:val="8"/>
                <w:szCs w:val="8"/>
                <w:b w:val="1"/>
                <w:bCs w:val="1"/>
                <w:color w:val="auto"/>
                <w:w w:val="98"/>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b w:val="1"/>
                <w:bCs w:val="1"/>
                <w:color w:val="auto"/>
              </w:rPr>
              <w:t>919</w:t>
            </w:r>
          </w:p>
        </w:tc>
      </w:tr>
      <w:tr>
        <w:trPr>
          <w:trHeight w:val="112"/>
        </w:trPr>
        <w:tc>
          <w:tcPr>
            <w:tcW w:w="4780" w:type="dxa"/>
            <w:vAlign w:val="bottom"/>
          </w:tcPr>
          <w:p>
            <w:pPr>
              <w:ind w:left="220"/>
              <w:spacing w:after="0"/>
              <w:rPr>
                <w:sz w:val="20"/>
                <w:szCs w:val="20"/>
                <w:color w:val="auto"/>
              </w:rPr>
            </w:pPr>
            <w:r>
              <w:rPr>
                <w:rFonts w:ascii="Times New Roman" w:cs="Times New Roman" w:eastAsia="Times New Roman" w:hAnsi="Times New Roman"/>
                <w:sz w:val="8"/>
                <w:szCs w:val="8"/>
                <w:color w:val="auto"/>
              </w:rPr>
              <w:t>Regulatory matters (net of taxes of $4) (2)</w:t>
            </w:r>
          </w:p>
        </w:tc>
        <w:tc>
          <w:tcPr>
            <w:tcW w:w="340" w:type="dxa"/>
            <w:vAlign w:val="bottom"/>
          </w:tcPr>
          <w:p>
            <w:pPr>
              <w:spacing w:after="0"/>
              <w:rPr>
                <w:sz w:val="9"/>
                <w:szCs w:val="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0.01</w:t>
            </w: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340" w:type="dxa"/>
            <w:vAlign w:val="bottom"/>
          </w:tcPr>
          <w:p>
            <w:pPr>
              <w:spacing w:after="0"/>
              <w:rPr>
                <w:sz w:val="9"/>
                <w:szCs w:val="9"/>
                <w:color w:val="auto"/>
              </w:rPr>
            </w:pPr>
          </w:p>
        </w:tc>
        <w:tc>
          <w:tcPr>
            <w:tcW w:w="240" w:type="dxa"/>
            <w:vAlign w:val="bottom"/>
          </w:tcPr>
          <w:p>
            <w:pPr>
              <w:spacing w:after="0"/>
              <w:rPr>
                <w:sz w:val="9"/>
                <w:szCs w:val="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340" w:type="dxa"/>
            <w:vAlign w:val="bottom"/>
          </w:tcPr>
          <w:p>
            <w:pPr>
              <w:spacing w:after="0"/>
              <w:rPr>
                <w:sz w:val="9"/>
                <w:szCs w:val="9"/>
                <w:color w:val="auto"/>
              </w:rPr>
            </w:pPr>
          </w:p>
        </w:tc>
        <w:tc>
          <w:tcPr>
            <w:tcW w:w="240" w:type="dxa"/>
            <w:vAlign w:val="bottom"/>
          </w:tcPr>
          <w:p>
            <w:pPr>
              <w:spacing w:after="0"/>
              <w:rPr>
                <w:sz w:val="9"/>
                <w:szCs w:val="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340" w:type="dxa"/>
            <w:vAlign w:val="bottom"/>
          </w:tcPr>
          <w:p>
            <w:pPr>
              <w:spacing w:after="0"/>
              <w:rPr>
                <w:sz w:val="9"/>
                <w:szCs w:val="9"/>
                <w:color w:val="auto"/>
              </w:rPr>
            </w:pPr>
          </w:p>
        </w:tc>
        <w:tc>
          <w:tcPr>
            <w:tcW w:w="240" w:type="dxa"/>
            <w:vAlign w:val="bottom"/>
          </w:tcPr>
          <w:p>
            <w:pPr>
              <w:spacing w:after="0"/>
              <w:rPr>
                <w:sz w:val="9"/>
                <w:szCs w:val="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11</w:t>
            </w:r>
          </w:p>
        </w:tc>
        <w:tc>
          <w:tcPr>
            <w:tcW w:w="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gridSpan w:val="2"/>
          </w:tcPr>
          <w:p>
            <w:pPr>
              <w:jc w:val="right"/>
              <w:ind w:right="380"/>
              <w:spacing w:after="0"/>
              <w:rPr>
                <w:sz w:val="20"/>
                <w:szCs w:val="20"/>
                <w:color w:val="auto"/>
              </w:rPr>
            </w:pPr>
            <w:r>
              <w:rPr>
                <w:rFonts w:ascii="Times New Roman" w:cs="Times New Roman" w:eastAsia="Times New Roman" w:hAnsi="Times New Roman"/>
                <w:sz w:val="8"/>
                <w:szCs w:val="8"/>
                <w:color w:val="auto"/>
              </w:rPr>
              <w:t>—</w:t>
            </w:r>
          </w:p>
        </w:tc>
        <w:tc>
          <w:tcPr>
            <w:tcW w:w="260" w:type="dxa"/>
            <w:vAlign w:val="bottom"/>
          </w:tcPr>
          <w:p>
            <w:pPr>
              <w:spacing w:after="0"/>
              <w:rPr>
                <w:sz w:val="9"/>
                <w:szCs w:val="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11</w:t>
            </w:r>
          </w:p>
        </w:tc>
      </w:tr>
      <w:tr>
        <w:trPr>
          <w:trHeight w:val="127"/>
        </w:trPr>
        <w:tc>
          <w:tcPr>
            <w:tcW w:w="47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8"/>
                <w:szCs w:val="8"/>
                <w:b w:val="1"/>
                <w:bCs w:val="1"/>
                <w:color w:val="auto"/>
              </w:rPr>
              <w:t>2026 Adjusted (non-GAAP) operating earnings (loss)</w:t>
            </w:r>
          </w:p>
        </w:tc>
        <w:tc>
          <w:tcPr>
            <w:tcW w:w="340" w:type="dxa"/>
            <w:vAlign w:val="bottom"/>
            <w:tcBorders>
              <w:top w:val="single" w:sz="8" w:color="auto"/>
              <w:bottom w:val="single" w:sz="8" w:color="auto"/>
            </w:tcBorders>
            <w:shd w:val="clear" w:color="auto" w:fill="CCEEFF"/>
          </w:tcPr>
          <w:p>
            <w:pPr>
              <w:jc w:val="right"/>
              <w:ind w:right="274"/>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b w:val="1"/>
                <w:bCs w:val="1"/>
                <w:color w:val="auto"/>
              </w:rPr>
              <w:t>0.91</w:t>
            </w:r>
          </w:p>
        </w:tc>
        <w:tc>
          <w:tcPr>
            <w:tcW w:w="340" w:type="dxa"/>
            <w:vAlign w:val="bottom"/>
            <w:tcBorders>
              <w:top w:val="single" w:sz="8" w:color="CCEEFF"/>
              <w:bottom w:val="single" w:sz="8" w:color="CCEEFF"/>
            </w:tcBorders>
            <w:shd w:val="clear" w:color="auto" w:fill="CCEEFF"/>
          </w:tcPr>
          <w:p>
            <w:pPr>
              <w:spacing w:after="0"/>
              <w:rPr>
                <w:sz w:val="11"/>
                <w:szCs w:val="11"/>
                <w:color w:val="auto"/>
              </w:rPr>
            </w:pPr>
          </w:p>
        </w:tc>
        <w:tc>
          <w:tcPr>
            <w:tcW w:w="280" w:type="dxa"/>
            <w:vAlign w:val="bottom"/>
            <w:tcBorders>
              <w:top w:val="single" w:sz="8" w:color="auto"/>
              <w:bottom w:val="single" w:sz="8" w:color="auto"/>
            </w:tcBorders>
            <w:shd w:val="clear" w:color="auto" w:fill="CCEEFF"/>
          </w:tcPr>
          <w:p>
            <w:pPr>
              <w:jc w:val="right"/>
              <w:ind w:right="178"/>
              <w:spacing w:after="0"/>
              <w:rPr>
                <w:sz w:val="20"/>
                <w:szCs w:val="20"/>
                <w:color w:val="auto"/>
              </w:rPr>
            </w:pPr>
            <w:r>
              <w:rPr>
                <w:rFonts w:ascii="Times New Roman" w:cs="Times New Roman" w:eastAsia="Times New Roman" w:hAnsi="Times New Roman"/>
                <w:sz w:val="8"/>
                <w:szCs w:val="8"/>
                <w:b w:val="1"/>
                <w:bCs w:val="1"/>
                <w:color w:val="auto"/>
                <w:w w:val="98"/>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b w:val="1"/>
                <w:bCs w:val="1"/>
                <w:color w:val="auto"/>
              </w:rPr>
              <w:t>310</w:t>
            </w:r>
          </w:p>
        </w:tc>
        <w:tc>
          <w:tcPr>
            <w:tcW w:w="340" w:type="dxa"/>
            <w:vAlign w:val="bottom"/>
            <w:tcBorders>
              <w:top w:val="single" w:sz="8" w:color="CCEEFF"/>
              <w:bottom w:val="single" w:sz="8" w:color="CCEEFF"/>
            </w:tcBorders>
            <w:shd w:val="clear" w:color="auto" w:fill="CCEEFF"/>
          </w:tcPr>
          <w:p>
            <w:pPr>
              <w:spacing w:after="0"/>
              <w:rPr>
                <w:sz w:val="11"/>
                <w:szCs w:val="11"/>
                <w:color w:val="auto"/>
              </w:rPr>
            </w:pPr>
          </w:p>
        </w:tc>
        <w:tc>
          <w:tcPr>
            <w:tcW w:w="240" w:type="dxa"/>
            <w:vAlign w:val="bottom"/>
            <w:tcBorders>
              <w:top w:val="single" w:sz="8" w:color="auto"/>
              <w:bottom w:val="single" w:sz="8" w:color="auto"/>
            </w:tcBorders>
            <w:shd w:val="clear" w:color="auto" w:fill="CCEEFF"/>
          </w:tcPr>
          <w:p>
            <w:pPr>
              <w:jc w:val="right"/>
              <w:ind w:right="138"/>
              <w:spacing w:after="0"/>
              <w:rPr>
                <w:sz w:val="20"/>
                <w:szCs w:val="20"/>
                <w:color w:val="auto"/>
              </w:rPr>
            </w:pPr>
            <w:r>
              <w:rPr>
                <w:rFonts w:ascii="Times New Roman" w:cs="Times New Roman" w:eastAsia="Times New Roman" w:hAnsi="Times New Roman"/>
                <w:sz w:val="8"/>
                <w:szCs w:val="8"/>
                <w:b w:val="1"/>
                <w:bCs w:val="1"/>
                <w:color w:val="auto"/>
                <w:w w:val="98"/>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b w:val="1"/>
                <w:bCs w:val="1"/>
                <w:color w:val="auto"/>
              </w:rPr>
              <w:t>278</w:t>
            </w:r>
          </w:p>
        </w:tc>
        <w:tc>
          <w:tcPr>
            <w:tcW w:w="340" w:type="dxa"/>
            <w:vAlign w:val="bottom"/>
            <w:tcBorders>
              <w:top w:val="single" w:sz="8" w:color="CCEEFF"/>
              <w:bottom w:val="single" w:sz="8" w:color="CCEEFF"/>
            </w:tcBorders>
            <w:shd w:val="clear" w:color="auto" w:fill="CCEEFF"/>
          </w:tcPr>
          <w:p>
            <w:pPr>
              <w:spacing w:after="0"/>
              <w:rPr>
                <w:sz w:val="11"/>
                <w:szCs w:val="11"/>
                <w:color w:val="auto"/>
              </w:rPr>
            </w:pPr>
          </w:p>
        </w:tc>
        <w:tc>
          <w:tcPr>
            <w:tcW w:w="240" w:type="dxa"/>
            <w:vAlign w:val="bottom"/>
            <w:tcBorders>
              <w:top w:val="single" w:sz="8" w:color="auto"/>
              <w:bottom w:val="single" w:sz="8" w:color="auto"/>
            </w:tcBorders>
            <w:shd w:val="clear" w:color="auto" w:fill="CCEEFF"/>
          </w:tcPr>
          <w:p>
            <w:pPr>
              <w:jc w:val="right"/>
              <w:ind w:right="138"/>
              <w:spacing w:after="0"/>
              <w:rPr>
                <w:sz w:val="20"/>
                <w:szCs w:val="20"/>
                <w:color w:val="auto"/>
              </w:rPr>
            </w:pPr>
            <w:r>
              <w:rPr>
                <w:rFonts w:ascii="Times New Roman" w:cs="Times New Roman" w:eastAsia="Times New Roman" w:hAnsi="Times New Roman"/>
                <w:sz w:val="8"/>
                <w:szCs w:val="8"/>
                <w:b w:val="1"/>
                <w:bCs w:val="1"/>
                <w:color w:val="auto"/>
                <w:w w:val="98"/>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b w:val="1"/>
                <w:bCs w:val="1"/>
                <w:color w:val="auto"/>
              </w:rPr>
              <w:t>298</w:t>
            </w:r>
          </w:p>
        </w:tc>
        <w:tc>
          <w:tcPr>
            <w:tcW w:w="340" w:type="dxa"/>
            <w:vAlign w:val="bottom"/>
            <w:tcBorders>
              <w:top w:val="single" w:sz="8" w:color="CCEEFF"/>
              <w:bottom w:val="single" w:sz="8" w:color="CCEEFF"/>
            </w:tcBorders>
            <w:shd w:val="clear" w:color="auto" w:fill="CCEEFF"/>
          </w:tcPr>
          <w:p>
            <w:pPr>
              <w:spacing w:after="0"/>
              <w:rPr>
                <w:sz w:val="11"/>
                <w:szCs w:val="11"/>
                <w:color w:val="auto"/>
              </w:rPr>
            </w:pPr>
          </w:p>
        </w:tc>
        <w:tc>
          <w:tcPr>
            <w:tcW w:w="240" w:type="dxa"/>
            <w:vAlign w:val="bottom"/>
            <w:tcBorders>
              <w:top w:val="single" w:sz="8" w:color="auto"/>
              <w:bottom w:val="single" w:sz="8" w:color="auto"/>
            </w:tcBorders>
            <w:shd w:val="clear" w:color="auto" w:fill="CCEEFF"/>
          </w:tcPr>
          <w:p>
            <w:pPr>
              <w:jc w:val="right"/>
              <w:ind w:right="138"/>
              <w:spacing w:after="0"/>
              <w:rPr>
                <w:sz w:val="20"/>
                <w:szCs w:val="20"/>
                <w:color w:val="auto"/>
              </w:rPr>
            </w:pPr>
            <w:r>
              <w:rPr>
                <w:rFonts w:ascii="Times New Roman" w:cs="Times New Roman" w:eastAsia="Times New Roman" w:hAnsi="Times New Roman"/>
                <w:sz w:val="8"/>
                <w:szCs w:val="8"/>
                <w:b w:val="1"/>
                <w:bCs w:val="1"/>
                <w:color w:val="auto"/>
                <w:w w:val="98"/>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b w:val="1"/>
                <w:bCs w:val="1"/>
                <w:color w:val="auto"/>
              </w:rPr>
              <w:t>180</w:t>
            </w:r>
          </w:p>
        </w:tc>
        <w:tc>
          <w:tcPr>
            <w:tcW w:w="340" w:type="dxa"/>
            <w:vAlign w:val="bottom"/>
            <w:tcBorders>
              <w:top w:val="single" w:sz="8" w:color="CCEEFF"/>
              <w:bottom w:val="single" w:sz="8" w:color="CCEEFF"/>
            </w:tcBorders>
            <w:shd w:val="clear" w:color="auto" w:fill="CCEEFF"/>
          </w:tcPr>
          <w:p>
            <w:pPr>
              <w:spacing w:after="0"/>
              <w:rPr>
                <w:sz w:val="11"/>
                <w:szCs w:val="11"/>
                <w:color w:val="auto"/>
              </w:rPr>
            </w:pPr>
          </w:p>
        </w:tc>
        <w:tc>
          <w:tcPr>
            <w:tcW w:w="220" w:type="dxa"/>
            <w:vAlign w:val="bottom"/>
            <w:tcBorders>
              <w:top w:val="single" w:sz="8" w:color="auto"/>
              <w:bottom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8"/>
                <w:szCs w:val="8"/>
                <w:b w:val="1"/>
                <w:bCs w:val="1"/>
                <w:color w:val="auto"/>
                <w:w w:val="98"/>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b w:val="1"/>
                <w:bCs w:val="1"/>
                <w:color w:val="auto"/>
              </w:rPr>
              <w:t>(136)</w:t>
            </w:r>
          </w:p>
        </w:tc>
        <w:tc>
          <w:tcPr>
            <w:tcW w:w="340" w:type="dxa"/>
            <w:vAlign w:val="bottom"/>
            <w:tcBorders>
              <w:top w:val="single" w:sz="8" w:color="CCEEFF"/>
              <w:bottom w:val="single" w:sz="8" w:color="CCEEFF"/>
            </w:tcBorders>
            <w:shd w:val="clear" w:color="auto" w:fill="CCEEFF"/>
          </w:tcPr>
          <w:p>
            <w:pPr>
              <w:spacing w:after="0"/>
              <w:rPr>
                <w:sz w:val="11"/>
                <w:szCs w:val="11"/>
                <w:color w:val="auto"/>
              </w:rPr>
            </w:pPr>
          </w:p>
        </w:tc>
        <w:tc>
          <w:tcPr>
            <w:tcW w:w="260" w:type="dxa"/>
            <w:vAlign w:val="bottom"/>
            <w:tcBorders>
              <w:top w:val="single" w:sz="8" w:color="auto"/>
              <w:bottom w:val="single" w:sz="8" w:color="auto"/>
            </w:tcBorders>
            <w:shd w:val="clear" w:color="auto" w:fill="CCEEFF"/>
          </w:tcPr>
          <w:p>
            <w:pPr>
              <w:jc w:val="right"/>
              <w:ind w:right="158"/>
              <w:spacing w:after="0"/>
              <w:rPr>
                <w:sz w:val="20"/>
                <w:szCs w:val="20"/>
                <w:color w:val="auto"/>
              </w:rPr>
            </w:pPr>
            <w:r>
              <w:rPr>
                <w:rFonts w:ascii="Times New Roman" w:cs="Times New Roman" w:eastAsia="Times New Roman" w:hAnsi="Times New Roman"/>
                <w:sz w:val="8"/>
                <w:szCs w:val="8"/>
                <w:b w:val="1"/>
                <w:bCs w:val="1"/>
                <w:color w:val="auto"/>
                <w:w w:val="98"/>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b w:val="1"/>
                <w:bCs w:val="1"/>
                <w:color w:val="auto"/>
              </w:rPr>
              <w:t>930</w:t>
            </w:r>
          </w:p>
        </w:tc>
      </w:tr>
    </w:tbl>
    <w:p>
      <w:pPr>
        <w:spacing w:after="0" w:line="10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0"/>
          <w:szCs w:val="10"/>
          <w:color w:val="auto"/>
        </w:rPr>
        <w:t>Note:</w:t>
      </w:r>
    </w:p>
    <w:p>
      <w:pPr>
        <w:spacing w:after="0" w:line="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0"/>
          <w:szCs w:val="10"/>
          <w:color w:val="auto"/>
        </w:rPr>
        <w:t>Amounts may not sum due to rounding.</w:t>
      </w:r>
    </w:p>
    <w:p>
      <w:pPr>
        <w:spacing w:after="0" w:line="2" w:lineRule="exact"/>
        <w:rPr>
          <w:sz w:val="20"/>
          <w:szCs w:val="20"/>
          <w:color w:val="auto"/>
        </w:rPr>
      </w:pPr>
    </w:p>
    <w:p>
      <w:pPr>
        <w:jc w:val="both"/>
        <w:ind w:left="20" w:right="20"/>
        <w:spacing w:after="0" w:line="248" w:lineRule="auto"/>
        <w:rPr>
          <w:sz w:val="20"/>
          <w:szCs w:val="20"/>
          <w:color w:val="auto"/>
        </w:rPr>
      </w:pPr>
      <w:r>
        <w:rPr>
          <w:rFonts w:ascii="Times New Roman" w:cs="Times New Roman" w:eastAsia="Times New Roman" w:hAnsi="Times New Roman"/>
          <w:sz w:val="10"/>
          <w:szCs w:val="10"/>
          <w:color w:val="auto"/>
        </w:rPr>
        <w:t>Unless otherwise noted, the income tax impact of each reconciling item between GAAP net income and Adjusted (non-GAAP) operating earnings is based on the marginal statutory federal and state income tax rates for each Registrant, taking into account whether the income or expense item is taxable or deductible, respectively, in whole or in part. For all items, the marginal statutory income tax rates for 2026 and 2025 ranged from 24.0% to 29.0%.</w:t>
      </w:r>
    </w:p>
    <w:p>
      <w:pPr>
        <w:spacing w:after="0" w:line="98" w:lineRule="exact"/>
        <w:rPr>
          <w:sz w:val="20"/>
          <w:szCs w:val="20"/>
          <w:color w:val="auto"/>
        </w:rPr>
      </w:pPr>
    </w:p>
    <w:p>
      <w:pPr>
        <w:ind w:left="380" w:hanging="206"/>
        <w:spacing w:after="0"/>
        <w:tabs>
          <w:tab w:leader="none" w:pos="380" w:val="left"/>
        </w:tabs>
        <w:numPr>
          <w:ilvl w:val="0"/>
          <w:numId w:val="8"/>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Other primarily includes eliminating and consolidating adjustments, Exelon’s corporate operations, shared service entities, and other financing and investment activities.</w:t>
      </w:r>
    </w:p>
    <w:p>
      <w:pPr>
        <w:spacing w:after="0" w:line="3" w:lineRule="exact"/>
        <w:rPr>
          <w:rFonts w:ascii="Times New Roman" w:cs="Times New Roman" w:eastAsia="Times New Roman" w:hAnsi="Times New Roman"/>
          <w:sz w:val="10"/>
          <w:szCs w:val="10"/>
          <w:color w:val="auto"/>
        </w:rPr>
      </w:pPr>
    </w:p>
    <w:p>
      <w:pPr>
        <w:ind w:left="380" w:hanging="206"/>
        <w:spacing w:after="0" w:line="236" w:lineRule="auto"/>
        <w:tabs>
          <w:tab w:leader="none" w:pos="380" w:val="left"/>
        </w:tabs>
        <w:numPr>
          <w:ilvl w:val="0"/>
          <w:numId w:val="8"/>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For ComEd, BGE, Pepco, DPL Maryland, and ACE, customer rates are adjusted to eliminate the impacts of weather and customer usage on distribution volumes.</w:t>
      </w:r>
    </w:p>
    <w:p>
      <w:pPr>
        <w:ind w:left="380" w:hanging="206"/>
        <w:spacing w:after="0"/>
        <w:tabs>
          <w:tab w:leader="none" w:pos="380" w:val="left"/>
        </w:tabs>
        <w:numPr>
          <w:ilvl w:val="0"/>
          <w:numId w:val="8"/>
        </w:numPr>
        <w:rPr>
          <w:rFonts w:ascii="Times New Roman" w:cs="Times New Roman" w:eastAsia="Times New Roman" w:hAnsi="Times New Roman"/>
          <w:sz w:val="8"/>
          <w:szCs w:val="8"/>
          <w:color w:val="auto"/>
        </w:rPr>
      </w:pPr>
      <w:r>
        <w:rPr>
          <w:rFonts w:ascii="Times New Roman" w:cs="Times New Roman" w:eastAsia="Times New Roman" w:hAnsi="Times New Roman"/>
          <w:sz w:val="8"/>
          <w:szCs w:val="8"/>
          <w:color w:val="auto"/>
        </w:rPr>
        <w:t>ComEd's distribution rate revenues increase or decrease as fully recoverable costs fluctuate. For transmission formula rates and various riders across the utilities, revenues increase and decrease i) as fully recoverable costs fluctuate (with no impact on net earnings), and ii) pursuant to</w:t>
      </w:r>
    </w:p>
    <w:p>
      <w:pPr>
        <w:spacing w:after="0" w:line="2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0"/>
          <w:szCs w:val="10"/>
          <w:color w:val="auto"/>
        </w:rPr>
        <w:t>changes in rate base, capital structure, and ROE (which impact net earnings).</w:t>
      </w:r>
    </w:p>
    <w:p>
      <w:pPr>
        <w:spacing w:after="0" w:line="2" w:lineRule="exact"/>
        <w:rPr>
          <w:sz w:val="20"/>
          <w:szCs w:val="20"/>
          <w:color w:val="auto"/>
        </w:rPr>
      </w:pPr>
    </w:p>
    <w:p>
      <w:pPr>
        <w:ind w:left="380" w:hanging="206"/>
        <w:spacing w:after="0"/>
        <w:tabs>
          <w:tab w:leader="none" w:pos="380" w:val="left"/>
        </w:tabs>
        <w:numPr>
          <w:ilvl w:val="0"/>
          <w:numId w:val="9"/>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Primarily represents severance and reorganization costs related to cost management.</w:t>
      </w:r>
    </w:p>
    <w:p>
      <w:pPr>
        <w:spacing w:after="0" w:line="2" w:lineRule="exact"/>
        <w:rPr>
          <w:rFonts w:ascii="Times New Roman" w:cs="Times New Roman" w:eastAsia="Times New Roman" w:hAnsi="Times New Roman"/>
          <w:sz w:val="10"/>
          <w:szCs w:val="10"/>
          <w:color w:val="auto"/>
        </w:rPr>
      </w:pPr>
    </w:p>
    <w:p>
      <w:pPr>
        <w:ind w:left="380" w:hanging="206"/>
        <w:spacing w:after="0" w:line="232" w:lineRule="auto"/>
        <w:tabs>
          <w:tab w:leader="none" w:pos="380" w:val="left"/>
        </w:tabs>
        <w:numPr>
          <w:ilvl w:val="0"/>
          <w:numId w:val="9"/>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Represents the disallowance of certain capitalized costs.</w:t>
      </w:r>
    </w:p>
    <w:p>
      <w:pPr>
        <w:ind w:left="380" w:hanging="206"/>
        <w:spacing w:after="0" w:line="236" w:lineRule="auto"/>
        <w:tabs>
          <w:tab w:leader="none" w:pos="380" w:val="left"/>
        </w:tabs>
        <w:numPr>
          <w:ilvl w:val="0"/>
          <w:numId w:val="9"/>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For ComEd, reflects higher distribution and transmission rate base. For BGE, reflects increased distribution revenue due to approved rates. For PHI, reflects increased distribution and transmission revenue due to approved rates.</w:t>
      </w:r>
    </w:p>
    <w:p>
      <w:pPr>
        <w:ind w:left="400" w:hanging="226"/>
        <w:spacing w:after="0" w:line="244" w:lineRule="auto"/>
        <w:tabs>
          <w:tab w:leader="none" w:pos="395" w:val="left"/>
        </w:tabs>
        <w:numPr>
          <w:ilvl w:val="0"/>
          <w:numId w:val="9"/>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For ComEd, reflects increased electric distribution, transmission, and energy efficiency revenues due to higher fully recoverable costs, offset by decreased electric distribution revenues due to timing of distribution earnings. For PECO, reflects the absence of electric surcharge credits to customers recognized in 2025. For PHI, reflects higher distribution and transmission revenues due to higher fully recoverable costs.</w:t>
      </w:r>
    </w:p>
    <w:p>
      <w:pPr>
        <w:ind w:left="380" w:hanging="206"/>
        <w:spacing w:after="0"/>
        <w:tabs>
          <w:tab w:leader="none" w:pos="380" w:val="left"/>
        </w:tabs>
        <w:numPr>
          <w:ilvl w:val="0"/>
          <w:numId w:val="9"/>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Represents Operating and maintenance expense. For ComEd, reflects increased storm costs and increased contracting costs. For PHI, reflects increased contracting costs and unfavorable impacts of the Pepco Maryland multi-year plan reconciliation.</w:t>
      </w:r>
    </w:p>
    <w:p>
      <w:pPr>
        <w:spacing w:after="0" w:line="2" w:lineRule="exact"/>
        <w:rPr>
          <w:rFonts w:ascii="Times New Roman" w:cs="Times New Roman" w:eastAsia="Times New Roman" w:hAnsi="Times New Roman"/>
          <w:sz w:val="10"/>
          <w:szCs w:val="10"/>
          <w:color w:val="auto"/>
        </w:rPr>
      </w:pPr>
    </w:p>
    <w:p>
      <w:pPr>
        <w:ind w:left="380" w:hanging="206"/>
        <w:spacing w:after="0" w:line="232" w:lineRule="auto"/>
        <w:tabs>
          <w:tab w:leader="none" w:pos="380" w:val="left"/>
        </w:tabs>
        <w:numPr>
          <w:ilvl w:val="0"/>
          <w:numId w:val="9"/>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Across all utilities, reflects ongoing capital expenditures and regulatory asset amortization.</w:t>
      </w:r>
    </w:p>
    <w:p>
      <w:pPr>
        <w:ind w:left="400" w:right="20" w:hanging="226"/>
        <w:spacing w:after="0" w:line="241" w:lineRule="auto"/>
        <w:tabs>
          <w:tab w:leader="none" w:pos="395" w:val="left"/>
        </w:tabs>
        <w:numPr>
          <w:ilvl w:val="0"/>
          <w:numId w:val="9"/>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For ComEd, reflects an increase in AFUDC, partially offset by an increase in interest expense. For PECO, primarily reflects a decrease in income tax expense due to tax repairs, some of which is timing, partially offset by an increase in interest expense. For PHI, primarily reflects an increase in interest expense. For Corporate, primarily reflects an increase in interest expense and an increase in income tax expense due to timing.</w:t>
      </w:r>
    </w:p>
    <w:p>
      <w:pPr>
        <w:spacing w:after="0" w:line="2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5</w:t>
      </w:r>
    </w:p>
    <w:p>
      <w:pPr>
        <w:sectPr>
          <w:pgSz w:w="11900" w:h="16838" w:orient="portrait"/>
          <w:cols w:equalWidth="0" w:num="1">
            <w:col w:w="11320"/>
          </w:cols>
          <w:pgMar w:left="280" w:top="129" w:right="29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33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ComEd Statistics</w:t>
      </w:r>
    </w:p>
    <w:p>
      <w:pPr>
        <w:spacing w:after="0" w:line="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u w:val="single" w:color="auto"/>
          <w:color w:val="auto"/>
        </w:rPr>
        <w:t>Three Months Ended March 31, 2026 and 2025</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3700" w:type="dxa"/>
            <w:vAlign w:val="bottom"/>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180" w:type="dxa"/>
            <w:vAlign w:val="bottom"/>
            <w:tcBorders>
              <w:bottom w:val="single" w:sz="8" w:color="auto"/>
            </w:tcBorders>
            <w:gridSpan w:val="4"/>
          </w:tcPr>
          <w:p>
            <w:pPr>
              <w:ind w:left="500"/>
              <w:spacing w:after="0"/>
              <w:rPr>
                <w:sz w:val="20"/>
                <w:szCs w:val="20"/>
                <w:color w:val="auto"/>
              </w:rPr>
            </w:pPr>
            <w:r>
              <w:rPr>
                <w:rFonts w:ascii="Times New Roman" w:cs="Times New Roman" w:eastAsia="Times New Roman" w:hAnsi="Times New Roman"/>
                <w:sz w:val="10"/>
                <w:szCs w:val="10"/>
                <w:b w:val="1"/>
                <w:bCs w:val="1"/>
                <w:color w:val="auto"/>
              </w:rPr>
              <w:t>Electric Deliveries (in GWhs)</w:t>
            </w:r>
          </w:p>
        </w:tc>
        <w:tc>
          <w:tcPr>
            <w:tcW w:w="10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w w:val="94"/>
              </w:rPr>
              <w:t>Revenue (in millions)</w:t>
            </w:r>
          </w:p>
        </w:tc>
        <w:tc>
          <w:tcPr>
            <w:tcW w:w="10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4320" w:type="dxa"/>
            <w:vAlign w:val="bottom"/>
            <w:gridSpan w:val="2"/>
            <w:vMerge w:val="restart"/>
          </w:tcPr>
          <w:p>
            <w:pPr>
              <w:ind w:left="4080"/>
              <w:spacing w:after="0"/>
              <w:rPr>
                <w:sz w:val="20"/>
                <w:szCs w:val="20"/>
                <w:color w:val="auto"/>
              </w:rPr>
            </w:pPr>
            <w:r>
              <w:rPr>
                <w:rFonts w:ascii="Times New Roman" w:cs="Times New Roman" w:eastAsia="Times New Roman" w:hAnsi="Times New Roman"/>
                <w:sz w:val="10"/>
                <w:szCs w:val="10"/>
                <w:b w:val="1"/>
                <w:bCs w:val="1"/>
                <w:color w:val="auto"/>
              </w:rPr>
              <w:t>2026</w:t>
            </w:r>
          </w:p>
        </w:tc>
        <w:tc>
          <w:tcPr>
            <w:tcW w:w="340" w:type="dxa"/>
            <w:vAlign w:val="bottom"/>
          </w:tcPr>
          <w:p>
            <w:pPr>
              <w:spacing w:after="0"/>
              <w:rPr>
                <w:sz w:val="7"/>
                <w:szCs w:val="7"/>
                <w:color w:val="auto"/>
              </w:rPr>
            </w:pPr>
          </w:p>
        </w:tc>
        <w:tc>
          <w:tcPr>
            <w:tcW w:w="100" w:type="dxa"/>
            <w:vAlign w:val="bottom"/>
          </w:tcPr>
          <w:p>
            <w:pPr>
              <w:spacing w:after="0"/>
              <w:rPr>
                <w:sz w:val="7"/>
                <w:szCs w:val="7"/>
                <w:color w:val="auto"/>
              </w:rPr>
            </w:pPr>
          </w:p>
        </w:tc>
        <w:tc>
          <w:tcPr>
            <w:tcW w:w="960" w:type="dxa"/>
            <w:vAlign w:val="bottom"/>
            <w:vMerge w:val="restart"/>
          </w:tcPr>
          <w:p>
            <w:pPr>
              <w:jc w:val="right"/>
              <w:ind w:right="332"/>
              <w:spacing w:after="0"/>
              <w:rPr>
                <w:sz w:val="20"/>
                <w:szCs w:val="20"/>
                <w:color w:val="auto"/>
              </w:rPr>
            </w:pPr>
            <w:r>
              <w:rPr>
                <w:rFonts w:ascii="Times New Roman" w:cs="Times New Roman" w:eastAsia="Times New Roman" w:hAnsi="Times New Roman"/>
                <w:sz w:val="10"/>
                <w:szCs w:val="10"/>
                <w:b w:val="1"/>
                <w:bCs w:val="1"/>
                <w:color w:val="auto"/>
              </w:rPr>
              <w:t>2025</w:t>
            </w:r>
          </w:p>
        </w:tc>
        <w:tc>
          <w:tcPr>
            <w:tcW w:w="80" w:type="dxa"/>
            <w:vAlign w:val="bottom"/>
          </w:tcPr>
          <w:p>
            <w:pPr>
              <w:spacing w:after="0"/>
              <w:rPr>
                <w:sz w:val="7"/>
                <w:szCs w:val="7"/>
                <w:color w:val="auto"/>
              </w:rPr>
            </w:pPr>
          </w:p>
        </w:tc>
        <w:tc>
          <w:tcPr>
            <w:tcW w:w="1140" w:type="dxa"/>
            <w:vAlign w:val="bottom"/>
            <w:gridSpan w:val="2"/>
            <w:vMerge w:val="restart"/>
          </w:tcPr>
          <w:p>
            <w:pPr>
              <w:ind w:left="320"/>
              <w:spacing w:after="0"/>
              <w:rPr>
                <w:sz w:val="20"/>
                <w:szCs w:val="20"/>
                <w:color w:val="auto"/>
              </w:rPr>
            </w:pPr>
            <w:r>
              <w:rPr>
                <w:rFonts w:ascii="Times New Roman" w:cs="Times New Roman" w:eastAsia="Times New Roman" w:hAnsi="Times New Roman"/>
                <w:sz w:val="10"/>
                <w:szCs w:val="10"/>
                <w:b w:val="1"/>
                <w:bCs w:val="1"/>
                <w:color w:val="auto"/>
              </w:rPr>
              <w:t>% Change</w:t>
            </w:r>
          </w:p>
        </w:tc>
        <w:tc>
          <w:tcPr>
            <w:tcW w:w="1060" w:type="dxa"/>
            <w:vAlign w:val="bottom"/>
          </w:tcPr>
          <w:p>
            <w:pPr>
              <w:jc w:val="center"/>
              <w:spacing w:after="0" w:line="89" w:lineRule="exact"/>
              <w:rPr>
                <w:sz w:val="20"/>
                <w:szCs w:val="20"/>
                <w:color w:val="auto"/>
              </w:rPr>
            </w:pPr>
            <w:r>
              <w:rPr>
                <w:rFonts w:ascii="Times New Roman" w:cs="Times New Roman" w:eastAsia="Times New Roman" w:hAnsi="Times New Roman"/>
                <w:sz w:val="10"/>
                <w:szCs w:val="10"/>
                <w:b w:val="1"/>
                <w:bCs w:val="1"/>
                <w:color w:val="auto"/>
                <w:w w:val="94"/>
              </w:rPr>
              <w:t>Weather - Normal %</w:t>
            </w: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820" w:type="dxa"/>
            <w:vAlign w:val="bottom"/>
            <w:vMerge w:val="restart"/>
          </w:tcPr>
          <w:p>
            <w:pPr>
              <w:jc w:val="right"/>
              <w:ind w:right="332"/>
              <w:spacing w:after="0"/>
              <w:rPr>
                <w:sz w:val="20"/>
                <w:szCs w:val="20"/>
                <w:color w:val="auto"/>
              </w:rPr>
            </w:pPr>
            <w:r>
              <w:rPr>
                <w:rFonts w:ascii="Times New Roman" w:cs="Times New Roman" w:eastAsia="Times New Roman" w:hAnsi="Times New Roman"/>
                <w:sz w:val="10"/>
                <w:szCs w:val="10"/>
                <w:b w:val="1"/>
                <w:bCs w:val="1"/>
                <w:color w:val="auto"/>
              </w:rPr>
              <w:t>2026</w:t>
            </w: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880" w:type="dxa"/>
            <w:vAlign w:val="bottom"/>
            <w:vMerge w:val="restart"/>
          </w:tcPr>
          <w:p>
            <w:pPr>
              <w:ind w:left="300"/>
              <w:spacing w:after="0"/>
              <w:rPr>
                <w:sz w:val="20"/>
                <w:szCs w:val="20"/>
                <w:color w:val="auto"/>
              </w:rPr>
            </w:pPr>
            <w:r>
              <w:rPr>
                <w:rFonts w:ascii="Times New Roman" w:cs="Times New Roman" w:eastAsia="Times New Roman" w:hAnsi="Times New Roman"/>
                <w:sz w:val="10"/>
                <w:szCs w:val="10"/>
                <w:b w:val="1"/>
                <w:bCs w:val="1"/>
                <w:color w:val="auto"/>
              </w:rPr>
              <w:t>2025</w:t>
            </w:r>
          </w:p>
        </w:tc>
        <w:tc>
          <w:tcPr>
            <w:tcW w:w="100" w:type="dxa"/>
            <w:vAlign w:val="bottom"/>
          </w:tcPr>
          <w:p>
            <w:pPr>
              <w:spacing w:after="0"/>
              <w:rPr>
                <w:sz w:val="7"/>
                <w:szCs w:val="7"/>
                <w:color w:val="auto"/>
              </w:rPr>
            </w:pPr>
          </w:p>
        </w:tc>
        <w:tc>
          <w:tcPr>
            <w:tcW w:w="1060" w:type="dxa"/>
            <w:vAlign w:val="bottom"/>
            <w:vMerge w:val="restart"/>
          </w:tcPr>
          <w:p>
            <w:pPr>
              <w:jc w:val="right"/>
              <w:ind w:right="272"/>
              <w:spacing w:after="0"/>
              <w:rPr>
                <w:sz w:val="20"/>
                <w:szCs w:val="20"/>
                <w:color w:val="auto"/>
              </w:rPr>
            </w:pPr>
            <w:r>
              <w:rPr>
                <w:rFonts w:ascii="Times New Roman" w:cs="Times New Roman" w:eastAsia="Times New Roman" w:hAnsi="Times New Roman"/>
                <w:sz w:val="10"/>
                <w:szCs w:val="10"/>
                <w:b w:val="1"/>
                <w:bCs w:val="1"/>
                <w:color w:val="auto"/>
              </w:rPr>
              <w:t>% Change</w:t>
            </w:r>
          </w:p>
        </w:tc>
        <w:tc>
          <w:tcPr>
            <w:tcW w:w="0" w:type="dxa"/>
            <w:vAlign w:val="bottom"/>
          </w:tcPr>
          <w:p>
            <w:pPr>
              <w:spacing w:after="0"/>
              <w:rPr>
                <w:sz w:val="1"/>
                <w:szCs w:val="1"/>
                <w:color w:val="auto"/>
              </w:rPr>
            </w:pPr>
          </w:p>
        </w:tc>
      </w:tr>
      <w:tr>
        <w:trPr>
          <w:trHeight w:val="129"/>
        </w:trPr>
        <w:tc>
          <w:tcPr>
            <w:tcW w:w="4320" w:type="dxa"/>
            <w:vAlign w:val="bottom"/>
            <w:gridSpan w:val="2"/>
            <w:vMerge w:val="continue"/>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1160" w:type="dxa"/>
            <w:vAlign w:val="bottom"/>
            <w:gridSpan w:val="2"/>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w w:val="97"/>
              </w:rPr>
              <w:t>Change</w:t>
            </w:r>
          </w:p>
        </w:tc>
        <w:tc>
          <w:tcPr>
            <w:tcW w:w="140" w:type="dxa"/>
            <w:vAlign w:val="bottom"/>
          </w:tcPr>
          <w:p>
            <w:pPr>
              <w:spacing w:after="0"/>
              <w:rPr>
                <w:sz w:val="11"/>
                <w:szCs w:val="11"/>
                <w:color w:val="auto"/>
              </w:rPr>
            </w:pPr>
          </w:p>
        </w:tc>
        <w:tc>
          <w:tcPr>
            <w:tcW w:w="8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3700" w:type="dxa"/>
            <w:vAlign w:val="bottom"/>
            <w:tcBorders>
              <w:top w:val="single" w:sz="8" w:color="CCEEFF"/>
            </w:tcBorders>
            <w:shd w:val="clear" w:color="auto" w:fill="CCEEFF"/>
          </w:tcPr>
          <w:p>
            <w:pPr>
              <w:ind w:left="20"/>
              <w:spacing w:after="0" w:line="119" w:lineRule="exact"/>
              <w:rPr>
                <w:sz w:val="20"/>
                <w:szCs w:val="20"/>
                <w:color w:val="auto"/>
              </w:rPr>
            </w:pPr>
            <w:r>
              <w:rPr>
                <w:rFonts w:ascii="Times New Roman" w:cs="Times New Roman" w:eastAsia="Times New Roman" w:hAnsi="Times New Roman"/>
                <w:sz w:val="10"/>
                <w:szCs w:val="10"/>
                <w:b w:val="1"/>
                <w:bCs w:val="1"/>
                <w:color w:val="auto"/>
              </w:rPr>
              <w:t>Electric Deliveries and Revenues</w:t>
            </w:r>
            <w:r>
              <w:rPr>
                <w:rFonts w:ascii="Times New Roman" w:cs="Times New Roman" w:eastAsia="Times New Roman" w:hAnsi="Times New Roman"/>
                <w:sz w:val="12"/>
                <w:szCs w:val="12"/>
                <w:b w:val="1"/>
                <w:bCs w:val="1"/>
                <w:color w:val="auto"/>
                <w:vertAlign w:val="superscript"/>
              </w:rPr>
              <w:t>(a)</w:t>
            </w:r>
          </w:p>
        </w:tc>
        <w:tc>
          <w:tcPr>
            <w:tcW w:w="620" w:type="dxa"/>
            <w:vAlign w:val="bottom"/>
            <w:tcBorders>
              <w:top w:val="single" w:sz="8" w:color="auto"/>
            </w:tcBorders>
            <w:shd w:val="clear" w:color="auto" w:fill="CCEEFF"/>
          </w:tcPr>
          <w:p>
            <w:pPr>
              <w:spacing w:after="0"/>
              <w:rPr>
                <w:sz w:val="10"/>
                <w:szCs w:val="10"/>
                <w:color w:val="auto"/>
              </w:rPr>
            </w:pPr>
          </w:p>
        </w:tc>
        <w:tc>
          <w:tcPr>
            <w:tcW w:w="34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96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06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06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82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88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060" w:type="dxa"/>
            <w:vAlign w:val="bottom"/>
            <w:tcBorders>
              <w:top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4320" w:type="dxa"/>
            <w:vAlign w:val="bottom"/>
            <w:gridSpan w:val="2"/>
          </w:tcPr>
          <w:p>
            <w:pPr>
              <w:ind w:left="240"/>
              <w:spacing w:after="0"/>
              <w:rPr>
                <w:sz w:val="20"/>
                <w:szCs w:val="20"/>
                <w:color w:val="auto"/>
              </w:rPr>
            </w:pPr>
            <w:r>
              <w:rPr>
                <w:rFonts w:ascii="Times New Roman" w:cs="Times New Roman" w:eastAsia="Times New Roman" w:hAnsi="Times New Roman"/>
                <w:sz w:val="10"/>
                <w:szCs w:val="10"/>
                <w:color w:val="auto"/>
              </w:rPr>
              <w:t>Residential</w:t>
            </w:r>
          </w:p>
        </w:tc>
        <w:tc>
          <w:tcPr>
            <w:tcW w:w="3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6,560</w:t>
            </w:r>
          </w:p>
        </w:tc>
        <w:tc>
          <w:tcPr>
            <w:tcW w:w="100" w:type="dxa"/>
            <w:vAlign w:val="bottom"/>
          </w:tcPr>
          <w:p>
            <w:pPr>
              <w:spacing w:after="0"/>
              <w:rPr>
                <w:sz w:val="11"/>
                <w:szCs w:val="1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6,674</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(1.7)%</w:t>
            </w:r>
          </w:p>
        </w:tc>
        <w:tc>
          <w:tcPr>
            <w:tcW w:w="80" w:type="dxa"/>
            <w:vAlign w:val="bottom"/>
          </w:tcPr>
          <w:p>
            <w:pPr>
              <w:spacing w:after="0"/>
              <w:rPr>
                <w:sz w:val="11"/>
                <w:szCs w:val="1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(0.6)%</w:t>
            </w:r>
          </w:p>
        </w:tc>
        <w:tc>
          <w:tcPr>
            <w:tcW w:w="100" w:type="dxa"/>
            <w:vAlign w:val="bottom"/>
          </w:tcPr>
          <w:p>
            <w:pPr>
              <w:spacing w:after="0"/>
              <w:rPr>
                <w:sz w:val="11"/>
                <w:szCs w:val="11"/>
                <w:color w:val="auto"/>
              </w:rPr>
            </w:pPr>
          </w:p>
        </w:tc>
        <w:tc>
          <w:tcPr>
            <w:tcW w:w="1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w w:val="7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1,024</w:t>
            </w:r>
          </w:p>
        </w:tc>
        <w:tc>
          <w:tcPr>
            <w:tcW w:w="10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993</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3.1 %</w:t>
            </w:r>
          </w:p>
        </w:tc>
        <w:tc>
          <w:tcPr>
            <w:tcW w:w="0" w:type="dxa"/>
            <w:vAlign w:val="bottom"/>
          </w:tcPr>
          <w:p>
            <w:pPr>
              <w:spacing w:after="0"/>
              <w:rPr>
                <w:sz w:val="1"/>
                <w:szCs w:val="1"/>
                <w:color w:val="auto"/>
              </w:rPr>
            </w:pPr>
          </w:p>
        </w:tc>
      </w:tr>
      <w:tr>
        <w:trPr>
          <w:trHeight w:val="141"/>
        </w:trPr>
        <w:tc>
          <w:tcPr>
            <w:tcW w:w="43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0"/>
                <w:szCs w:val="10"/>
                <w:color w:val="auto"/>
              </w:rPr>
              <w:t>Small commercial &amp; industrial</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7,318</w:t>
            </w: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7,359</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(0.6)%</w:t>
            </w:r>
          </w:p>
        </w:tc>
        <w:tc>
          <w:tcPr>
            <w:tcW w:w="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 %</w:t>
            </w: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484</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600</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(19.3)%</w:t>
            </w:r>
          </w:p>
        </w:tc>
        <w:tc>
          <w:tcPr>
            <w:tcW w:w="0" w:type="dxa"/>
            <w:vAlign w:val="bottom"/>
          </w:tcPr>
          <w:p>
            <w:pPr>
              <w:spacing w:after="0"/>
              <w:rPr>
                <w:sz w:val="1"/>
                <w:szCs w:val="1"/>
                <w:color w:val="auto"/>
              </w:rPr>
            </w:pPr>
          </w:p>
        </w:tc>
      </w:tr>
      <w:tr>
        <w:trPr>
          <w:trHeight w:val="129"/>
        </w:trPr>
        <w:tc>
          <w:tcPr>
            <w:tcW w:w="4320" w:type="dxa"/>
            <w:vAlign w:val="bottom"/>
            <w:gridSpan w:val="2"/>
          </w:tcPr>
          <w:p>
            <w:pPr>
              <w:ind w:left="240"/>
              <w:spacing w:after="0"/>
              <w:rPr>
                <w:sz w:val="20"/>
                <w:szCs w:val="20"/>
                <w:color w:val="auto"/>
              </w:rPr>
            </w:pPr>
            <w:r>
              <w:rPr>
                <w:rFonts w:ascii="Times New Roman" w:cs="Times New Roman" w:eastAsia="Times New Roman" w:hAnsi="Times New Roman"/>
                <w:sz w:val="10"/>
                <w:szCs w:val="10"/>
                <w:color w:val="auto"/>
              </w:rPr>
              <w:t>Large commercial &amp; industrial</w:t>
            </w:r>
          </w:p>
        </w:tc>
        <w:tc>
          <w:tcPr>
            <w:tcW w:w="3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6,962</w:t>
            </w:r>
          </w:p>
        </w:tc>
        <w:tc>
          <w:tcPr>
            <w:tcW w:w="100" w:type="dxa"/>
            <w:vAlign w:val="bottom"/>
          </w:tcPr>
          <w:p>
            <w:pPr>
              <w:spacing w:after="0"/>
              <w:rPr>
                <w:sz w:val="11"/>
                <w:szCs w:val="1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7,003</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(0.6)%</w:t>
            </w:r>
          </w:p>
        </w:tc>
        <w:tc>
          <w:tcPr>
            <w:tcW w:w="80" w:type="dxa"/>
            <w:vAlign w:val="bottom"/>
          </w:tcPr>
          <w:p>
            <w:pPr>
              <w:spacing w:after="0"/>
              <w:rPr>
                <w:sz w:val="11"/>
                <w:szCs w:val="1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120</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296</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(59.5)%</w:t>
            </w:r>
          </w:p>
        </w:tc>
        <w:tc>
          <w:tcPr>
            <w:tcW w:w="0" w:type="dxa"/>
            <w:vAlign w:val="bottom"/>
          </w:tcPr>
          <w:p>
            <w:pPr>
              <w:spacing w:after="0"/>
              <w:rPr>
                <w:sz w:val="1"/>
                <w:szCs w:val="1"/>
                <w:color w:val="auto"/>
              </w:rPr>
            </w:pPr>
          </w:p>
        </w:tc>
      </w:tr>
      <w:tr>
        <w:trPr>
          <w:trHeight w:val="141"/>
        </w:trPr>
        <w:tc>
          <w:tcPr>
            <w:tcW w:w="43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0"/>
                <w:szCs w:val="10"/>
                <w:color w:val="auto"/>
              </w:rPr>
              <w:t>Public authorities &amp; electric railroads</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244</w:t>
            </w: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278</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(12.2)%</w:t>
            </w:r>
          </w:p>
        </w:tc>
        <w:tc>
          <w:tcPr>
            <w:tcW w:w="8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(9.1)%</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12</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17</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(29.4)%</w:t>
            </w:r>
          </w:p>
        </w:tc>
        <w:tc>
          <w:tcPr>
            <w:tcW w:w="0" w:type="dxa"/>
            <w:vAlign w:val="bottom"/>
          </w:tcPr>
          <w:p>
            <w:pPr>
              <w:spacing w:after="0"/>
              <w:rPr>
                <w:sz w:val="1"/>
                <w:szCs w:val="1"/>
                <w:color w:val="auto"/>
              </w:rPr>
            </w:pPr>
          </w:p>
        </w:tc>
      </w:tr>
      <w:tr>
        <w:trPr>
          <w:trHeight w:val="135"/>
        </w:trPr>
        <w:tc>
          <w:tcPr>
            <w:tcW w:w="4320" w:type="dxa"/>
            <w:vAlign w:val="bottom"/>
            <w:gridSpan w:val="2"/>
          </w:tcPr>
          <w:p>
            <w:pPr>
              <w:ind w:left="240"/>
              <w:spacing w:after="0" w:line="135" w:lineRule="exact"/>
              <w:rPr>
                <w:sz w:val="20"/>
                <w:szCs w:val="20"/>
                <w:color w:val="auto"/>
              </w:rPr>
            </w:pPr>
            <w:r>
              <w:rPr>
                <w:rFonts w:ascii="Times New Roman" w:cs="Times New Roman" w:eastAsia="Times New Roman" w:hAnsi="Times New Roman"/>
                <w:sz w:val="10"/>
                <w:szCs w:val="10"/>
                <w:color w:val="auto"/>
              </w:rPr>
              <w:t>Other</w:t>
            </w:r>
            <w:r>
              <w:rPr>
                <w:rFonts w:ascii="Times New Roman" w:cs="Times New Roman" w:eastAsia="Times New Roman" w:hAnsi="Times New Roman"/>
                <w:sz w:val="12"/>
                <w:szCs w:val="12"/>
                <w:color w:val="auto"/>
                <w:vertAlign w:val="superscript"/>
              </w:rPr>
              <w:t>(b)</w:t>
            </w: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1"/>
                <w:szCs w:val="11"/>
                <w:color w:val="auto"/>
              </w:rPr>
            </w:pPr>
          </w:p>
        </w:tc>
        <w:tc>
          <w:tcPr>
            <w:tcW w:w="1140" w:type="dxa"/>
            <w:vAlign w:val="bottom"/>
            <w:gridSpan w:val="2"/>
          </w:tcPr>
          <w:p>
            <w:pPr>
              <w:ind w:left="940"/>
              <w:spacing w:after="0"/>
              <w:rPr>
                <w:sz w:val="20"/>
                <w:szCs w:val="20"/>
                <w:color w:val="auto"/>
              </w:rPr>
            </w:pPr>
            <w:r>
              <w:rPr>
                <w:rFonts w:ascii="Times New Roman" w:cs="Times New Roman" w:eastAsia="Times New Roman" w:hAnsi="Times New Roman"/>
                <w:sz w:val="10"/>
                <w:szCs w:val="10"/>
                <w:color w:val="auto"/>
              </w:rPr>
              <w:t>n/a</w:t>
            </w:r>
          </w:p>
        </w:tc>
        <w:tc>
          <w:tcPr>
            <w:tcW w:w="1160" w:type="dxa"/>
            <w:vAlign w:val="bottom"/>
            <w:gridSpan w:val="2"/>
          </w:tcPr>
          <w:p>
            <w:pPr>
              <w:ind w:left="940"/>
              <w:spacing w:after="0"/>
              <w:rPr>
                <w:sz w:val="20"/>
                <w:szCs w:val="20"/>
                <w:color w:val="auto"/>
              </w:rPr>
            </w:pPr>
            <w:r>
              <w:rPr>
                <w:rFonts w:ascii="Times New Roman" w:cs="Times New Roman" w:eastAsia="Times New Roman" w:hAnsi="Times New Roman"/>
                <w:sz w:val="10"/>
                <w:szCs w:val="10"/>
                <w:color w:val="auto"/>
              </w:rPr>
              <w:t>n/a</w:t>
            </w:r>
          </w:p>
        </w:tc>
        <w:tc>
          <w:tcPr>
            <w:tcW w:w="14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249</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236</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5.5 %</w:t>
            </w:r>
          </w:p>
        </w:tc>
        <w:tc>
          <w:tcPr>
            <w:tcW w:w="0" w:type="dxa"/>
            <w:vAlign w:val="bottom"/>
          </w:tcPr>
          <w:p>
            <w:pPr>
              <w:spacing w:after="0"/>
              <w:rPr>
                <w:sz w:val="1"/>
                <w:szCs w:val="1"/>
                <w:color w:val="auto"/>
              </w:rPr>
            </w:pPr>
          </w:p>
        </w:tc>
      </w:tr>
      <w:tr>
        <w:trPr>
          <w:trHeight w:val="124"/>
        </w:trPr>
        <w:tc>
          <w:tcPr>
            <w:tcW w:w="3700" w:type="dxa"/>
            <w:vAlign w:val="bottom"/>
            <w:tcBorders>
              <w:top w:val="single" w:sz="8" w:color="CCEEFF"/>
            </w:tcBorders>
            <w:shd w:val="clear" w:color="auto" w:fill="CCEEFF"/>
          </w:tcPr>
          <w:p>
            <w:pPr>
              <w:ind w:left="460"/>
              <w:spacing w:after="0" w:line="124" w:lineRule="exact"/>
              <w:rPr>
                <w:sz w:val="20"/>
                <w:szCs w:val="20"/>
                <w:color w:val="auto"/>
              </w:rPr>
            </w:pPr>
            <w:r>
              <w:rPr>
                <w:rFonts w:ascii="Times New Roman" w:cs="Times New Roman" w:eastAsia="Times New Roman" w:hAnsi="Times New Roman"/>
                <w:sz w:val="10"/>
                <w:szCs w:val="10"/>
                <w:color w:val="auto"/>
              </w:rPr>
              <w:t>Total electric revenues</w:t>
            </w:r>
            <w:r>
              <w:rPr>
                <w:rFonts w:ascii="Times New Roman" w:cs="Times New Roman" w:eastAsia="Times New Roman" w:hAnsi="Times New Roman"/>
                <w:sz w:val="12"/>
                <w:szCs w:val="12"/>
                <w:color w:val="auto"/>
                <w:vertAlign w:val="superscript"/>
              </w:rPr>
              <w:t>(c)</w:t>
            </w:r>
          </w:p>
        </w:tc>
        <w:tc>
          <w:tcPr>
            <w:tcW w:w="620" w:type="dxa"/>
            <w:vAlign w:val="bottom"/>
            <w:tcBorders>
              <w:top w:val="single" w:sz="8" w:color="auto"/>
              <w:bottom w:val="single" w:sz="8" w:color="auto"/>
            </w:tcBorders>
            <w:shd w:val="clear" w:color="auto" w:fill="CCEEFF"/>
          </w:tcPr>
          <w:p>
            <w:pPr>
              <w:spacing w:after="0"/>
              <w:rPr>
                <w:sz w:val="10"/>
                <w:szCs w:val="10"/>
                <w:color w:val="auto"/>
              </w:rPr>
            </w:pP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21,084</w:t>
            </w:r>
          </w:p>
        </w:tc>
        <w:tc>
          <w:tcPr>
            <w:tcW w:w="100" w:type="dxa"/>
            <w:vAlign w:val="bottom"/>
            <w:tcBorders>
              <w:top w:val="single" w:sz="8" w:color="CCEEFF"/>
            </w:tcBorders>
            <w:shd w:val="clear" w:color="auto" w:fill="CCEEFF"/>
          </w:tcPr>
          <w:p>
            <w:pPr>
              <w:spacing w:after="0"/>
              <w:rPr>
                <w:sz w:val="10"/>
                <w:szCs w:val="1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21,314</w:t>
            </w:r>
          </w:p>
        </w:tc>
        <w:tc>
          <w:tcPr>
            <w:tcW w:w="1140" w:type="dxa"/>
            <w:vAlign w:val="bottom"/>
            <w:tcBorders>
              <w:top w:val="single" w:sz="8" w:color="CCEEFF"/>
            </w:tcBorders>
            <w:gridSpan w:val="2"/>
            <w:shd w:val="clear" w:color="auto" w:fill="CCEEFF"/>
          </w:tcPr>
          <w:p>
            <w:pPr>
              <w:jc w:val="right"/>
              <w:spacing w:after="0" w:line="107" w:lineRule="exact"/>
              <w:rPr>
                <w:sz w:val="20"/>
                <w:szCs w:val="20"/>
                <w:color w:val="auto"/>
              </w:rPr>
            </w:pPr>
            <w:r>
              <w:rPr>
                <w:rFonts w:ascii="Times New Roman" w:cs="Times New Roman" w:eastAsia="Times New Roman" w:hAnsi="Times New Roman"/>
                <w:sz w:val="10"/>
                <w:szCs w:val="10"/>
                <w:color w:val="auto"/>
              </w:rPr>
              <w:t>(1.1)%</w:t>
            </w:r>
          </w:p>
        </w:tc>
        <w:tc>
          <w:tcPr>
            <w:tcW w:w="80" w:type="dxa"/>
            <w:vAlign w:val="bottom"/>
            <w:tcBorders>
              <w:top w:val="single" w:sz="8" w:color="CCEEFF"/>
            </w:tcBorders>
            <w:shd w:val="clear" w:color="auto" w:fill="CCEEFF"/>
          </w:tcPr>
          <w:p>
            <w:pPr>
              <w:spacing w:after="0"/>
              <w:rPr>
                <w:sz w:val="10"/>
                <w:szCs w:val="10"/>
                <w:color w:val="auto"/>
              </w:rPr>
            </w:pPr>
          </w:p>
        </w:tc>
        <w:tc>
          <w:tcPr>
            <w:tcW w:w="1060" w:type="dxa"/>
            <w:vAlign w:val="bottom"/>
            <w:tcBorders>
              <w:top w:val="single" w:sz="8" w:color="CCEEFF"/>
            </w:tcBorders>
            <w:shd w:val="clear" w:color="auto" w:fill="CCEEFF"/>
          </w:tcPr>
          <w:p>
            <w:pPr>
              <w:jc w:val="right"/>
              <w:spacing w:after="0" w:line="107" w:lineRule="exact"/>
              <w:rPr>
                <w:sz w:val="20"/>
                <w:szCs w:val="20"/>
                <w:color w:val="auto"/>
              </w:rPr>
            </w:pPr>
            <w:r>
              <w:rPr>
                <w:rFonts w:ascii="Times New Roman" w:cs="Times New Roman" w:eastAsia="Times New Roman" w:hAnsi="Times New Roman"/>
                <w:sz w:val="10"/>
                <w:szCs w:val="10"/>
                <w:color w:val="auto"/>
              </w:rPr>
              <w:t>(0.7)%</w:t>
            </w:r>
          </w:p>
        </w:tc>
        <w:tc>
          <w:tcPr>
            <w:tcW w:w="10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bottom w:val="single" w:sz="8" w:color="auto"/>
            </w:tcBorders>
            <w:shd w:val="clear" w:color="auto" w:fill="CCEEFF"/>
          </w:tcPr>
          <w:p>
            <w:pPr>
              <w:spacing w:after="0"/>
              <w:rPr>
                <w:sz w:val="10"/>
                <w:szCs w:val="10"/>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1,889</w:t>
            </w:r>
          </w:p>
        </w:tc>
        <w:tc>
          <w:tcPr>
            <w:tcW w:w="10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bottom w:val="single" w:sz="8" w:color="auto"/>
            </w:tcBorders>
            <w:shd w:val="clear" w:color="auto" w:fill="CCEEFF"/>
          </w:tcPr>
          <w:p>
            <w:pPr>
              <w:spacing w:after="0"/>
              <w:rPr>
                <w:sz w:val="10"/>
                <w:szCs w:val="1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2,142</w:t>
            </w:r>
          </w:p>
        </w:tc>
        <w:tc>
          <w:tcPr>
            <w:tcW w:w="1160" w:type="dxa"/>
            <w:vAlign w:val="bottom"/>
            <w:tcBorders>
              <w:top w:val="single" w:sz="8" w:color="CCEEFF"/>
            </w:tcBorders>
            <w:gridSpan w:val="2"/>
            <w:shd w:val="clear" w:color="auto" w:fill="CCEEFF"/>
          </w:tcPr>
          <w:p>
            <w:pPr>
              <w:jc w:val="right"/>
              <w:spacing w:after="0" w:line="107" w:lineRule="exact"/>
              <w:rPr>
                <w:sz w:val="20"/>
                <w:szCs w:val="20"/>
                <w:color w:val="auto"/>
              </w:rPr>
            </w:pPr>
            <w:r>
              <w:rPr>
                <w:rFonts w:ascii="Times New Roman" w:cs="Times New Roman" w:eastAsia="Times New Roman" w:hAnsi="Times New Roman"/>
                <w:sz w:val="10"/>
                <w:szCs w:val="10"/>
                <w:color w:val="auto"/>
              </w:rPr>
              <w:t>(11.8)%</w:t>
            </w:r>
          </w:p>
        </w:tc>
        <w:tc>
          <w:tcPr>
            <w:tcW w:w="0" w:type="dxa"/>
            <w:vAlign w:val="bottom"/>
          </w:tcPr>
          <w:p>
            <w:pPr>
              <w:spacing w:after="0"/>
              <w:rPr>
                <w:sz w:val="1"/>
                <w:szCs w:val="1"/>
                <w:color w:val="auto"/>
              </w:rPr>
            </w:pPr>
          </w:p>
        </w:tc>
      </w:tr>
      <w:tr>
        <w:trPr>
          <w:trHeight w:val="124"/>
        </w:trPr>
        <w:tc>
          <w:tcPr>
            <w:tcW w:w="3700" w:type="dxa"/>
            <w:vAlign w:val="bottom"/>
            <w:tcBorders>
              <w:bottom w:val="single" w:sz="8" w:color="CCEEFF"/>
            </w:tcBorders>
          </w:tcPr>
          <w:p>
            <w:pPr>
              <w:ind w:left="20"/>
              <w:spacing w:after="0" w:line="124" w:lineRule="exact"/>
              <w:rPr>
                <w:sz w:val="20"/>
                <w:szCs w:val="20"/>
                <w:color w:val="auto"/>
              </w:rPr>
            </w:pPr>
            <w:r>
              <w:rPr>
                <w:rFonts w:ascii="Times New Roman" w:cs="Times New Roman" w:eastAsia="Times New Roman" w:hAnsi="Times New Roman"/>
                <w:sz w:val="10"/>
                <w:szCs w:val="10"/>
                <w:b w:val="1"/>
                <w:bCs w:val="1"/>
                <w:color w:val="auto"/>
              </w:rPr>
              <w:t>Other Revenues</w:t>
            </w:r>
            <w:r>
              <w:rPr>
                <w:rFonts w:ascii="Times New Roman" w:cs="Times New Roman" w:eastAsia="Times New Roman" w:hAnsi="Times New Roman"/>
                <w:sz w:val="12"/>
                <w:szCs w:val="12"/>
                <w:b w:val="1"/>
                <w:bCs w:val="1"/>
                <w:color w:val="auto"/>
                <w:vertAlign w:val="superscript"/>
              </w:rPr>
              <w:t>(d)</w:t>
            </w:r>
          </w:p>
        </w:tc>
        <w:tc>
          <w:tcPr>
            <w:tcW w:w="620" w:type="dxa"/>
            <w:vAlign w:val="bottom"/>
            <w:tcBorders>
              <w:bottom w:val="single" w:sz="8" w:color="CCEEFF"/>
            </w:tcBorders>
          </w:tcPr>
          <w:p>
            <w:pPr>
              <w:spacing w:after="0"/>
              <w:rPr>
                <w:sz w:val="10"/>
                <w:szCs w:val="10"/>
                <w:color w:val="auto"/>
              </w:rPr>
            </w:pPr>
          </w:p>
        </w:tc>
        <w:tc>
          <w:tcPr>
            <w:tcW w:w="34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96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106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106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24</w:t>
            </w:r>
          </w:p>
        </w:tc>
        <w:tc>
          <w:tcPr>
            <w:tcW w:w="10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(77)</w:t>
            </w:r>
          </w:p>
        </w:tc>
        <w:tc>
          <w:tcPr>
            <w:tcW w:w="1160" w:type="dxa"/>
            <w:vAlign w:val="bottom"/>
            <w:tcBorders>
              <w:bottom w:val="single" w:sz="8" w:color="CCEEFF"/>
            </w:tcBorders>
            <w:gridSpan w:val="2"/>
          </w:tcPr>
          <w:p>
            <w:pPr>
              <w:jc w:val="right"/>
              <w:spacing w:after="0" w:line="107" w:lineRule="exact"/>
              <w:rPr>
                <w:sz w:val="20"/>
                <w:szCs w:val="20"/>
                <w:color w:val="auto"/>
              </w:rPr>
            </w:pPr>
            <w:r>
              <w:rPr>
                <w:rFonts w:ascii="Times New Roman" w:cs="Times New Roman" w:eastAsia="Times New Roman" w:hAnsi="Times New Roman"/>
                <w:sz w:val="10"/>
                <w:szCs w:val="10"/>
                <w:color w:val="auto"/>
              </w:rPr>
              <w:t>(131.2)%</w:t>
            </w:r>
          </w:p>
        </w:tc>
        <w:tc>
          <w:tcPr>
            <w:tcW w:w="0" w:type="dxa"/>
            <w:vAlign w:val="bottom"/>
          </w:tcPr>
          <w:p>
            <w:pPr>
              <w:spacing w:after="0"/>
              <w:rPr>
                <w:sz w:val="1"/>
                <w:szCs w:val="1"/>
                <w:color w:val="auto"/>
              </w:rPr>
            </w:pPr>
          </w:p>
        </w:tc>
      </w:tr>
      <w:tr>
        <w:trPr>
          <w:trHeight w:val="144"/>
        </w:trPr>
        <w:tc>
          <w:tcPr>
            <w:tcW w:w="4320" w:type="dxa"/>
            <w:vAlign w:val="bottom"/>
            <w:tcBorders>
              <w:bottom w:val="single" w:sz="8" w:color="CCEEFF"/>
            </w:tcBorders>
            <w:gridSpan w:val="2"/>
            <w:shd w:val="clear" w:color="auto" w:fill="CCEEFF"/>
          </w:tcPr>
          <w:p>
            <w:pPr>
              <w:ind w:left="460"/>
              <w:spacing w:after="0" w:line="104" w:lineRule="exact"/>
              <w:rPr>
                <w:sz w:val="20"/>
                <w:szCs w:val="20"/>
                <w:color w:val="auto"/>
              </w:rPr>
            </w:pPr>
            <w:r>
              <w:rPr>
                <w:rFonts w:ascii="Times New Roman" w:cs="Times New Roman" w:eastAsia="Times New Roman" w:hAnsi="Times New Roman"/>
                <w:sz w:val="10"/>
                <w:szCs w:val="10"/>
                <w:color w:val="auto"/>
              </w:rPr>
              <w:t>Total electric revenues</w:t>
            </w:r>
          </w:p>
        </w:tc>
        <w:tc>
          <w:tcPr>
            <w:tcW w:w="3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96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06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0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0"/>
                <w:szCs w:val="10"/>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1,913</w:t>
            </w: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2,065</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(7.4)%</w:t>
            </w:r>
          </w:p>
        </w:tc>
        <w:tc>
          <w:tcPr>
            <w:tcW w:w="0" w:type="dxa"/>
            <w:vAlign w:val="bottom"/>
          </w:tcPr>
          <w:p>
            <w:pPr>
              <w:spacing w:after="0"/>
              <w:rPr>
                <w:sz w:val="1"/>
                <w:szCs w:val="1"/>
                <w:color w:val="auto"/>
              </w:rPr>
            </w:pPr>
          </w:p>
        </w:tc>
      </w:tr>
      <w:tr>
        <w:trPr>
          <w:trHeight w:val="131"/>
        </w:trPr>
        <w:tc>
          <w:tcPr>
            <w:tcW w:w="4320" w:type="dxa"/>
            <w:vAlign w:val="bottom"/>
            <w:gridSpan w:val="2"/>
          </w:tcPr>
          <w:p>
            <w:pPr>
              <w:ind w:left="20"/>
              <w:spacing w:after="0" w:line="106" w:lineRule="exact"/>
              <w:rPr>
                <w:sz w:val="20"/>
                <w:szCs w:val="20"/>
                <w:color w:val="auto"/>
              </w:rPr>
            </w:pPr>
            <w:r>
              <w:rPr>
                <w:rFonts w:ascii="Times New Roman" w:cs="Times New Roman" w:eastAsia="Times New Roman" w:hAnsi="Times New Roman"/>
                <w:sz w:val="10"/>
                <w:szCs w:val="10"/>
                <w:b w:val="1"/>
                <w:bCs w:val="1"/>
                <w:color w:val="auto"/>
              </w:rPr>
              <w:t>Purchased Power</w:t>
            </w: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0"/>
                <w:szCs w:val="10"/>
                <w:color w:val="auto"/>
                <w:w w:val="7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451</w:t>
            </w:r>
          </w:p>
        </w:tc>
        <w:tc>
          <w:tcPr>
            <w:tcW w:w="100" w:type="dxa"/>
            <w:vAlign w:val="bottom"/>
          </w:tcPr>
          <w:p>
            <w:pPr>
              <w:spacing w:after="0"/>
              <w:rPr>
                <w:sz w:val="11"/>
                <w:szCs w:val="11"/>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689</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(34.5)%</w:t>
            </w: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3"/>
        </w:trPr>
        <w:tc>
          <w:tcPr>
            <w:tcW w:w="3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0"/>
                <w:szCs w:val="10"/>
                <w:b w:val="1"/>
                <w:bCs w:val="1"/>
                <w:color w:val="auto"/>
              </w:rPr>
              <w:t>% Change</w:t>
            </w:r>
          </w:p>
        </w:tc>
        <w:tc>
          <w:tcPr>
            <w:tcW w:w="1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5"/>
        </w:trPr>
        <w:tc>
          <w:tcPr>
            <w:tcW w:w="432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Heating and Cooling Degree-Days</w:t>
            </w:r>
          </w:p>
        </w:tc>
        <w:tc>
          <w:tcPr>
            <w:tcW w:w="340" w:type="dxa"/>
            <w:vAlign w:val="bottom"/>
          </w:tcPr>
          <w:p>
            <w:pPr>
              <w:jc w:val="right"/>
              <w:ind w:right="72"/>
              <w:spacing w:after="0"/>
              <w:rPr>
                <w:sz w:val="20"/>
                <w:szCs w:val="20"/>
                <w:color w:val="auto"/>
              </w:rPr>
            </w:pPr>
            <w:r>
              <w:rPr>
                <w:rFonts w:ascii="Times New Roman" w:cs="Times New Roman" w:eastAsia="Times New Roman" w:hAnsi="Times New Roman"/>
                <w:sz w:val="10"/>
                <w:szCs w:val="10"/>
                <w:b w:val="1"/>
                <w:bCs w:val="1"/>
                <w:color w:val="auto"/>
                <w:w w:val="99"/>
              </w:rPr>
              <w:t>2026</w:t>
            </w: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140" w:type="dxa"/>
            <w:vAlign w:val="bottom"/>
            <w:gridSpan w:val="2"/>
          </w:tcPr>
          <w:p>
            <w:pPr>
              <w:jc w:val="right"/>
              <w:ind w:right="772"/>
              <w:spacing w:after="0"/>
              <w:rPr>
                <w:sz w:val="20"/>
                <w:szCs w:val="20"/>
                <w:color w:val="auto"/>
              </w:rPr>
            </w:pPr>
            <w:r>
              <w:rPr>
                <w:rFonts w:ascii="Times New Roman" w:cs="Times New Roman" w:eastAsia="Times New Roman" w:hAnsi="Times New Roman"/>
                <w:sz w:val="10"/>
                <w:szCs w:val="10"/>
                <w:b w:val="1"/>
                <w:bCs w:val="1"/>
                <w:color w:val="auto"/>
              </w:rPr>
              <w:t>2025</w:t>
            </w:r>
          </w:p>
        </w:tc>
        <w:tc>
          <w:tcPr>
            <w:tcW w:w="80" w:type="dxa"/>
            <w:vAlign w:val="bottom"/>
          </w:tcPr>
          <w:p>
            <w:pPr>
              <w:spacing w:after="0"/>
              <w:rPr>
                <w:sz w:val="10"/>
                <w:szCs w:val="10"/>
                <w:color w:val="auto"/>
              </w:rPr>
            </w:pPr>
          </w:p>
        </w:tc>
        <w:tc>
          <w:tcPr>
            <w:tcW w:w="1160" w:type="dxa"/>
            <w:vAlign w:val="bottom"/>
            <w:gridSpan w:val="2"/>
          </w:tcPr>
          <w:p>
            <w:pPr>
              <w:ind w:left="360"/>
              <w:spacing w:after="0"/>
              <w:rPr>
                <w:sz w:val="20"/>
                <w:szCs w:val="20"/>
                <w:color w:val="auto"/>
              </w:rPr>
            </w:pPr>
            <w:r>
              <w:rPr>
                <w:rFonts w:ascii="Times New Roman" w:cs="Times New Roman" w:eastAsia="Times New Roman" w:hAnsi="Times New Roman"/>
                <w:sz w:val="10"/>
                <w:szCs w:val="10"/>
                <w:b w:val="1"/>
                <w:bCs w:val="1"/>
                <w:color w:val="auto"/>
              </w:rPr>
              <w:t>Normal</w:t>
            </w:r>
          </w:p>
        </w:tc>
        <w:tc>
          <w:tcPr>
            <w:tcW w:w="140" w:type="dxa"/>
            <w:vAlign w:val="bottom"/>
          </w:tcPr>
          <w:p>
            <w:pPr>
              <w:spacing w:after="0"/>
              <w:rPr>
                <w:sz w:val="10"/>
                <w:szCs w:val="10"/>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0"/>
                <w:szCs w:val="10"/>
                <w:b w:val="1"/>
                <w:bCs w:val="1"/>
                <w:color w:val="auto"/>
              </w:rPr>
              <w:t>From 2025</w:t>
            </w: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tcPr>
          <w:p>
            <w:pPr>
              <w:jc w:val="right"/>
              <w:ind w:right="412"/>
              <w:spacing w:after="0"/>
              <w:rPr>
                <w:sz w:val="20"/>
                <w:szCs w:val="20"/>
                <w:color w:val="auto"/>
              </w:rPr>
            </w:pPr>
            <w:r>
              <w:rPr>
                <w:rFonts w:ascii="Times New Roman" w:cs="Times New Roman" w:eastAsia="Times New Roman" w:hAnsi="Times New Roman"/>
                <w:sz w:val="10"/>
                <w:szCs w:val="10"/>
                <w:b w:val="1"/>
                <w:bCs w:val="1"/>
                <w:color w:val="auto"/>
                <w:w w:val="97"/>
              </w:rPr>
              <w:t>From Normal</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300"/>
          </w:cols>
          <w:pgMar w:left="300" w:top="129" w:right="299" w:bottom="1440" w:gutter="0" w:footer="0" w:header="0"/>
        </w:sectPr>
      </w:pPr>
    </w:p>
    <w:p>
      <w:pPr>
        <w:spacing w:after="0" w:line="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0"/>
          <w:szCs w:val="10"/>
          <w:color w:val="auto"/>
        </w:rPr>
        <w:t>Heating Degree-Days</w:t>
      </w:r>
    </w:p>
    <w:p>
      <w:pPr>
        <w:spacing w:after="0" w:line="2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0"/>
          <w:szCs w:val="10"/>
          <w:color w:val="auto"/>
        </w:rPr>
        <w:t>Cooling Degree-Days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Number of Electric Customers</w:t>
      </w:r>
    </w:p>
    <w:p>
      <w:pPr>
        <w:spacing w:after="0" w:line="3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0"/>
          <w:szCs w:val="10"/>
          <w:color w:val="auto"/>
        </w:rPr>
        <w:t>Residential</w:t>
      </w:r>
    </w:p>
    <w:p>
      <w:pPr>
        <w:spacing w:after="0" w:line="2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0"/>
          <w:szCs w:val="10"/>
          <w:color w:val="auto"/>
        </w:rPr>
        <w:t>Small commercial &amp; industrial</w:t>
      </w:r>
    </w:p>
    <w:p>
      <w:pPr>
        <w:spacing w:after="0" w:line="2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0"/>
          <w:szCs w:val="10"/>
          <w:color w:val="auto"/>
        </w:rPr>
        <w:t>Large commercial &amp; industrial</w:t>
      </w:r>
    </w:p>
    <w:p>
      <w:pPr>
        <w:spacing w:after="0" w:line="20" w:lineRule="exact"/>
        <w:rPr>
          <w:sz w:val="20"/>
          <w:szCs w:val="20"/>
          <w:color w:val="auto"/>
        </w:rPr>
      </w:pPr>
    </w:p>
    <w:p>
      <w:pPr>
        <w:jc w:val="right"/>
        <w:ind w:right="1360"/>
        <w:spacing w:after="0"/>
        <w:rPr>
          <w:sz w:val="20"/>
          <w:szCs w:val="20"/>
          <w:color w:val="auto"/>
        </w:rPr>
      </w:pPr>
      <w:r>
        <w:rPr>
          <w:rFonts w:ascii="Times New Roman" w:cs="Times New Roman" w:eastAsia="Times New Roman" w:hAnsi="Times New Roman"/>
          <w:sz w:val="10"/>
          <w:szCs w:val="10"/>
          <w:color w:val="auto"/>
        </w:rPr>
        <w:t>Public authorities &amp; electric railroads</w:t>
      </w:r>
    </w:p>
    <w:p>
      <w:pPr>
        <w:spacing w:after="0" w:line="4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0"/>
          <w:szCs w:val="10"/>
          <w:color w:val="auto"/>
        </w:rPr>
        <w:t>Total</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__________</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3"/>
        </w:trPr>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2,868</w:t>
            </w:r>
          </w:p>
        </w:tc>
        <w:tc>
          <w:tcPr>
            <w:tcW w:w="100" w:type="dxa"/>
            <w:vAlign w:val="bottom"/>
          </w:tcPr>
          <w:p>
            <w:pPr>
              <w:spacing w:after="0"/>
              <w:rPr>
                <w:sz w:val="10"/>
                <w:szCs w:val="10"/>
                <w:color w:val="auto"/>
              </w:rPr>
            </w:pP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2,985</w:t>
            </w:r>
          </w:p>
        </w:tc>
        <w:tc>
          <w:tcPr>
            <w:tcW w:w="80" w:type="dxa"/>
            <w:vAlign w:val="bottom"/>
          </w:tcPr>
          <w:p>
            <w:pPr>
              <w:spacing w:after="0"/>
              <w:rPr>
                <w:sz w:val="10"/>
                <w:szCs w:val="10"/>
                <w:color w:val="auto"/>
              </w:rPr>
            </w:pP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3,053</w:t>
            </w:r>
          </w:p>
        </w:tc>
        <w:tc>
          <w:tcPr>
            <w:tcW w:w="80" w:type="dxa"/>
            <w:vAlign w:val="bottom"/>
          </w:tcPr>
          <w:p>
            <w:pPr>
              <w:spacing w:after="0"/>
              <w:rPr>
                <w:sz w:val="10"/>
                <w:szCs w:val="10"/>
                <w:color w:val="auto"/>
              </w:rPr>
            </w:pPr>
          </w:p>
        </w:tc>
        <w:tc>
          <w:tcPr>
            <w:tcW w:w="14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0"/>
                <w:szCs w:val="10"/>
                <w:color w:val="auto"/>
              </w:rPr>
              <w:t>(3.9)%</w:t>
            </w:r>
          </w:p>
        </w:tc>
        <w:tc>
          <w:tcPr>
            <w:tcW w:w="80" w:type="dxa"/>
            <w:vAlign w:val="bottom"/>
          </w:tcPr>
          <w:p>
            <w:pPr>
              <w:spacing w:after="0"/>
              <w:rPr>
                <w:sz w:val="10"/>
                <w:szCs w:val="10"/>
                <w:color w:val="auto"/>
              </w:rPr>
            </w:pPr>
          </w:p>
        </w:tc>
        <w:tc>
          <w:tcPr>
            <w:tcW w:w="148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0"/>
                <w:szCs w:val="10"/>
                <w:color w:val="auto"/>
              </w:rPr>
              <w:t>(6.1)%</w:t>
            </w:r>
          </w:p>
        </w:tc>
        <w:tc>
          <w:tcPr>
            <w:tcW w:w="20" w:type="dxa"/>
            <w:vAlign w:val="bottom"/>
          </w:tcPr>
          <w:p>
            <w:pPr>
              <w:spacing w:after="0"/>
              <w:rPr>
                <w:sz w:val="10"/>
                <w:szCs w:val="10"/>
                <w:color w:val="auto"/>
              </w:rPr>
            </w:pPr>
          </w:p>
        </w:tc>
      </w:tr>
      <w:tr>
        <w:trPr>
          <w:trHeight w:val="128"/>
        </w:trPr>
        <w:tc>
          <w:tcPr>
            <w:tcW w:w="14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w:t>
            </w:r>
          </w:p>
        </w:tc>
        <w:tc>
          <w:tcPr>
            <w:tcW w:w="100" w:type="dxa"/>
            <w:vAlign w:val="bottom"/>
          </w:tcPr>
          <w:p>
            <w:pPr>
              <w:spacing w:after="0"/>
              <w:rPr>
                <w:sz w:val="11"/>
                <w:szCs w:val="11"/>
                <w:color w:val="auto"/>
              </w:rPr>
            </w:pP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 %</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 %</w:t>
            </w:r>
          </w:p>
        </w:tc>
        <w:tc>
          <w:tcPr>
            <w:tcW w:w="20" w:type="dxa"/>
            <w:vAlign w:val="bottom"/>
          </w:tcPr>
          <w:p>
            <w:pPr>
              <w:spacing w:after="0"/>
              <w:rPr>
                <w:sz w:val="11"/>
                <w:szCs w:val="11"/>
                <w:color w:val="auto"/>
              </w:rPr>
            </w:pPr>
          </w:p>
        </w:tc>
      </w:tr>
      <w:tr>
        <w:trPr>
          <w:trHeight w:val="377"/>
        </w:trPr>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80" w:type="dxa"/>
            <w:vAlign w:val="bottom"/>
            <w:gridSpan w:val="2"/>
          </w:tcPr>
          <w:p>
            <w:pPr>
              <w:jc w:val="right"/>
              <w:ind w:right="472"/>
              <w:spacing w:after="0"/>
              <w:rPr>
                <w:sz w:val="20"/>
                <w:szCs w:val="20"/>
                <w:color w:val="auto"/>
              </w:rPr>
            </w:pPr>
            <w:r>
              <w:rPr>
                <w:rFonts w:ascii="Times New Roman" w:cs="Times New Roman" w:eastAsia="Times New Roman" w:hAnsi="Times New Roman"/>
                <w:sz w:val="10"/>
                <w:szCs w:val="10"/>
                <w:b w:val="1"/>
                <w:bCs w:val="1"/>
                <w:color w:val="auto"/>
              </w:rPr>
              <w:t>2026</w:t>
            </w:r>
          </w:p>
        </w:tc>
        <w:tc>
          <w:tcPr>
            <w:tcW w:w="80" w:type="dxa"/>
            <w:vAlign w:val="bottom"/>
          </w:tcPr>
          <w:p>
            <w:pPr>
              <w:spacing w:after="0"/>
              <w:rPr>
                <w:sz w:val="24"/>
                <w:szCs w:val="24"/>
                <w:color w:val="auto"/>
              </w:rPr>
            </w:pPr>
          </w:p>
        </w:tc>
        <w:tc>
          <w:tcPr>
            <w:tcW w:w="1480" w:type="dxa"/>
            <w:vAlign w:val="bottom"/>
            <w:gridSpan w:val="3"/>
          </w:tcPr>
          <w:p>
            <w:pPr>
              <w:jc w:val="right"/>
              <w:ind w:right="532"/>
              <w:spacing w:after="0"/>
              <w:rPr>
                <w:sz w:val="20"/>
                <w:szCs w:val="20"/>
                <w:color w:val="auto"/>
              </w:rPr>
            </w:pPr>
            <w:r>
              <w:rPr>
                <w:rFonts w:ascii="Times New Roman" w:cs="Times New Roman" w:eastAsia="Times New Roman" w:hAnsi="Times New Roman"/>
                <w:sz w:val="10"/>
                <w:szCs w:val="10"/>
                <w:b w:val="1"/>
                <w:bCs w:val="1"/>
                <w:color w:val="auto"/>
              </w:rPr>
              <w:t>2025</w:t>
            </w:r>
          </w:p>
        </w:tc>
        <w:tc>
          <w:tcPr>
            <w:tcW w:w="20" w:type="dxa"/>
            <w:vAlign w:val="bottom"/>
          </w:tcPr>
          <w:p>
            <w:pPr>
              <w:spacing w:after="0"/>
              <w:rPr>
                <w:sz w:val="24"/>
                <w:szCs w:val="24"/>
                <w:color w:val="auto"/>
              </w:rPr>
            </w:pPr>
          </w:p>
        </w:tc>
      </w:tr>
      <w:tr>
        <w:trPr>
          <w:trHeight w:val="121"/>
        </w:trPr>
        <w:tc>
          <w:tcPr>
            <w:tcW w:w="1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2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0"/>
                <w:szCs w:val="10"/>
                <w:color w:val="auto"/>
              </w:rPr>
              <w:t>3,779,277</w:t>
            </w:r>
          </w:p>
        </w:tc>
        <w:tc>
          <w:tcPr>
            <w:tcW w:w="2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3,735,234</w:t>
            </w:r>
          </w:p>
        </w:tc>
        <w:tc>
          <w:tcPr>
            <w:tcW w:w="20" w:type="dxa"/>
            <w:vAlign w:val="bottom"/>
            <w:tcBorders>
              <w:top w:val="single" w:sz="8" w:color="auto"/>
            </w:tcBorders>
          </w:tcPr>
          <w:p>
            <w:pPr>
              <w:spacing w:after="0"/>
              <w:rPr>
                <w:sz w:val="10"/>
                <w:szCs w:val="10"/>
                <w:color w:val="auto"/>
              </w:rPr>
            </w:pPr>
          </w:p>
        </w:tc>
      </w:tr>
      <w:tr>
        <w:trPr>
          <w:trHeight w:val="130"/>
        </w:trPr>
        <w:tc>
          <w:tcPr>
            <w:tcW w:w="1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60" w:type="dxa"/>
            <w:vAlign w:val="bottom"/>
            <w:gridSpan w:val="3"/>
          </w:tcPr>
          <w:p>
            <w:pPr>
              <w:jc w:val="right"/>
              <w:ind w:right="20"/>
              <w:spacing w:after="0"/>
              <w:rPr>
                <w:sz w:val="20"/>
                <w:szCs w:val="20"/>
                <w:color w:val="auto"/>
              </w:rPr>
            </w:pPr>
            <w:r>
              <w:rPr>
                <w:rFonts w:ascii="Times New Roman" w:cs="Times New Roman" w:eastAsia="Times New Roman" w:hAnsi="Times New Roman"/>
                <w:sz w:val="10"/>
                <w:szCs w:val="10"/>
                <w:color w:val="auto"/>
              </w:rPr>
              <w:t>398,024</w:t>
            </w: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0"/>
                <w:szCs w:val="10"/>
                <w:color w:val="auto"/>
              </w:rPr>
              <w:t>396,639</w:t>
            </w:r>
          </w:p>
        </w:tc>
        <w:tc>
          <w:tcPr>
            <w:tcW w:w="20" w:type="dxa"/>
            <w:vAlign w:val="bottom"/>
          </w:tcPr>
          <w:p>
            <w:pPr>
              <w:spacing w:after="0"/>
              <w:rPr>
                <w:sz w:val="11"/>
                <w:szCs w:val="11"/>
                <w:color w:val="auto"/>
              </w:rPr>
            </w:pPr>
          </w:p>
        </w:tc>
      </w:tr>
      <w:tr>
        <w:trPr>
          <w:trHeight w:val="135"/>
        </w:trPr>
        <w:tc>
          <w:tcPr>
            <w:tcW w:w="1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60" w:type="dxa"/>
            <w:vAlign w:val="bottom"/>
            <w:gridSpan w:val="3"/>
          </w:tcPr>
          <w:p>
            <w:pPr>
              <w:jc w:val="right"/>
              <w:ind w:right="20"/>
              <w:spacing w:after="0"/>
              <w:rPr>
                <w:sz w:val="20"/>
                <w:szCs w:val="20"/>
                <w:color w:val="auto"/>
              </w:rPr>
            </w:pPr>
            <w:r>
              <w:rPr>
                <w:rFonts w:ascii="Times New Roman" w:cs="Times New Roman" w:eastAsia="Times New Roman" w:hAnsi="Times New Roman"/>
                <w:sz w:val="10"/>
                <w:szCs w:val="10"/>
                <w:color w:val="auto"/>
              </w:rPr>
              <w:t>1,992</w:t>
            </w: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0"/>
                <w:szCs w:val="10"/>
                <w:color w:val="auto"/>
              </w:rPr>
              <w:t>2,473</w:t>
            </w:r>
          </w:p>
        </w:tc>
        <w:tc>
          <w:tcPr>
            <w:tcW w:w="20" w:type="dxa"/>
            <w:vAlign w:val="bottom"/>
          </w:tcPr>
          <w:p>
            <w:pPr>
              <w:spacing w:after="0"/>
              <w:rPr>
                <w:sz w:val="11"/>
                <w:szCs w:val="11"/>
                <w:color w:val="auto"/>
              </w:rPr>
            </w:pPr>
          </w:p>
        </w:tc>
      </w:tr>
      <w:tr>
        <w:trPr>
          <w:trHeight w:val="143"/>
        </w:trPr>
        <w:tc>
          <w:tcPr>
            <w:tcW w:w="1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60" w:type="dxa"/>
            <w:vAlign w:val="bottom"/>
            <w:gridSpan w:val="3"/>
          </w:tcPr>
          <w:p>
            <w:pPr>
              <w:jc w:val="right"/>
              <w:ind w:right="20"/>
              <w:spacing w:after="0"/>
              <w:rPr>
                <w:sz w:val="20"/>
                <w:szCs w:val="20"/>
                <w:color w:val="auto"/>
              </w:rPr>
            </w:pPr>
            <w:r>
              <w:rPr>
                <w:rFonts w:ascii="Times New Roman" w:cs="Times New Roman" w:eastAsia="Times New Roman" w:hAnsi="Times New Roman"/>
                <w:sz w:val="10"/>
                <w:szCs w:val="10"/>
                <w:color w:val="auto"/>
              </w:rPr>
              <w:t>5,801</w:t>
            </w: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0"/>
                <w:szCs w:val="10"/>
                <w:color w:val="auto"/>
              </w:rPr>
              <w:t>5,787</w:t>
            </w:r>
          </w:p>
        </w:tc>
        <w:tc>
          <w:tcPr>
            <w:tcW w:w="20" w:type="dxa"/>
            <w:vAlign w:val="bottom"/>
          </w:tcPr>
          <w:p>
            <w:pPr>
              <w:spacing w:after="0"/>
              <w:rPr>
                <w:sz w:val="12"/>
                <w:szCs w:val="12"/>
                <w:color w:val="auto"/>
              </w:rPr>
            </w:pPr>
          </w:p>
        </w:tc>
      </w:tr>
      <w:tr>
        <w:trPr>
          <w:trHeight w:val="127"/>
        </w:trPr>
        <w:tc>
          <w:tcPr>
            <w:tcW w:w="1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2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0"/>
                <w:szCs w:val="10"/>
                <w:color w:val="auto"/>
              </w:rPr>
              <w:t>4,185,094</w:t>
            </w:r>
          </w:p>
        </w:tc>
        <w:tc>
          <w:tcPr>
            <w:tcW w:w="20" w:type="dxa"/>
            <w:vAlign w:val="bottom"/>
            <w:tcBorders>
              <w:top w:val="single" w:sz="8" w:color="auto"/>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4,140,133</w:t>
            </w:r>
          </w:p>
        </w:tc>
        <w:tc>
          <w:tcPr>
            <w:tcW w:w="20" w:type="dxa"/>
            <w:vAlign w:val="bottom"/>
            <w:tcBorders>
              <w:top w:val="single" w:sz="8" w:color="auto"/>
              <w:bottom w:val="single" w:sz="8" w:color="auto"/>
            </w:tcBorders>
          </w:tcPr>
          <w:p>
            <w:pPr>
              <w:spacing w:after="0"/>
              <w:rPr>
                <w:sz w:val="11"/>
                <w:szCs w:val="11"/>
                <w:color w:val="auto"/>
              </w:rPr>
            </w:pPr>
          </w:p>
        </w:tc>
      </w:tr>
      <w:tr>
        <w:trPr>
          <w:trHeight w:val="20"/>
        </w:trPr>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-2379345</wp:posOffset>
            </wp:positionH>
            <wp:positionV relativeFrom="paragraph">
              <wp:posOffset>-873760</wp:posOffset>
            </wp:positionV>
            <wp:extent cx="7166610" cy="914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6610" cy="91440"/>
                    </a:xfrm>
                    <a:prstGeom prst="rect">
                      <a:avLst/>
                    </a:prstGeom>
                    <a:noFill/>
                  </pic:spPr>
                </pic:pic>
              </a:graphicData>
            </a:graphic>
          </wp:anchor>
        </w:drawing>
        <w:drawing>
          <wp:anchor simplePos="0" relativeHeight="251657728" behindDoc="1" locked="0" layoutInCell="0" allowOverlap="1">
            <wp:simplePos x="0" y="0"/>
            <wp:positionH relativeFrom="column">
              <wp:posOffset>-2379345</wp:posOffset>
            </wp:positionH>
            <wp:positionV relativeFrom="paragraph">
              <wp:posOffset>-462280</wp:posOffset>
            </wp:positionV>
            <wp:extent cx="7178040" cy="914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8040" cy="91440"/>
                    </a:xfrm>
                    <a:prstGeom prst="rect">
                      <a:avLst/>
                    </a:prstGeom>
                    <a:noFill/>
                  </pic:spPr>
                </pic:pic>
              </a:graphicData>
            </a:graphic>
          </wp:anchor>
        </w:drawing>
        <w:drawing>
          <wp:anchor simplePos="0" relativeHeight="251657728" behindDoc="1" locked="0" layoutInCell="0" allowOverlap="1">
            <wp:simplePos x="0" y="0"/>
            <wp:positionH relativeFrom="column">
              <wp:posOffset>-2379345</wp:posOffset>
            </wp:positionH>
            <wp:positionV relativeFrom="paragraph">
              <wp:posOffset>-285115</wp:posOffset>
            </wp:positionV>
            <wp:extent cx="7178040" cy="8572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8040" cy="85725"/>
                    </a:xfrm>
                    <a:prstGeom prst="rect">
                      <a:avLst/>
                    </a:prstGeom>
                    <a:noFill/>
                  </pic:spPr>
                </pic:pic>
              </a:graphicData>
            </a:graphic>
          </wp:anchor>
        </w:drawing>
        <w:drawing>
          <wp:anchor simplePos="0" relativeHeight="251657728" behindDoc="1" locked="0" layoutInCell="0" allowOverlap="1">
            <wp:simplePos x="0" y="0"/>
            <wp:positionH relativeFrom="column">
              <wp:posOffset>-2379345</wp:posOffset>
            </wp:positionH>
            <wp:positionV relativeFrom="paragraph">
              <wp:posOffset>-113665</wp:posOffset>
            </wp:positionV>
            <wp:extent cx="7178040" cy="10287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8040" cy="102870"/>
                    </a:xfrm>
                    <a:prstGeom prst="rect">
                      <a:avLst/>
                    </a:prstGeom>
                    <a:noFill/>
                  </pic:spPr>
                </pic:pic>
              </a:graphicData>
            </a:graphic>
          </wp:anchor>
        </w:drawing>
      </w:r>
    </w:p>
    <w:p>
      <w:pPr>
        <w:spacing w:after="0" w:line="171" w:lineRule="exact"/>
        <w:rPr>
          <w:sz w:val="20"/>
          <w:szCs w:val="20"/>
          <w:color w:val="auto"/>
        </w:rPr>
      </w:pPr>
    </w:p>
    <w:p>
      <w:pPr>
        <w:sectPr>
          <w:pgSz w:w="11900" w:h="16838" w:orient="portrait"/>
          <w:cols w:equalWidth="0" w:num="2">
            <w:col w:w="3020" w:space="720"/>
            <w:col w:w="7560"/>
          </w:cols>
          <w:pgMar w:left="300" w:top="129" w:right="299" w:bottom="1440" w:gutter="0" w:footer="0" w:header="0"/>
          <w:type w:val="continuous"/>
        </w:sectPr>
      </w:pPr>
    </w:p>
    <w:p>
      <w:pPr>
        <w:ind w:left="420" w:right="20" w:hanging="212"/>
        <w:spacing w:after="0" w:line="238" w:lineRule="auto"/>
        <w:tabs>
          <w:tab w:leader="none" w:pos="418" w:val="left"/>
        </w:tabs>
        <w:numPr>
          <w:ilvl w:val="0"/>
          <w:numId w:val="10"/>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Reflects revenues from customers purchasing electricity directly from ComEd and customers purchasing electricity from a competitive electric generation supplier, as all customers are assessed delivery charges. For customers purchasing electricity from ComEd, revenues also reflect the cost of energy and transmission.</w:t>
      </w:r>
    </w:p>
    <w:p>
      <w:pPr>
        <w:ind w:left="420" w:hanging="212"/>
        <w:spacing w:after="0" w:line="236" w:lineRule="auto"/>
        <w:tabs>
          <w:tab w:leader="none" w:pos="420" w:val="left"/>
        </w:tabs>
        <w:numPr>
          <w:ilvl w:val="0"/>
          <w:numId w:val="10"/>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Includes transmission revenue from PJM, wholesale electric revenue, and mutual assistance revenue.</w:t>
      </w:r>
    </w:p>
    <w:p>
      <w:pPr>
        <w:ind w:left="420" w:hanging="212"/>
        <w:spacing w:after="0"/>
        <w:tabs>
          <w:tab w:leader="none" w:pos="420" w:val="left"/>
        </w:tabs>
        <w:numPr>
          <w:ilvl w:val="0"/>
          <w:numId w:val="10"/>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Includes operating revenues from affiliates totaling $11 million and $8 million for the three months ended March 31, 2026 and 2025, respectively.</w:t>
      </w:r>
    </w:p>
    <w:p>
      <w:pPr>
        <w:spacing w:after="0" w:line="2" w:lineRule="exact"/>
        <w:rPr>
          <w:rFonts w:ascii="Times New Roman" w:cs="Times New Roman" w:eastAsia="Times New Roman" w:hAnsi="Times New Roman"/>
          <w:sz w:val="10"/>
          <w:szCs w:val="10"/>
          <w:color w:val="auto"/>
        </w:rPr>
      </w:pPr>
    </w:p>
    <w:p>
      <w:pPr>
        <w:ind w:left="420" w:hanging="212"/>
        <w:spacing w:after="0"/>
        <w:tabs>
          <w:tab w:leader="none" w:pos="420" w:val="left"/>
        </w:tabs>
        <w:numPr>
          <w:ilvl w:val="0"/>
          <w:numId w:val="10"/>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Includes alternative revenue programs and late payment charges.</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6</w:t>
      </w:r>
    </w:p>
    <w:p>
      <w:pPr>
        <w:sectPr>
          <w:pgSz w:w="11900" w:h="16838" w:orient="portrait"/>
          <w:cols w:equalWidth="0" w:num="1">
            <w:col w:w="11300"/>
          </w:cols>
          <w:pgMar w:left="300" w:top="129" w:right="29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PECO Statistics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u w:val="single" w:color="auto"/>
          <w:color w:val="auto"/>
        </w:rPr>
        <w:t>Three Months Ended March 31, 2026 and 2025</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3700" w:type="dxa"/>
            <w:vAlign w:val="bottom"/>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40" w:type="dxa"/>
            <w:vAlign w:val="bottom"/>
            <w:tcBorders>
              <w:bottom w:val="single" w:sz="8" w:color="auto"/>
            </w:tcBorders>
            <w:gridSpan w:val="10"/>
          </w:tcPr>
          <w:p>
            <w:pPr>
              <w:ind w:left="220"/>
              <w:spacing w:after="0"/>
              <w:rPr>
                <w:sz w:val="20"/>
                <w:szCs w:val="20"/>
                <w:color w:val="auto"/>
              </w:rPr>
            </w:pPr>
            <w:r>
              <w:rPr>
                <w:rFonts w:ascii="Times New Roman" w:cs="Times New Roman" w:eastAsia="Times New Roman" w:hAnsi="Times New Roman"/>
                <w:sz w:val="10"/>
                <w:szCs w:val="10"/>
                <w:b w:val="1"/>
                <w:bCs w:val="1"/>
                <w:color w:val="auto"/>
              </w:rPr>
              <w:t>Electric and Natural Gas Deliveries</w:t>
            </w:r>
          </w:p>
        </w:tc>
        <w:tc>
          <w:tcPr>
            <w:tcW w:w="10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gridSpan w:val="5"/>
          </w:tcPr>
          <w:p>
            <w:pPr>
              <w:ind w:left="40"/>
              <w:spacing w:after="0"/>
              <w:rPr>
                <w:sz w:val="20"/>
                <w:szCs w:val="20"/>
                <w:color w:val="auto"/>
              </w:rPr>
            </w:pPr>
            <w:r>
              <w:rPr>
                <w:rFonts w:ascii="Times New Roman" w:cs="Times New Roman" w:eastAsia="Times New Roman" w:hAnsi="Times New Roman"/>
                <w:sz w:val="10"/>
                <w:szCs w:val="10"/>
                <w:b w:val="1"/>
                <w:bCs w:val="1"/>
                <w:color w:val="auto"/>
              </w:rPr>
              <w:t>Revenue (in millions)</w:t>
            </w:r>
          </w:p>
        </w:tc>
        <w:tc>
          <w:tcPr>
            <w:tcW w:w="8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370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8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60" w:type="dxa"/>
            <w:vAlign w:val="bottom"/>
          </w:tcPr>
          <w:p>
            <w:pPr>
              <w:jc w:val="center"/>
              <w:spacing w:after="0" w:line="89" w:lineRule="exact"/>
              <w:rPr>
                <w:sz w:val="20"/>
                <w:szCs w:val="20"/>
                <w:color w:val="auto"/>
              </w:rPr>
            </w:pPr>
            <w:r>
              <w:rPr>
                <w:rFonts w:ascii="Times New Roman" w:cs="Times New Roman" w:eastAsia="Times New Roman" w:hAnsi="Times New Roman"/>
                <w:sz w:val="10"/>
                <w:szCs w:val="10"/>
                <w:b w:val="1"/>
                <w:bCs w:val="1"/>
                <w:color w:val="auto"/>
                <w:w w:val="93"/>
              </w:rPr>
              <w:t>Weather-</w:t>
            </w: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9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7"/>
        </w:trPr>
        <w:tc>
          <w:tcPr>
            <w:tcW w:w="3700" w:type="dxa"/>
            <w:vAlign w:val="bottom"/>
          </w:tcPr>
          <w:p>
            <w:pPr>
              <w:spacing w:after="0"/>
              <w:rPr>
                <w:sz w:val="8"/>
                <w:szCs w:val="8"/>
                <w:color w:val="auto"/>
              </w:rPr>
            </w:pPr>
          </w:p>
        </w:tc>
        <w:tc>
          <w:tcPr>
            <w:tcW w:w="960" w:type="dxa"/>
            <w:vAlign w:val="bottom"/>
            <w:gridSpan w:val="3"/>
            <w:vMerge w:val="restart"/>
          </w:tcPr>
          <w:p>
            <w:pPr>
              <w:jc w:val="right"/>
              <w:ind w:right="332"/>
              <w:spacing w:after="0"/>
              <w:rPr>
                <w:sz w:val="20"/>
                <w:szCs w:val="20"/>
                <w:color w:val="auto"/>
              </w:rPr>
            </w:pPr>
            <w:r>
              <w:rPr>
                <w:rFonts w:ascii="Times New Roman" w:cs="Times New Roman" w:eastAsia="Times New Roman" w:hAnsi="Times New Roman"/>
                <w:sz w:val="10"/>
                <w:szCs w:val="10"/>
                <w:b w:val="1"/>
                <w:bCs w:val="1"/>
                <w:color w:val="auto"/>
              </w:rPr>
              <w:t>2026</w:t>
            </w: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gridSpan w:val="3"/>
            <w:vMerge w:val="restart"/>
          </w:tcPr>
          <w:p>
            <w:pPr>
              <w:jc w:val="right"/>
              <w:ind w:right="332"/>
              <w:spacing w:after="0"/>
              <w:rPr>
                <w:sz w:val="20"/>
                <w:szCs w:val="20"/>
                <w:color w:val="auto"/>
              </w:rPr>
            </w:pPr>
            <w:r>
              <w:rPr>
                <w:rFonts w:ascii="Times New Roman" w:cs="Times New Roman" w:eastAsia="Times New Roman" w:hAnsi="Times New Roman"/>
                <w:sz w:val="10"/>
                <w:szCs w:val="10"/>
                <w:b w:val="1"/>
                <w:bCs w:val="1"/>
                <w:color w:val="auto"/>
              </w:rPr>
              <w:t>2025</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60" w:type="dxa"/>
            <w:vAlign w:val="bottom"/>
            <w:gridSpan w:val="4"/>
            <w:vMerge w:val="restart"/>
          </w:tcPr>
          <w:p>
            <w:pPr>
              <w:ind w:left="240"/>
              <w:spacing w:after="0"/>
              <w:rPr>
                <w:sz w:val="20"/>
                <w:szCs w:val="20"/>
                <w:color w:val="auto"/>
              </w:rPr>
            </w:pPr>
            <w:r>
              <w:rPr>
                <w:rFonts w:ascii="Times New Roman" w:cs="Times New Roman" w:eastAsia="Times New Roman" w:hAnsi="Times New Roman"/>
                <w:sz w:val="10"/>
                <w:szCs w:val="10"/>
                <w:b w:val="1"/>
                <w:bCs w:val="1"/>
                <w:color w:val="auto"/>
              </w:rPr>
              <w:t>% Change</w:t>
            </w:r>
          </w:p>
        </w:tc>
        <w:tc>
          <w:tcPr>
            <w:tcW w:w="1320" w:type="dxa"/>
            <w:vAlign w:val="bottom"/>
            <w:gridSpan w:val="4"/>
          </w:tcPr>
          <w:p>
            <w:pPr>
              <w:jc w:val="center"/>
              <w:ind w:right="240"/>
              <w:spacing w:after="0" w:line="98" w:lineRule="exact"/>
              <w:rPr>
                <w:sz w:val="20"/>
                <w:szCs w:val="20"/>
                <w:color w:val="auto"/>
              </w:rPr>
            </w:pPr>
            <w:r>
              <w:rPr>
                <w:rFonts w:ascii="Times New Roman" w:cs="Times New Roman" w:eastAsia="Times New Roman" w:hAnsi="Times New Roman"/>
                <w:sz w:val="10"/>
                <w:szCs w:val="10"/>
                <w:b w:val="1"/>
                <w:bCs w:val="1"/>
                <w:color w:val="auto"/>
                <w:w w:val="97"/>
              </w:rPr>
              <w:t>Normal</w:t>
            </w:r>
          </w:p>
        </w:tc>
        <w:tc>
          <w:tcPr>
            <w:tcW w:w="800" w:type="dxa"/>
            <w:vAlign w:val="bottom"/>
            <w:vMerge w:val="restart"/>
          </w:tcPr>
          <w:p>
            <w:pPr>
              <w:jc w:val="right"/>
              <w:ind w:right="332"/>
              <w:spacing w:after="0"/>
              <w:rPr>
                <w:sz w:val="20"/>
                <w:szCs w:val="20"/>
                <w:color w:val="auto"/>
              </w:rPr>
            </w:pPr>
            <w:r>
              <w:rPr>
                <w:rFonts w:ascii="Times New Roman" w:cs="Times New Roman" w:eastAsia="Times New Roman" w:hAnsi="Times New Roman"/>
                <w:sz w:val="10"/>
                <w:szCs w:val="10"/>
                <w:b w:val="1"/>
                <w:bCs w:val="1"/>
                <w:color w:val="auto"/>
              </w:rPr>
              <w:t>2026</w:t>
            </w: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gridSpan w:val="2"/>
            <w:vMerge w:val="restart"/>
          </w:tcPr>
          <w:p>
            <w:pPr>
              <w:ind w:left="320"/>
              <w:spacing w:after="0"/>
              <w:rPr>
                <w:sz w:val="20"/>
                <w:szCs w:val="20"/>
                <w:color w:val="auto"/>
              </w:rPr>
            </w:pPr>
            <w:r>
              <w:rPr>
                <w:rFonts w:ascii="Times New Roman" w:cs="Times New Roman" w:eastAsia="Times New Roman" w:hAnsi="Times New Roman"/>
                <w:sz w:val="10"/>
                <w:szCs w:val="10"/>
                <w:b w:val="1"/>
                <w:bCs w:val="1"/>
                <w:color w:val="auto"/>
              </w:rPr>
              <w:t>2025</w:t>
            </w: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980" w:type="dxa"/>
            <w:vAlign w:val="bottom"/>
            <w:vMerge w:val="restart"/>
          </w:tcPr>
          <w:p>
            <w:pPr>
              <w:jc w:val="right"/>
              <w:ind w:right="272"/>
              <w:spacing w:after="0"/>
              <w:rPr>
                <w:sz w:val="20"/>
                <w:szCs w:val="20"/>
                <w:color w:val="auto"/>
              </w:rPr>
            </w:pPr>
            <w:r>
              <w:rPr>
                <w:rFonts w:ascii="Times New Roman" w:cs="Times New Roman" w:eastAsia="Times New Roman" w:hAnsi="Times New Roman"/>
                <w:sz w:val="10"/>
                <w:szCs w:val="10"/>
                <w:b w:val="1"/>
                <w:bCs w:val="1"/>
                <w:color w:val="auto"/>
              </w:rPr>
              <w:t>% Change</w:t>
            </w:r>
          </w:p>
        </w:tc>
        <w:tc>
          <w:tcPr>
            <w:tcW w:w="0" w:type="dxa"/>
            <w:vAlign w:val="bottom"/>
          </w:tcPr>
          <w:p>
            <w:pPr>
              <w:spacing w:after="0"/>
              <w:rPr>
                <w:sz w:val="1"/>
                <w:szCs w:val="1"/>
                <w:color w:val="auto"/>
              </w:rPr>
            </w:pPr>
          </w:p>
        </w:tc>
      </w:tr>
      <w:tr>
        <w:trPr>
          <w:trHeight w:val="130"/>
        </w:trPr>
        <w:tc>
          <w:tcPr>
            <w:tcW w:w="3700" w:type="dxa"/>
            <w:vAlign w:val="bottom"/>
          </w:tcPr>
          <w:p>
            <w:pPr>
              <w:spacing w:after="0"/>
              <w:rPr>
                <w:sz w:val="11"/>
                <w:szCs w:val="11"/>
                <w:color w:val="auto"/>
              </w:rPr>
            </w:pPr>
          </w:p>
        </w:tc>
        <w:tc>
          <w:tcPr>
            <w:tcW w:w="960" w:type="dxa"/>
            <w:vAlign w:val="bottom"/>
            <w:gridSpan w:val="3"/>
            <w:vMerge w:val="continue"/>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3"/>
            <w:vMerge w:val="continue"/>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60" w:type="dxa"/>
            <w:vAlign w:val="bottom"/>
            <w:gridSpan w:val="4"/>
            <w:vMerge w:val="continue"/>
          </w:tcPr>
          <w:p>
            <w:pPr>
              <w:spacing w:after="0"/>
              <w:rPr>
                <w:sz w:val="11"/>
                <w:szCs w:val="11"/>
                <w:color w:val="auto"/>
              </w:rPr>
            </w:pPr>
          </w:p>
        </w:tc>
        <w:tc>
          <w:tcPr>
            <w:tcW w:w="1320" w:type="dxa"/>
            <w:vAlign w:val="bottom"/>
            <w:gridSpan w:val="4"/>
          </w:tcPr>
          <w:p>
            <w:pPr>
              <w:jc w:val="center"/>
              <w:ind w:right="240"/>
              <w:spacing w:after="0"/>
              <w:rPr>
                <w:sz w:val="20"/>
                <w:szCs w:val="20"/>
                <w:color w:val="auto"/>
              </w:rPr>
            </w:pPr>
            <w:r>
              <w:rPr>
                <w:rFonts w:ascii="Times New Roman" w:cs="Times New Roman" w:eastAsia="Times New Roman" w:hAnsi="Times New Roman"/>
                <w:sz w:val="10"/>
                <w:szCs w:val="10"/>
                <w:b w:val="1"/>
                <w:bCs w:val="1"/>
                <w:color w:val="auto"/>
                <w:w w:val="97"/>
              </w:rPr>
              <w:t>% Change</w:t>
            </w:r>
          </w:p>
        </w:tc>
        <w:tc>
          <w:tcPr>
            <w:tcW w:w="8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gridSpan w:val="2"/>
            <w:vMerge w:val="continue"/>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3700" w:type="dxa"/>
            <w:vAlign w:val="bottom"/>
            <w:tcBorders>
              <w:top w:val="single" w:sz="8" w:color="CCEEFF"/>
            </w:tcBorders>
            <w:shd w:val="clear" w:color="auto" w:fill="CCEEFF"/>
          </w:tcPr>
          <w:p>
            <w:pPr>
              <w:ind w:left="20"/>
              <w:spacing w:after="0" w:line="111" w:lineRule="exact"/>
              <w:rPr>
                <w:sz w:val="20"/>
                <w:szCs w:val="20"/>
                <w:color w:val="auto"/>
              </w:rPr>
            </w:pPr>
            <w:r>
              <w:rPr>
                <w:rFonts w:ascii="Times New Roman" w:cs="Times New Roman" w:eastAsia="Times New Roman" w:hAnsi="Times New Roman"/>
                <w:sz w:val="10"/>
                <w:szCs w:val="10"/>
                <w:b w:val="1"/>
                <w:bCs w:val="1"/>
                <w:color w:val="auto"/>
              </w:rPr>
              <w:t>Electric (in GWhs)</w:t>
            </w:r>
          </w:p>
        </w:tc>
        <w:tc>
          <w:tcPr>
            <w:tcW w:w="4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84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26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78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06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80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50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30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980" w:type="dxa"/>
            <w:vAlign w:val="bottom"/>
            <w:tcBorders>
              <w:top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700" w:type="dxa"/>
            <w:vAlign w:val="bottom"/>
          </w:tcPr>
          <w:p>
            <w:pPr>
              <w:ind w:left="20"/>
              <w:spacing w:after="0" w:line="135" w:lineRule="exact"/>
              <w:rPr>
                <w:sz w:val="20"/>
                <w:szCs w:val="20"/>
                <w:color w:val="auto"/>
              </w:rPr>
            </w:pPr>
            <w:r>
              <w:rPr>
                <w:rFonts w:ascii="Times New Roman" w:cs="Times New Roman" w:eastAsia="Times New Roman" w:hAnsi="Times New Roman"/>
                <w:sz w:val="10"/>
                <w:szCs w:val="10"/>
                <w:b w:val="1"/>
                <w:bCs w:val="1"/>
                <w:color w:val="auto"/>
              </w:rPr>
              <w:t>Electric Deliveries and Revenues</w:t>
            </w:r>
            <w:r>
              <w:rPr>
                <w:rFonts w:ascii="Times New Roman" w:cs="Times New Roman" w:eastAsia="Times New Roman" w:hAnsi="Times New Roman"/>
                <w:sz w:val="12"/>
                <w:szCs w:val="12"/>
                <w:b w:val="1"/>
                <w:bCs w:val="1"/>
                <w:color w:val="auto"/>
                <w:vertAlign w:val="superscript"/>
              </w:rPr>
              <w:t>(a)</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0"/>
                <w:szCs w:val="10"/>
                <w:color w:val="auto"/>
              </w:rPr>
              <w:t>Residential</w:t>
            </w:r>
          </w:p>
        </w:tc>
        <w:tc>
          <w:tcPr>
            <w:tcW w:w="9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3,952</w:t>
            </w: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3,859</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0"/>
                <w:szCs w:val="10"/>
                <w:color w:val="auto"/>
              </w:rPr>
              <w:t>2.4 %</w:t>
            </w:r>
          </w:p>
        </w:tc>
        <w:tc>
          <w:tcPr>
            <w:tcW w:w="80" w:type="dxa"/>
            <w:vAlign w:val="bottom"/>
            <w:shd w:val="clear" w:color="auto" w:fill="CCEEFF"/>
          </w:tcPr>
          <w:p>
            <w:pPr>
              <w:spacing w:after="0"/>
              <w:rPr>
                <w:sz w:val="11"/>
                <w:szCs w:val="11"/>
                <w:color w:val="auto"/>
              </w:rPr>
            </w:pPr>
          </w:p>
        </w:tc>
        <w:tc>
          <w:tcPr>
            <w:tcW w:w="1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0.1 %   $</w:t>
            </w: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725</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9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631</w:t>
            </w: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14.9 %</w:t>
            </w:r>
          </w:p>
        </w:tc>
        <w:tc>
          <w:tcPr>
            <w:tcW w:w="0" w:type="dxa"/>
            <w:vAlign w:val="bottom"/>
          </w:tcPr>
          <w:p>
            <w:pPr>
              <w:spacing w:after="0"/>
              <w:rPr>
                <w:sz w:val="1"/>
                <w:szCs w:val="1"/>
                <w:color w:val="auto"/>
              </w:rPr>
            </w:pPr>
          </w:p>
        </w:tc>
      </w:tr>
      <w:tr>
        <w:trPr>
          <w:trHeight w:val="129"/>
        </w:trPr>
        <w:tc>
          <w:tcPr>
            <w:tcW w:w="3700" w:type="dxa"/>
            <w:vAlign w:val="bottom"/>
          </w:tcPr>
          <w:p>
            <w:pPr>
              <w:ind w:left="240"/>
              <w:spacing w:after="0"/>
              <w:rPr>
                <w:sz w:val="20"/>
                <w:szCs w:val="20"/>
                <w:color w:val="auto"/>
              </w:rPr>
            </w:pPr>
            <w:r>
              <w:rPr>
                <w:rFonts w:ascii="Times New Roman" w:cs="Times New Roman" w:eastAsia="Times New Roman" w:hAnsi="Times New Roman"/>
                <w:sz w:val="10"/>
                <w:szCs w:val="10"/>
                <w:color w:val="auto"/>
              </w:rPr>
              <w:t>Small commercial &amp; industrial</w:t>
            </w: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0"/>
                <w:szCs w:val="10"/>
                <w:color w:val="auto"/>
              </w:rPr>
              <w:t>2,010</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0"/>
                <w:szCs w:val="10"/>
                <w:color w:val="auto"/>
              </w:rPr>
              <w:t>1,946</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0" w:type="dxa"/>
            <w:vAlign w:val="bottom"/>
            <w:gridSpan w:val="4"/>
          </w:tcPr>
          <w:p>
            <w:pPr>
              <w:jc w:val="right"/>
              <w:ind w:right="20"/>
              <w:spacing w:after="0"/>
              <w:rPr>
                <w:sz w:val="20"/>
                <w:szCs w:val="20"/>
                <w:color w:val="auto"/>
              </w:rPr>
            </w:pPr>
            <w:r>
              <w:rPr>
                <w:rFonts w:ascii="Times New Roman" w:cs="Times New Roman" w:eastAsia="Times New Roman" w:hAnsi="Times New Roman"/>
                <w:sz w:val="10"/>
                <w:szCs w:val="10"/>
                <w:color w:val="auto"/>
              </w:rPr>
              <w:t>3.3 %</w:t>
            </w:r>
          </w:p>
        </w:tc>
        <w:tc>
          <w:tcPr>
            <w:tcW w:w="80" w:type="dxa"/>
            <w:vAlign w:val="bottom"/>
          </w:tcPr>
          <w:p>
            <w:pPr>
              <w:spacing w:after="0"/>
              <w:rPr>
                <w:sz w:val="11"/>
                <w:szCs w:val="1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1.0 %</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172</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0"/>
                <w:szCs w:val="10"/>
                <w:color w:val="auto"/>
              </w:rPr>
              <w:t>162</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6.2 %</w:t>
            </w:r>
          </w:p>
        </w:tc>
        <w:tc>
          <w:tcPr>
            <w:tcW w:w="0" w:type="dxa"/>
            <w:vAlign w:val="bottom"/>
          </w:tcPr>
          <w:p>
            <w:pPr>
              <w:spacing w:after="0"/>
              <w:rPr>
                <w:sz w:val="1"/>
                <w:szCs w:val="1"/>
                <w:color w:val="auto"/>
              </w:rPr>
            </w:pPr>
          </w:p>
        </w:tc>
      </w:tr>
      <w:tr>
        <w:trPr>
          <w:trHeight w:val="141"/>
        </w:trPr>
        <w:tc>
          <w:tcPr>
            <w:tcW w:w="3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0"/>
                <w:szCs w:val="10"/>
                <w:color w:val="auto"/>
              </w:rPr>
              <w:t>Large commercial &amp; industrial</w:t>
            </w:r>
          </w:p>
        </w:tc>
        <w:tc>
          <w:tcPr>
            <w:tcW w:w="9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3,132</w:t>
            </w: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3,425</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0"/>
                <w:szCs w:val="10"/>
                <w:color w:val="auto"/>
              </w:rPr>
              <w:t>(8.6)%</w:t>
            </w:r>
          </w:p>
        </w:tc>
        <w:tc>
          <w:tcPr>
            <w:tcW w:w="8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(10.0)%</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87</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84</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3.6 %</w:t>
            </w:r>
          </w:p>
        </w:tc>
        <w:tc>
          <w:tcPr>
            <w:tcW w:w="0" w:type="dxa"/>
            <w:vAlign w:val="bottom"/>
          </w:tcPr>
          <w:p>
            <w:pPr>
              <w:spacing w:after="0"/>
              <w:rPr>
                <w:sz w:val="1"/>
                <w:szCs w:val="1"/>
                <w:color w:val="auto"/>
              </w:rPr>
            </w:pPr>
          </w:p>
        </w:tc>
      </w:tr>
      <w:tr>
        <w:trPr>
          <w:trHeight w:val="129"/>
        </w:trPr>
        <w:tc>
          <w:tcPr>
            <w:tcW w:w="3700" w:type="dxa"/>
            <w:vAlign w:val="bottom"/>
          </w:tcPr>
          <w:p>
            <w:pPr>
              <w:ind w:left="240"/>
              <w:spacing w:after="0"/>
              <w:rPr>
                <w:sz w:val="20"/>
                <w:szCs w:val="20"/>
                <w:color w:val="auto"/>
              </w:rPr>
            </w:pPr>
            <w:r>
              <w:rPr>
                <w:rFonts w:ascii="Times New Roman" w:cs="Times New Roman" w:eastAsia="Times New Roman" w:hAnsi="Times New Roman"/>
                <w:sz w:val="10"/>
                <w:szCs w:val="10"/>
                <w:color w:val="auto"/>
              </w:rPr>
              <w:t>Public authorities &amp; electric railroads</w:t>
            </w: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0"/>
                <w:szCs w:val="10"/>
                <w:color w:val="auto"/>
              </w:rPr>
              <w:t>176</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0"/>
                <w:szCs w:val="10"/>
                <w:color w:val="auto"/>
              </w:rPr>
              <w:t>189</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0" w:type="dxa"/>
            <w:vAlign w:val="bottom"/>
            <w:gridSpan w:val="4"/>
          </w:tcPr>
          <w:p>
            <w:pPr>
              <w:jc w:val="right"/>
              <w:ind w:right="20"/>
              <w:spacing w:after="0"/>
              <w:rPr>
                <w:sz w:val="20"/>
                <w:szCs w:val="20"/>
                <w:color w:val="auto"/>
              </w:rPr>
            </w:pPr>
            <w:r>
              <w:rPr>
                <w:rFonts w:ascii="Times New Roman" w:cs="Times New Roman" w:eastAsia="Times New Roman" w:hAnsi="Times New Roman"/>
                <w:sz w:val="10"/>
                <w:szCs w:val="10"/>
                <w:color w:val="auto"/>
              </w:rPr>
              <w:t>(6.9)%</w:t>
            </w:r>
          </w:p>
        </w:tc>
        <w:tc>
          <w:tcPr>
            <w:tcW w:w="80" w:type="dxa"/>
            <w:vAlign w:val="bottom"/>
          </w:tcPr>
          <w:p>
            <w:pPr>
              <w:spacing w:after="0"/>
              <w:rPr>
                <w:sz w:val="11"/>
                <w:szCs w:val="1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(7.0)%</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0"/>
                <w:szCs w:val="10"/>
                <w:color w:val="auto"/>
              </w:rPr>
              <w:t>8</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 %</w:t>
            </w:r>
          </w:p>
        </w:tc>
        <w:tc>
          <w:tcPr>
            <w:tcW w:w="0" w:type="dxa"/>
            <w:vAlign w:val="bottom"/>
          </w:tcPr>
          <w:p>
            <w:pPr>
              <w:spacing w:after="0"/>
              <w:rPr>
                <w:sz w:val="1"/>
                <w:szCs w:val="1"/>
                <w:color w:val="auto"/>
              </w:rPr>
            </w:pPr>
          </w:p>
        </w:tc>
      </w:tr>
      <w:tr>
        <w:trPr>
          <w:trHeight w:val="141"/>
        </w:trPr>
        <w:tc>
          <w:tcPr>
            <w:tcW w:w="3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0"/>
                <w:szCs w:val="10"/>
                <w:color w:val="auto"/>
              </w:rPr>
              <w:t>Other</w:t>
            </w:r>
            <w:r>
              <w:rPr>
                <w:rFonts w:ascii="Times New Roman" w:cs="Times New Roman" w:eastAsia="Times New Roman" w:hAnsi="Times New Roman"/>
                <w:sz w:val="12"/>
                <w:szCs w:val="12"/>
                <w:color w:val="auto"/>
                <w:vertAlign w:val="superscript"/>
              </w:rPr>
              <w:t>(b)</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gridSpan w:val="4"/>
            <w:shd w:val="clear" w:color="auto" w:fill="CCEEFF"/>
          </w:tcPr>
          <w:p>
            <w:pPr>
              <w:jc w:val="right"/>
              <w:ind w:right="280"/>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8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0"/>
                <w:szCs w:val="10"/>
                <w:color w:val="auto"/>
              </w:rPr>
              <w:t>n/a</w:t>
            </w:r>
          </w:p>
        </w:tc>
        <w:tc>
          <w:tcPr>
            <w:tcW w:w="1320" w:type="dxa"/>
            <w:vAlign w:val="bottom"/>
            <w:gridSpan w:val="4"/>
            <w:shd w:val="clear" w:color="auto" w:fill="CCEEFF"/>
          </w:tcPr>
          <w:p>
            <w:pPr>
              <w:ind w:left="940"/>
              <w:spacing w:after="0"/>
              <w:rPr>
                <w:sz w:val="20"/>
                <w:szCs w:val="20"/>
                <w:color w:val="auto"/>
              </w:rPr>
            </w:pPr>
            <w:r>
              <w:rPr>
                <w:rFonts w:ascii="Times New Roman" w:cs="Times New Roman" w:eastAsia="Times New Roman" w:hAnsi="Times New Roman"/>
                <w:sz w:val="10"/>
                <w:szCs w:val="10"/>
                <w:color w:val="auto"/>
              </w:rPr>
              <w:t>n/a</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77</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76</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1.3 %</w:t>
            </w:r>
          </w:p>
        </w:tc>
        <w:tc>
          <w:tcPr>
            <w:tcW w:w="0" w:type="dxa"/>
            <w:vAlign w:val="bottom"/>
          </w:tcPr>
          <w:p>
            <w:pPr>
              <w:spacing w:after="0"/>
              <w:rPr>
                <w:sz w:val="1"/>
                <w:szCs w:val="1"/>
                <w:color w:val="auto"/>
              </w:rPr>
            </w:pPr>
          </w:p>
        </w:tc>
      </w:tr>
      <w:tr>
        <w:trPr>
          <w:trHeight w:val="124"/>
        </w:trPr>
        <w:tc>
          <w:tcPr>
            <w:tcW w:w="3700" w:type="dxa"/>
            <w:vAlign w:val="bottom"/>
            <w:tcBorders>
              <w:bottom w:val="single" w:sz="8" w:color="CCEEFF"/>
            </w:tcBorders>
          </w:tcPr>
          <w:p>
            <w:pPr>
              <w:ind w:left="460"/>
              <w:spacing w:after="0" w:line="124" w:lineRule="exact"/>
              <w:rPr>
                <w:sz w:val="20"/>
                <w:szCs w:val="20"/>
                <w:color w:val="auto"/>
              </w:rPr>
            </w:pPr>
            <w:r>
              <w:rPr>
                <w:rFonts w:ascii="Times New Roman" w:cs="Times New Roman" w:eastAsia="Times New Roman" w:hAnsi="Times New Roman"/>
                <w:sz w:val="10"/>
                <w:szCs w:val="10"/>
                <w:color w:val="auto"/>
              </w:rPr>
              <w:t>Total electric revenues</w:t>
            </w:r>
            <w:r>
              <w:rPr>
                <w:rFonts w:ascii="Times New Roman" w:cs="Times New Roman" w:eastAsia="Times New Roman" w:hAnsi="Times New Roman"/>
                <w:sz w:val="12"/>
                <w:szCs w:val="12"/>
                <w:color w:val="auto"/>
                <w:vertAlign w:val="superscript"/>
              </w:rPr>
              <w:t>(c)</w:t>
            </w:r>
          </w:p>
        </w:tc>
        <w:tc>
          <w:tcPr>
            <w:tcW w:w="96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0"/>
                <w:szCs w:val="10"/>
                <w:color w:val="auto"/>
              </w:rPr>
              <w:t>9,270</w:t>
            </w:r>
          </w:p>
        </w:tc>
        <w:tc>
          <w:tcPr>
            <w:tcW w:w="100" w:type="dxa"/>
            <w:vAlign w:val="bottom"/>
            <w:tcBorders>
              <w:bottom w:val="single" w:sz="8" w:color="CCEEFF"/>
            </w:tcBorders>
          </w:tcPr>
          <w:p>
            <w:pPr>
              <w:spacing w:after="0"/>
              <w:rPr>
                <w:sz w:val="10"/>
                <w:szCs w:val="10"/>
                <w:color w:val="auto"/>
              </w:rPr>
            </w:pPr>
          </w:p>
        </w:tc>
        <w:tc>
          <w:tcPr>
            <w:tcW w:w="40" w:type="dxa"/>
            <w:vAlign w:val="bottom"/>
            <w:tcBorders>
              <w:top w:val="single" w:sz="8" w:color="auto"/>
              <w:bottom w:val="single" w:sz="8" w:color="auto"/>
            </w:tcBorders>
          </w:tcPr>
          <w:p>
            <w:pPr>
              <w:spacing w:after="0"/>
              <w:rPr>
                <w:sz w:val="10"/>
                <w:szCs w:val="10"/>
                <w:color w:val="auto"/>
              </w:rPr>
            </w:pPr>
          </w:p>
        </w:tc>
        <w:tc>
          <w:tcPr>
            <w:tcW w:w="100" w:type="dxa"/>
            <w:vAlign w:val="bottom"/>
            <w:tcBorders>
              <w:top w:val="single" w:sz="8" w:color="auto"/>
              <w:bottom w:val="single" w:sz="8" w:color="auto"/>
            </w:tcBorders>
          </w:tcPr>
          <w:p>
            <w:pPr>
              <w:spacing w:after="0"/>
              <w:rPr>
                <w:sz w:val="10"/>
                <w:szCs w:val="10"/>
                <w:color w:val="auto"/>
              </w:rPr>
            </w:pPr>
          </w:p>
        </w:tc>
        <w:tc>
          <w:tcPr>
            <w:tcW w:w="82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0"/>
                <w:szCs w:val="10"/>
                <w:color w:val="auto"/>
              </w:rPr>
              <w:t>9,419</w:t>
            </w:r>
          </w:p>
        </w:tc>
        <w:tc>
          <w:tcPr>
            <w:tcW w:w="80" w:type="dxa"/>
            <w:vAlign w:val="bottom"/>
            <w:tcBorders>
              <w:bottom w:val="single" w:sz="8" w:color="CCEEFF"/>
            </w:tcBorders>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1000" w:type="dxa"/>
            <w:vAlign w:val="bottom"/>
            <w:tcBorders>
              <w:bottom w:val="single" w:sz="8" w:color="CCEEFF"/>
            </w:tcBorders>
            <w:gridSpan w:val="4"/>
          </w:tcPr>
          <w:p>
            <w:pPr>
              <w:jc w:val="right"/>
              <w:ind w:right="20"/>
              <w:spacing w:after="0" w:line="107" w:lineRule="exact"/>
              <w:rPr>
                <w:sz w:val="20"/>
                <w:szCs w:val="20"/>
                <w:color w:val="auto"/>
              </w:rPr>
            </w:pPr>
            <w:r>
              <w:rPr>
                <w:rFonts w:ascii="Times New Roman" w:cs="Times New Roman" w:eastAsia="Times New Roman" w:hAnsi="Times New Roman"/>
                <w:sz w:val="10"/>
                <w:szCs w:val="10"/>
                <w:color w:val="auto"/>
              </w:rPr>
              <w:t>(1.6)%</w:t>
            </w:r>
          </w:p>
        </w:tc>
        <w:tc>
          <w:tcPr>
            <w:tcW w:w="80" w:type="dxa"/>
            <w:vAlign w:val="bottom"/>
            <w:tcBorders>
              <w:bottom w:val="single" w:sz="8" w:color="CCEEFF"/>
            </w:tcBorders>
          </w:tcPr>
          <w:p>
            <w:pPr>
              <w:spacing w:after="0"/>
              <w:rPr>
                <w:sz w:val="10"/>
                <w:szCs w:val="10"/>
                <w:color w:val="auto"/>
              </w:rPr>
            </w:pPr>
          </w:p>
        </w:tc>
        <w:tc>
          <w:tcPr>
            <w:tcW w:w="1060" w:type="dxa"/>
            <w:vAlign w:val="bottom"/>
            <w:tcBorders>
              <w:bottom w:val="single" w:sz="8" w:color="CCEEFF"/>
            </w:tcBorders>
          </w:tcPr>
          <w:p>
            <w:pPr>
              <w:jc w:val="right"/>
              <w:spacing w:after="0" w:line="107" w:lineRule="exact"/>
              <w:rPr>
                <w:sz w:val="20"/>
                <w:szCs w:val="20"/>
                <w:color w:val="auto"/>
              </w:rPr>
            </w:pPr>
            <w:r>
              <w:rPr>
                <w:rFonts w:ascii="Times New Roman" w:cs="Times New Roman" w:eastAsia="Times New Roman" w:hAnsi="Times New Roman"/>
                <w:sz w:val="10"/>
                <w:szCs w:val="10"/>
                <w:color w:val="auto"/>
              </w:rPr>
              <w:t>(3.5)%</w:t>
            </w:r>
          </w:p>
        </w:tc>
        <w:tc>
          <w:tcPr>
            <w:tcW w:w="100" w:type="dxa"/>
            <w:vAlign w:val="bottom"/>
            <w:tcBorders>
              <w:bottom w:val="single" w:sz="8" w:color="CCEEFF"/>
            </w:tcBorders>
          </w:tcPr>
          <w:p>
            <w:pPr>
              <w:spacing w:after="0"/>
              <w:rPr>
                <w:sz w:val="10"/>
                <w:szCs w:val="10"/>
                <w:color w:val="auto"/>
              </w:rPr>
            </w:pPr>
          </w:p>
        </w:tc>
        <w:tc>
          <w:tcPr>
            <w:tcW w:w="60" w:type="dxa"/>
            <w:vAlign w:val="bottom"/>
            <w:tcBorders>
              <w:top w:val="single" w:sz="8" w:color="auto"/>
              <w:bottom w:val="single" w:sz="8" w:color="auto"/>
            </w:tcBorders>
          </w:tcPr>
          <w:p>
            <w:pPr>
              <w:spacing w:after="0"/>
              <w:rPr>
                <w:sz w:val="10"/>
                <w:szCs w:val="10"/>
                <w:color w:val="auto"/>
              </w:rPr>
            </w:pPr>
          </w:p>
        </w:tc>
        <w:tc>
          <w:tcPr>
            <w:tcW w:w="100" w:type="dxa"/>
            <w:vAlign w:val="bottom"/>
            <w:tcBorders>
              <w:top w:val="single" w:sz="8" w:color="auto"/>
              <w:bottom w:val="single" w:sz="8" w:color="auto"/>
            </w:tcBorders>
          </w:tcPr>
          <w:p>
            <w:pPr>
              <w:spacing w:after="0"/>
              <w:rPr>
                <w:sz w:val="10"/>
                <w:szCs w:val="1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1,069</w:t>
            </w:r>
          </w:p>
        </w:tc>
        <w:tc>
          <w:tcPr>
            <w:tcW w:w="100" w:type="dxa"/>
            <w:vAlign w:val="bottom"/>
            <w:tcBorders>
              <w:bottom w:val="single" w:sz="8" w:color="CCEEFF"/>
            </w:tcBorders>
          </w:tcPr>
          <w:p>
            <w:pPr>
              <w:spacing w:after="0"/>
              <w:rPr>
                <w:sz w:val="10"/>
                <w:szCs w:val="10"/>
                <w:color w:val="auto"/>
              </w:rPr>
            </w:pPr>
          </w:p>
        </w:tc>
        <w:tc>
          <w:tcPr>
            <w:tcW w:w="60" w:type="dxa"/>
            <w:vAlign w:val="bottom"/>
            <w:tcBorders>
              <w:top w:val="single" w:sz="8" w:color="auto"/>
              <w:bottom w:val="single" w:sz="8" w:color="auto"/>
            </w:tcBorders>
          </w:tcPr>
          <w:p>
            <w:pPr>
              <w:spacing w:after="0"/>
              <w:rPr>
                <w:sz w:val="10"/>
                <w:szCs w:val="10"/>
                <w:color w:val="auto"/>
              </w:rPr>
            </w:pPr>
          </w:p>
        </w:tc>
        <w:tc>
          <w:tcPr>
            <w:tcW w:w="90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0"/>
                <w:szCs w:val="10"/>
                <w:color w:val="auto"/>
              </w:rPr>
              <w:t>961</w:t>
            </w:r>
          </w:p>
        </w:tc>
        <w:tc>
          <w:tcPr>
            <w:tcW w:w="80" w:type="dxa"/>
            <w:vAlign w:val="bottom"/>
            <w:tcBorders>
              <w:bottom w:val="single" w:sz="8" w:color="CCEEFF"/>
            </w:tcBorders>
          </w:tcPr>
          <w:p>
            <w:pPr>
              <w:spacing w:after="0"/>
              <w:rPr>
                <w:sz w:val="10"/>
                <w:szCs w:val="10"/>
                <w:color w:val="auto"/>
              </w:rPr>
            </w:pPr>
          </w:p>
        </w:tc>
        <w:tc>
          <w:tcPr>
            <w:tcW w:w="20" w:type="dxa"/>
            <w:vAlign w:val="bottom"/>
            <w:tcBorders>
              <w:bottom w:val="single" w:sz="8" w:color="CCEEFF"/>
            </w:tcBorders>
          </w:tcPr>
          <w:p>
            <w:pPr>
              <w:spacing w:after="0"/>
              <w:rPr>
                <w:sz w:val="10"/>
                <w:szCs w:val="10"/>
                <w:color w:val="auto"/>
              </w:rPr>
            </w:pPr>
          </w:p>
        </w:tc>
        <w:tc>
          <w:tcPr>
            <w:tcW w:w="1060" w:type="dxa"/>
            <w:vAlign w:val="bottom"/>
            <w:tcBorders>
              <w:bottom w:val="single" w:sz="8" w:color="CCEEFF"/>
            </w:tcBorders>
            <w:gridSpan w:val="2"/>
          </w:tcPr>
          <w:p>
            <w:pPr>
              <w:jc w:val="right"/>
              <w:spacing w:after="0" w:line="107" w:lineRule="exact"/>
              <w:rPr>
                <w:sz w:val="20"/>
                <w:szCs w:val="20"/>
                <w:color w:val="auto"/>
              </w:rPr>
            </w:pPr>
            <w:r>
              <w:rPr>
                <w:rFonts w:ascii="Times New Roman" w:cs="Times New Roman" w:eastAsia="Times New Roman" w:hAnsi="Times New Roman"/>
                <w:sz w:val="10"/>
                <w:szCs w:val="10"/>
                <w:color w:val="auto"/>
              </w:rPr>
              <w:t>11.2 %</w:t>
            </w:r>
          </w:p>
        </w:tc>
        <w:tc>
          <w:tcPr>
            <w:tcW w:w="0" w:type="dxa"/>
            <w:vAlign w:val="bottom"/>
          </w:tcPr>
          <w:p>
            <w:pPr>
              <w:spacing w:after="0"/>
              <w:rPr>
                <w:sz w:val="1"/>
                <w:szCs w:val="1"/>
                <w:color w:val="auto"/>
              </w:rPr>
            </w:pPr>
          </w:p>
        </w:tc>
      </w:tr>
      <w:tr>
        <w:trPr>
          <w:trHeight w:val="124"/>
        </w:trPr>
        <w:tc>
          <w:tcPr>
            <w:tcW w:w="3700" w:type="dxa"/>
            <w:vAlign w:val="bottom"/>
            <w:shd w:val="clear" w:color="auto" w:fill="CCEEFF"/>
          </w:tcPr>
          <w:p>
            <w:pPr>
              <w:ind w:left="20"/>
              <w:spacing w:after="0" w:line="124" w:lineRule="exact"/>
              <w:rPr>
                <w:sz w:val="20"/>
                <w:szCs w:val="20"/>
                <w:color w:val="auto"/>
              </w:rPr>
            </w:pPr>
            <w:r>
              <w:rPr>
                <w:rFonts w:ascii="Times New Roman" w:cs="Times New Roman" w:eastAsia="Times New Roman" w:hAnsi="Times New Roman"/>
                <w:sz w:val="10"/>
                <w:szCs w:val="10"/>
                <w:b w:val="1"/>
                <w:bCs w:val="1"/>
                <w:color w:val="auto"/>
              </w:rPr>
              <w:t>Other Revenues</w:t>
            </w:r>
            <w:r>
              <w:rPr>
                <w:rFonts w:ascii="Times New Roman" w:cs="Times New Roman" w:eastAsia="Times New Roman" w:hAnsi="Times New Roman"/>
                <w:sz w:val="12"/>
                <w:szCs w:val="12"/>
                <w:b w:val="1"/>
                <w:bCs w:val="1"/>
                <w:color w:val="auto"/>
                <w:vertAlign w:val="superscript"/>
              </w:rPr>
              <w:t>(d)</w:t>
            </w: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tcBorders>
              <w:bottom w:val="single" w:sz="8" w:color="auto"/>
            </w:tcBorders>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13</w:t>
            </w:r>
          </w:p>
        </w:tc>
        <w:tc>
          <w:tcPr>
            <w:tcW w:w="100" w:type="dxa"/>
            <w:vAlign w:val="bottom"/>
            <w:shd w:val="clear" w:color="auto" w:fill="CCEEFF"/>
          </w:tcPr>
          <w:p>
            <w:pPr>
              <w:spacing w:after="0"/>
              <w:rPr>
                <w:sz w:val="10"/>
                <w:szCs w:val="10"/>
                <w:color w:val="auto"/>
              </w:rPr>
            </w:pPr>
          </w:p>
        </w:tc>
        <w:tc>
          <w:tcPr>
            <w:tcW w:w="60" w:type="dxa"/>
            <w:vAlign w:val="bottom"/>
            <w:tcBorders>
              <w:bottom w:val="single" w:sz="8" w:color="auto"/>
            </w:tcBorders>
            <w:shd w:val="clear" w:color="auto" w:fill="CCEEFF"/>
          </w:tcPr>
          <w:p>
            <w:pPr>
              <w:spacing w:after="0"/>
              <w:rPr>
                <w:sz w:val="10"/>
                <w:szCs w:val="10"/>
                <w:color w:val="auto"/>
              </w:rPr>
            </w:pPr>
          </w:p>
        </w:tc>
        <w:tc>
          <w:tcPr>
            <w:tcW w:w="90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w:t>
            </w: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60" w:type="dxa"/>
            <w:vAlign w:val="bottom"/>
            <w:gridSpan w:val="2"/>
            <w:shd w:val="clear" w:color="auto" w:fill="CCEEFF"/>
          </w:tcPr>
          <w:p>
            <w:pPr>
              <w:jc w:val="right"/>
              <w:spacing w:after="0" w:line="107" w:lineRule="exact"/>
              <w:rPr>
                <w:sz w:val="20"/>
                <w:szCs w:val="20"/>
                <w:color w:val="auto"/>
              </w:rPr>
            </w:pPr>
            <w:r>
              <w:rPr>
                <w:rFonts w:ascii="Times New Roman" w:cs="Times New Roman" w:eastAsia="Times New Roman" w:hAnsi="Times New Roman"/>
                <w:sz w:val="10"/>
                <w:szCs w:val="10"/>
                <w:color w:val="auto"/>
              </w:rPr>
              <w:t>(360.0)%</w:t>
            </w:r>
          </w:p>
        </w:tc>
        <w:tc>
          <w:tcPr>
            <w:tcW w:w="0" w:type="dxa"/>
            <w:vAlign w:val="bottom"/>
          </w:tcPr>
          <w:p>
            <w:pPr>
              <w:spacing w:after="0"/>
              <w:rPr>
                <w:sz w:val="1"/>
                <w:szCs w:val="1"/>
                <w:color w:val="auto"/>
              </w:rPr>
            </w:pPr>
          </w:p>
        </w:tc>
      </w:tr>
      <w:tr>
        <w:trPr>
          <w:trHeight w:val="118"/>
        </w:trPr>
        <w:tc>
          <w:tcPr>
            <w:tcW w:w="3700" w:type="dxa"/>
            <w:vAlign w:val="bottom"/>
            <w:tcBorders>
              <w:bottom w:val="single" w:sz="8" w:color="CCEEFF"/>
            </w:tcBorders>
          </w:tcPr>
          <w:p>
            <w:pPr>
              <w:ind w:left="460"/>
              <w:spacing w:after="0" w:line="107" w:lineRule="exact"/>
              <w:rPr>
                <w:sz w:val="20"/>
                <w:szCs w:val="20"/>
                <w:color w:val="auto"/>
              </w:rPr>
            </w:pPr>
            <w:r>
              <w:rPr>
                <w:rFonts w:ascii="Times New Roman" w:cs="Times New Roman" w:eastAsia="Times New Roman" w:hAnsi="Times New Roman"/>
                <w:sz w:val="10"/>
                <w:szCs w:val="10"/>
                <w:color w:val="auto"/>
              </w:rPr>
              <w:t>Total electric revenues</w:t>
            </w:r>
          </w:p>
        </w:tc>
        <w:tc>
          <w:tcPr>
            <w:tcW w:w="4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84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4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26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48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20" w:type="dxa"/>
            <w:vAlign w:val="bottom"/>
            <w:tcBorders>
              <w:bottom w:val="single" w:sz="8" w:color="CCEEFF"/>
            </w:tcBorders>
          </w:tcPr>
          <w:p>
            <w:pPr>
              <w:spacing w:after="0"/>
              <w:rPr>
                <w:sz w:val="10"/>
                <w:szCs w:val="10"/>
                <w:color w:val="auto"/>
              </w:rPr>
            </w:pPr>
          </w:p>
        </w:tc>
        <w:tc>
          <w:tcPr>
            <w:tcW w:w="78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106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1,082</w:t>
            </w:r>
          </w:p>
        </w:tc>
        <w:tc>
          <w:tcPr>
            <w:tcW w:w="100" w:type="dxa"/>
            <w:vAlign w:val="bottom"/>
            <w:tcBorders>
              <w:bottom w:val="single" w:sz="8" w:color="CCEEFF"/>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0"/>
                <w:szCs w:val="10"/>
                <w:color w:val="auto"/>
              </w:rPr>
              <w:t>956</w:t>
            </w:r>
          </w:p>
        </w:tc>
        <w:tc>
          <w:tcPr>
            <w:tcW w:w="80" w:type="dxa"/>
            <w:vAlign w:val="bottom"/>
            <w:tcBorders>
              <w:bottom w:val="single" w:sz="8" w:color="CCEEFF"/>
            </w:tcBorders>
          </w:tcPr>
          <w:p>
            <w:pPr>
              <w:spacing w:after="0"/>
              <w:rPr>
                <w:sz w:val="10"/>
                <w:szCs w:val="10"/>
                <w:color w:val="auto"/>
              </w:rPr>
            </w:pPr>
          </w:p>
        </w:tc>
        <w:tc>
          <w:tcPr>
            <w:tcW w:w="20" w:type="dxa"/>
            <w:vAlign w:val="bottom"/>
            <w:tcBorders>
              <w:bottom w:val="single" w:sz="8" w:color="CCEEFF"/>
            </w:tcBorders>
          </w:tcPr>
          <w:p>
            <w:pPr>
              <w:spacing w:after="0"/>
              <w:rPr>
                <w:sz w:val="10"/>
                <w:szCs w:val="10"/>
                <w:color w:val="auto"/>
              </w:rPr>
            </w:pPr>
          </w:p>
        </w:tc>
        <w:tc>
          <w:tcPr>
            <w:tcW w:w="1060" w:type="dxa"/>
            <w:vAlign w:val="bottom"/>
            <w:tcBorders>
              <w:bottom w:val="single" w:sz="8" w:color="CCEEFF"/>
            </w:tcBorders>
            <w:gridSpan w:val="2"/>
          </w:tcPr>
          <w:p>
            <w:pPr>
              <w:jc w:val="right"/>
              <w:spacing w:after="0" w:line="107" w:lineRule="exact"/>
              <w:rPr>
                <w:sz w:val="20"/>
                <w:szCs w:val="20"/>
                <w:color w:val="auto"/>
              </w:rPr>
            </w:pPr>
            <w:r>
              <w:rPr>
                <w:rFonts w:ascii="Times New Roman" w:cs="Times New Roman" w:eastAsia="Times New Roman" w:hAnsi="Times New Roman"/>
                <w:sz w:val="10"/>
                <w:szCs w:val="10"/>
                <w:color w:val="auto"/>
              </w:rPr>
              <w:t>13.2 %</w:t>
            </w:r>
          </w:p>
        </w:tc>
        <w:tc>
          <w:tcPr>
            <w:tcW w:w="0" w:type="dxa"/>
            <w:vAlign w:val="bottom"/>
          </w:tcPr>
          <w:p>
            <w:pPr>
              <w:spacing w:after="0"/>
              <w:rPr>
                <w:sz w:val="1"/>
                <w:szCs w:val="1"/>
                <w:color w:val="auto"/>
              </w:rPr>
            </w:pPr>
          </w:p>
        </w:tc>
      </w:tr>
      <w:tr>
        <w:trPr>
          <w:trHeight w:val="121"/>
        </w:trPr>
        <w:tc>
          <w:tcPr>
            <w:tcW w:w="3700" w:type="dxa"/>
            <w:vAlign w:val="bottom"/>
            <w:shd w:val="clear" w:color="auto" w:fill="CCEEFF"/>
          </w:tcPr>
          <w:p>
            <w:pPr>
              <w:ind w:left="20"/>
              <w:spacing w:after="0" w:line="112" w:lineRule="exact"/>
              <w:rPr>
                <w:sz w:val="20"/>
                <w:szCs w:val="20"/>
                <w:color w:val="auto"/>
              </w:rPr>
            </w:pPr>
            <w:r>
              <w:rPr>
                <w:rFonts w:ascii="Times New Roman" w:cs="Times New Roman" w:eastAsia="Times New Roman" w:hAnsi="Times New Roman"/>
                <w:sz w:val="10"/>
                <w:szCs w:val="10"/>
                <w:b w:val="1"/>
                <w:bCs w:val="1"/>
                <w:color w:val="auto"/>
              </w:rPr>
              <w:t>Natural Gas (in mmcfs)</w:t>
            </w: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700" w:type="dxa"/>
            <w:vAlign w:val="bottom"/>
          </w:tcPr>
          <w:p>
            <w:pPr>
              <w:ind w:left="20"/>
              <w:spacing w:after="0" w:line="135" w:lineRule="exact"/>
              <w:rPr>
                <w:sz w:val="20"/>
                <w:szCs w:val="20"/>
                <w:color w:val="auto"/>
              </w:rPr>
            </w:pPr>
            <w:r>
              <w:rPr>
                <w:rFonts w:ascii="Times New Roman" w:cs="Times New Roman" w:eastAsia="Times New Roman" w:hAnsi="Times New Roman"/>
                <w:sz w:val="10"/>
                <w:szCs w:val="10"/>
                <w:b w:val="1"/>
                <w:bCs w:val="1"/>
                <w:color w:val="auto"/>
              </w:rPr>
              <w:t>Natural Gas Deliveries and Revenues</w:t>
            </w:r>
            <w:r>
              <w:rPr>
                <w:rFonts w:ascii="Times New Roman" w:cs="Times New Roman" w:eastAsia="Times New Roman" w:hAnsi="Times New Roman"/>
                <w:sz w:val="12"/>
                <w:szCs w:val="12"/>
                <w:b w:val="1"/>
                <w:bCs w:val="1"/>
                <w:color w:val="auto"/>
                <w:vertAlign w:val="superscript"/>
              </w:rPr>
              <w:t>(e)</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0"/>
                <w:szCs w:val="10"/>
                <w:color w:val="auto"/>
              </w:rPr>
              <w:t>Residential</w:t>
            </w:r>
          </w:p>
        </w:tc>
        <w:tc>
          <w:tcPr>
            <w:tcW w:w="9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22,436</w:t>
            </w: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21,834</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0"/>
                <w:szCs w:val="10"/>
                <w:color w:val="auto"/>
              </w:rPr>
              <w:t>2.8 %</w:t>
            </w:r>
          </w:p>
        </w:tc>
        <w:tc>
          <w:tcPr>
            <w:tcW w:w="80" w:type="dxa"/>
            <w:vAlign w:val="bottom"/>
            <w:shd w:val="clear" w:color="auto" w:fill="CCEEFF"/>
          </w:tcPr>
          <w:p>
            <w:pPr>
              <w:spacing w:after="0"/>
              <w:rPr>
                <w:sz w:val="11"/>
                <w:szCs w:val="1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(0.9)%</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286</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267</w:t>
            </w: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7.1 %</w:t>
            </w:r>
          </w:p>
        </w:tc>
        <w:tc>
          <w:tcPr>
            <w:tcW w:w="0" w:type="dxa"/>
            <w:vAlign w:val="bottom"/>
          </w:tcPr>
          <w:p>
            <w:pPr>
              <w:spacing w:after="0"/>
              <w:rPr>
                <w:sz w:val="1"/>
                <w:szCs w:val="1"/>
                <w:color w:val="auto"/>
              </w:rPr>
            </w:pPr>
          </w:p>
        </w:tc>
      </w:tr>
      <w:tr>
        <w:trPr>
          <w:trHeight w:val="129"/>
        </w:trPr>
        <w:tc>
          <w:tcPr>
            <w:tcW w:w="3700" w:type="dxa"/>
            <w:vAlign w:val="bottom"/>
          </w:tcPr>
          <w:p>
            <w:pPr>
              <w:ind w:left="240"/>
              <w:spacing w:after="0"/>
              <w:rPr>
                <w:sz w:val="20"/>
                <w:szCs w:val="20"/>
                <w:color w:val="auto"/>
              </w:rPr>
            </w:pPr>
            <w:r>
              <w:rPr>
                <w:rFonts w:ascii="Times New Roman" w:cs="Times New Roman" w:eastAsia="Times New Roman" w:hAnsi="Times New Roman"/>
                <w:sz w:val="10"/>
                <w:szCs w:val="10"/>
                <w:color w:val="auto"/>
              </w:rPr>
              <w:t>Small commercial &amp; industrial</w:t>
            </w: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0"/>
                <w:szCs w:val="10"/>
                <w:color w:val="auto"/>
              </w:rPr>
              <w:t>11,351</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0"/>
                <w:szCs w:val="10"/>
                <w:color w:val="auto"/>
              </w:rPr>
              <w:t>10,405</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0" w:type="dxa"/>
            <w:vAlign w:val="bottom"/>
            <w:gridSpan w:val="4"/>
          </w:tcPr>
          <w:p>
            <w:pPr>
              <w:jc w:val="right"/>
              <w:ind w:right="20"/>
              <w:spacing w:after="0"/>
              <w:rPr>
                <w:sz w:val="20"/>
                <w:szCs w:val="20"/>
                <w:color w:val="auto"/>
              </w:rPr>
            </w:pPr>
            <w:r>
              <w:rPr>
                <w:rFonts w:ascii="Times New Roman" w:cs="Times New Roman" w:eastAsia="Times New Roman" w:hAnsi="Times New Roman"/>
                <w:sz w:val="10"/>
                <w:szCs w:val="10"/>
                <w:color w:val="auto"/>
              </w:rPr>
              <w:t>9.1 %</w:t>
            </w:r>
          </w:p>
        </w:tc>
        <w:tc>
          <w:tcPr>
            <w:tcW w:w="80" w:type="dxa"/>
            <w:vAlign w:val="bottom"/>
          </w:tcPr>
          <w:p>
            <w:pPr>
              <w:spacing w:after="0"/>
              <w:rPr>
                <w:sz w:val="11"/>
                <w:szCs w:val="1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6.2 %</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96</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0"/>
                <w:szCs w:val="10"/>
                <w:color w:val="auto"/>
              </w:rPr>
              <w:t>86</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11.6 %</w:t>
            </w:r>
          </w:p>
        </w:tc>
        <w:tc>
          <w:tcPr>
            <w:tcW w:w="0" w:type="dxa"/>
            <w:vAlign w:val="bottom"/>
          </w:tcPr>
          <w:p>
            <w:pPr>
              <w:spacing w:after="0"/>
              <w:rPr>
                <w:sz w:val="1"/>
                <w:szCs w:val="1"/>
                <w:color w:val="auto"/>
              </w:rPr>
            </w:pPr>
          </w:p>
        </w:tc>
      </w:tr>
      <w:tr>
        <w:trPr>
          <w:trHeight w:val="141"/>
        </w:trPr>
        <w:tc>
          <w:tcPr>
            <w:tcW w:w="3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0"/>
                <w:szCs w:val="10"/>
                <w:color w:val="auto"/>
              </w:rPr>
              <w:t>Large commercial &amp; industrial</w:t>
            </w:r>
          </w:p>
        </w:tc>
        <w:tc>
          <w:tcPr>
            <w:tcW w:w="9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(10)</w:t>
            </w: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12</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0"/>
                <w:szCs w:val="10"/>
                <w:color w:val="auto"/>
              </w:rPr>
              <w:t>(183.3)%</w:t>
            </w:r>
          </w:p>
        </w:tc>
        <w:tc>
          <w:tcPr>
            <w:tcW w:w="8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(20.0)%</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n/a</w:t>
            </w:r>
          </w:p>
        </w:tc>
        <w:tc>
          <w:tcPr>
            <w:tcW w:w="0" w:type="dxa"/>
            <w:vAlign w:val="bottom"/>
          </w:tcPr>
          <w:p>
            <w:pPr>
              <w:spacing w:after="0"/>
              <w:rPr>
                <w:sz w:val="1"/>
                <w:szCs w:val="1"/>
                <w:color w:val="auto"/>
              </w:rPr>
            </w:pPr>
          </w:p>
        </w:tc>
      </w:tr>
      <w:tr>
        <w:trPr>
          <w:trHeight w:val="129"/>
        </w:trPr>
        <w:tc>
          <w:tcPr>
            <w:tcW w:w="3700" w:type="dxa"/>
            <w:vAlign w:val="bottom"/>
          </w:tcPr>
          <w:p>
            <w:pPr>
              <w:ind w:left="240"/>
              <w:spacing w:after="0"/>
              <w:rPr>
                <w:sz w:val="20"/>
                <w:szCs w:val="20"/>
                <w:color w:val="auto"/>
              </w:rPr>
            </w:pPr>
            <w:r>
              <w:rPr>
                <w:rFonts w:ascii="Times New Roman" w:cs="Times New Roman" w:eastAsia="Times New Roman" w:hAnsi="Times New Roman"/>
                <w:sz w:val="10"/>
                <w:szCs w:val="10"/>
                <w:color w:val="auto"/>
              </w:rPr>
              <w:t>Transportation</w:t>
            </w: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0"/>
                <w:szCs w:val="10"/>
                <w:color w:val="auto"/>
              </w:rPr>
              <w:t>7,142</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0"/>
                <w:szCs w:val="10"/>
                <w:color w:val="auto"/>
              </w:rPr>
              <w:t>7,242</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0" w:type="dxa"/>
            <w:vAlign w:val="bottom"/>
            <w:gridSpan w:val="4"/>
          </w:tcPr>
          <w:p>
            <w:pPr>
              <w:jc w:val="right"/>
              <w:ind w:right="20"/>
              <w:spacing w:after="0"/>
              <w:rPr>
                <w:sz w:val="20"/>
                <w:szCs w:val="20"/>
                <w:color w:val="auto"/>
              </w:rPr>
            </w:pPr>
            <w:r>
              <w:rPr>
                <w:rFonts w:ascii="Times New Roman" w:cs="Times New Roman" w:eastAsia="Times New Roman" w:hAnsi="Times New Roman"/>
                <w:sz w:val="10"/>
                <w:szCs w:val="10"/>
                <w:color w:val="auto"/>
              </w:rPr>
              <w:t>(1.4)%</w:t>
            </w:r>
          </w:p>
        </w:tc>
        <w:tc>
          <w:tcPr>
            <w:tcW w:w="80" w:type="dxa"/>
            <w:vAlign w:val="bottom"/>
          </w:tcPr>
          <w:p>
            <w:pPr>
              <w:spacing w:after="0"/>
              <w:rPr>
                <w:sz w:val="11"/>
                <w:szCs w:val="1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(2.2)%</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20</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0"/>
                <w:szCs w:val="10"/>
                <w:color w:val="auto"/>
              </w:rPr>
              <w:t>13</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53.8 %</w:t>
            </w:r>
          </w:p>
        </w:tc>
        <w:tc>
          <w:tcPr>
            <w:tcW w:w="0" w:type="dxa"/>
            <w:vAlign w:val="bottom"/>
          </w:tcPr>
          <w:p>
            <w:pPr>
              <w:spacing w:after="0"/>
              <w:rPr>
                <w:sz w:val="1"/>
                <w:szCs w:val="1"/>
                <w:color w:val="auto"/>
              </w:rPr>
            </w:pPr>
          </w:p>
        </w:tc>
      </w:tr>
      <w:tr>
        <w:trPr>
          <w:trHeight w:val="141"/>
        </w:trPr>
        <w:tc>
          <w:tcPr>
            <w:tcW w:w="3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0"/>
                <w:szCs w:val="10"/>
                <w:color w:val="auto"/>
              </w:rPr>
              <w:t>Other</w:t>
            </w:r>
            <w:r>
              <w:rPr>
                <w:rFonts w:ascii="Times New Roman" w:cs="Times New Roman" w:eastAsia="Times New Roman" w:hAnsi="Times New Roman"/>
                <w:sz w:val="12"/>
                <w:szCs w:val="12"/>
                <w:color w:val="auto"/>
                <w:vertAlign w:val="superscript"/>
              </w:rPr>
              <w:t>(f)</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gridSpan w:val="4"/>
            <w:shd w:val="clear" w:color="auto" w:fill="CCEEFF"/>
          </w:tcPr>
          <w:p>
            <w:pPr>
              <w:jc w:val="right"/>
              <w:ind w:right="280"/>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8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0"/>
                <w:szCs w:val="10"/>
                <w:color w:val="auto"/>
              </w:rPr>
              <w:t>n/a</w:t>
            </w:r>
          </w:p>
        </w:tc>
        <w:tc>
          <w:tcPr>
            <w:tcW w:w="1320" w:type="dxa"/>
            <w:vAlign w:val="bottom"/>
            <w:gridSpan w:val="4"/>
            <w:shd w:val="clear" w:color="auto" w:fill="CCEEFF"/>
          </w:tcPr>
          <w:p>
            <w:pPr>
              <w:ind w:left="940"/>
              <w:spacing w:after="0"/>
              <w:rPr>
                <w:sz w:val="20"/>
                <w:szCs w:val="20"/>
                <w:color w:val="auto"/>
              </w:rPr>
            </w:pPr>
            <w:r>
              <w:rPr>
                <w:rFonts w:ascii="Times New Roman" w:cs="Times New Roman" w:eastAsia="Times New Roman" w:hAnsi="Times New Roman"/>
                <w:sz w:val="10"/>
                <w:szCs w:val="10"/>
                <w:color w:val="auto"/>
              </w:rPr>
              <w:t>n/a</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10</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(30.0)%</w:t>
            </w:r>
          </w:p>
        </w:tc>
        <w:tc>
          <w:tcPr>
            <w:tcW w:w="0" w:type="dxa"/>
            <w:vAlign w:val="bottom"/>
          </w:tcPr>
          <w:p>
            <w:pPr>
              <w:spacing w:after="0"/>
              <w:rPr>
                <w:sz w:val="1"/>
                <w:szCs w:val="1"/>
                <w:color w:val="auto"/>
              </w:rPr>
            </w:pPr>
          </w:p>
        </w:tc>
      </w:tr>
      <w:tr>
        <w:trPr>
          <w:trHeight w:val="124"/>
        </w:trPr>
        <w:tc>
          <w:tcPr>
            <w:tcW w:w="3700" w:type="dxa"/>
            <w:vAlign w:val="bottom"/>
            <w:tcBorders>
              <w:bottom w:val="single" w:sz="8" w:color="CCEEFF"/>
            </w:tcBorders>
          </w:tcPr>
          <w:p>
            <w:pPr>
              <w:ind w:left="460"/>
              <w:spacing w:after="0" w:line="124" w:lineRule="exact"/>
              <w:rPr>
                <w:sz w:val="20"/>
                <w:szCs w:val="20"/>
                <w:color w:val="auto"/>
              </w:rPr>
            </w:pPr>
            <w:r>
              <w:rPr>
                <w:rFonts w:ascii="Times New Roman" w:cs="Times New Roman" w:eastAsia="Times New Roman" w:hAnsi="Times New Roman"/>
                <w:sz w:val="10"/>
                <w:szCs w:val="10"/>
                <w:color w:val="auto"/>
              </w:rPr>
              <w:t>Total natural gas revenues</w:t>
            </w:r>
            <w:r>
              <w:rPr>
                <w:rFonts w:ascii="Times New Roman" w:cs="Times New Roman" w:eastAsia="Times New Roman" w:hAnsi="Times New Roman"/>
                <w:sz w:val="12"/>
                <w:szCs w:val="12"/>
                <w:color w:val="auto"/>
                <w:vertAlign w:val="superscript"/>
              </w:rPr>
              <w:t>(g)</w:t>
            </w:r>
          </w:p>
        </w:tc>
        <w:tc>
          <w:tcPr>
            <w:tcW w:w="96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0"/>
                <w:szCs w:val="10"/>
                <w:color w:val="auto"/>
              </w:rPr>
              <w:t>40,919</w:t>
            </w:r>
          </w:p>
        </w:tc>
        <w:tc>
          <w:tcPr>
            <w:tcW w:w="100" w:type="dxa"/>
            <w:vAlign w:val="bottom"/>
            <w:tcBorders>
              <w:bottom w:val="single" w:sz="8" w:color="CCEEFF"/>
            </w:tcBorders>
          </w:tcPr>
          <w:p>
            <w:pPr>
              <w:spacing w:after="0"/>
              <w:rPr>
                <w:sz w:val="10"/>
                <w:szCs w:val="10"/>
                <w:color w:val="auto"/>
              </w:rPr>
            </w:pPr>
          </w:p>
        </w:tc>
        <w:tc>
          <w:tcPr>
            <w:tcW w:w="40" w:type="dxa"/>
            <w:vAlign w:val="bottom"/>
            <w:tcBorders>
              <w:top w:val="single" w:sz="8" w:color="auto"/>
              <w:bottom w:val="single" w:sz="8" w:color="auto"/>
            </w:tcBorders>
          </w:tcPr>
          <w:p>
            <w:pPr>
              <w:spacing w:after="0"/>
              <w:rPr>
                <w:sz w:val="10"/>
                <w:szCs w:val="10"/>
                <w:color w:val="auto"/>
              </w:rPr>
            </w:pPr>
          </w:p>
        </w:tc>
        <w:tc>
          <w:tcPr>
            <w:tcW w:w="100" w:type="dxa"/>
            <w:vAlign w:val="bottom"/>
            <w:tcBorders>
              <w:top w:val="single" w:sz="8" w:color="auto"/>
              <w:bottom w:val="single" w:sz="8" w:color="auto"/>
            </w:tcBorders>
          </w:tcPr>
          <w:p>
            <w:pPr>
              <w:spacing w:after="0"/>
              <w:rPr>
                <w:sz w:val="10"/>
                <w:szCs w:val="10"/>
                <w:color w:val="auto"/>
              </w:rPr>
            </w:pPr>
          </w:p>
        </w:tc>
        <w:tc>
          <w:tcPr>
            <w:tcW w:w="82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0"/>
                <w:szCs w:val="10"/>
                <w:color w:val="auto"/>
              </w:rPr>
              <w:t>39,493</w:t>
            </w:r>
          </w:p>
        </w:tc>
        <w:tc>
          <w:tcPr>
            <w:tcW w:w="80" w:type="dxa"/>
            <w:vAlign w:val="bottom"/>
            <w:tcBorders>
              <w:bottom w:val="single" w:sz="8" w:color="CCEEFF"/>
            </w:tcBorders>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1000" w:type="dxa"/>
            <w:vAlign w:val="bottom"/>
            <w:tcBorders>
              <w:bottom w:val="single" w:sz="8" w:color="CCEEFF"/>
            </w:tcBorders>
            <w:gridSpan w:val="4"/>
          </w:tcPr>
          <w:p>
            <w:pPr>
              <w:jc w:val="right"/>
              <w:ind w:right="20"/>
              <w:spacing w:after="0" w:line="107" w:lineRule="exact"/>
              <w:rPr>
                <w:sz w:val="20"/>
                <w:szCs w:val="20"/>
                <w:color w:val="auto"/>
              </w:rPr>
            </w:pPr>
            <w:r>
              <w:rPr>
                <w:rFonts w:ascii="Times New Roman" w:cs="Times New Roman" w:eastAsia="Times New Roman" w:hAnsi="Times New Roman"/>
                <w:sz w:val="10"/>
                <w:szCs w:val="10"/>
                <w:color w:val="auto"/>
              </w:rPr>
              <w:t>3.6 %</w:t>
            </w:r>
          </w:p>
        </w:tc>
        <w:tc>
          <w:tcPr>
            <w:tcW w:w="80" w:type="dxa"/>
            <w:vAlign w:val="bottom"/>
            <w:tcBorders>
              <w:bottom w:val="single" w:sz="8" w:color="CCEEFF"/>
            </w:tcBorders>
          </w:tcPr>
          <w:p>
            <w:pPr>
              <w:spacing w:after="0"/>
              <w:rPr>
                <w:sz w:val="10"/>
                <w:szCs w:val="10"/>
                <w:color w:val="auto"/>
              </w:rPr>
            </w:pPr>
          </w:p>
        </w:tc>
        <w:tc>
          <w:tcPr>
            <w:tcW w:w="1060" w:type="dxa"/>
            <w:vAlign w:val="bottom"/>
            <w:tcBorders>
              <w:bottom w:val="single" w:sz="8" w:color="CCEEFF"/>
            </w:tcBorders>
          </w:tcPr>
          <w:p>
            <w:pPr>
              <w:jc w:val="right"/>
              <w:spacing w:after="0" w:line="107" w:lineRule="exact"/>
              <w:rPr>
                <w:sz w:val="20"/>
                <w:szCs w:val="20"/>
                <w:color w:val="auto"/>
              </w:rPr>
            </w:pPr>
            <w:r>
              <w:rPr>
                <w:rFonts w:ascii="Times New Roman" w:cs="Times New Roman" w:eastAsia="Times New Roman" w:hAnsi="Times New Roman"/>
                <w:sz w:val="10"/>
                <w:szCs w:val="10"/>
                <w:color w:val="auto"/>
              </w:rPr>
              <w:t>0.7 %</w:t>
            </w:r>
          </w:p>
        </w:tc>
        <w:tc>
          <w:tcPr>
            <w:tcW w:w="100" w:type="dxa"/>
            <w:vAlign w:val="bottom"/>
            <w:tcBorders>
              <w:bottom w:val="single" w:sz="8" w:color="CCEEFF"/>
            </w:tcBorders>
          </w:tcPr>
          <w:p>
            <w:pPr>
              <w:spacing w:after="0"/>
              <w:rPr>
                <w:sz w:val="10"/>
                <w:szCs w:val="10"/>
                <w:color w:val="auto"/>
              </w:rPr>
            </w:pPr>
          </w:p>
        </w:tc>
        <w:tc>
          <w:tcPr>
            <w:tcW w:w="60" w:type="dxa"/>
            <w:vAlign w:val="bottom"/>
            <w:tcBorders>
              <w:top w:val="single" w:sz="8" w:color="auto"/>
              <w:bottom w:val="single" w:sz="8" w:color="auto"/>
            </w:tcBorders>
          </w:tcPr>
          <w:p>
            <w:pPr>
              <w:spacing w:after="0"/>
              <w:rPr>
                <w:sz w:val="10"/>
                <w:szCs w:val="10"/>
                <w:color w:val="auto"/>
              </w:rPr>
            </w:pPr>
          </w:p>
        </w:tc>
        <w:tc>
          <w:tcPr>
            <w:tcW w:w="100" w:type="dxa"/>
            <w:vAlign w:val="bottom"/>
            <w:tcBorders>
              <w:top w:val="single" w:sz="8" w:color="auto"/>
              <w:bottom w:val="single" w:sz="8" w:color="auto"/>
            </w:tcBorders>
          </w:tcPr>
          <w:p>
            <w:pPr>
              <w:spacing w:after="0"/>
              <w:rPr>
                <w:sz w:val="10"/>
                <w:szCs w:val="1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409</w:t>
            </w:r>
          </w:p>
        </w:tc>
        <w:tc>
          <w:tcPr>
            <w:tcW w:w="100" w:type="dxa"/>
            <w:vAlign w:val="bottom"/>
            <w:tcBorders>
              <w:bottom w:val="single" w:sz="8" w:color="CCEEFF"/>
            </w:tcBorders>
          </w:tcPr>
          <w:p>
            <w:pPr>
              <w:spacing w:after="0"/>
              <w:rPr>
                <w:sz w:val="10"/>
                <w:szCs w:val="10"/>
                <w:color w:val="auto"/>
              </w:rPr>
            </w:pPr>
          </w:p>
        </w:tc>
        <w:tc>
          <w:tcPr>
            <w:tcW w:w="60" w:type="dxa"/>
            <w:vAlign w:val="bottom"/>
            <w:tcBorders>
              <w:top w:val="single" w:sz="8" w:color="auto"/>
              <w:bottom w:val="single" w:sz="8" w:color="auto"/>
            </w:tcBorders>
          </w:tcPr>
          <w:p>
            <w:pPr>
              <w:spacing w:after="0"/>
              <w:rPr>
                <w:sz w:val="10"/>
                <w:szCs w:val="10"/>
                <w:color w:val="auto"/>
              </w:rPr>
            </w:pPr>
          </w:p>
        </w:tc>
        <w:tc>
          <w:tcPr>
            <w:tcW w:w="90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0"/>
                <w:szCs w:val="10"/>
                <w:color w:val="auto"/>
              </w:rPr>
              <w:t>376</w:t>
            </w:r>
          </w:p>
        </w:tc>
        <w:tc>
          <w:tcPr>
            <w:tcW w:w="80" w:type="dxa"/>
            <w:vAlign w:val="bottom"/>
            <w:tcBorders>
              <w:bottom w:val="single" w:sz="8" w:color="CCEEFF"/>
            </w:tcBorders>
          </w:tcPr>
          <w:p>
            <w:pPr>
              <w:spacing w:after="0"/>
              <w:rPr>
                <w:sz w:val="10"/>
                <w:szCs w:val="10"/>
                <w:color w:val="auto"/>
              </w:rPr>
            </w:pPr>
          </w:p>
        </w:tc>
        <w:tc>
          <w:tcPr>
            <w:tcW w:w="20" w:type="dxa"/>
            <w:vAlign w:val="bottom"/>
            <w:tcBorders>
              <w:bottom w:val="single" w:sz="8" w:color="CCEEFF"/>
            </w:tcBorders>
          </w:tcPr>
          <w:p>
            <w:pPr>
              <w:spacing w:after="0"/>
              <w:rPr>
                <w:sz w:val="10"/>
                <w:szCs w:val="10"/>
                <w:color w:val="auto"/>
              </w:rPr>
            </w:pPr>
          </w:p>
        </w:tc>
        <w:tc>
          <w:tcPr>
            <w:tcW w:w="1060" w:type="dxa"/>
            <w:vAlign w:val="bottom"/>
            <w:tcBorders>
              <w:bottom w:val="single" w:sz="8" w:color="CCEEFF"/>
            </w:tcBorders>
            <w:gridSpan w:val="2"/>
          </w:tcPr>
          <w:p>
            <w:pPr>
              <w:jc w:val="right"/>
              <w:spacing w:after="0" w:line="107" w:lineRule="exact"/>
              <w:rPr>
                <w:sz w:val="20"/>
                <w:szCs w:val="20"/>
                <w:color w:val="auto"/>
              </w:rPr>
            </w:pPr>
            <w:r>
              <w:rPr>
                <w:rFonts w:ascii="Times New Roman" w:cs="Times New Roman" w:eastAsia="Times New Roman" w:hAnsi="Times New Roman"/>
                <w:sz w:val="10"/>
                <w:szCs w:val="10"/>
                <w:color w:val="auto"/>
              </w:rPr>
              <w:t>8.8 %</w:t>
            </w:r>
          </w:p>
        </w:tc>
        <w:tc>
          <w:tcPr>
            <w:tcW w:w="0" w:type="dxa"/>
            <w:vAlign w:val="bottom"/>
          </w:tcPr>
          <w:p>
            <w:pPr>
              <w:spacing w:after="0"/>
              <w:rPr>
                <w:sz w:val="1"/>
                <w:szCs w:val="1"/>
                <w:color w:val="auto"/>
              </w:rPr>
            </w:pPr>
          </w:p>
        </w:tc>
      </w:tr>
      <w:tr>
        <w:trPr>
          <w:trHeight w:val="124"/>
        </w:trPr>
        <w:tc>
          <w:tcPr>
            <w:tcW w:w="3700" w:type="dxa"/>
            <w:vAlign w:val="bottom"/>
            <w:shd w:val="clear" w:color="auto" w:fill="CCEEFF"/>
          </w:tcPr>
          <w:p>
            <w:pPr>
              <w:ind w:left="20"/>
              <w:spacing w:after="0" w:line="124" w:lineRule="exact"/>
              <w:rPr>
                <w:sz w:val="20"/>
                <w:szCs w:val="20"/>
                <w:color w:val="auto"/>
              </w:rPr>
            </w:pPr>
            <w:r>
              <w:rPr>
                <w:rFonts w:ascii="Times New Roman" w:cs="Times New Roman" w:eastAsia="Times New Roman" w:hAnsi="Times New Roman"/>
                <w:sz w:val="10"/>
                <w:szCs w:val="10"/>
                <w:b w:val="1"/>
                <w:bCs w:val="1"/>
                <w:color w:val="auto"/>
              </w:rPr>
              <w:t>Other Revenues</w:t>
            </w:r>
            <w:r>
              <w:rPr>
                <w:rFonts w:ascii="Times New Roman" w:cs="Times New Roman" w:eastAsia="Times New Roman" w:hAnsi="Times New Roman"/>
                <w:sz w:val="12"/>
                <w:szCs w:val="12"/>
                <w:b w:val="1"/>
                <w:bCs w:val="1"/>
                <w:color w:val="auto"/>
                <w:vertAlign w:val="superscript"/>
              </w:rPr>
              <w:t>(d)</w:t>
            </w: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tcBorders>
              <w:bottom w:val="single" w:sz="8" w:color="auto"/>
            </w:tcBorders>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w:t>
            </w:r>
          </w:p>
        </w:tc>
        <w:tc>
          <w:tcPr>
            <w:tcW w:w="100" w:type="dxa"/>
            <w:vAlign w:val="bottom"/>
            <w:shd w:val="clear" w:color="auto" w:fill="CCEEFF"/>
          </w:tcPr>
          <w:p>
            <w:pPr>
              <w:spacing w:after="0"/>
              <w:rPr>
                <w:sz w:val="10"/>
                <w:szCs w:val="10"/>
                <w:color w:val="auto"/>
              </w:rPr>
            </w:pPr>
          </w:p>
        </w:tc>
        <w:tc>
          <w:tcPr>
            <w:tcW w:w="60" w:type="dxa"/>
            <w:vAlign w:val="bottom"/>
            <w:tcBorders>
              <w:bottom w:val="single" w:sz="8" w:color="auto"/>
            </w:tcBorders>
            <w:shd w:val="clear" w:color="auto" w:fill="CCEEFF"/>
          </w:tcPr>
          <w:p>
            <w:pPr>
              <w:spacing w:after="0"/>
              <w:rPr>
                <w:sz w:val="10"/>
                <w:szCs w:val="10"/>
                <w:color w:val="auto"/>
              </w:rPr>
            </w:pPr>
          </w:p>
        </w:tc>
        <w:tc>
          <w:tcPr>
            <w:tcW w:w="90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w:t>
            </w: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80" w:type="dxa"/>
            <w:vAlign w:val="bottom"/>
            <w:shd w:val="clear" w:color="auto" w:fill="CCEEFF"/>
          </w:tcPr>
          <w:p>
            <w:pPr>
              <w:jc w:val="right"/>
              <w:spacing w:after="0" w:line="107" w:lineRule="exact"/>
              <w:rPr>
                <w:sz w:val="20"/>
                <w:szCs w:val="20"/>
                <w:color w:val="auto"/>
              </w:rPr>
            </w:pPr>
            <w:r>
              <w:rPr>
                <w:rFonts w:ascii="Times New Roman" w:cs="Times New Roman" w:eastAsia="Times New Roman" w:hAnsi="Times New Roman"/>
                <w:sz w:val="10"/>
                <w:szCs w:val="10"/>
                <w:color w:val="auto"/>
              </w:rPr>
              <w:t>— %</w:t>
            </w:r>
          </w:p>
        </w:tc>
        <w:tc>
          <w:tcPr>
            <w:tcW w:w="0" w:type="dxa"/>
            <w:vAlign w:val="bottom"/>
          </w:tcPr>
          <w:p>
            <w:pPr>
              <w:spacing w:after="0"/>
              <w:rPr>
                <w:sz w:val="1"/>
                <w:szCs w:val="1"/>
                <w:color w:val="auto"/>
              </w:rPr>
            </w:pPr>
          </w:p>
        </w:tc>
      </w:tr>
      <w:tr>
        <w:trPr>
          <w:trHeight w:val="118"/>
        </w:trPr>
        <w:tc>
          <w:tcPr>
            <w:tcW w:w="3700" w:type="dxa"/>
            <w:vAlign w:val="bottom"/>
            <w:tcBorders>
              <w:bottom w:val="single" w:sz="8" w:color="CCEEFF"/>
            </w:tcBorders>
          </w:tcPr>
          <w:p>
            <w:pPr>
              <w:ind w:left="460"/>
              <w:spacing w:after="0" w:line="107" w:lineRule="exact"/>
              <w:rPr>
                <w:sz w:val="20"/>
                <w:szCs w:val="20"/>
                <w:color w:val="auto"/>
              </w:rPr>
            </w:pPr>
            <w:r>
              <w:rPr>
                <w:rFonts w:ascii="Times New Roman" w:cs="Times New Roman" w:eastAsia="Times New Roman" w:hAnsi="Times New Roman"/>
                <w:sz w:val="10"/>
                <w:szCs w:val="10"/>
                <w:color w:val="auto"/>
              </w:rPr>
              <w:t>Total natural gas revenues</w:t>
            </w:r>
          </w:p>
        </w:tc>
        <w:tc>
          <w:tcPr>
            <w:tcW w:w="4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84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4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26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48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20" w:type="dxa"/>
            <w:vAlign w:val="bottom"/>
            <w:tcBorders>
              <w:bottom w:val="single" w:sz="8" w:color="CCEEFF"/>
            </w:tcBorders>
          </w:tcPr>
          <w:p>
            <w:pPr>
              <w:spacing w:after="0"/>
              <w:rPr>
                <w:sz w:val="10"/>
                <w:szCs w:val="10"/>
                <w:color w:val="auto"/>
              </w:rPr>
            </w:pPr>
          </w:p>
        </w:tc>
        <w:tc>
          <w:tcPr>
            <w:tcW w:w="78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106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410</w:t>
            </w:r>
          </w:p>
        </w:tc>
        <w:tc>
          <w:tcPr>
            <w:tcW w:w="100" w:type="dxa"/>
            <w:vAlign w:val="bottom"/>
            <w:tcBorders>
              <w:bottom w:val="single" w:sz="8" w:color="CCEEFF"/>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0"/>
                <w:szCs w:val="10"/>
                <w:color w:val="auto"/>
              </w:rPr>
              <w:t>377</w:t>
            </w:r>
          </w:p>
        </w:tc>
        <w:tc>
          <w:tcPr>
            <w:tcW w:w="80" w:type="dxa"/>
            <w:vAlign w:val="bottom"/>
            <w:tcBorders>
              <w:bottom w:val="single" w:sz="8" w:color="CCEEFF"/>
            </w:tcBorders>
          </w:tcPr>
          <w:p>
            <w:pPr>
              <w:spacing w:after="0"/>
              <w:rPr>
                <w:sz w:val="10"/>
                <w:szCs w:val="10"/>
                <w:color w:val="auto"/>
              </w:rPr>
            </w:pPr>
          </w:p>
        </w:tc>
        <w:tc>
          <w:tcPr>
            <w:tcW w:w="20" w:type="dxa"/>
            <w:vAlign w:val="bottom"/>
            <w:tcBorders>
              <w:bottom w:val="single" w:sz="8" w:color="CCEEFF"/>
            </w:tcBorders>
          </w:tcPr>
          <w:p>
            <w:pPr>
              <w:spacing w:after="0"/>
              <w:rPr>
                <w:sz w:val="10"/>
                <w:szCs w:val="10"/>
                <w:color w:val="auto"/>
              </w:rPr>
            </w:pPr>
          </w:p>
        </w:tc>
        <w:tc>
          <w:tcPr>
            <w:tcW w:w="1060" w:type="dxa"/>
            <w:vAlign w:val="bottom"/>
            <w:tcBorders>
              <w:bottom w:val="single" w:sz="8" w:color="CCEEFF"/>
            </w:tcBorders>
            <w:gridSpan w:val="2"/>
          </w:tcPr>
          <w:p>
            <w:pPr>
              <w:jc w:val="right"/>
              <w:spacing w:after="0" w:line="107" w:lineRule="exact"/>
              <w:rPr>
                <w:sz w:val="20"/>
                <w:szCs w:val="20"/>
                <w:color w:val="auto"/>
              </w:rPr>
            </w:pPr>
            <w:r>
              <w:rPr>
                <w:rFonts w:ascii="Times New Roman" w:cs="Times New Roman" w:eastAsia="Times New Roman" w:hAnsi="Times New Roman"/>
                <w:sz w:val="10"/>
                <w:szCs w:val="10"/>
                <w:color w:val="auto"/>
              </w:rPr>
              <w:t>8.8 %</w:t>
            </w:r>
          </w:p>
        </w:tc>
        <w:tc>
          <w:tcPr>
            <w:tcW w:w="0" w:type="dxa"/>
            <w:vAlign w:val="bottom"/>
          </w:tcPr>
          <w:p>
            <w:pPr>
              <w:spacing w:after="0"/>
              <w:rPr>
                <w:sz w:val="1"/>
                <w:szCs w:val="1"/>
                <w:color w:val="auto"/>
              </w:rPr>
            </w:pPr>
          </w:p>
        </w:tc>
      </w:tr>
      <w:tr>
        <w:trPr>
          <w:trHeight w:val="157"/>
        </w:trPr>
        <w:tc>
          <w:tcPr>
            <w:tcW w:w="370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0"/>
                <w:szCs w:val="10"/>
                <w:color w:val="auto"/>
              </w:rPr>
              <w:t>Total electric and natural gas revenues</w:t>
            </w:r>
          </w:p>
        </w:tc>
        <w:tc>
          <w:tcPr>
            <w:tcW w:w="4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4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7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0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0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1,492</w:t>
            </w:r>
          </w:p>
        </w:tc>
        <w:tc>
          <w:tcPr>
            <w:tcW w:w="10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90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1,333</w:t>
            </w:r>
          </w:p>
        </w:tc>
        <w:tc>
          <w:tcPr>
            <w:tcW w:w="8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11.9 %</w:t>
            </w:r>
          </w:p>
        </w:tc>
        <w:tc>
          <w:tcPr>
            <w:tcW w:w="0" w:type="dxa"/>
            <w:vAlign w:val="bottom"/>
          </w:tcPr>
          <w:p>
            <w:pPr>
              <w:spacing w:after="0"/>
              <w:rPr>
                <w:sz w:val="1"/>
                <w:szCs w:val="1"/>
                <w:color w:val="auto"/>
              </w:rPr>
            </w:pPr>
          </w:p>
        </w:tc>
      </w:tr>
      <w:tr>
        <w:trPr>
          <w:trHeight w:val="124"/>
        </w:trPr>
        <w:tc>
          <w:tcPr>
            <w:tcW w:w="370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Purchased Power and Fuel</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00" w:type="dxa"/>
            <w:vAlign w:val="bottom"/>
            <w:tcBorders>
              <w:top w:val="single" w:sz="8" w:color="auto"/>
              <w:bottom w:val="single" w:sz="8" w:color="auto"/>
            </w:tcBorders>
          </w:tcPr>
          <w:p>
            <w:pPr>
              <w:spacing w:after="0"/>
              <w:rPr>
                <w:sz w:val="10"/>
                <w:szCs w:val="1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612</w:t>
            </w:r>
          </w:p>
        </w:tc>
        <w:tc>
          <w:tcPr>
            <w:tcW w:w="100" w:type="dxa"/>
            <w:vAlign w:val="bottom"/>
          </w:tcPr>
          <w:p>
            <w:pPr>
              <w:spacing w:after="0"/>
              <w:rPr>
                <w:sz w:val="10"/>
                <w:szCs w:val="10"/>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90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0"/>
                <w:szCs w:val="10"/>
                <w:color w:val="auto"/>
              </w:rPr>
              <w:t>502</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21.9 %</w:t>
            </w: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7"/>
        </w:trPr>
        <w:tc>
          <w:tcPr>
            <w:tcW w:w="3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gridSpan w:val="5"/>
          </w:tcPr>
          <w:p>
            <w:pPr>
              <w:ind w:left="340"/>
              <w:spacing w:after="0"/>
              <w:rPr>
                <w:sz w:val="20"/>
                <w:szCs w:val="20"/>
                <w:color w:val="auto"/>
              </w:rPr>
            </w:pPr>
            <w:r>
              <w:rPr>
                <w:rFonts w:ascii="Times New Roman" w:cs="Times New Roman" w:eastAsia="Times New Roman" w:hAnsi="Times New Roman"/>
                <w:sz w:val="10"/>
                <w:szCs w:val="10"/>
                <w:b w:val="1"/>
                <w:bCs w:val="1"/>
                <w:color w:val="auto"/>
              </w:rPr>
              <w:t>% Change</w:t>
            </w:r>
          </w:p>
        </w:tc>
        <w:tc>
          <w:tcPr>
            <w:tcW w:w="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370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Heating and Cooling Degree-Days</w:t>
            </w:r>
          </w:p>
        </w:tc>
        <w:tc>
          <w:tcPr>
            <w:tcW w:w="960" w:type="dxa"/>
            <w:vAlign w:val="bottom"/>
            <w:gridSpan w:val="3"/>
          </w:tcPr>
          <w:p>
            <w:pPr>
              <w:jc w:val="right"/>
              <w:ind w:right="72"/>
              <w:spacing w:after="0"/>
              <w:rPr>
                <w:sz w:val="20"/>
                <w:szCs w:val="20"/>
                <w:color w:val="auto"/>
              </w:rPr>
            </w:pPr>
            <w:r>
              <w:rPr>
                <w:rFonts w:ascii="Times New Roman" w:cs="Times New Roman" w:eastAsia="Times New Roman" w:hAnsi="Times New Roman"/>
                <w:sz w:val="10"/>
                <w:szCs w:val="10"/>
                <w:b w:val="1"/>
                <w:bCs w:val="1"/>
                <w:color w:val="auto"/>
              </w:rPr>
              <w:t>2026</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jc w:val="right"/>
              <w:ind w:right="552"/>
              <w:spacing w:after="0"/>
              <w:rPr>
                <w:sz w:val="20"/>
                <w:szCs w:val="20"/>
                <w:color w:val="auto"/>
              </w:rPr>
            </w:pPr>
            <w:r>
              <w:rPr>
                <w:rFonts w:ascii="Times New Roman" w:cs="Times New Roman" w:eastAsia="Times New Roman" w:hAnsi="Times New Roman"/>
                <w:sz w:val="10"/>
                <w:szCs w:val="10"/>
                <w:b w:val="1"/>
                <w:bCs w:val="1"/>
                <w:color w:val="auto"/>
                <w:w w:val="89"/>
              </w:rPr>
              <w:t>2025</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20" w:type="dxa"/>
            <w:vAlign w:val="bottom"/>
            <w:gridSpan w:val="4"/>
          </w:tcPr>
          <w:p>
            <w:pPr>
              <w:ind w:left="360"/>
              <w:spacing w:after="0"/>
              <w:rPr>
                <w:sz w:val="20"/>
                <w:szCs w:val="20"/>
                <w:color w:val="auto"/>
              </w:rPr>
            </w:pPr>
            <w:r>
              <w:rPr>
                <w:rFonts w:ascii="Times New Roman" w:cs="Times New Roman" w:eastAsia="Times New Roman" w:hAnsi="Times New Roman"/>
                <w:sz w:val="10"/>
                <w:szCs w:val="10"/>
                <w:b w:val="1"/>
                <w:bCs w:val="1"/>
                <w:color w:val="auto"/>
              </w:rPr>
              <w:t>Normal</w:t>
            </w: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0"/>
                <w:szCs w:val="10"/>
                <w:b w:val="1"/>
                <w:bCs w:val="1"/>
                <w:color w:val="auto"/>
              </w:rPr>
              <w:t>From 2025</w:t>
            </w: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60" w:type="dxa"/>
            <w:vAlign w:val="bottom"/>
            <w:gridSpan w:val="2"/>
          </w:tcPr>
          <w:p>
            <w:pPr>
              <w:jc w:val="right"/>
              <w:ind w:right="392"/>
              <w:spacing w:after="0"/>
              <w:rPr>
                <w:sz w:val="20"/>
                <w:szCs w:val="20"/>
                <w:color w:val="auto"/>
              </w:rPr>
            </w:pPr>
            <w:r>
              <w:rPr>
                <w:rFonts w:ascii="Times New Roman" w:cs="Times New Roman" w:eastAsia="Times New Roman" w:hAnsi="Times New Roman"/>
                <w:sz w:val="10"/>
                <w:szCs w:val="10"/>
                <w:b w:val="1"/>
                <w:bCs w:val="1"/>
                <w:color w:val="auto"/>
              </w:rPr>
              <w:t>From Normal</w:t>
            </w:r>
          </w:p>
        </w:tc>
        <w:tc>
          <w:tcPr>
            <w:tcW w:w="0" w:type="dxa"/>
            <w:vAlign w:val="bottom"/>
          </w:tcPr>
          <w:p>
            <w:pPr>
              <w:spacing w:after="0"/>
              <w:rPr>
                <w:sz w:val="1"/>
                <w:szCs w:val="1"/>
                <w:color w:val="auto"/>
              </w:rPr>
            </w:pPr>
          </w:p>
        </w:tc>
      </w:tr>
      <w:tr>
        <w:trPr>
          <w:trHeight w:val="129"/>
        </w:trPr>
        <w:tc>
          <w:tcPr>
            <w:tcW w:w="3700" w:type="dxa"/>
            <w:vAlign w:val="bottom"/>
            <w:tcBorders>
              <w:top w:val="single" w:sz="8" w:color="CCEEFF"/>
            </w:tcBorders>
            <w:shd w:val="clear" w:color="auto" w:fill="CCEEFF"/>
          </w:tcPr>
          <w:p>
            <w:pPr>
              <w:ind w:left="220"/>
              <w:spacing w:after="0" w:line="112" w:lineRule="exact"/>
              <w:rPr>
                <w:sz w:val="20"/>
                <w:szCs w:val="20"/>
                <w:color w:val="auto"/>
              </w:rPr>
            </w:pPr>
            <w:r>
              <w:rPr>
                <w:rFonts w:ascii="Times New Roman" w:cs="Times New Roman" w:eastAsia="Times New Roman" w:hAnsi="Times New Roman"/>
                <w:sz w:val="10"/>
                <w:szCs w:val="10"/>
                <w:color w:val="auto"/>
              </w:rPr>
              <w:t>Heating Degree-Days</w:t>
            </w:r>
          </w:p>
        </w:tc>
        <w:tc>
          <w:tcPr>
            <w:tcW w:w="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88"/>
              </w:rPr>
              <w:t>2,399</w:t>
            </w:r>
          </w:p>
        </w:tc>
        <w:tc>
          <w:tcPr>
            <w:tcW w:w="8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8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2,351</w:t>
            </w: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122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2,359</w:t>
            </w:r>
          </w:p>
        </w:tc>
        <w:tc>
          <w:tcPr>
            <w:tcW w:w="100" w:type="dxa"/>
            <w:vAlign w:val="bottom"/>
            <w:tcBorders>
              <w:top w:val="single" w:sz="8" w:color="CCEEFF"/>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2.0 %</w:t>
            </w:r>
          </w:p>
        </w:tc>
        <w:tc>
          <w:tcPr>
            <w:tcW w:w="100" w:type="dxa"/>
            <w:vAlign w:val="bottom"/>
            <w:tcBorders>
              <w:top w:val="single" w:sz="8" w:color="CCEEFF"/>
            </w:tcBorders>
            <w:shd w:val="clear" w:color="auto" w:fill="CCEEFF"/>
          </w:tcPr>
          <w:p>
            <w:pPr>
              <w:spacing w:after="0"/>
              <w:rPr>
                <w:sz w:val="11"/>
                <w:szCs w:val="11"/>
                <w:color w:val="auto"/>
              </w:rPr>
            </w:pPr>
          </w:p>
        </w:tc>
        <w:tc>
          <w:tcPr>
            <w:tcW w:w="3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c>
          <w:tcPr>
            <w:tcW w:w="10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1.7 %</w:t>
            </w:r>
          </w:p>
        </w:tc>
        <w:tc>
          <w:tcPr>
            <w:tcW w:w="0" w:type="dxa"/>
            <w:vAlign w:val="bottom"/>
          </w:tcPr>
          <w:p>
            <w:pPr>
              <w:spacing w:after="0"/>
              <w:rPr>
                <w:sz w:val="1"/>
                <w:szCs w:val="1"/>
                <w:color w:val="auto"/>
              </w:rPr>
            </w:pPr>
          </w:p>
        </w:tc>
      </w:tr>
      <w:tr>
        <w:trPr>
          <w:trHeight w:val="123"/>
        </w:trPr>
        <w:tc>
          <w:tcPr>
            <w:tcW w:w="3700" w:type="dxa"/>
            <w:vAlign w:val="bottom"/>
          </w:tcPr>
          <w:p>
            <w:pPr>
              <w:ind w:left="220"/>
              <w:spacing w:after="0"/>
              <w:rPr>
                <w:sz w:val="20"/>
                <w:szCs w:val="20"/>
                <w:color w:val="auto"/>
              </w:rPr>
            </w:pPr>
            <w:r>
              <w:rPr>
                <w:rFonts w:ascii="Times New Roman" w:cs="Times New Roman" w:eastAsia="Times New Roman" w:hAnsi="Times New Roman"/>
                <w:sz w:val="10"/>
                <w:szCs w:val="10"/>
                <w:color w:val="auto"/>
              </w:rPr>
              <w:t>Cooling Degree-Days</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w:t>
            </w: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1</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0"/>
                <w:szCs w:val="10"/>
                <w:color w:val="auto"/>
              </w:rPr>
              <w:t>1</w:t>
            </w: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900.0 %</w:t>
            </w: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900.0 %</w:t>
            </w:r>
          </w:p>
        </w:tc>
        <w:tc>
          <w:tcPr>
            <w:tcW w:w="0" w:type="dxa"/>
            <w:vAlign w:val="bottom"/>
          </w:tcPr>
          <w:p>
            <w:pPr>
              <w:spacing w:after="0"/>
              <w:rPr>
                <w:sz w:val="1"/>
                <w:szCs w:val="1"/>
                <w:color w:val="auto"/>
              </w:rPr>
            </w:pPr>
          </w:p>
        </w:tc>
      </w:tr>
      <w:tr>
        <w:trPr>
          <w:trHeight w:val="381"/>
        </w:trPr>
        <w:tc>
          <w:tcPr>
            <w:tcW w:w="370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Number of Electric Customers</w:t>
            </w:r>
          </w:p>
        </w:tc>
        <w:tc>
          <w:tcPr>
            <w:tcW w:w="960" w:type="dxa"/>
            <w:vAlign w:val="bottom"/>
            <w:gridSpan w:val="3"/>
          </w:tcPr>
          <w:p>
            <w:pPr>
              <w:jc w:val="right"/>
              <w:ind w:right="212"/>
              <w:spacing w:after="0"/>
              <w:rPr>
                <w:sz w:val="20"/>
                <w:szCs w:val="20"/>
                <w:color w:val="auto"/>
              </w:rPr>
            </w:pPr>
            <w:r>
              <w:rPr>
                <w:rFonts w:ascii="Times New Roman" w:cs="Times New Roman" w:eastAsia="Times New Roman" w:hAnsi="Times New Roman"/>
                <w:sz w:val="10"/>
                <w:szCs w:val="10"/>
                <w:b w:val="1"/>
                <w:bCs w:val="1"/>
                <w:color w:val="auto"/>
              </w:rPr>
              <w:t>2026</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gridSpan w:val="3"/>
          </w:tcPr>
          <w:p>
            <w:pPr>
              <w:jc w:val="right"/>
              <w:ind w:right="192"/>
              <w:spacing w:after="0"/>
              <w:rPr>
                <w:sz w:val="20"/>
                <w:szCs w:val="20"/>
                <w:color w:val="auto"/>
              </w:rPr>
            </w:pPr>
            <w:r>
              <w:rPr>
                <w:rFonts w:ascii="Times New Roman" w:cs="Times New Roman" w:eastAsia="Times New Roman" w:hAnsi="Times New Roman"/>
                <w:sz w:val="10"/>
                <w:szCs w:val="10"/>
                <w:b w:val="1"/>
                <w:bCs w:val="1"/>
                <w:color w:val="auto"/>
              </w:rPr>
              <w:t>2025</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80" w:type="dxa"/>
            <w:vAlign w:val="bottom"/>
            <w:gridSpan w:val="8"/>
          </w:tcPr>
          <w:p>
            <w:pPr>
              <w:ind w:left="100"/>
              <w:spacing w:after="0"/>
              <w:rPr>
                <w:sz w:val="20"/>
                <w:szCs w:val="20"/>
                <w:color w:val="auto"/>
              </w:rPr>
            </w:pPr>
            <w:r>
              <w:rPr>
                <w:rFonts w:ascii="Times New Roman" w:cs="Times New Roman" w:eastAsia="Times New Roman" w:hAnsi="Times New Roman"/>
                <w:sz w:val="10"/>
                <w:szCs w:val="10"/>
                <w:b w:val="1"/>
                <w:bCs w:val="1"/>
                <w:color w:val="auto"/>
              </w:rPr>
              <w:t>Number of Natural Gas Customers</w:t>
            </w: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0"/>
                <w:szCs w:val="10"/>
                <w:b w:val="1"/>
                <w:bCs w:val="1"/>
                <w:color w:val="auto"/>
              </w:rPr>
              <w:t>2026</w:t>
            </w: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gridSpan w:val="2"/>
          </w:tcPr>
          <w:p>
            <w:pPr>
              <w:jc w:val="right"/>
              <w:ind w:right="352"/>
              <w:spacing w:after="0"/>
              <w:rPr>
                <w:sz w:val="20"/>
                <w:szCs w:val="20"/>
                <w:color w:val="auto"/>
              </w:rPr>
            </w:pPr>
            <w:r>
              <w:rPr>
                <w:rFonts w:ascii="Times New Roman" w:cs="Times New Roman" w:eastAsia="Times New Roman" w:hAnsi="Times New Roman"/>
                <w:sz w:val="10"/>
                <w:szCs w:val="10"/>
                <w:b w:val="1"/>
                <w:bCs w:val="1"/>
                <w:color w:val="auto"/>
              </w:rPr>
              <w:t>2025</w:t>
            </w:r>
          </w:p>
        </w:tc>
        <w:tc>
          <w:tcPr>
            <w:tcW w:w="0" w:type="dxa"/>
            <w:vAlign w:val="bottom"/>
          </w:tcPr>
          <w:p>
            <w:pPr>
              <w:spacing w:after="0"/>
              <w:rPr>
                <w:sz w:val="1"/>
                <w:szCs w:val="1"/>
                <w:color w:val="auto"/>
              </w:rPr>
            </w:pPr>
          </w:p>
        </w:tc>
      </w:tr>
      <w:tr>
        <w:trPr>
          <w:trHeight w:val="132"/>
        </w:trPr>
        <w:tc>
          <w:tcPr>
            <w:tcW w:w="370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0"/>
                <w:szCs w:val="10"/>
                <w:color w:val="auto"/>
              </w:rPr>
              <w:t>Residential</w:t>
            </w:r>
          </w:p>
        </w:tc>
        <w:tc>
          <w:tcPr>
            <w:tcW w:w="120" w:type="dxa"/>
            <w:vAlign w:val="bottom"/>
            <w:tcBorders>
              <w:top w:val="single" w:sz="8" w:color="CCEEFF"/>
            </w:tcBorders>
            <w:gridSpan w:val="2"/>
            <w:shd w:val="clear" w:color="auto" w:fill="CCEEFF"/>
          </w:tcPr>
          <w:p>
            <w:pPr>
              <w:spacing w:after="0"/>
              <w:rPr>
                <w:sz w:val="11"/>
                <w:szCs w:val="11"/>
                <w:color w:val="auto"/>
              </w:rPr>
            </w:pPr>
          </w:p>
        </w:tc>
        <w:tc>
          <w:tcPr>
            <w:tcW w:w="980" w:type="dxa"/>
            <w:vAlign w:val="bottom"/>
            <w:tcBorders>
              <w:top w:val="single" w:sz="8" w:color="auto"/>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1,544,881</w:t>
            </w:r>
          </w:p>
        </w:tc>
        <w:tc>
          <w:tcPr>
            <w:tcW w:w="100" w:type="dxa"/>
            <w:vAlign w:val="bottom"/>
            <w:tcBorders>
              <w:top w:val="single" w:sz="8" w:color="CCEEFF"/>
            </w:tcBorders>
            <w:shd w:val="clear" w:color="auto" w:fill="CCEEFF"/>
          </w:tcPr>
          <w:p>
            <w:pPr>
              <w:spacing w:after="0"/>
              <w:rPr>
                <w:sz w:val="11"/>
                <w:szCs w:val="11"/>
                <w:color w:val="auto"/>
              </w:rPr>
            </w:pPr>
          </w:p>
        </w:tc>
        <w:tc>
          <w:tcPr>
            <w:tcW w:w="960" w:type="dxa"/>
            <w:vAlign w:val="bottom"/>
            <w:tcBorders>
              <w:top w:val="single" w:sz="8" w:color="auto"/>
            </w:tcBorders>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0"/>
                <w:szCs w:val="10"/>
                <w:color w:val="auto"/>
              </w:rPr>
              <w:t>1,540,453</w:t>
            </w:r>
          </w:p>
        </w:tc>
        <w:tc>
          <w:tcPr>
            <w:tcW w:w="20" w:type="dxa"/>
            <w:vAlign w:val="bottom"/>
            <w:tcBorders>
              <w:top w:val="single" w:sz="8" w:color="auto"/>
            </w:tcBorders>
            <w:shd w:val="clear" w:color="auto" w:fill="CCEEFF"/>
          </w:tcPr>
          <w:p>
            <w:pPr>
              <w:spacing w:after="0"/>
              <w:rPr>
                <w:sz w:val="11"/>
                <w:szCs w:val="11"/>
                <w:color w:val="auto"/>
              </w:rPr>
            </w:pPr>
          </w:p>
        </w:tc>
        <w:tc>
          <w:tcPr>
            <w:tcW w:w="1060" w:type="dxa"/>
            <w:vAlign w:val="bottom"/>
            <w:tcBorders>
              <w:top w:val="single" w:sz="8" w:color="CCEEFF"/>
            </w:tcBorders>
            <w:gridSpan w:val="4"/>
            <w:shd w:val="clear" w:color="auto" w:fill="CCEEFF"/>
          </w:tcPr>
          <w:p>
            <w:pPr>
              <w:ind w:left="320"/>
              <w:spacing w:after="0"/>
              <w:rPr>
                <w:sz w:val="20"/>
                <w:szCs w:val="20"/>
                <w:color w:val="auto"/>
              </w:rPr>
            </w:pPr>
            <w:r>
              <w:rPr>
                <w:rFonts w:ascii="Times New Roman" w:cs="Times New Roman" w:eastAsia="Times New Roman" w:hAnsi="Times New Roman"/>
                <w:sz w:val="10"/>
                <w:szCs w:val="10"/>
                <w:color w:val="auto"/>
              </w:rPr>
              <w:t>Residential</w:t>
            </w:r>
          </w:p>
        </w:tc>
        <w:tc>
          <w:tcPr>
            <w:tcW w:w="10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8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980" w:type="dxa"/>
            <w:vAlign w:val="bottom"/>
            <w:tcBorders>
              <w:top w:val="single" w:sz="8" w:color="auto"/>
            </w:tcBorders>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511,085</w:t>
            </w:r>
          </w:p>
        </w:tc>
        <w:tc>
          <w:tcPr>
            <w:tcW w:w="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509,773</w:t>
            </w:r>
          </w:p>
        </w:tc>
        <w:tc>
          <w:tcPr>
            <w:tcW w:w="0" w:type="dxa"/>
            <w:vAlign w:val="bottom"/>
          </w:tcPr>
          <w:p>
            <w:pPr>
              <w:spacing w:after="0"/>
              <w:rPr>
                <w:sz w:val="1"/>
                <w:szCs w:val="1"/>
                <w:color w:val="auto"/>
              </w:rPr>
            </w:pPr>
          </w:p>
        </w:tc>
      </w:tr>
      <w:tr>
        <w:trPr>
          <w:trHeight w:val="129"/>
        </w:trPr>
        <w:tc>
          <w:tcPr>
            <w:tcW w:w="3700" w:type="dxa"/>
            <w:vAlign w:val="bottom"/>
          </w:tcPr>
          <w:p>
            <w:pPr>
              <w:ind w:left="220"/>
              <w:spacing w:after="0"/>
              <w:rPr>
                <w:sz w:val="20"/>
                <w:szCs w:val="20"/>
                <w:color w:val="auto"/>
              </w:rPr>
            </w:pPr>
            <w:r>
              <w:rPr>
                <w:rFonts w:ascii="Times New Roman" w:cs="Times New Roman" w:eastAsia="Times New Roman" w:hAnsi="Times New Roman"/>
                <w:sz w:val="10"/>
                <w:szCs w:val="10"/>
                <w:color w:val="auto"/>
              </w:rPr>
              <w:t>Small commercial &amp; industrial</w:t>
            </w:r>
          </w:p>
        </w:tc>
        <w:tc>
          <w:tcPr>
            <w:tcW w:w="1100" w:type="dxa"/>
            <w:vAlign w:val="bottom"/>
            <w:gridSpan w:val="5"/>
          </w:tcPr>
          <w:p>
            <w:pPr>
              <w:jc w:val="right"/>
              <w:ind w:right="40"/>
              <w:spacing w:after="0"/>
              <w:rPr>
                <w:sz w:val="20"/>
                <w:szCs w:val="20"/>
                <w:color w:val="auto"/>
              </w:rPr>
            </w:pPr>
            <w:r>
              <w:rPr>
                <w:rFonts w:ascii="Times New Roman" w:cs="Times New Roman" w:eastAsia="Times New Roman" w:hAnsi="Times New Roman"/>
                <w:sz w:val="10"/>
                <w:szCs w:val="10"/>
                <w:color w:val="auto"/>
              </w:rPr>
              <w:t>154,634</w:t>
            </w:r>
          </w:p>
        </w:tc>
        <w:tc>
          <w:tcPr>
            <w:tcW w:w="100" w:type="dxa"/>
            <w:vAlign w:val="bottom"/>
          </w:tcPr>
          <w:p>
            <w:pPr>
              <w:spacing w:after="0"/>
              <w:rPr>
                <w:sz w:val="11"/>
                <w:szCs w:val="11"/>
                <w:color w:val="auto"/>
              </w:rPr>
            </w:pPr>
          </w:p>
        </w:tc>
        <w:tc>
          <w:tcPr>
            <w:tcW w:w="960" w:type="dxa"/>
            <w:vAlign w:val="bottom"/>
            <w:gridSpan w:val="5"/>
          </w:tcPr>
          <w:p>
            <w:pPr>
              <w:jc w:val="right"/>
              <w:ind w:right="20"/>
              <w:spacing w:after="0"/>
              <w:rPr>
                <w:sz w:val="20"/>
                <w:szCs w:val="20"/>
                <w:color w:val="auto"/>
              </w:rPr>
            </w:pPr>
            <w:r>
              <w:rPr>
                <w:rFonts w:ascii="Times New Roman" w:cs="Times New Roman" w:eastAsia="Times New Roman" w:hAnsi="Times New Roman"/>
                <w:sz w:val="10"/>
                <w:szCs w:val="10"/>
                <w:color w:val="auto"/>
              </w:rPr>
              <w:t>155,131</w:t>
            </w:r>
          </w:p>
        </w:tc>
        <w:tc>
          <w:tcPr>
            <w:tcW w:w="20" w:type="dxa"/>
            <w:vAlign w:val="bottom"/>
          </w:tcPr>
          <w:p>
            <w:pPr>
              <w:spacing w:after="0"/>
              <w:rPr>
                <w:sz w:val="11"/>
                <w:szCs w:val="11"/>
                <w:color w:val="auto"/>
              </w:rPr>
            </w:pPr>
          </w:p>
        </w:tc>
        <w:tc>
          <w:tcPr>
            <w:tcW w:w="2380" w:type="dxa"/>
            <w:vAlign w:val="bottom"/>
            <w:gridSpan w:val="8"/>
          </w:tcPr>
          <w:p>
            <w:pPr>
              <w:ind w:left="320"/>
              <w:spacing w:after="0"/>
              <w:rPr>
                <w:sz w:val="20"/>
                <w:szCs w:val="20"/>
                <w:color w:val="auto"/>
              </w:rPr>
            </w:pPr>
            <w:r>
              <w:rPr>
                <w:rFonts w:ascii="Times New Roman" w:cs="Times New Roman" w:eastAsia="Times New Roman" w:hAnsi="Times New Roman"/>
                <w:sz w:val="10"/>
                <w:szCs w:val="10"/>
                <w:color w:val="auto"/>
              </w:rPr>
              <w:t>Small commercial &amp; industrial</w:t>
            </w: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80" w:type="dxa"/>
            <w:vAlign w:val="bottom"/>
            <w:gridSpan w:val="4"/>
          </w:tcPr>
          <w:p>
            <w:pPr>
              <w:jc w:val="right"/>
              <w:ind w:right="40"/>
              <w:spacing w:after="0"/>
              <w:rPr>
                <w:sz w:val="20"/>
                <w:szCs w:val="20"/>
                <w:color w:val="auto"/>
              </w:rPr>
            </w:pPr>
            <w:r>
              <w:rPr>
                <w:rFonts w:ascii="Times New Roman" w:cs="Times New Roman" w:eastAsia="Times New Roman" w:hAnsi="Times New Roman"/>
                <w:sz w:val="10"/>
                <w:szCs w:val="10"/>
                <w:color w:val="auto"/>
              </w:rPr>
              <w:t>44,642</w:t>
            </w:r>
          </w:p>
        </w:tc>
        <w:tc>
          <w:tcPr>
            <w:tcW w:w="20" w:type="dxa"/>
            <w:vAlign w:val="bottom"/>
          </w:tcPr>
          <w:p>
            <w:pPr>
              <w:spacing w:after="0"/>
              <w:rPr>
                <w:sz w:val="11"/>
                <w:szCs w:val="11"/>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44,869</w:t>
            </w:r>
          </w:p>
        </w:tc>
        <w:tc>
          <w:tcPr>
            <w:tcW w:w="0" w:type="dxa"/>
            <w:vAlign w:val="bottom"/>
          </w:tcPr>
          <w:p>
            <w:pPr>
              <w:spacing w:after="0"/>
              <w:rPr>
                <w:sz w:val="1"/>
                <w:szCs w:val="1"/>
                <w:color w:val="auto"/>
              </w:rPr>
            </w:pPr>
          </w:p>
        </w:tc>
      </w:tr>
      <w:tr>
        <w:trPr>
          <w:trHeight w:val="141"/>
        </w:trPr>
        <w:tc>
          <w:tcPr>
            <w:tcW w:w="3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0"/>
                <w:szCs w:val="10"/>
                <w:color w:val="auto"/>
              </w:rPr>
              <w:t>Large commercial &amp; industrial</w:t>
            </w:r>
          </w:p>
        </w:tc>
        <w:tc>
          <w:tcPr>
            <w:tcW w:w="110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3,149</w:t>
            </w:r>
          </w:p>
        </w:tc>
        <w:tc>
          <w:tcPr>
            <w:tcW w:w="100" w:type="dxa"/>
            <w:vAlign w:val="bottom"/>
            <w:shd w:val="clear" w:color="auto" w:fill="CCEEFF"/>
          </w:tcPr>
          <w:p>
            <w:pPr>
              <w:spacing w:after="0"/>
              <w:rPr>
                <w:sz w:val="12"/>
                <w:szCs w:val="12"/>
                <w:color w:val="auto"/>
              </w:rPr>
            </w:pPr>
          </w:p>
        </w:tc>
        <w:tc>
          <w:tcPr>
            <w:tcW w:w="960" w:type="dxa"/>
            <w:vAlign w:val="bottom"/>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0"/>
                <w:szCs w:val="10"/>
                <w:color w:val="auto"/>
              </w:rPr>
              <w:t>3,151</w:t>
            </w:r>
          </w:p>
        </w:tc>
        <w:tc>
          <w:tcPr>
            <w:tcW w:w="20" w:type="dxa"/>
            <w:vAlign w:val="bottom"/>
            <w:shd w:val="clear" w:color="auto" w:fill="CCEEFF"/>
          </w:tcPr>
          <w:p>
            <w:pPr>
              <w:spacing w:after="0"/>
              <w:rPr>
                <w:sz w:val="12"/>
                <w:szCs w:val="12"/>
                <w:color w:val="auto"/>
              </w:rPr>
            </w:pPr>
          </w:p>
        </w:tc>
        <w:tc>
          <w:tcPr>
            <w:tcW w:w="2380" w:type="dxa"/>
            <w:vAlign w:val="bottom"/>
            <w:gridSpan w:val="8"/>
            <w:shd w:val="clear" w:color="auto" w:fill="CCEEFF"/>
          </w:tcPr>
          <w:p>
            <w:pPr>
              <w:ind w:left="320"/>
              <w:spacing w:after="0"/>
              <w:rPr>
                <w:sz w:val="20"/>
                <w:szCs w:val="20"/>
                <w:color w:val="auto"/>
              </w:rPr>
            </w:pPr>
            <w:r>
              <w:rPr>
                <w:rFonts w:ascii="Times New Roman" w:cs="Times New Roman" w:eastAsia="Times New Roman" w:hAnsi="Times New Roman"/>
                <w:sz w:val="10"/>
                <w:szCs w:val="10"/>
                <w:color w:val="auto"/>
              </w:rPr>
              <w:t>Large commercial &amp; industrial</w:t>
            </w: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8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7</w:t>
            </w:r>
          </w:p>
        </w:tc>
        <w:tc>
          <w:tcPr>
            <w:tcW w:w="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w:t>
            </w:r>
          </w:p>
        </w:tc>
        <w:tc>
          <w:tcPr>
            <w:tcW w:w="0" w:type="dxa"/>
            <w:vAlign w:val="bottom"/>
          </w:tcPr>
          <w:p>
            <w:pPr>
              <w:spacing w:after="0"/>
              <w:rPr>
                <w:sz w:val="1"/>
                <w:szCs w:val="1"/>
                <w:color w:val="auto"/>
              </w:rPr>
            </w:pPr>
          </w:p>
        </w:tc>
      </w:tr>
      <w:tr>
        <w:trPr>
          <w:trHeight w:val="129"/>
        </w:trPr>
        <w:tc>
          <w:tcPr>
            <w:tcW w:w="3700" w:type="dxa"/>
            <w:vAlign w:val="bottom"/>
          </w:tcPr>
          <w:p>
            <w:pPr>
              <w:ind w:left="220"/>
              <w:spacing w:after="0"/>
              <w:rPr>
                <w:sz w:val="20"/>
                <w:szCs w:val="20"/>
                <w:color w:val="auto"/>
              </w:rPr>
            </w:pPr>
            <w:r>
              <w:rPr>
                <w:rFonts w:ascii="Times New Roman" w:cs="Times New Roman" w:eastAsia="Times New Roman" w:hAnsi="Times New Roman"/>
                <w:sz w:val="10"/>
                <w:szCs w:val="10"/>
                <w:color w:val="auto"/>
              </w:rPr>
              <w:t>Public authorities &amp; electric railroads</w:t>
            </w:r>
          </w:p>
        </w:tc>
        <w:tc>
          <w:tcPr>
            <w:tcW w:w="1100" w:type="dxa"/>
            <w:vAlign w:val="bottom"/>
            <w:gridSpan w:val="5"/>
          </w:tcPr>
          <w:p>
            <w:pPr>
              <w:jc w:val="right"/>
              <w:ind w:right="40"/>
              <w:spacing w:after="0"/>
              <w:rPr>
                <w:sz w:val="20"/>
                <w:szCs w:val="20"/>
                <w:color w:val="auto"/>
              </w:rPr>
            </w:pPr>
            <w:r>
              <w:rPr>
                <w:rFonts w:ascii="Times New Roman" w:cs="Times New Roman" w:eastAsia="Times New Roman" w:hAnsi="Times New Roman"/>
                <w:sz w:val="10"/>
                <w:szCs w:val="10"/>
                <w:color w:val="auto"/>
              </w:rPr>
              <w:t>10,108</w:t>
            </w:r>
          </w:p>
        </w:tc>
        <w:tc>
          <w:tcPr>
            <w:tcW w:w="100" w:type="dxa"/>
            <w:vAlign w:val="bottom"/>
          </w:tcPr>
          <w:p>
            <w:pPr>
              <w:spacing w:after="0"/>
              <w:rPr>
                <w:sz w:val="11"/>
                <w:szCs w:val="11"/>
                <w:color w:val="auto"/>
              </w:rPr>
            </w:pPr>
          </w:p>
        </w:tc>
        <w:tc>
          <w:tcPr>
            <w:tcW w:w="960" w:type="dxa"/>
            <w:vAlign w:val="bottom"/>
            <w:gridSpan w:val="5"/>
          </w:tcPr>
          <w:p>
            <w:pPr>
              <w:jc w:val="right"/>
              <w:ind w:right="20"/>
              <w:spacing w:after="0"/>
              <w:rPr>
                <w:sz w:val="20"/>
                <w:szCs w:val="20"/>
                <w:color w:val="auto"/>
              </w:rPr>
            </w:pPr>
            <w:r>
              <w:rPr>
                <w:rFonts w:ascii="Times New Roman" w:cs="Times New Roman" w:eastAsia="Times New Roman" w:hAnsi="Times New Roman"/>
                <w:sz w:val="10"/>
                <w:szCs w:val="10"/>
                <w:color w:val="auto"/>
              </w:rPr>
              <w:t>10,703</w:t>
            </w:r>
          </w:p>
        </w:tc>
        <w:tc>
          <w:tcPr>
            <w:tcW w:w="20" w:type="dxa"/>
            <w:vAlign w:val="bottom"/>
          </w:tcPr>
          <w:p>
            <w:pPr>
              <w:spacing w:after="0"/>
              <w:rPr>
                <w:sz w:val="11"/>
                <w:szCs w:val="11"/>
                <w:color w:val="auto"/>
              </w:rPr>
            </w:pPr>
          </w:p>
        </w:tc>
        <w:tc>
          <w:tcPr>
            <w:tcW w:w="1060" w:type="dxa"/>
            <w:vAlign w:val="bottom"/>
            <w:gridSpan w:val="4"/>
          </w:tcPr>
          <w:p>
            <w:pPr>
              <w:ind w:left="320"/>
              <w:spacing w:after="0"/>
              <w:rPr>
                <w:sz w:val="20"/>
                <w:szCs w:val="20"/>
                <w:color w:val="auto"/>
              </w:rPr>
            </w:pPr>
            <w:r>
              <w:rPr>
                <w:rFonts w:ascii="Times New Roman" w:cs="Times New Roman" w:eastAsia="Times New Roman" w:hAnsi="Times New Roman"/>
                <w:sz w:val="10"/>
                <w:szCs w:val="10"/>
                <w:color w:val="auto"/>
              </w:rPr>
              <w:t>Transportation</w:t>
            </w: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80" w:type="dxa"/>
            <w:vAlign w:val="bottom"/>
            <w:gridSpan w:val="4"/>
          </w:tcPr>
          <w:p>
            <w:pPr>
              <w:jc w:val="right"/>
              <w:ind w:right="40"/>
              <w:spacing w:after="0"/>
              <w:rPr>
                <w:sz w:val="20"/>
                <w:szCs w:val="20"/>
                <w:color w:val="auto"/>
              </w:rPr>
            </w:pPr>
            <w:r>
              <w:rPr>
                <w:rFonts w:ascii="Times New Roman" w:cs="Times New Roman" w:eastAsia="Times New Roman" w:hAnsi="Times New Roman"/>
                <w:sz w:val="10"/>
                <w:szCs w:val="10"/>
                <w:color w:val="auto"/>
              </w:rPr>
              <w:t>606</w:t>
            </w:r>
          </w:p>
        </w:tc>
        <w:tc>
          <w:tcPr>
            <w:tcW w:w="20" w:type="dxa"/>
            <w:vAlign w:val="bottom"/>
          </w:tcPr>
          <w:p>
            <w:pPr>
              <w:spacing w:after="0"/>
              <w:rPr>
                <w:sz w:val="11"/>
                <w:szCs w:val="11"/>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623</w:t>
            </w:r>
          </w:p>
        </w:tc>
        <w:tc>
          <w:tcPr>
            <w:tcW w:w="0" w:type="dxa"/>
            <w:vAlign w:val="bottom"/>
          </w:tcPr>
          <w:p>
            <w:pPr>
              <w:spacing w:after="0"/>
              <w:rPr>
                <w:sz w:val="1"/>
                <w:szCs w:val="1"/>
                <w:color w:val="auto"/>
              </w:rPr>
            </w:pPr>
          </w:p>
        </w:tc>
      </w:tr>
      <w:tr>
        <w:trPr>
          <w:trHeight w:val="146"/>
        </w:trPr>
        <w:tc>
          <w:tcPr>
            <w:tcW w:w="3700" w:type="dxa"/>
            <w:vAlign w:val="bottom"/>
            <w:tcBorders>
              <w:top w:val="single" w:sz="8" w:color="CCEEFF"/>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0"/>
                <w:szCs w:val="10"/>
                <w:color w:val="auto"/>
              </w:rPr>
              <w:t>Total</w:t>
            </w:r>
          </w:p>
        </w:tc>
        <w:tc>
          <w:tcPr>
            <w:tcW w:w="120" w:type="dxa"/>
            <w:vAlign w:val="bottom"/>
            <w:tcBorders>
              <w:top w:val="single" w:sz="8" w:color="CCEEFF"/>
              <w:bottom w:val="single" w:sz="8" w:color="CCEEFF"/>
            </w:tcBorders>
            <w:gridSpan w:val="2"/>
            <w:shd w:val="clear" w:color="auto" w:fill="CCEEFF"/>
          </w:tcPr>
          <w:p>
            <w:pPr>
              <w:spacing w:after="0"/>
              <w:rPr>
                <w:sz w:val="12"/>
                <w:szCs w:val="12"/>
                <w:color w:val="auto"/>
              </w:rPr>
            </w:pPr>
          </w:p>
        </w:tc>
        <w:tc>
          <w:tcPr>
            <w:tcW w:w="980" w:type="dxa"/>
            <w:vAlign w:val="bottom"/>
            <w:tcBorders>
              <w:top w:val="single" w:sz="8" w:color="auto"/>
              <w:bottom w:val="single" w:sz="8" w:color="auto"/>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1,712,772</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960" w:type="dxa"/>
            <w:vAlign w:val="bottom"/>
            <w:tcBorders>
              <w:top w:val="single" w:sz="8" w:color="auto"/>
              <w:bottom w:val="single" w:sz="8" w:color="auto"/>
            </w:tcBorders>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0"/>
                <w:szCs w:val="10"/>
                <w:color w:val="auto"/>
              </w:rPr>
              <w:t>1,709,438</w:t>
            </w:r>
          </w:p>
        </w:tc>
        <w:tc>
          <w:tcPr>
            <w:tcW w:w="20" w:type="dxa"/>
            <w:vAlign w:val="bottom"/>
            <w:tcBorders>
              <w:top w:val="single" w:sz="8" w:color="auto"/>
              <w:bottom w:val="single" w:sz="8" w:color="auto"/>
            </w:tcBorders>
            <w:shd w:val="clear" w:color="auto" w:fill="CCEEFF"/>
          </w:tcPr>
          <w:p>
            <w:pPr>
              <w:spacing w:after="0"/>
              <w:rPr>
                <w:sz w:val="12"/>
                <w:szCs w:val="12"/>
                <w:color w:val="auto"/>
              </w:rPr>
            </w:pPr>
          </w:p>
        </w:tc>
        <w:tc>
          <w:tcPr>
            <w:tcW w:w="1060" w:type="dxa"/>
            <w:vAlign w:val="bottom"/>
            <w:tcBorders>
              <w:top w:val="single" w:sz="8" w:color="CCEEFF"/>
              <w:bottom w:val="single" w:sz="8" w:color="CCEEFF"/>
            </w:tcBorders>
            <w:gridSpan w:val="4"/>
            <w:shd w:val="clear" w:color="auto" w:fill="CCEEFF"/>
          </w:tcPr>
          <w:p>
            <w:pPr>
              <w:ind w:left="540"/>
              <w:spacing w:after="0"/>
              <w:rPr>
                <w:sz w:val="20"/>
                <w:szCs w:val="20"/>
                <w:color w:val="auto"/>
              </w:rPr>
            </w:pPr>
            <w:r>
              <w:rPr>
                <w:rFonts w:ascii="Times New Roman" w:cs="Times New Roman" w:eastAsia="Times New Roman" w:hAnsi="Times New Roman"/>
                <w:sz w:val="10"/>
                <w:szCs w:val="10"/>
                <w:color w:val="auto"/>
              </w:rPr>
              <w:t>Total</w:t>
            </w:r>
          </w:p>
        </w:tc>
        <w:tc>
          <w:tcPr>
            <w:tcW w:w="106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80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980" w:type="dxa"/>
            <w:vAlign w:val="bottom"/>
            <w:tcBorders>
              <w:top w:val="single" w:sz="8" w:color="auto"/>
              <w:bottom w:val="single" w:sz="8" w:color="auto"/>
            </w:tcBorders>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556,340</w:t>
            </w: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555,272</w:t>
            </w:r>
          </w:p>
        </w:tc>
        <w:tc>
          <w:tcPr>
            <w:tcW w:w="0" w:type="dxa"/>
            <w:vAlign w:val="bottom"/>
          </w:tcPr>
          <w:p>
            <w:pPr>
              <w:spacing w:after="0"/>
              <w:rPr>
                <w:sz w:val="1"/>
                <w:szCs w:val="1"/>
                <w:color w:val="auto"/>
              </w:rPr>
            </w:pPr>
          </w:p>
        </w:tc>
      </w:tr>
    </w:tbl>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__________</w:t>
      </w:r>
    </w:p>
    <w:p>
      <w:pPr>
        <w:spacing w:after="0" w:line="3" w:lineRule="exact"/>
        <w:rPr>
          <w:sz w:val="20"/>
          <w:szCs w:val="20"/>
          <w:color w:val="auto"/>
        </w:rPr>
      </w:pPr>
    </w:p>
    <w:p>
      <w:pPr>
        <w:ind w:left="420" w:right="20" w:hanging="212"/>
        <w:spacing w:after="0"/>
        <w:tabs>
          <w:tab w:leader="none" w:pos="418" w:val="left"/>
        </w:tabs>
        <w:numPr>
          <w:ilvl w:val="0"/>
          <w:numId w:val="11"/>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Reflects delivery volumes and revenues from customers purchasing electricity directly from PECO and customers purchasing electricity from a competitive electric generation supplier as all customers are assessed distribution charges. For customers purchasing electricity from PECO, revenues also reflect the cost of energy and transmission.</w:t>
      </w:r>
    </w:p>
    <w:p>
      <w:pPr>
        <w:ind w:left="420" w:hanging="212"/>
        <w:spacing w:after="0"/>
        <w:tabs>
          <w:tab w:leader="none" w:pos="420" w:val="left"/>
        </w:tabs>
        <w:numPr>
          <w:ilvl w:val="0"/>
          <w:numId w:val="11"/>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Includes transmission revenue from PJM, wholesale electric revenue, and mutual assistance revenue.</w:t>
      </w:r>
    </w:p>
    <w:p>
      <w:pPr>
        <w:spacing w:after="0" w:line="22" w:lineRule="exact"/>
        <w:rPr>
          <w:rFonts w:ascii="Times New Roman" w:cs="Times New Roman" w:eastAsia="Times New Roman" w:hAnsi="Times New Roman"/>
          <w:sz w:val="10"/>
          <w:szCs w:val="10"/>
          <w:color w:val="auto"/>
        </w:rPr>
      </w:pPr>
    </w:p>
    <w:p>
      <w:pPr>
        <w:ind w:left="420" w:hanging="212"/>
        <w:spacing w:after="0"/>
        <w:tabs>
          <w:tab w:leader="none" w:pos="420" w:val="left"/>
        </w:tabs>
        <w:numPr>
          <w:ilvl w:val="0"/>
          <w:numId w:val="11"/>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Includes operating revenues from affiliates totaling $4 million and $2 million for the three months ended March 31, 2026 and 2025, respectively.</w:t>
      </w:r>
    </w:p>
    <w:p>
      <w:pPr>
        <w:spacing w:after="0" w:line="8" w:lineRule="exact"/>
        <w:rPr>
          <w:rFonts w:ascii="Times New Roman" w:cs="Times New Roman" w:eastAsia="Times New Roman" w:hAnsi="Times New Roman"/>
          <w:sz w:val="10"/>
          <w:szCs w:val="10"/>
          <w:color w:val="auto"/>
        </w:rPr>
      </w:pPr>
    </w:p>
    <w:p>
      <w:pPr>
        <w:ind w:left="420" w:hanging="212"/>
        <w:spacing w:after="0"/>
        <w:tabs>
          <w:tab w:leader="none" w:pos="420" w:val="left"/>
        </w:tabs>
        <w:numPr>
          <w:ilvl w:val="0"/>
          <w:numId w:val="11"/>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Includes alternative revenue programs and late payment charges.</w:t>
      </w:r>
    </w:p>
    <w:p>
      <w:pPr>
        <w:spacing w:after="0" w:line="2" w:lineRule="exact"/>
        <w:rPr>
          <w:rFonts w:ascii="Times New Roman" w:cs="Times New Roman" w:eastAsia="Times New Roman" w:hAnsi="Times New Roman"/>
          <w:sz w:val="10"/>
          <w:szCs w:val="10"/>
          <w:color w:val="auto"/>
        </w:rPr>
      </w:pPr>
    </w:p>
    <w:p>
      <w:pPr>
        <w:ind w:left="420" w:hanging="212"/>
        <w:spacing w:after="0" w:line="234" w:lineRule="auto"/>
        <w:tabs>
          <w:tab w:leader="none" w:pos="418" w:val="left"/>
        </w:tabs>
        <w:numPr>
          <w:ilvl w:val="0"/>
          <w:numId w:val="11"/>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Reflects delivery volumes and revenues from customers purchasing natural gas directly from PECO and customers purchasing natural gas from a competitive natural gas supplier as all customers are assessed distribution charges. For customers purchasing natural gas from PECO, revenue also reflects the cost of natural gas.</w:t>
      </w:r>
    </w:p>
    <w:p>
      <w:pPr>
        <w:ind w:left="420" w:hanging="212"/>
        <w:spacing w:after="0"/>
        <w:tabs>
          <w:tab w:leader="none" w:pos="420" w:val="left"/>
        </w:tabs>
        <w:numPr>
          <w:ilvl w:val="0"/>
          <w:numId w:val="11"/>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Includes revenues primarily from off-system sales.</w:t>
      </w:r>
    </w:p>
    <w:p>
      <w:pPr>
        <w:spacing w:after="0" w:line="22" w:lineRule="exact"/>
        <w:rPr>
          <w:rFonts w:ascii="Times New Roman" w:cs="Times New Roman" w:eastAsia="Times New Roman" w:hAnsi="Times New Roman"/>
          <w:sz w:val="10"/>
          <w:szCs w:val="10"/>
          <w:color w:val="auto"/>
        </w:rPr>
      </w:pPr>
    </w:p>
    <w:p>
      <w:pPr>
        <w:ind w:left="420" w:hanging="212"/>
        <w:spacing w:after="0"/>
        <w:tabs>
          <w:tab w:leader="none" w:pos="420" w:val="left"/>
        </w:tabs>
        <w:numPr>
          <w:ilvl w:val="0"/>
          <w:numId w:val="11"/>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Includes operating revenues from affiliates totaling less than $1 million and $1 million for the three months ended March 31, 2026 and 2025, respectively.</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7</w:t>
      </w:r>
    </w:p>
    <w:p>
      <w:pPr>
        <w:sectPr>
          <w:pgSz w:w="11900" w:h="16838" w:orient="portrait"/>
          <w:cols w:equalWidth="0" w:num="1">
            <w:col w:w="11300"/>
          </w:cols>
          <w:pgMar w:left="300" w:top="129" w:right="29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BGE Statistics</w:t>
      </w:r>
    </w:p>
    <w:p>
      <w:pPr>
        <w:spacing w:after="0" w:line="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u w:val="single" w:color="auto"/>
          <w:color w:val="auto"/>
        </w:rPr>
        <w:t>Three Months Ended March 31, 2026 and 2025</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3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860" w:type="dxa"/>
            <w:vAlign w:val="bottom"/>
            <w:tcBorders>
              <w:bottom w:val="single" w:sz="8" w:color="auto"/>
            </w:tcBorders>
            <w:gridSpan w:val="9"/>
          </w:tcPr>
          <w:p>
            <w:pPr>
              <w:ind w:left="60"/>
              <w:spacing w:after="0"/>
              <w:rPr>
                <w:sz w:val="20"/>
                <w:szCs w:val="20"/>
                <w:color w:val="auto"/>
              </w:rPr>
            </w:pPr>
            <w:r>
              <w:rPr>
                <w:rFonts w:ascii="Times New Roman" w:cs="Times New Roman" w:eastAsia="Times New Roman" w:hAnsi="Times New Roman"/>
                <w:sz w:val="10"/>
                <w:szCs w:val="10"/>
                <w:b w:val="1"/>
                <w:bCs w:val="1"/>
                <w:color w:val="auto"/>
              </w:rPr>
              <w:t>Electric and Natural Gas Deliveries</w:t>
            </w:r>
          </w:p>
        </w:tc>
        <w:tc>
          <w:tcPr>
            <w:tcW w:w="76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0"/>
                <w:szCs w:val="10"/>
                <w:b w:val="1"/>
                <w:bCs w:val="1"/>
                <w:color w:val="auto"/>
              </w:rPr>
              <w:t>Revenue (in millions)</w:t>
            </w:r>
          </w:p>
        </w:tc>
        <w:tc>
          <w:tcPr>
            <w:tcW w:w="4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3740" w:type="dxa"/>
            <w:vAlign w:val="bottom"/>
          </w:tcPr>
          <w:p>
            <w:pPr>
              <w:spacing w:after="0"/>
              <w:rPr>
                <w:sz w:val="7"/>
                <w:szCs w:val="7"/>
                <w:color w:val="auto"/>
              </w:rPr>
            </w:pPr>
          </w:p>
        </w:tc>
        <w:tc>
          <w:tcPr>
            <w:tcW w:w="80" w:type="dxa"/>
            <w:vAlign w:val="bottom"/>
          </w:tcPr>
          <w:p>
            <w:pPr>
              <w:spacing w:after="0"/>
              <w:rPr>
                <w:sz w:val="7"/>
                <w:szCs w:val="7"/>
                <w:color w:val="auto"/>
              </w:rPr>
            </w:pPr>
          </w:p>
        </w:tc>
        <w:tc>
          <w:tcPr>
            <w:tcW w:w="96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Pr>
          <w:p>
            <w:pPr>
              <w:jc w:val="center"/>
              <w:ind w:left="252"/>
              <w:spacing w:after="0" w:line="89" w:lineRule="exact"/>
              <w:rPr>
                <w:sz w:val="20"/>
                <w:szCs w:val="20"/>
                <w:color w:val="auto"/>
              </w:rPr>
            </w:pPr>
            <w:r>
              <w:rPr>
                <w:rFonts w:ascii="Times New Roman" w:cs="Times New Roman" w:eastAsia="Times New Roman" w:hAnsi="Times New Roman"/>
                <w:sz w:val="10"/>
                <w:szCs w:val="10"/>
                <w:b w:val="1"/>
                <w:bCs w:val="1"/>
                <w:color w:val="auto"/>
                <w:w w:val="93"/>
              </w:rPr>
              <w:t>Weather-</w:t>
            </w: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6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9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3740" w:type="dxa"/>
            <w:vAlign w:val="bottom"/>
          </w:tcPr>
          <w:p>
            <w:pPr>
              <w:spacing w:after="0"/>
              <w:rPr>
                <w:sz w:val="8"/>
                <w:szCs w:val="8"/>
                <w:color w:val="auto"/>
              </w:rPr>
            </w:pPr>
          </w:p>
        </w:tc>
        <w:tc>
          <w:tcPr>
            <w:tcW w:w="80" w:type="dxa"/>
            <w:vAlign w:val="bottom"/>
          </w:tcPr>
          <w:p>
            <w:pPr>
              <w:spacing w:after="0"/>
              <w:rPr>
                <w:sz w:val="8"/>
                <w:szCs w:val="8"/>
                <w:color w:val="auto"/>
              </w:rPr>
            </w:pPr>
          </w:p>
        </w:tc>
        <w:tc>
          <w:tcPr>
            <w:tcW w:w="960" w:type="dxa"/>
            <w:vAlign w:val="bottom"/>
            <w:vMerge w:val="restart"/>
          </w:tcPr>
          <w:p>
            <w:pPr>
              <w:jc w:val="right"/>
              <w:ind w:right="332"/>
              <w:spacing w:after="0"/>
              <w:rPr>
                <w:sz w:val="20"/>
                <w:szCs w:val="20"/>
                <w:color w:val="auto"/>
              </w:rPr>
            </w:pPr>
            <w:r>
              <w:rPr>
                <w:rFonts w:ascii="Times New Roman" w:cs="Times New Roman" w:eastAsia="Times New Roman" w:hAnsi="Times New Roman"/>
                <w:sz w:val="10"/>
                <w:szCs w:val="10"/>
                <w:b w:val="1"/>
                <w:bCs w:val="1"/>
                <w:color w:val="auto"/>
              </w:rPr>
              <w:t>2026</w:t>
            </w: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960" w:type="dxa"/>
            <w:vAlign w:val="bottom"/>
            <w:gridSpan w:val="4"/>
            <w:vMerge w:val="restart"/>
          </w:tcPr>
          <w:p>
            <w:pPr>
              <w:jc w:val="right"/>
              <w:ind w:right="332"/>
              <w:spacing w:after="0"/>
              <w:rPr>
                <w:sz w:val="20"/>
                <w:szCs w:val="20"/>
                <w:color w:val="auto"/>
              </w:rPr>
            </w:pPr>
            <w:r>
              <w:rPr>
                <w:rFonts w:ascii="Times New Roman" w:cs="Times New Roman" w:eastAsia="Times New Roman" w:hAnsi="Times New Roman"/>
                <w:sz w:val="10"/>
                <w:szCs w:val="10"/>
                <w:b w:val="1"/>
                <w:bCs w:val="1"/>
                <w:color w:val="auto"/>
              </w:rPr>
              <w:t>2025</w:t>
            </w: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120" w:type="dxa"/>
            <w:vAlign w:val="bottom"/>
            <w:gridSpan w:val="4"/>
            <w:vMerge w:val="restart"/>
          </w:tcPr>
          <w:p>
            <w:pPr>
              <w:ind w:left="300"/>
              <w:spacing w:after="0"/>
              <w:rPr>
                <w:sz w:val="20"/>
                <w:szCs w:val="20"/>
                <w:color w:val="auto"/>
              </w:rPr>
            </w:pPr>
            <w:r>
              <w:rPr>
                <w:rFonts w:ascii="Times New Roman" w:cs="Times New Roman" w:eastAsia="Times New Roman" w:hAnsi="Times New Roman"/>
                <w:sz w:val="10"/>
                <w:szCs w:val="10"/>
                <w:b w:val="1"/>
                <w:bCs w:val="1"/>
                <w:color w:val="auto"/>
              </w:rPr>
              <w:t>% Change</w:t>
            </w:r>
          </w:p>
        </w:tc>
        <w:tc>
          <w:tcPr>
            <w:tcW w:w="760" w:type="dxa"/>
            <w:vAlign w:val="bottom"/>
          </w:tcPr>
          <w:p>
            <w:pPr>
              <w:jc w:val="center"/>
              <w:ind w:left="252"/>
              <w:spacing w:after="0" w:line="99" w:lineRule="exact"/>
              <w:rPr>
                <w:sz w:val="20"/>
                <w:szCs w:val="20"/>
                <w:color w:val="auto"/>
              </w:rPr>
            </w:pPr>
            <w:r>
              <w:rPr>
                <w:rFonts w:ascii="Times New Roman" w:cs="Times New Roman" w:eastAsia="Times New Roman" w:hAnsi="Times New Roman"/>
                <w:sz w:val="10"/>
                <w:szCs w:val="10"/>
                <w:b w:val="1"/>
                <w:bCs w:val="1"/>
                <w:color w:val="auto"/>
                <w:w w:val="91"/>
              </w:rPr>
              <w:t>Normal</w:t>
            </w: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vMerge w:val="restart"/>
          </w:tcPr>
          <w:p>
            <w:pPr>
              <w:jc w:val="right"/>
              <w:ind w:right="332"/>
              <w:spacing w:after="0"/>
              <w:rPr>
                <w:sz w:val="20"/>
                <w:szCs w:val="20"/>
                <w:color w:val="auto"/>
              </w:rPr>
            </w:pPr>
            <w:r>
              <w:rPr>
                <w:rFonts w:ascii="Times New Roman" w:cs="Times New Roman" w:eastAsia="Times New Roman" w:hAnsi="Times New Roman"/>
                <w:sz w:val="10"/>
                <w:szCs w:val="10"/>
                <w:b w:val="1"/>
                <w:bCs w:val="1"/>
                <w:color w:val="auto"/>
              </w:rPr>
              <w:t>2026</w:t>
            </w: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0"/>
                <w:szCs w:val="10"/>
                <w:b w:val="1"/>
                <w:bCs w:val="1"/>
                <w:color w:val="auto"/>
              </w:rPr>
              <w:t>2025</w:t>
            </w: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0"/>
                <w:szCs w:val="10"/>
                <w:b w:val="1"/>
                <w:bCs w:val="1"/>
                <w:color w:val="auto"/>
              </w:rPr>
              <w:t>% Change</w:t>
            </w:r>
          </w:p>
        </w:tc>
        <w:tc>
          <w:tcPr>
            <w:tcW w:w="0" w:type="dxa"/>
            <w:vAlign w:val="bottom"/>
          </w:tcPr>
          <w:p>
            <w:pPr>
              <w:spacing w:after="0"/>
              <w:rPr>
                <w:sz w:val="1"/>
                <w:szCs w:val="1"/>
                <w:color w:val="auto"/>
              </w:rPr>
            </w:pPr>
          </w:p>
        </w:tc>
      </w:tr>
      <w:tr>
        <w:trPr>
          <w:trHeight w:val="129"/>
        </w:trPr>
        <w:tc>
          <w:tcPr>
            <w:tcW w:w="3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60" w:type="dxa"/>
            <w:vAlign w:val="bottom"/>
            <w:gridSpan w:val="4"/>
            <w:vMerge w:val="continue"/>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20" w:type="dxa"/>
            <w:vAlign w:val="bottom"/>
            <w:gridSpan w:val="4"/>
            <w:vMerge w:val="continue"/>
          </w:tcPr>
          <w:p>
            <w:pPr>
              <w:spacing w:after="0"/>
              <w:rPr>
                <w:sz w:val="11"/>
                <w:szCs w:val="11"/>
                <w:color w:val="auto"/>
              </w:rPr>
            </w:pPr>
          </w:p>
        </w:tc>
        <w:tc>
          <w:tcPr>
            <w:tcW w:w="760" w:type="dxa"/>
            <w:vAlign w:val="bottom"/>
          </w:tcPr>
          <w:p>
            <w:pPr>
              <w:jc w:val="center"/>
              <w:ind w:left="252"/>
              <w:spacing w:after="0"/>
              <w:rPr>
                <w:sz w:val="20"/>
                <w:szCs w:val="20"/>
                <w:color w:val="auto"/>
              </w:rPr>
            </w:pPr>
            <w:r>
              <w:rPr>
                <w:rFonts w:ascii="Times New Roman" w:cs="Times New Roman" w:eastAsia="Times New Roman" w:hAnsi="Times New Roman"/>
                <w:sz w:val="10"/>
                <w:szCs w:val="10"/>
                <w:b w:val="1"/>
                <w:bCs w:val="1"/>
                <w:color w:val="auto"/>
                <w:w w:val="92"/>
              </w:rPr>
              <w:t>% Change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gridSpan w:val="2"/>
            <w:vMerge w:val="continue"/>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3820" w:type="dxa"/>
            <w:vAlign w:val="bottom"/>
            <w:tcBorders>
              <w:top w:val="single" w:sz="8" w:color="CCEEFF"/>
            </w:tcBorders>
            <w:gridSpan w:val="2"/>
            <w:shd w:val="clear" w:color="auto" w:fill="CCEEFF"/>
          </w:tcPr>
          <w:p>
            <w:pPr>
              <w:spacing w:after="0" w:line="110" w:lineRule="exact"/>
              <w:rPr>
                <w:sz w:val="20"/>
                <w:szCs w:val="20"/>
                <w:color w:val="auto"/>
              </w:rPr>
            </w:pPr>
            <w:r>
              <w:rPr>
                <w:rFonts w:ascii="Times New Roman" w:cs="Times New Roman" w:eastAsia="Times New Roman" w:hAnsi="Times New Roman"/>
                <w:sz w:val="10"/>
                <w:szCs w:val="10"/>
                <w:b w:val="1"/>
                <w:bCs w:val="1"/>
                <w:color w:val="auto"/>
              </w:rPr>
              <w:t>Electric (in GWhs)</w:t>
            </w:r>
          </w:p>
        </w:tc>
        <w:tc>
          <w:tcPr>
            <w:tcW w:w="96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auto"/>
            </w:tcBorders>
            <w:shd w:val="clear" w:color="auto" w:fill="CCEEFF"/>
          </w:tcPr>
          <w:p>
            <w:pPr>
              <w:spacing w:after="0"/>
              <w:rPr>
                <w:sz w:val="10"/>
                <w:szCs w:val="10"/>
                <w:color w:val="auto"/>
              </w:rPr>
            </w:pPr>
          </w:p>
        </w:tc>
        <w:tc>
          <w:tcPr>
            <w:tcW w:w="26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76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760" w:type="dxa"/>
            <w:vAlign w:val="bottom"/>
            <w:tcBorders>
              <w:top w:val="single" w:sz="8" w:color="auto"/>
            </w:tcBorders>
            <w:shd w:val="clear" w:color="auto" w:fill="CCEEFF"/>
          </w:tcPr>
          <w:p>
            <w:pPr>
              <w:spacing w:after="0"/>
              <w:rPr>
                <w:sz w:val="10"/>
                <w:szCs w:val="10"/>
                <w:color w:val="auto"/>
              </w:rPr>
            </w:pPr>
          </w:p>
        </w:tc>
        <w:tc>
          <w:tcPr>
            <w:tcW w:w="30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86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44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34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auto"/>
            </w:tcBorders>
            <w:shd w:val="clear" w:color="auto" w:fill="CCEEFF"/>
          </w:tcPr>
          <w:p>
            <w:pPr>
              <w:spacing w:after="0"/>
              <w:rPr>
                <w:sz w:val="10"/>
                <w:szCs w:val="10"/>
                <w:color w:val="auto"/>
              </w:rPr>
            </w:pPr>
          </w:p>
        </w:tc>
        <w:tc>
          <w:tcPr>
            <w:tcW w:w="98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382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Electric Deliveries and Revenues</w:t>
            </w:r>
            <w:r>
              <w:rPr>
                <w:rFonts w:ascii="Times New Roman" w:cs="Times New Roman" w:eastAsia="Times New Roman" w:hAnsi="Times New Roman"/>
                <w:sz w:val="6"/>
                <w:szCs w:val="6"/>
                <w:b w:val="1"/>
                <w:bCs w:val="1"/>
                <w:color w:val="auto"/>
              </w:rPr>
              <w:t>(a)</w:t>
            </w:r>
          </w:p>
        </w:tc>
        <w:tc>
          <w:tcPr>
            <w:tcW w:w="9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38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0"/>
                <w:szCs w:val="10"/>
                <w:color w:val="auto"/>
              </w:rPr>
              <w:t>Residential</w:t>
            </w:r>
          </w:p>
        </w:tc>
        <w:tc>
          <w:tcPr>
            <w:tcW w:w="9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3,788</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3,669</w:t>
            </w:r>
          </w:p>
        </w:tc>
        <w:tc>
          <w:tcPr>
            <w:tcW w:w="40" w:type="dxa"/>
            <w:vAlign w:val="bottom"/>
            <w:shd w:val="clear" w:color="auto" w:fill="CCEEFF"/>
          </w:tcPr>
          <w:p>
            <w:pPr>
              <w:spacing w:after="0"/>
              <w:rPr>
                <w:sz w:val="12"/>
                <w:szCs w:val="12"/>
                <w:color w:val="auto"/>
              </w:rPr>
            </w:pPr>
          </w:p>
        </w:tc>
        <w:tc>
          <w:tcPr>
            <w:tcW w:w="108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3.2 %</w:t>
            </w: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94"/>
              </w:rPr>
              <w:t>(3.6)%</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818</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8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648</w:t>
            </w: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26.2 %</w:t>
            </w: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3820" w:type="dxa"/>
            <w:vAlign w:val="bottom"/>
            <w:gridSpan w:val="2"/>
          </w:tcPr>
          <w:p>
            <w:pPr>
              <w:ind w:left="220"/>
              <w:spacing w:after="0"/>
              <w:rPr>
                <w:sz w:val="20"/>
                <w:szCs w:val="20"/>
                <w:color w:val="auto"/>
              </w:rPr>
            </w:pPr>
            <w:r>
              <w:rPr>
                <w:rFonts w:ascii="Times New Roman" w:cs="Times New Roman" w:eastAsia="Times New Roman" w:hAnsi="Times New Roman"/>
                <w:sz w:val="10"/>
                <w:szCs w:val="10"/>
                <w:color w:val="auto"/>
              </w:rPr>
              <w:t>Small commercial &amp; industrial</w:t>
            </w: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729</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60" w:type="dxa"/>
            <w:vAlign w:val="bottom"/>
            <w:gridSpan w:val="4"/>
          </w:tcPr>
          <w:p>
            <w:pPr>
              <w:jc w:val="right"/>
              <w:spacing w:after="0"/>
              <w:rPr>
                <w:sz w:val="20"/>
                <w:szCs w:val="20"/>
                <w:color w:val="auto"/>
              </w:rPr>
            </w:pPr>
            <w:r>
              <w:rPr>
                <w:rFonts w:ascii="Times New Roman" w:cs="Times New Roman" w:eastAsia="Times New Roman" w:hAnsi="Times New Roman"/>
                <w:sz w:val="10"/>
                <w:szCs w:val="10"/>
                <w:color w:val="auto"/>
              </w:rPr>
              <w:t>730</w:t>
            </w:r>
          </w:p>
        </w:tc>
        <w:tc>
          <w:tcPr>
            <w:tcW w:w="40" w:type="dxa"/>
            <w:vAlign w:val="bottom"/>
          </w:tcPr>
          <w:p>
            <w:pPr>
              <w:spacing w:after="0"/>
              <w:rPr>
                <w:sz w:val="11"/>
                <w:szCs w:val="11"/>
                <w:color w:val="auto"/>
              </w:rPr>
            </w:pPr>
          </w:p>
        </w:tc>
        <w:tc>
          <w:tcPr>
            <w:tcW w:w="1080" w:type="dxa"/>
            <w:vAlign w:val="bottom"/>
            <w:gridSpan w:val="5"/>
          </w:tcPr>
          <w:p>
            <w:pPr>
              <w:jc w:val="right"/>
              <w:spacing w:after="0"/>
              <w:rPr>
                <w:sz w:val="20"/>
                <w:szCs w:val="20"/>
                <w:color w:val="auto"/>
              </w:rPr>
            </w:pPr>
            <w:r>
              <w:rPr>
                <w:rFonts w:ascii="Times New Roman" w:cs="Times New Roman" w:eastAsia="Times New Roman" w:hAnsi="Times New Roman"/>
                <w:sz w:val="10"/>
                <w:szCs w:val="10"/>
                <w:color w:val="auto"/>
              </w:rPr>
              <w:t>(0.1)%</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94"/>
              </w:rPr>
              <w:t>(4.2)%</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130</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gridSpan w:val="3"/>
          </w:tcPr>
          <w:p>
            <w:pPr>
              <w:jc w:val="right"/>
              <w:ind w:right="40"/>
              <w:spacing w:after="0"/>
              <w:rPr>
                <w:sz w:val="20"/>
                <w:szCs w:val="20"/>
                <w:color w:val="auto"/>
              </w:rPr>
            </w:pPr>
            <w:r>
              <w:rPr>
                <w:rFonts w:ascii="Times New Roman" w:cs="Times New Roman" w:eastAsia="Times New Roman" w:hAnsi="Times New Roman"/>
                <w:sz w:val="10"/>
                <w:szCs w:val="10"/>
                <w:color w:val="auto"/>
              </w:rPr>
              <w:t>109</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19.3 %</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38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0"/>
                <w:szCs w:val="10"/>
                <w:color w:val="auto"/>
              </w:rPr>
              <w:t>Large commercial &amp; industrial</w:t>
            </w:r>
          </w:p>
        </w:tc>
        <w:tc>
          <w:tcPr>
            <w:tcW w:w="9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3,212</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3,145</w:t>
            </w:r>
          </w:p>
        </w:tc>
        <w:tc>
          <w:tcPr>
            <w:tcW w:w="40" w:type="dxa"/>
            <w:vAlign w:val="bottom"/>
            <w:shd w:val="clear" w:color="auto" w:fill="CCEEFF"/>
          </w:tcPr>
          <w:p>
            <w:pPr>
              <w:spacing w:after="0"/>
              <w:rPr>
                <w:sz w:val="12"/>
                <w:szCs w:val="12"/>
                <w:color w:val="auto"/>
              </w:rPr>
            </w:pPr>
          </w:p>
        </w:tc>
        <w:tc>
          <w:tcPr>
            <w:tcW w:w="108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2.1 %</w:t>
            </w: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94"/>
              </w:rPr>
              <w:t>(1.0)%</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180</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144</w:t>
            </w: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25.0 %</w:t>
            </w: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3820" w:type="dxa"/>
            <w:vAlign w:val="bottom"/>
            <w:gridSpan w:val="2"/>
          </w:tcPr>
          <w:p>
            <w:pPr>
              <w:ind w:left="220"/>
              <w:spacing w:after="0"/>
              <w:rPr>
                <w:sz w:val="20"/>
                <w:szCs w:val="20"/>
                <w:color w:val="auto"/>
              </w:rPr>
            </w:pPr>
            <w:r>
              <w:rPr>
                <w:rFonts w:ascii="Times New Roman" w:cs="Times New Roman" w:eastAsia="Times New Roman" w:hAnsi="Times New Roman"/>
                <w:sz w:val="10"/>
                <w:szCs w:val="10"/>
                <w:color w:val="auto"/>
              </w:rPr>
              <w:t>Public authorities &amp; electric railroads</w:t>
            </w: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48</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60" w:type="dxa"/>
            <w:vAlign w:val="bottom"/>
            <w:gridSpan w:val="4"/>
          </w:tcPr>
          <w:p>
            <w:pPr>
              <w:jc w:val="right"/>
              <w:spacing w:after="0"/>
              <w:rPr>
                <w:sz w:val="20"/>
                <w:szCs w:val="20"/>
                <w:color w:val="auto"/>
              </w:rPr>
            </w:pPr>
            <w:r>
              <w:rPr>
                <w:rFonts w:ascii="Times New Roman" w:cs="Times New Roman" w:eastAsia="Times New Roman" w:hAnsi="Times New Roman"/>
                <w:sz w:val="10"/>
                <w:szCs w:val="10"/>
                <w:color w:val="auto"/>
              </w:rPr>
              <w:t>48</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gridSpan w:val="3"/>
          </w:tcPr>
          <w:p>
            <w:pPr>
              <w:jc w:val="right"/>
              <w:ind w:right="100"/>
              <w:spacing w:after="0"/>
              <w:rPr>
                <w:sz w:val="20"/>
                <w:szCs w:val="20"/>
                <w:color w:val="auto"/>
              </w:rPr>
            </w:pPr>
            <w:r>
              <w:rPr>
                <w:rFonts w:ascii="Times New Roman" w:cs="Times New Roman" w:eastAsia="Times New Roman" w:hAnsi="Times New Roman"/>
                <w:sz w:val="10"/>
                <w:szCs w:val="10"/>
                <w:color w:val="auto"/>
              </w:rPr>
              <w:t>— %</w:t>
            </w:r>
          </w:p>
        </w:tc>
        <w:tc>
          <w:tcPr>
            <w:tcW w:w="760" w:type="dxa"/>
            <w:vAlign w:val="bottom"/>
          </w:tcPr>
          <w:p>
            <w:pPr>
              <w:spacing w:after="0"/>
              <w:rPr>
                <w:sz w:val="11"/>
                <w:szCs w:val="11"/>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94"/>
              </w:rPr>
              <w:t>(2.1)%</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gridSpan w:val="3"/>
          </w:tcPr>
          <w:p>
            <w:pPr>
              <w:jc w:val="right"/>
              <w:ind w:right="40"/>
              <w:spacing w:after="0"/>
              <w:rPr>
                <w:sz w:val="20"/>
                <w:szCs w:val="20"/>
                <w:color w:val="auto"/>
              </w:rPr>
            </w:pPr>
            <w:r>
              <w:rPr>
                <w:rFonts w:ascii="Times New Roman" w:cs="Times New Roman" w:eastAsia="Times New Roman" w:hAnsi="Times New Roman"/>
                <w:sz w:val="10"/>
                <w:szCs w:val="10"/>
                <w:color w:val="auto"/>
              </w:rPr>
              <w:t>8</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0"/>
                <w:szCs w:val="10"/>
                <w:color w:val="auto"/>
              </w:rPr>
              <w:t>— %</w:t>
            </w:r>
          </w:p>
        </w:tc>
        <w:tc>
          <w:tcPr>
            <w:tcW w:w="0" w:type="dxa"/>
            <w:vAlign w:val="bottom"/>
          </w:tcPr>
          <w:p>
            <w:pPr>
              <w:spacing w:after="0"/>
              <w:rPr>
                <w:sz w:val="1"/>
                <w:szCs w:val="1"/>
                <w:color w:val="auto"/>
              </w:rPr>
            </w:pPr>
          </w:p>
        </w:tc>
      </w:tr>
      <w:tr>
        <w:trPr>
          <w:trHeight w:val="141"/>
        </w:trPr>
        <w:tc>
          <w:tcPr>
            <w:tcW w:w="38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0"/>
                <w:szCs w:val="10"/>
                <w:color w:val="auto"/>
              </w:rPr>
              <w:t>Other</w:t>
            </w:r>
            <w:r>
              <w:rPr>
                <w:rFonts w:ascii="Times New Roman" w:cs="Times New Roman" w:eastAsia="Times New Roman" w:hAnsi="Times New Roman"/>
                <w:sz w:val="6"/>
                <w:szCs w:val="6"/>
                <w:color w:val="auto"/>
              </w:rPr>
              <w:t>(b)</w:t>
            </w:r>
          </w:p>
        </w:tc>
        <w:tc>
          <w:tcPr>
            <w:tcW w:w="10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0"/>
                <w:szCs w:val="10"/>
                <w:color w:val="auto"/>
              </w:rPr>
              <w:t>n/a</w:t>
            </w:r>
          </w:p>
        </w:tc>
        <w:tc>
          <w:tcPr>
            <w:tcW w:w="76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n/a</w:t>
            </w: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117</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113</w:t>
            </w: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3.5 %</w:t>
            </w: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3820" w:type="dxa"/>
            <w:vAlign w:val="bottom"/>
            <w:tcBorders>
              <w:bottom w:val="single" w:sz="8" w:color="CCEEFF"/>
            </w:tcBorders>
            <w:gridSpan w:val="2"/>
          </w:tcPr>
          <w:p>
            <w:pPr>
              <w:ind w:left="440"/>
              <w:spacing w:after="0" w:line="107" w:lineRule="exact"/>
              <w:rPr>
                <w:sz w:val="20"/>
                <w:szCs w:val="20"/>
                <w:color w:val="auto"/>
              </w:rPr>
            </w:pPr>
            <w:r>
              <w:rPr>
                <w:rFonts w:ascii="Times New Roman" w:cs="Times New Roman" w:eastAsia="Times New Roman" w:hAnsi="Times New Roman"/>
                <w:sz w:val="10"/>
                <w:szCs w:val="10"/>
                <w:color w:val="auto"/>
              </w:rPr>
              <w:t>Total electric revenues</w:t>
            </w:r>
            <w:r>
              <w:rPr>
                <w:rFonts w:ascii="Times New Roman" w:cs="Times New Roman" w:eastAsia="Times New Roman" w:hAnsi="Times New Roman"/>
                <w:sz w:val="6"/>
                <w:szCs w:val="6"/>
                <w:color w:val="auto"/>
              </w:rPr>
              <w:t>(c)</w:t>
            </w:r>
          </w:p>
        </w:tc>
        <w:tc>
          <w:tcPr>
            <w:tcW w:w="96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7,777</w:t>
            </w:r>
          </w:p>
        </w:tc>
        <w:tc>
          <w:tcPr>
            <w:tcW w:w="20" w:type="dxa"/>
            <w:vAlign w:val="bottom"/>
            <w:tcBorders>
              <w:bottom w:val="single" w:sz="8" w:color="CCEEFF"/>
            </w:tcBorders>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96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0"/>
                <w:szCs w:val="10"/>
                <w:color w:val="auto"/>
              </w:rPr>
              <w:t>7,592</w:t>
            </w:r>
          </w:p>
        </w:tc>
        <w:tc>
          <w:tcPr>
            <w:tcW w:w="40" w:type="dxa"/>
            <w:vAlign w:val="bottom"/>
            <w:tcBorders>
              <w:bottom w:val="single" w:sz="8" w:color="CCEEFF"/>
            </w:tcBorders>
          </w:tcPr>
          <w:p>
            <w:pPr>
              <w:spacing w:after="0"/>
              <w:rPr>
                <w:sz w:val="10"/>
                <w:szCs w:val="10"/>
                <w:color w:val="auto"/>
              </w:rPr>
            </w:pPr>
          </w:p>
        </w:tc>
        <w:tc>
          <w:tcPr>
            <w:tcW w:w="1080" w:type="dxa"/>
            <w:vAlign w:val="bottom"/>
            <w:tcBorders>
              <w:bottom w:val="single" w:sz="8" w:color="CCEEFF"/>
            </w:tcBorders>
            <w:gridSpan w:val="5"/>
          </w:tcPr>
          <w:p>
            <w:pPr>
              <w:jc w:val="right"/>
              <w:spacing w:after="0" w:line="107" w:lineRule="exact"/>
              <w:rPr>
                <w:sz w:val="20"/>
                <w:szCs w:val="20"/>
                <w:color w:val="auto"/>
              </w:rPr>
            </w:pPr>
            <w:r>
              <w:rPr>
                <w:rFonts w:ascii="Times New Roman" w:cs="Times New Roman" w:eastAsia="Times New Roman" w:hAnsi="Times New Roman"/>
                <w:sz w:val="10"/>
                <w:szCs w:val="10"/>
                <w:color w:val="auto"/>
              </w:rPr>
              <w:t>2.4 %</w:t>
            </w:r>
          </w:p>
        </w:tc>
        <w:tc>
          <w:tcPr>
            <w:tcW w:w="80" w:type="dxa"/>
            <w:vAlign w:val="bottom"/>
            <w:tcBorders>
              <w:bottom w:val="single" w:sz="8" w:color="CCEEFF"/>
            </w:tcBorders>
          </w:tcPr>
          <w:p>
            <w:pPr>
              <w:spacing w:after="0"/>
              <w:rPr>
                <w:sz w:val="10"/>
                <w:szCs w:val="10"/>
                <w:color w:val="auto"/>
              </w:rPr>
            </w:pPr>
          </w:p>
        </w:tc>
        <w:tc>
          <w:tcPr>
            <w:tcW w:w="760" w:type="dxa"/>
            <w:vAlign w:val="bottom"/>
            <w:tcBorders>
              <w:bottom w:val="single" w:sz="8" w:color="CCEEFF"/>
            </w:tcBorders>
          </w:tcPr>
          <w:p>
            <w:pPr>
              <w:spacing w:after="0"/>
              <w:rPr>
                <w:sz w:val="10"/>
                <w:szCs w:val="10"/>
                <w:color w:val="auto"/>
              </w:rPr>
            </w:pPr>
          </w:p>
        </w:tc>
        <w:tc>
          <w:tcPr>
            <w:tcW w:w="300" w:type="dxa"/>
            <w:vAlign w:val="bottom"/>
            <w:tcBorders>
              <w:bottom w:val="single" w:sz="8" w:color="CCEEFF"/>
            </w:tcBorders>
          </w:tcPr>
          <w:p>
            <w:pPr>
              <w:jc w:val="right"/>
              <w:spacing w:after="0" w:line="107" w:lineRule="exact"/>
              <w:rPr>
                <w:sz w:val="20"/>
                <w:szCs w:val="20"/>
                <w:color w:val="auto"/>
              </w:rPr>
            </w:pPr>
            <w:r>
              <w:rPr>
                <w:rFonts w:ascii="Times New Roman" w:cs="Times New Roman" w:eastAsia="Times New Roman" w:hAnsi="Times New Roman"/>
                <w:sz w:val="10"/>
                <w:szCs w:val="10"/>
                <w:color w:val="auto"/>
                <w:w w:val="94"/>
              </w:rPr>
              <w:t>(2.6)%</w:t>
            </w:r>
          </w:p>
        </w:tc>
        <w:tc>
          <w:tcPr>
            <w:tcW w:w="80" w:type="dxa"/>
            <w:vAlign w:val="bottom"/>
            <w:tcBorders>
              <w:bottom w:val="single" w:sz="8" w:color="CCEEFF"/>
            </w:tcBorders>
          </w:tcPr>
          <w:p>
            <w:pPr>
              <w:spacing w:after="0"/>
              <w:rPr>
                <w:sz w:val="10"/>
                <w:szCs w:val="10"/>
                <w:color w:val="auto"/>
              </w:rPr>
            </w:pPr>
          </w:p>
        </w:tc>
        <w:tc>
          <w:tcPr>
            <w:tcW w:w="100" w:type="dxa"/>
            <w:vAlign w:val="bottom"/>
            <w:tcBorders>
              <w:top w:val="single" w:sz="8" w:color="auto"/>
              <w:bottom w:val="single" w:sz="8" w:color="auto"/>
            </w:tcBorders>
          </w:tcPr>
          <w:p>
            <w:pPr>
              <w:spacing w:after="0"/>
              <w:rPr>
                <w:sz w:val="10"/>
                <w:szCs w:val="1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1,253</w:t>
            </w:r>
          </w:p>
        </w:tc>
        <w:tc>
          <w:tcPr>
            <w:tcW w:w="80" w:type="dxa"/>
            <w:vAlign w:val="bottom"/>
            <w:tcBorders>
              <w:bottom w:val="single" w:sz="8" w:color="CCEEFF"/>
            </w:tcBorders>
          </w:tcPr>
          <w:p>
            <w:pPr>
              <w:spacing w:after="0"/>
              <w:rPr>
                <w:sz w:val="10"/>
                <w:szCs w:val="10"/>
                <w:color w:val="auto"/>
              </w:rPr>
            </w:pPr>
          </w:p>
        </w:tc>
        <w:tc>
          <w:tcPr>
            <w:tcW w:w="20" w:type="dxa"/>
            <w:vAlign w:val="bottom"/>
            <w:tcBorders>
              <w:top w:val="single" w:sz="8" w:color="auto"/>
              <w:bottom w:val="single" w:sz="8" w:color="auto"/>
            </w:tcBorders>
          </w:tcPr>
          <w:p>
            <w:pPr>
              <w:spacing w:after="0"/>
              <w:rPr>
                <w:sz w:val="10"/>
                <w:szCs w:val="10"/>
                <w:color w:val="auto"/>
              </w:rPr>
            </w:pPr>
          </w:p>
        </w:tc>
        <w:tc>
          <w:tcPr>
            <w:tcW w:w="60" w:type="dxa"/>
            <w:vAlign w:val="bottom"/>
            <w:tcBorders>
              <w:top w:val="single" w:sz="8" w:color="auto"/>
              <w:bottom w:val="single" w:sz="8" w:color="auto"/>
            </w:tcBorders>
          </w:tcPr>
          <w:p>
            <w:pPr>
              <w:spacing w:after="0"/>
              <w:rPr>
                <w:sz w:val="10"/>
                <w:szCs w:val="10"/>
                <w:color w:val="auto"/>
              </w:rPr>
            </w:pPr>
          </w:p>
        </w:tc>
        <w:tc>
          <w:tcPr>
            <w:tcW w:w="880" w:type="dxa"/>
            <w:vAlign w:val="bottom"/>
            <w:tcBorders>
              <w:top w:val="single" w:sz="8" w:color="auto"/>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0"/>
                <w:szCs w:val="10"/>
                <w:color w:val="auto"/>
              </w:rPr>
              <w:t>1,022</w:t>
            </w:r>
          </w:p>
        </w:tc>
        <w:tc>
          <w:tcPr>
            <w:tcW w:w="60" w:type="dxa"/>
            <w:vAlign w:val="bottom"/>
            <w:tcBorders>
              <w:bottom w:val="single" w:sz="8" w:color="CCEEFF"/>
            </w:tcBorders>
          </w:tcPr>
          <w:p>
            <w:pPr>
              <w:spacing w:after="0"/>
              <w:rPr>
                <w:sz w:val="10"/>
                <w:szCs w:val="10"/>
                <w:color w:val="auto"/>
              </w:rPr>
            </w:pPr>
          </w:p>
        </w:tc>
        <w:tc>
          <w:tcPr>
            <w:tcW w:w="40" w:type="dxa"/>
            <w:vAlign w:val="bottom"/>
            <w:tcBorders>
              <w:bottom w:val="single" w:sz="8" w:color="CCEEFF"/>
            </w:tcBorders>
          </w:tcPr>
          <w:p>
            <w:pPr>
              <w:spacing w:after="0"/>
              <w:rPr>
                <w:sz w:val="10"/>
                <w:szCs w:val="10"/>
                <w:color w:val="auto"/>
              </w:rPr>
            </w:pPr>
          </w:p>
        </w:tc>
        <w:tc>
          <w:tcPr>
            <w:tcW w:w="1020" w:type="dxa"/>
            <w:vAlign w:val="bottom"/>
            <w:tcBorders>
              <w:bottom w:val="single" w:sz="8" w:color="CCEEFF"/>
            </w:tcBorders>
            <w:gridSpan w:val="2"/>
          </w:tcPr>
          <w:p>
            <w:pPr>
              <w:jc w:val="right"/>
              <w:spacing w:after="0" w:line="107" w:lineRule="exact"/>
              <w:rPr>
                <w:sz w:val="20"/>
                <w:szCs w:val="20"/>
                <w:color w:val="auto"/>
              </w:rPr>
            </w:pPr>
            <w:r>
              <w:rPr>
                <w:rFonts w:ascii="Times New Roman" w:cs="Times New Roman" w:eastAsia="Times New Roman" w:hAnsi="Times New Roman"/>
                <w:sz w:val="10"/>
                <w:szCs w:val="10"/>
                <w:color w:val="auto"/>
              </w:rPr>
              <w:t>22.6 %</w:t>
            </w:r>
          </w:p>
        </w:tc>
        <w:tc>
          <w:tcPr>
            <w:tcW w:w="20" w:type="dxa"/>
            <w:vAlign w:val="bottom"/>
            <w:tcBorders>
              <w:bottom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3820" w:type="dxa"/>
            <w:vAlign w:val="bottom"/>
            <w:gridSpan w:val="2"/>
            <w:shd w:val="clear" w:color="auto" w:fill="CCEEFF"/>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Other Revenues</w:t>
            </w:r>
            <w:r>
              <w:rPr>
                <w:rFonts w:ascii="Times New Roman" w:cs="Times New Roman" w:eastAsia="Times New Roman" w:hAnsi="Times New Roman"/>
                <w:sz w:val="6"/>
                <w:szCs w:val="6"/>
                <w:b w:val="1"/>
                <w:bCs w:val="1"/>
                <w:color w:val="auto"/>
              </w:rPr>
              <w:t>(d)</w:t>
            </w:r>
          </w:p>
        </w:tc>
        <w:tc>
          <w:tcPr>
            <w:tcW w:w="9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w:t>
            </w:r>
          </w:p>
        </w:tc>
        <w:tc>
          <w:tcPr>
            <w:tcW w:w="80" w:type="dxa"/>
            <w:vAlign w:val="bottom"/>
            <w:shd w:val="clear" w:color="auto" w:fill="CCEEFF"/>
          </w:tcPr>
          <w:p>
            <w:pPr>
              <w:spacing w:after="0"/>
              <w:rPr>
                <w:sz w:val="11"/>
                <w:szCs w:val="11"/>
                <w:color w:val="auto"/>
              </w:rPr>
            </w:pPr>
          </w:p>
        </w:tc>
        <w:tc>
          <w:tcPr>
            <w:tcW w:w="20" w:type="dxa"/>
            <w:vAlign w:val="bottom"/>
            <w:tcBorders>
              <w:bottom w:val="single" w:sz="8" w:color="auto"/>
            </w:tcBorders>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880" w:type="dxa"/>
            <w:vAlign w:val="bottom"/>
            <w:tcBorders>
              <w:bottom w:val="single" w:sz="8" w:color="auto"/>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0"/>
                <w:szCs w:val="10"/>
                <w:color w:val="auto"/>
              </w:rPr>
              <w:t>(10)</w:t>
            </w: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jc w:val="right"/>
              <w:spacing w:after="0" w:line="113" w:lineRule="exact"/>
              <w:rPr>
                <w:sz w:val="20"/>
                <w:szCs w:val="20"/>
                <w:color w:val="auto"/>
              </w:rPr>
            </w:pPr>
            <w:r>
              <w:rPr>
                <w:rFonts w:ascii="Times New Roman" w:cs="Times New Roman" w:eastAsia="Times New Roman" w:hAnsi="Times New Roman"/>
                <w:sz w:val="10"/>
                <w:szCs w:val="10"/>
                <w:color w:val="auto"/>
              </w:rPr>
              <w:t>(20.0)%</w:t>
            </w:r>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3820" w:type="dxa"/>
            <w:vAlign w:val="bottom"/>
            <w:tcBorders>
              <w:bottom w:val="single" w:sz="8" w:color="CCEEFF"/>
            </w:tcBorders>
            <w:gridSpan w:val="2"/>
          </w:tcPr>
          <w:p>
            <w:pPr>
              <w:ind w:left="440"/>
              <w:spacing w:after="0" w:line="107" w:lineRule="exact"/>
              <w:rPr>
                <w:sz w:val="20"/>
                <w:szCs w:val="20"/>
                <w:color w:val="auto"/>
              </w:rPr>
            </w:pPr>
            <w:r>
              <w:rPr>
                <w:rFonts w:ascii="Times New Roman" w:cs="Times New Roman" w:eastAsia="Times New Roman" w:hAnsi="Times New Roman"/>
                <w:sz w:val="10"/>
                <w:szCs w:val="10"/>
                <w:color w:val="auto"/>
              </w:rPr>
              <w:t>Total electric revenues</w:t>
            </w:r>
          </w:p>
        </w:tc>
        <w:tc>
          <w:tcPr>
            <w:tcW w:w="960" w:type="dxa"/>
            <w:vAlign w:val="bottom"/>
            <w:tcBorders>
              <w:bottom w:val="single" w:sz="8" w:color="CCEEFF"/>
            </w:tcBorders>
          </w:tcPr>
          <w:p>
            <w:pPr>
              <w:spacing w:after="0"/>
              <w:rPr>
                <w:sz w:val="10"/>
                <w:szCs w:val="10"/>
                <w:color w:val="auto"/>
              </w:rPr>
            </w:pPr>
          </w:p>
        </w:tc>
        <w:tc>
          <w:tcPr>
            <w:tcW w:w="20" w:type="dxa"/>
            <w:vAlign w:val="bottom"/>
            <w:tcBorders>
              <w:bottom w:val="single" w:sz="8" w:color="CCEEFF"/>
            </w:tcBorders>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40" w:type="dxa"/>
            <w:vAlign w:val="bottom"/>
            <w:tcBorders>
              <w:bottom w:val="single" w:sz="8" w:color="CCEEFF"/>
            </w:tcBorders>
          </w:tcPr>
          <w:p>
            <w:pPr>
              <w:spacing w:after="0"/>
              <w:rPr>
                <w:sz w:val="10"/>
                <w:szCs w:val="10"/>
                <w:color w:val="auto"/>
              </w:rPr>
            </w:pPr>
          </w:p>
        </w:tc>
        <w:tc>
          <w:tcPr>
            <w:tcW w:w="26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580" w:type="dxa"/>
            <w:vAlign w:val="bottom"/>
            <w:tcBorders>
              <w:bottom w:val="single" w:sz="8" w:color="CCEEFF"/>
            </w:tcBorders>
          </w:tcPr>
          <w:p>
            <w:pPr>
              <w:spacing w:after="0"/>
              <w:rPr>
                <w:sz w:val="10"/>
                <w:szCs w:val="10"/>
                <w:color w:val="auto"/>
              </w:rPr>
            </w:pPr>
          </w:p>
        </w:tc>
        <w:tc>
          <w:tcPr>
            <w:tcW w:w="40" w:type="dxa"/>
            <w:vAlign w:val="bottom"/>
            <w:tcBorders>
              <w:bottom w:val="single" w:sz="8" w:color="CCEEFF"/>
            </w:tcBorders>
          </w:tcPr>
          <w:p>
            <w:pPr>
              <w:spacing w:after="0"/>
              <w:rPr>
                <w:sz w:val="10"/>
                <w:szCs w:val="10"/>
                <w:color w:val="auto"/>
              </w:rPr>
            </w:pPr>
          </w:p>
        </w:tc>
        <w:tc>
          <w:tcPr>
            <w:tcW w:w="20" w:type="dxa"/>
            <w:vAlign w:val="bottom"/>
            <w:tcBorders>
              <w:bottom w:val="single" w:sz="8" w:color="CCEEFF"/>
            </w:tcBorders>
          </w:tcPr>
          <w:p>
            <w:pPr>
              <w:spacing w:after="0"/>
              <w:rPr>
                <w:sz w:val="10"/>
                <w:szCs w:val="10"/>
                <w:color w:val="auto"/>
              </w:rPr>
            </w:pPr>
          </w:p>
        </w:tc>
        <w:tc>
          <w:tcPr>
            <w:tcW w:w="20" w:type="dxa"/>
            <w:vAlign w:val="bottom"/>
            <w:tcBorders>
              <w:bottom w:val="single" w:sz="8" w:color="CCEEFF"/>
            </w:tcBorders>
          </w:tcPr>
          <w:p>
            <w:pPr>
              <w:spacing w:after="0"/>
              <w:rPr>
                <w:sz w:val="10"/>
                <w:szCs w:val="10"/>
                <w:color w:val="auto"/>
              </w:rPr>
            </w:pPr>
          </w:p>
        </w:tc>
        <w:tc>
          <w:tcPr>
            <w:tcW w:w="76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18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760" w:type="dxa"/>
            <w:vAlign w:val="bottom"/>
            <w:tcBorders>
              <w:bottom w:val="single" w:sz="8" w:color="CCEEFF"/>
            </w:tcBorders>
          </w:tcPr>
          <w:p>
            <w:pPr>
              <w:spacing w:after="0"/>
              <w:rPr>
                <w:sz w:val="10"/>
                <w:szCs w:val="10"/>
                <w:color w:val="auto"/>
              </w:rPr>
            </w:pPr>
          </w:p>
        </w:tc>
        <w:tc>
          <w:tcPr>
            <w:tcW w:w="30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1,245</w:t>
            </w:r>
          </w:p>
        </w:tc>
        <w:tc>
          <w:tcPr>
            <w:tcW w:w="80" w:type="dxa"/>
            <w:vAlign w:val="bottom"/>
            <w:tcBorders>
              <w:bottom w:val="single" w:sz="8" w:color="CCEEFF"/>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0"/>
                <w:szCs w:val="10"/>
                <w:color w:val="auto"/>
              </w:rPr>
              <w:t>1,012</w:t>
            </w:r>
          </w:p>
        </w:tc>
        <w:tc>
          <w:tcPr>
            <w:tcW w:w="60" w:type="dxa"/>
            <w:vAlign w:val="bottom"/>
            <w:tcBorders>
              <w:bottom w:val="single" w:sz="8" w:color="CCEEFF"/>
            </w:tcBorders>
          </w:tcPr>
          <w:p>
            <w:pPr>
              <w:spacing w:after="0"/>
              <w:rPr>
                <w:sz w:val="10"/>
                <w:szCs w:val="10"/>
                <w:color w:val="auto"/>
              </w:rPr>
            </w:pPr>
          </w:p>
        </w:tc>
        <w:tc>
          <w:tcPr>
            <w:tcW w:w="40" w:type="dxa"/>
            <w:vAlign w:val="bottom"/>
            <w:tcBorders>
              <w:bottom w:val="single" w:sz="8" w:color="CCEEFF"/>
            </w:tcBorders>
          </w:tcPr>
          <w:p>
            <w:pPr>
              <w:spacing w:after="0"/>
              <w:rPr>
                <w:sz w:val="10"/>
                <w:szCs w:val="10"/>
                <w:color w:val="auto"/>
              </w:rPr>
            </w:pPr>
          </w:p>
        </w:tc>
        <w:tc>
          <w:tcPr>
            <w:tcW w:w="1020" w:type="dxa"/>
            <w:vAlign w:val="bottom"/>
            <w:tcBorders>
              <w:bottom w:val="single" w:sz="8" w:color="CCEEFF"/>
            </w:tcBorders>
            <w:gridSpan w:val="2"/>
          </w:tcPr>
          <w:p>
            <w:pPr>
              <w:jc w:val="right"/>
              <w:spacing w:after="0" w:line="107" w:lineRule="exact"/>
              <w:rPr>
                <w:sz w:val="20"/>
                <w:szCs w:val="20"/>
                <w:color w:val="auto"/>
              </w:rPr>
            </w:pPr>
            <w:r>
              <w:rPr>
                <w:rFonts w:ascii="Times New Roman" w:cs="Times New Roman" w:eastAsia="Times New Roman" w:hAnsi="Times New Roman"/>
                <w:sz w:val="10"/>
                <w:szCs w:val="10"/>
                <w:color w:val="auto"/>
              </w:rPr>
              <w:t>23.0 %</w:t>
            </w:r>
          </w:p>
        </w:tc>
        <w:tc>
          <w:tcPr>
            <w:tcW w:w="20" w:type="dxa"/>
            <w:vAlign w:val="bottom"/>
            <w:tcBorders>
              <w:bottom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820" w:type="dxa"/>
            <w:vAlign w:val="bottom"/>
            <w:gridSpan w:val="2"/>
            <w:shd w:val="clear" w:color="auto" w:fill="CCEEFF"/>
          </w:tcPr>
          <w:p>
            <w:pPr>
              <w:spacing w:after="0" w:line="112" w:lineRule="exact"/>
              <w:rPr>
                <w:sz w:val="20"/>
                <w:szCs w:val="20"/>
                <w:color w:val="auto"/>
              </w:rPr>
            </w:pPr>
            <w:r>
              <w:rPr>
                <w:rFonts w:ascii="Times New Roman" w:cs="Times New Roman" w:eastAsia="Times New Roman" w:hAnsi="Times New Roman"/>
                <w:sz w:val="10"/>
                <w:szCs w:val="10"/>
                <w:b w:val="1"/>
                <w:bCs w:val="1"/>
                <w:color w:val="auto"/>
              </w:rPr>
              <w:t>Natural Gas (in mmcfs)</w:t>
            </w:r>
          </w:p>
        </w:tc>
        <w:tc>
          <w:tcPr>
            <w:tcW w:w="9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382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Natural Gas Deliveries and Revenues</w:t>
            </w:r>
            <w:r>
              <w:rPr>
                <w:rFonts w:ascii="Times New Roman" w:cs="Times New Roman" w:eastAsia="Times New Roman" w:hAnsi="Times New Roman"/>
                <w:sz w:val="6"/>
                <w:szCs w:val="6"/>
                <w:b w:val="1"/>
                <w:bCs w:val="1"/>
                <w:color w:val="auto"/>
              </w:rPr>
              <w:t>(e)</w:t>
            </w:r>
          </w:p>
        </w:tc>
        <w:tc>
          <w:tcPr>
            <w:tcW w:w="9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38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0"/>
                <w:szCs w:val="10"/>
                <w:color w:val="auto"/>
              </w:rPr>
              <w:t>Residential</w:t>
            </w:r>
          </w:p>
        </w:tc>
        <w:tc>
          <w:tcPr>
            <w:tcW w:w="9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21,298</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20,871</w:t>
            </w:r>
          </w:p>
        </w:tc>
        <w:tc>
          <w:tcPr>
            <w:tcW w:w="40" w:type="dxa"/>
            <w:vAlign w:val="bottom"/>
            <w:shd w:val="clear" w:color="auto" w:fill="CCEEFF"/>
          </w:tcPr>
          <w:p>
            <w:pPr>
              <w:spacing w:after="0"/>
              <w:rPr>
                <w:sz w:val="12"/>
                <w:szCs w:val="12"/>
                <w:color w:val="auto"/>
              </w:rPr>
            </w:pPr>
          </w:p>
        </w:tc>
        <w:tc>
          <w:tcPr>
            <w:tcW w:w="108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2.0 %</w:t>
            </w: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94"/>
              </w:rPr>
              <w:t>(0.7)%</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401</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378</w:t>
            </w: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6.1 %</w:t>
            </w: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3820" w:type="dxa"/>
            <w:vAlign w:val="bottom"/>
            <w:gridSpan w:val="2"/>
          </w:tcPr>
          <w:p>
            <w:pPr>
              <w:ind w:left="220"/>
              <w:spacing w:after="0"/>
              <w:rPr>
                <w:sz w:val="20"/>
                <w:szCs w:val="20"/>
                <w:color w:val="auto"/>
              </w:rPr>
            </w:pPr>
            <w:r>
              <w:rPr>
                <w:rFonts w:ascii="Times New Roman" w:cs="Times New Roman" w:eastAsia="Times New Roman" w:hAnsi="Times New Roman"/>
                <w:sz w:val="10"/>
                <w:szCs w:val="10"/>
                <w:color w:val="auto"/>
              </w:rPr>
              <w:t>Small commercial &amp; industrial</w:t>
            </w: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4,790</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60" w:type="dxa"/>
            <w:vAlign w:val="bottom"/>
            <w:gridSpan w:val="4"/>
          </w:tcPr>
          <w:p>
            <w:pPr>
              <w:jc w:val="right"/>
              <w:spacing w:after="0"/>
              <w:rPr>
                <w:sz w:val="20"/>
                <w:szCs w:val="20"/>
                <w:color w:val="auto"/>
              </w:rPr>
            </w:pPr>
            <w:r>
              <w:rPr>
                <w:rFonts w:ascii="Times New Roman" w:cs="Times New Roman" w:eastAsia="Times New Roman" w:hAnsi="Times New Roman"/>
                <w:sz w:val="10"/>
                <w:szCs w:val="10"/>
                <w:color w:val="auto"/>
              </w:rPr>
              <w:t>4,568</w:t>
            </w:r>
          </w:p>
        </w:tc>
        <w:tc>
          <w:tcPr>
            <w:tcW w:w="40" w:type="dxa"/>
            <w:vAlign w:val="bottom"/>
          </w:tcPr>
          <w:p>
            <w:pPr>
              <w:spacing w:after="0"/>
              <w:rPr>
                <w:sz w:val="11"/>
                <w:szCs w:val="11"/>
                <w:color w:val="auto"/>
              </w:rPr>
            </w:pPr>
          </w:p>
        </w:tc>
        <w:tc>
          <w:tcPr>
            <w:tcW w:w="1080" w:type="dxa"/>
            <w:vAlign w:val="bottom"/>
            <w:gridSpan w:val="5"/>
          </w:tcPr>
          <w:p>
            <w:pPr>
              <w:jc w:val="right"/>
              <w:spacing w:after="0"/>
              <w:rPr>
                <w:sz w:val="20"/>
                <w:szCs w:val="20"/>
                <w:color w:val="auto"/>
              </w:rPr>
            </w:pPr>
            <w:r>
              <w:rPr>
                <w:rFonts w:ascii="Times New Roman" w:cs="Times New Roman" w:eastAsia="Times New Roman" w:hAnsi="Times New Roman"/>
                <w:sz w:val="10"/>
                <w:szCs w:val="10"/>
                <w:color w:val="auto"/>
              </w:rPr>
              <w:t>4.9 %</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3.4 %</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63</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gridSpan w:val="3"/>
          </w:tcPr>
          <w:p>
            <w:pPr>
              <w:jc w:val="right"/>
              <w:ind w:right="40"/>
              <w:spacing w:after="0"/>
              <w:rPr>
                <w:sz w:val="20"/>
                <w:szCs w:val="20"/>
                <w:color w:val="auto"/>
              </w:rPr>
            </w:pPr>
            <w:r>
              <w:rPr>
                <w:rFonts w:ascii="Times New Roman" w:cs="Times New Roman" w:eastAsia="Times New Roman" w:hAnsi="Times New Roman"/>
                <w:sz w:val="10"/>
                <w:szCs w:val="10"/>
                <w:color w:val="auto"/>
              </w:rPr>
              <w:t>63</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0"/>
                <w:szCs w:val="10"/>
                <w:color w:val="auto"/>
              </w:rPr>
              <w:t>— %</w:t>
            </w:r>
          </w:p>
        </w:tc>
        <w:tc>
          <w:tcPr>
            <w:tcW w:w="0" w:type="dxa"/>
            <w:vAlign w:val="bottom"/>
          </w:tcPr>
          <w:p>
            <w:pPr>
              <w:spacing w:after="0"/>
              <w:rPr>
                <w:sz w:val="1"/>
                <w:szCs w:val="1"/>
                <w:color w:val="auto"/>
              </w:rPr>
            </w:pPr>
          </w:p>
        </w:tc>
      </w:tr>
      <w:tr>
        <w:trPr>
          <w:trHeight w:val="141"/>
        </w:trPr>
        <w:tc>
          <w:tcPr>
            <w:tcW w:w="38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0"/>
                <w:szCs w:val="10"/>
                <w:color w:val="auto"/>
              </w:rPr>
              <w:t>Large commercial &amp; industrial</w:t>
            </w:r>
          </w:p>
        </w:tc>
        <w:tc>
          <w:tcPr>
            <w:tcW w:w="9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14,450</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14,378</w:t>
            </w:r>
          </w:p>
        </w:tc>
        <w:tc>
          <w:tcPr>
            <w:tcW w:w="40" w:type="dxa"/>
            <w:vAlign w:val="bottom"/>
            <w:shd w:val="clear" w:color="auto" w:fill="CCEEFF"/>
          </w:tcPr>
          <w:p>
            <w:pPr>
              <w:spacing w:after="0"/>
              <w:rPr>
                <w:sz w:val="12"/>
                <w:szCs w:val="12"/>
                <w:color w:val="auto"/>
              </w:rPr>
            </w:pPr>
          </w:p>
        </w:tc>
        <w:tc>
          <w:tcPr>
            <w:tcW w:w="108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0.5 %</w:t>
            </w: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94"/>
              </w:rPr>
              <w:t>(2.0)%</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93</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96</w:t>
            </w: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(3.1)%</w:t>
            </w: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382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0"/>
                <w:szCs w:val="10"/>
                <w:color w:val="auto"/>
              </w:rPr>
              <w:t>Other</w:t>
            </w:r>
            <w:r>
              <w:rPr>
                <w:rFonts w:ascii="Times New Roman" w:cs="Times New Roman" w:eastAsia="Times New Roman" w:hAnsi="Times New Roman"/>
                <w:sz w:val="6"/>
                <w:szCs w:val="6"/>
                <w:color w:val="auto"/>
              </w:rPr>
              <w:t>(f)</w:t>
            </w:r>
          </w:p>
        </w:tc>
        <w:tc>
          <w:tcPr>
            <w:tcW w:w="9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3,515</w:t>
            </w:r>
          </w:p>
        </w:tc>
        <w:tc>
          <w:tcPr>
            <w:tcW w:w="20" w:type="dxa"/>
            <w:vAlign w:val="bottom"/>
            <w:tcBorders>
              <w:bottom w:val="single" w:sz="8" w:color="CCEEFF"/>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9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0"/>
                <w:szCs w:val="10"/>
                <w:color w:val="auto"/>
              </w:rPr>
              <w:t>3,845</w:t>
            </w:r>
          </w:p>
        </w:tc>
        <w:tc>
          <w:tcPr>
            <w:tcW w:w="40" w:type="dxa"/>
            <w:vAlign w:val="bottom"/>
            <w:tcBorders>
              <w:bottom w:val="single" w:sz="8" w:color="CCEEFF"/>
            </w:tcBorders>
          </w:tcPr>
          <w:p>
            <w:pPr>
              <w:spacing w:after="0"/>
              <w:rPr>
                <w:sz w:val="11"/>
                <w:szCs w:val="11"/>
                <w:color w:val="auto"/>
              </w:rPr>
            </w:pPr>
          </w:p>
        </w:tc>
        <w:tc>
          <w:tcPr>
            <w:tcW w:w="1080" w:type="dxa"/>
            <w:vAlign w:val="bottom"/>
            <w:tcBorders>
              <w:bottom w:val="single" w:sz="8" w:color="CCEEFF"/>
            </w:tcBorders>
            <w:gridSpan w:val="5"/>
          </w:tcPr>
          <w:p>
            <w:pPr>
              <w:jc w:val="right"/>
              <w:spacing w:after="0"/>
              <w:rPr>
                <w:sz w:val="20"/>
                <w:szCs w:val="20"/>
                <w:color w:val="auto"/>
              </w:rPr>
            </w:pPr>
            <w:r>
              <w:rPr>
                <w:rFonts w:ascii="Times New Roman" w:cs="Times New Roman" w:eastAsia="Times New Roman" w:hAnsi="Times New Roman"/>
                <w:sz w:val="10"/>
                <w:szCs w:val="10"/>
                <w:color w:val="auto"/>
              </w:rPr>
              <w:t>(8.6)%</w:t>
            </w:r>
          </w:p>
        </w:tc>
        <w:tc>
          <w:tcPr>
            <w:tcW w:w="80" w:type="dxa"/>
            <w:vAlign w:val="bottom"/>
            <w:tcBorders>
              <w:bottom w:val="single" w:sz="8" w:color="CCEEFF"/>
            </w:tcBorders>
          </w:tcPr>
          <w:p>
            <w:pPr>
              <w:spacing w:after="0"/>
              <w:rPr>
                <w:sz w:val="11"/>
                <w:szCs w:val="11"/>
                <w:color w:val="auto"/>
              </w:rPr>
            </w:pPr>
          </w:p>
        </w:tc>
        <w:tc>
          <w:tcPr>
            <w:tcW w:w="760" w:type="dxa"/>
            <w:vAlign w:val="bottom"/>
            <w:tcBorders>
              <w:bottom w:val="single" w:sz="8" w:color="CCEEFF"/>
            </w:tcBorders>
          </w:tcPr>
          <w:p>
            <w:pPr>
              <w:spacing w:after="0"/>
              <w:rPr>
                <w:sz w:val="11"/>
                <w:szCs w:val="11"/>
                <w:color w:val="auto"/>
              </w:rPr>
            </w:pPr>
          </w:p>
        </w:tc>
        <w:tc>
          <w:tcPr>
            <w:tcW w:w="380" w:type="dxa"/>
            <w:vAlign w:val="bottom"/>
            <w:tcBorders>
              <w:bottom w:val="single" w:sz="8" w:color="CCEEFF"/>
            </w:tcBorders>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n/a</w:t>
            </w:r>
          </w:p>
        </w:tc>
        <w:tc>
          <w:tcPr>
            <w:tcW w:w="10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31</w:t>
            </w:r>
          </w:p>
        </w:tc>
        <w:tc>
          <w:tcPr>
            <w:tcW w:w="80" w:type="dxa"/>
            <w:vAlign w:val="bottom"/>
            <w:tcBorders>
              <w:bottom w:val="single" w:sz="8" w:color="CCEEFF"/>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0"/>
                <w:szCs w:val="10"/>
                <w:color w:val="auto"/>
              </w:rPr>
              <w:t>24</w:t>
            </w:r>
          </w:p>
        </w:tc>
        <w:tc>
          <w:tcPr>
            <w:tcW w:w="60" w:type="dxa"/>
            <w:vAlign w:val="bottom"/>
            <w:tcBorders>
              <w:bottom w:val="single" w:sz="8" w:color="CCEEFF"/>
            </w:tcBorders>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10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0"/>
                <w:szCs w:val="10"/>
                <w:color w:val="auto"/>
              </w:rPr>
              <w:t>29.2 %</w:t>
            </w:r>
          </w:p>
        </w:tc>
        <w:tc>
          <w:tcPr>
            <w:tcW w:w="2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3820" w:type="dxa"/>
            <w:vAlign w:val="bottom"/>
            <w:gridSpan w:val="2"/>
            <w:shd w:val="clear" w:color="auto" w:fill="CCEEFF"/>
          </w:tcPr>
          <w:p>
            <w:pPr>
              <w:ind w:left="440"/>
              <w:spacing w:after="0" w:line="113" w:lineRule="exact"/>
              <w:rPr>
                <w:sz w:val="20"/>
                <w:szCs w:val="20"/>
                <w:color w:val="auto"/>
              </w:rPr>
            </w:pPr>
            <w:r>
              <w:rPr>
                <w:rFonts w:ascii="Times New Roman" w:cs="Times New Roman" w:eastAsia="Times New Roman" w:hAnsi="Times New Roman"/>
                <w:sz w:val="10"/>
                <w:szCs w:val="10"/>
                <w:color w:val="auto"/>
              </w:rPr>
              <w:t>Total natural gas revenues</w:t>
            </w:r>
            <w:r>
              <w:rPr>
                <w:rFonts w:ascii="Times New Roman" w:cs="Times New Roman" w:eastAsia="Times New Roman" w:hAnsi="Times New Roman"/>
                <w:sz w:val="6"/>
                <w:szCs w:val="6"/>
                <w:color w:val="auto"/>
              </w:rPr>
              <w:t>(g)</w:t>
            </w:r>
          </w:p>
        </w:tc>
        <w:tc>
          <w:tcPr>
            <w:tcW w:w="96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44,053</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60" w:type="dxa"/>
            <w:vAlign w:val="bottom"/>
            <w:tcBorders>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43,662</w:t>
            </w:r>
          </w:p>
        </w:tc>
        <w:tc>
          <w:tcPr>
            <w:tcW w:w="40" w:type="dxa"/>
            <w:vAlign w:val="bottom"/>
            <w:shd w:val="clear" w:color="auto" w:fill="CCEEFF"/>
          </w:tcPr>
          <w:p>
            <w:pPr>
              <w:spacing w:after="0"/>
              <w:rPr>
                <w:sz w:val="11"/>
                <w:szCs w:val="11"/>
                <w:color w:val="auto"/>
              </w:rPr>
            </w:pPr>
          </w:p>
        </w:tc>
        <w:tc>
          <w:tcPr>
            <w:tcW w:w="1080" w:type="dxa"/>
            <w:vAlign w:val="bottom"/>
            <w:gridSpan w:val="5"/>
            <w:shd w:val="clear" w:color="auto" w:fill="CCEEFF"/>
          </w:tcPr>
          <w:p>
            <w:pPr>
              <w:jc w:val="right"/>
              <w:spacing w:after="0" w:line="113" w:lineRule="exact"/>
              <w:rPr>
                <w:sz w:val="20"/>
                <w:szCs w:val="20"/>
                <w:color w:val="auto"/>
              </w:rPr>
            </w:pPr>
            <w:r>
              <w:rPr>
                <w:rFonts w:ascii="Times New Roman" w:cs="Times New Roman" w:eastAsia="Times New Roman" w:hAnsi="Times New Roman"/>
                <w:sz w:val="10"/>
                <w:szCs w:val="10"/>
                <w:color w:val="auto"/>
              </w:rPr>
              <w:t>0.9 %</w:t>
            </w: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300" w:type="dxa"/>
            <w:vAlign w:val="bottom"/>
            <w:shd w:val="clear" w:color="auto" w:fill="CCEEFF"/>
          </w:tcPr>
          <w:p>
            <w:pPr>
              <w:jc w:val="right"/>
              <w:spacing w:after="0" w:line="113" w:lineRule="exact"/>
              <w:rPr>
                <w:sz w:val="20"/>
                <w:szCs w:val="20"/>
                <w:color w:val="auto"/>
              </w:rPr>
            </w:pPr>
            <w:r>
              <w:rPr>
                <w:rFonts w:ascii="Times New Roman" w:cs="Times New Roman" w:eastAsia="Times New Roman" w:hAnsi="Times New Roman"/>
                <w:sz w:val="10"/>
                <w:szCs w:val="10"/>
                <w:color w:val="auto"/>
                <w:w w:val="94"/>
              </w:rPr>
              <w:t>(0.7)%</w:t>
            </w:r>
          </w:p>
        </w:tc>
        <w:tc>
          <w:tcPr>
            <w:tcW w:w="8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588</w:t>
            </w:r>
          </w:p>
        </w:tc>
        <w:tc>
          <w:tcPr>
            <w:tcW w:w="80" w:type="dxa"/>
            <w:vAlign w:val="bottom"/>
            <w:shd w:val="clear" w:color="auto" w:fill="CCEEFF"/>
          </w:tcPr>
          <w:p>
            <w:pPr>
              <w:spacing w:after="0"/>
              <w:rPr>
                <w:sz w:val="11"/>
                <w:szCs w:val="11"/>
                <w:color w:val="auto"/>
              </w:rPr>
            </w:pPr>
          </w:p>
        </w:tc>
        <w:tc>
          <w:tcPr>
            <w:tcW w:w="20" w:type="dxa"/>
            <w:vAlign w:val="bottom"/>
            <w:tcBorders>
              <w:bottom w:val="single" w:sz="8" w:color="auto"/>
            </w:tcBorders>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880" w:type="dxa"/>
            <w:vAlign w:val="bottom"/>
            <w:tcBorders>
              <w:bottom w:val="single" w:sz="8" w:color="auto"/>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561</w:t>
            </w: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jc w:val="right"/>
              <w:spacing w:after="0" w:line="113" w:lineRule="exact"/>
              <w:rPr>
                <w:sz w:val="20"/>
                <w:szCs w:val="20"/>
                <w:color w:val="auto"/>
              </w:rPr>
            </w:pPr>
            <w:r>
              <w:rPr>
                <w:rFonts w:ascii="Times New Roman" w:cs="Times New Roman" w:eastAsia="Times New Roman" w:hAnsi="Times New Roman"/>
                <w:sz w:val="10"/>
                <w:szCs w:val="10"/>
                <w:color w:val="auto"/>
              </w:rPr>
              <w:t>4.8 %</w:t>
            </w:r>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3820" w:type="dxa"/>
            <w:vAlign w:val="bottom"/>
            <w:tcBorders>
              <w:bottom w:val="single" w:sz="8" w:color="CCEEFF"/>
            </w:tcBorders>
            <w:gridSpan w:val="2"/>
          </w:tcPr>
          <w:p>
            <w:pPr>
              <w:spacing w:after="0" w:line="107" w:lineRule="exact"/>
              <w:rPr>
                <w:sz w:val="20"/>
                <w:szCs w:val="20"/>
                <w:color w:val="auto"/>
              </w:rPr>
            </w:pPr>
            <w:r>
              <w:rPr>
                <w:rFonts w:ascii="Times New Roman" w:cs="Times New Roman" w:eastAsia="Times New Roman" w:hAnsi="Times New Roman"/>
                <w:sz w:val="10"/>
                <w:szCs w:val="10"/>
                <w:b w:val="1"/>
                <w:bCs w:val="1"/>
                <w:color w:val="auto"/>
              </w:rPr>
              <w:t>Other Revenues</w:t>
            </w:r>
            <w:r>
              <w:rPr>
                <w:rFonts w:ascii="Times New Roman" w:cs="Times New Roman" w:eastAsia="Times New Roman" w:hAnsi="Times New Roman"/>
                <w:sz w:val="6"/>
                <w:szCs w:val="6"/>
                <w:b w:val="1"/>
                <w:bCs w:val="1"/>
                <w:color w:val="auto"/>
              </w:rPr>
              <w:t>(d)</w:t>
            </w:r>
          </w:p>
        </w:tc>
        <w:tc>
          <w:tcPr>
            <w:tcW w:w="960" w:type="dxa"/>
            <w:vAlign w:val="bottom"/>
            <w:tcBorders>
              <w:bottom w:val="single" w:sz="8" w:color="CCEEFF"/>
            </w:tcBorders>
          </w:tcPr>
          <w:p>
            <w:pPr>
              <w:spacing w:after="0"/>
              <w:rPr>
                <w:sz w:val="10"/>
                <w:szCs w:val="10"/>
                <w:color w:val="auto"/>
              </w:rPr>
            </w:pPr>
          </w:p>
        </w:tc>
        <w:tc>
          <w:tcPr>
            <w:tcW w:w="20" w:type="dxa"/>
            <w:vAlign w:val="bottom"/>
            <w:tcBorders>
              <w:bottom w:val="single" w:sz="8" w:color="CCEEFF"/>
            </w:tcBorders>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40" w:type="dxa"/>
            <w:vAlign w:val="bottom"/>
            <w:tcBorders>
              <w:bottom w:val="single" w:sz="8" w:color="CCEEFF"/>
            </w:tcBorders>
          </w:tcPr>
          <w:p>
            <w:pPr>
              <w:spacing w:after="0"/>
              <w:rPr>
                <w:sz w:val="10"/>
                <w:szCs w:val="10"/>
                <w:color w:val="auto"/>
              </w:rPr>
            </w:pPr>
          </w:p>
        </w:tc>
        <w:tc>
          <w:tcPr>
            <w:tcW w:w="26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580" w:type="dxa"/>
            <w:vAlign w:val="bottom"/>
            <w:tcBorders>
              <w:bottom w:val="single" w:sz="8" w:color="CCEEFF"/>
            </w:tcBorders>
          </w:tcPr>
          <w:p>
            <w:pPr>
              <w:spacing w:after="0"/>
              <w:rPr>
                <w:sz w:val="10"/>
                <w:szCs w:val="10"/>
                <w:color w:val="auto"/>
              </w:rPr>
            </w:pPr>
          </w:p>
        </w:tc>
        <w:tc>
          <w:tcPr>
            <w:tcW w:w="40" w:type="dxa"/>
            <w:vAlign w:val="bottom"/>
            <w:tcBorders>
              <w:bottom w:val="single" w:sz="8" w:color="CCEEFF"/>
            </w:tcBorders>
          </w:tcPr>
          <w:p>
            <w:pPr>
              <w:spacing w:after="0"/>
              <w:rPr>
                <w:sz w:val="10"/>
                <w:szCs w:val="10"/>
                <w:color w:val="auto"/>
              </w:rPr>
            </w:pPr>
          </w:p>
        </w:tc>
        <w:tc>
          <w:tcPr>
            <w:tcW w:w="20" w:type="dxa"/>
            <w:vAlign w:val="bottom"/>
            <w:tcBorders>
              <w:bottom w:val="single" w:sz="8" w:color="CCEEFF"/>
            </w:tcBorders>
          </w:tcPr>
          <w:p>
            <w:pPr>
              <w:spacing w:after="0"/>
              <w:rPr>
                <w:sz w:val="10"/>
                <w:szCs w:val="10"/>
                <w:color w:val="auto"/>
              </w:rPr>
            </w:pPr>
          </w:p>
        </w:tc>
        <w:tc>
          <w:tcPr>
            <w:tcW w:w="20" w:type="dxa"/>
            <w:vAlign w:val="bottom"/>
            <w:tcBorders>
              <w:bottom w:val="single" w:sz="8" w:color="CCEEFF"/>
            </w:tcBorders>
          </w:tcPr>
          <w:p>
            <w:pPr>
              <w:spacing w:after="0"/>
              <w:rPr>
                <w:sz w:val="10"/>
                <w:szCs w:val="10"/>
                <w:color w:val="auto"/>
              </w:rPr>
            </w:pPr>
          </w:p>
        </w:tc>
        <w:tc>
          <w:tcPr>
            <w:tcW w:w="76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18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760" w:type="dxa"/>
            <w:vAlign w:val="bottom"/>
            <w:tcBorders>
              <w:bottom w:val="single" w:sz="8" w:color="CCEEFF"/>
            </w:tcBorders>
          </w:tcPr>
          <w:p>
            <w:pPr>
              <w:spacing w:after="0"/>
              <w:rPr>
                <w:sz w:val="10"/>
                <w:szCs w:val="10"/>
                <w:color w:val="auto"/>
              </w:rPr>
            </w:pPr>
          </w:p>
        </w:tc>
        <w:tc>
          <w:tcPr>
            <w:tcW w:w="30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(5)</w:t>
            </w:r>
          </w:p>
        </w:tc>
        <w:tc>
          <w:tcPr>
            <w:tcW w:w="80" w:type="dxa"/>
            <w:vAlign w:val="bottom"/>
            <w:tcBorders>
              <w:bottom w:val="single" w:sz="8" w:color="CCEEFF"/>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0"/>
                <w:szCs w:val="10"/>
                <w:color w:val="auto"/>
              </w:rPr>
              <w:t>(19)</w:t>
            </w:r>
          </w:p>
        </w:tc>
        <w:tc>
          <w:tcPr>
            <w:tcW w:w="60" w:type="dxa"/>
            <w:vAlign w:val="bottom"/>
            <w:tcBorders>
              <w:bottom w:val="single" w:sz="8" w:color="CCEEFF"/>
            </w:tcBorders>
          </w:tcPr>
          <w:p>
            <w:pPr>
              <w:spacing w:after="0"/>
              <w:rPr>
                <w:sz w:val="10"/>
                <w:szCs w:val="10"/>
                <w:color w:val="auto"/>
              </w:rPr>
            </w:pPr>
          </w:p>
        </w:tc>
        <w:tc>
          <w:tcPr>
            <w:tcW w:w="40" w:type="dxa"/>
            <w:vAlign w:val="bottom"/>
            <w:tcBorders>
              <w:bottom w:val="single" w:sz="8" w:color="CCEEFF"/>
            </w:tcBorders>
          </w:tcPr>
          <w:p>
            <w:pPr>
              <w:spacing w:after="0"/>
              <w:rPr>
                <w:sz w:val="10"/>
                <w:szCs w:val="10"/>
                <w:color w:val="auto"/>
              </w:rPr>
            </w:pPr>
          </w:p>
        </w:tc>
        <w:tc>
          <w:tcPr>
            <w:tcW w:w="1020" w:type="dxa"/>
            <w:vAlign w:val="bottom"/>
            <w:tcBorders>
              <w:bottom w:val="single" w:sz="8" w:color="CCEEFF"/>
            </w:tcBorders>
            <w:gridSpan w:val="2"/>
          </w:tcPr>
          <w:p>
            <w:pPr>
              <w:jc w:val="right"/>
              <w:spacing w:after="0" w:line="107" w:lineRule="exact"/>
              <w:rPr>
                <w:sz w:val="20"/>
                <w:szCs w:val="20"/>
                <w:color w:val="auto"/>
              </w:rPr>
            </w:pPr>
            <w:r>
              <w:rPr>
                <w:rFonts w:ascii="Times New Roman" w:cs="Times New Roman" w:eastAsia="Times New Roman" w:hAnsi="Times New Roman"/>
                <w:sz w:val="10"/>
                <w:szCs w:val="10"/>
                <w:color w:val="auto"/>
              </w:rPr>
              <w:t>(73.7)%</w:t>
            </w:r>
          </w:p>
        </w:tc>
        <w:tc>
          <w:tcPr>
            <w:tcW w:w="20" w:type="dxa"/>
            <w:vAlign w:val="bottom"/>
            <w:tcBorders>
              <w:bottom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3820" w:type="dxa"/>
            <w:vAlign w:val="bottom"/>
            <w:gridSpan w:val="2"/>
            <w:shd w:val="clear" w:color="auto" w:fill="CCEEFF"/>
          </w:tcPr>
          <w:p>
            <w:pPr>
              <w:ind w:left="440"/>
              <w:spacing w:after="0" w:line="113" w:lineRule="exact"/>
              <w:rPr>
                <w:sz w:val="20"/>
                <w:szCs w:val="20"/>
                <w:color w:val="auto"/>
              </w:rPr>
            </w:pPr>
            <w:r>
              <w:rPr>
                <w:rFonts w:ascii="Times New Roman" w:cs="Times New Roman" w:eastAsia="Times New Roman" w:hAnsi="Times New Roman"/>
                <w:sz w:val="10"/>
                <w:szCs w:val="10"/>
                <w:color w:val="auto"/>
              </w:rPr>
              <w:t>Total natural gas revenues</w:t>
            </w:r>
          </w:p>
        </w:tc>
        <w:tc>
          <w:tcPr>
            <w:tcW w:w="9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583</w:t>
            </w:r>
          </w:p>
        </w:tc>
        <w:tc>
          <w:tcPr>
            <w:tcW w:w="80" w:type="dxa"/>
            <w:vAlign w:val="bottom"/>
            <w:shd w:val="clear" w:color="auto" w:fill="CCEEFF"/>
          </w:tcPr>
          <w:p>
            <w:pPr>
              <w:spacing w:after="0"/>
              <w:rPr>
                <w:sz w:val="10"/>
                <w:szCs w:val="10"/>
                <w:color w:val="auto"/>
              </w:rPr>
            </w:pPr>
          </w:p>
        </w:tc>
        <w:tc>
          <w:tcPr>
            <w:tcW w:w="20" w:type="dxa"/>
            <w:vAlign w:val="bottom"/>
            <w:tcBorders>
              <w:bottom w:val="single" w:sz="8" w:color="auto"/>
            </w:tcBorders>
            <w:shd w:val="clear" w:color="auto" w:fill="CCEEFF"/>
          </w:tcPr>
          <w:p>
            <w:pPr>
              <w:spacing w:after="0"/>
              <w:rPr>
                <w:sz w:val="10"/>
                <w:szCs w:val="10"/>
                <w:color w:val="auto"/>
              </w:rPr>
            </w:pPr>
          </w:p>
        </w:tc>
        <w:tc>
          <w:tcPr>
            <w:tcW w:w="60" w:type="dxa"/>
            <w:vAlign w:val="bottom"/>
            <w:tcBorders>
              <w:bottom w:val="single" w:sz="8" w:color="auto"/>
            </w:tcBorders>
            <w:shd w:val="clear" w:color="auto" w:fill="CCEEFF"/>
          </w:tcPr>
          <w:p>
            <w:pPr>
              <w:spacing w:after="0"/>
              <w:rPr>
                <w:sz w:val="10"/>
                <w:szCs w:val="10"/>
                <w:color w:val="auto"/>
              </w:rPr>
            </w:pPr>
          </w:p>
        </w:tc>
        <w:tc>
          <w:tcPr>
            <w:tcW w:w="880" w:type="dxa"/>
            <w:vAlign w:val="bottom"/>
            <w:tcBorders>
              <w:bottom w:val="single" w:sz="8" w:color="auto"/>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542</w:t>
            </w: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20" w:type="dxa"/>
            <w:vAlign w:val="bottom"/>
            <w:gridSpan w:val="2"/>
            <w:shd w:val="clear" w:color="auto" w:fill="CCEEFF"/>
          </w:tcPr>
          <w:p>
            <w:pPr>
              <w:jc w:val="right"/>
              <w:spacing w:after="0" w:line="113" w:lineRule="exact"/>
              <w:rPr>
                <w:sz w:val="20"/>
                <w:szCs w:val="20"/>
                <w:color w:val="auto"/>
              </w:rPr>
            </w:pPr>
            <w:r>
              <w:rPr>
                <w:rFonts w:ascii="Times New Roman" w:cs="Times New Roman" w:eastAsia="Times New Roman" w:hAnsi="Times New Roman"/>
                <w:sz w:val="10"/>
                <w:szCs w:val="10"/>
                <w:color w:val="auto"/>
              </w:rPr>
              <w:t>7.6 %</w:t>
            </w:r>
          </w:p>
        </w:tc>
        <w:tc>
          <w:tcPr>
            <w:tcW w:w="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3820" w:type="dxa"/>
            <w:vAlign w:val="bottom"/>
            <w:tcBorders>
              <w:bottom w:val="single" w:sz="8" w:color="CCEEFF"/>
            </w:tcBorders>
            <w:gridSpan w:val="2"/>
          </w:tcPr>
          <w:p>
            <w:pPr>
              <w:ind w:left="440"/>
              <w:spacing w:after="0"/>
              <w:rPr>
                <w:sz w:val="20"/>
                <w:szCs w:val="20"/>
                <w:color w:val="auto"/>
              </w:rPr>
            </w:pPr>
            <w:r>
              <w:rPr>
                <w:rFonts w:ascii="Times New Roman" w:cs="Times New Roman" w:eastAsia="Times New Roman" w:hAnsi="Times New Roman"/>
                <w:sz w:val="10"/>
                <w:szCs w:val="10"/>
                <w:color w:val="auto"/>
              </w:rPr>
              <w:t>Total electric and natural gas revenues</w:t>
            </w:r>
          </w:p>
        </w:tc>
        <w:tc>
          <w:tcPr>
            <w:tcW w:w="9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58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76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760" w:type="dxa"/>
            <w:vAlign w:val="bottom"/>
            <w:tcBorders>
              <w:bottom w:val="single" w:sz="8" w:color="CCEEFF"/>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1,828</w:t>
            </w:r>
          </w:p>
        </w:tc>
        <w:tc>
          <w:tcPr>
            <w:tcW w:w="8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88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0"/>
                <w:szCs w:val="10"/>
                <w:color w:val="auto"/>
              </w:rPr>
              <w:t>1,554</w:t>
            </w:r>
          </w:p>
        </w:tc>
        <w:tc>
          <w:tcPr>
            <w:tcW w:w="6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0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0"/>
                <w:szCs w:val="10"/>
                <w:color w:val="auto"/>
              </w:rPr>
              <w:t>17.6 %</w:t>
            </w:r>
          </w:p>
        </w:tc>
        <w:tc>
          <w:tcPr>
            <w:tcW w:w="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38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0"/>
                <w:szCs w:val="10"/>
                <w:b w:val="1"/>
                <w:bCs w:val="1"/>
                <w:color w:val="auto"/>
              </w:rPr>
              <w:t>Purchased Power and Fuel</w:t>
            </w:r>
          </w:p>
        </w:tc>
        <w:tc>
          <w:tcPr>
            <w:tcW w:w="96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spacing w:after="0"/>
              <w:rPr>
                <w:sz w:val="13"/>
                <w:szCs w:val="13"/>
                <w:color w:val="auto"/>
              </w:rPr>
            </w:pPr>
          </w:p>
        </w:tc>
        <w:tc>
          <w:tcPr>
            <w:tcW w:w="3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808</w:t>
            </w:r>
          </w:p>
        </w:tc>
        <w:tc>
          <w:tcPr>
            <w:tcW w:w="8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880" w:type="dxa"/>
            <w:vAlign w:val="bottom"/>
            <w:tcBorders>
              <w:bottom w:val="single" w:sz="8" w:color="auto"/>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609</w:t>
            </w:r>
          </w:p>
        </w:tc>
        <w:tc>
          <w:tcPr>
            <w:tcW w:w="60" w:type="dxa"/>
            <w:vAlign w:val="bottom"/>
            <w:tcBorders>
              <w:bottom w:val="single" w:sz="8" w:color="auto"/>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32.7 %</w:t>
            </w:r>
          </w:p>
        </w:tc>
        <w:tc>
          <w:tcPr>
            <w:tcW w:w="2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367"/>
        </w:trPr>
        <w:tc>
          <w:tcPr>
            <w:tcW w:w="3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gridSpan w:val="5"/>
          </w:tcPr>
          <w:p>
            <w:pPr>
              <w:ind w:left="280"/>
              <w:spacing w:after="0"/>
              <w:rPr>
                <w:sz w:val="20"/>
                <w:szCs w:val="20"/>
                <w:color w:val="auto"/>
              </w:rPr>
            </w:pPr>
            <w:r>
              <w:rPr>
                <w:rFonts w:ascii="Times New Roman" w:cs="Times New Roman" w:eastAsia="Times New Roman" w:hAnsi="Times New Roman"/>
                <w:sz w:val="10"/>
                <w:szCs w:val="10"/>
                <w:b w:val="1"/>
                <w:bCs w:val="1"/>
                <w:color w:val="auto"/>
              </w:rPr>
              <w:t>% Change</w:t>
            </w:r>
          </w:p>
        </w:tc>
        <w:tc>
          <w:tcPr>
            <w:tcW w:w="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3820" w:type="dxa"/>
            <w:vAlign w:val="bottom"/>
            <w:gridSpan w:val="2"/>
          </w:tcPr>
          <w:p>
            <w:pPr>
              <w:ind w:left="20"/>
              <w:spacing w:after="0"/>
              <w:rPr>
                <w:sz w:val="20"/>
                <w:szCs w:val="20"/>
                <w:color w:val="auto"/>
              </w:rPr>
            </w:pPr>
            <w:r>
              <w:rPr>
                <w:rFonts w:ascii="Times New Roman" w:cs="Times New Roman" w:eastAsia="Times New Roman" w:hAnsi="Times New Roman"/>
                <w:sz w:val="10"/>
                <w:szCs w:val="10"/>
                <w:b w:val="1"/>
                <w:bCs w:val="1"/>
                <w:color w:val="auto"/>
              </w:rPr>
              <w:t>Heating and Cooling Degree-Days</w:t>
            </w:r>
          </w:p>
        </w:tc>
        <w:tc>
          <w:tcPr>
            <w:tcW w:w="960" w:type="dxa"/>
            <w:vAlign w:val="bottom"/>
          </w:tcPr>
          <w:p>
            <w:pPr>
              <w:jc w:val="right"/>
              <w:ind w:right="192"/>
              <w:spacing w:after="0"/>
              <w:rPr>
                <w:sz w:val="20"/>
                <w:szCs w:val="20"/>
                <w:color w:val="auto"/>
              </w:rPr>
            </w:pPr>
            <w:r>
              <w:rPr>
                <w:rFonts w:ascii="Times New Roman" w:cs="Times New Roman" w:eastAsia="Times New Roman" w:hAnsi="Times New Roman"/>
                <w:sz w:val="10"/>
                <w:szCs w:val="10"/>
                <w:b w:val="1"/>
                <w:bCs w:val="1"/>
                <w:color w:val="auto"/>
              </w:rPr>
              <w:t>2026</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gridSpan w:val="3"/>
          </w:tcPr>
          <w:p>
            <w:pPr>
              <w:jc w:val="right"/>
              <w:ind w:right="552"/>
              <w:spacing w:after="0"/>
              <w:rPr>
                <w:sz w:val="20"/>
                <w:szCs w:val="20"/>
                <w:color w:val="auto"/>
              </w:rPr>
            </w:pPr>
            <w:r>
              <w:rPr>
                <w:rFonts w:ascii="Times New Roman" w:cs="Times New Roman" w:eastAsia="Times New Roman" w:hAnsi="Times New Roman"/>
                <w:sz w:val="10"/>
                <w:szCs w:val="10"/>
                <w:b w:val="1"/>
                <w:bCs w:val="1"/>
                <w:color w:val="auto"/>
                <w:w w:val="89"/>
              </w:rPr>
              <w:t>2025</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ind w:left="280"/>
              <w:spacing w:after="0"/>
              <w:rPr>
                <w:sz w:val="20"/>
                <w:szCs w:val="20"/>
                <w:color w:val="auto"/>
              </w:rPr>
            </w:pPr>
            <w:r>
              <w:rPr>
                <w:rFonts w:ascii="Times New Roman" w:cs="Times New Roman" w:eastAsia="Times New Roman" w:hAnsi="Times New Roman"/>
                <w:sz w:val="10"/>
                <w:szCs w:val="10"/>
                <w:b w:val="1"/>
                <w:bCs w:val="1"/>
                <w:color w:val="auto"/>
              </w:rPr>
              <w:t>Normal</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3"/>
          </w:tcPr>
          <w:p>
            <w:pPr>
              <w:ind w:left="500"/>
              <w:spacing w:after="0"/>
              <w:rPr>
                <w:sz w:val="20"/>
                <w:szCs w:val="20"/>
                <w:color w:val="auto"/>
              </w:rPr>
            </w:pPr>
            <w:r>
              <w:rPr>
                <w:rFonts w:ascii="Times New Roman" w:cs="Times New Roman" w:eastAsia="Times New Roman" w:hAnsi="Times New Roman"/>
                <w:sz w:val="10"/>
                <w:szCs w:val="10"/>
                <w:b w:val="1"/>
                <w:bCs w:val="1"/>
                <w:color w:val="auto"/>
                <w:w w:val="94"/>
              </w:rPr>
              <w:t>From 2025</w:t>
            </w: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gridSpan w:val="2"/>
          </w:tcPr>
          <w:p>
            <w:pPr>
              <w:jc w:val="right"/>
              <w:ind w:right="392"/>
              <w:spacing w:after="0"/>
              <w:rPr>
                <w:sz w:val="20"/>
                <w:szCs w:val="20"/>
                <w:color w:val="auto"/>
              </w:rPr>
            </w:pPr>
            <w:r>
              <w:rPr>
                <w:rFonts w:ascii="Times New Roman" w:cs="Times New Roman" w:eastAsia="Times New Roman" w:hAnsi="Times New Roman"/>
                <w:sz w:val="10"/>
                <w:szCs w:val="10"/>
                <w:b w:val="1"/>
                <w:bCs w:val="1"/>
                <w:color w:val="auto"/>
                <w:w w:val="94"/>
              </w:rPr>
              <w:t>From Normal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740" w:type="dxa"/>
            <w:vAlign w:val="bottom"/>
            <w:tcBorders>
              <w:top w:val="single" w:sz="8" w:color="CCEEFF"/>
            </w:tcBorders>
            <w:shd w:val="clear" w:color="auto" w:fill="CCEEFF"/>
          </w:tcPr>
          <w:p>
            <w:pPr>
              <w:ind w:left="220"/>
              <w:spacing w:after="0" w:line="112" w:lineRule="exact"/>
              <w:rPr>
                <w:sz w:val="20"/>
                <w:szCs w:val="20"/>
                <w:color w:val="auto"/>
              </w:rPr>
            </w:pPr>
            <w:r>
              <w:rPr>
                <w:rFonts w:ascii="Times New Roman" w:cs="Times New Roman" w:eastAsia="Times New Roman" w:hAnsi="Times New Roman"/>
                <w:sz w:val="10"/>
                <w:szCs w:val="10"/>
                <w:color w:val="auto"/>
              </w:rPr>
              <w:t>Heating Degree-Days</w:t>
            </w:r>
          </w:p>
        </w:tc>
        <w:tc>
          <w:tcPr>
            <w:tcW w:w="80" w:type="dxa"/>
            <w:vAlign w:val="bottom"/>
            <w:tcBorders>
              <w:top w:val="single" w:sz="8" w:color="auto"/>
            </w:tcBorders>
            <w:shd w:val="clear" w:color="auto" w:fill="CCEEFF"/>
          </w:tcPr>
          <w:p>
            <w:pPr>
              <w:spacing w:after="0"/>
              <w:rPr>
                <w:sz w:val="11"/>
                <w:szCs w:val="11"/>
                <w:color w:val="auto"/>
              </w:rPr>
            </w:pPr>
          </w:p>
        </w:tc>
        <w:tc>
          <w:tcPr>
            <w:tcW w:w="96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3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2,444</w:t>
            </w:r>
          </w:p>
        </w:tc>
        <w:tc>
          <w:tcPr>
            <w:tcW w:w="8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auto"/>
            </w:tcBorders>
            <w:shd w:val="clear" w:color="auto" w:fill="CCEEFF"/>
          </w:tcPr>
          <w:p>
            <w:pPr>
              <w:spacing w:after="0"/>
              <w:rPr>
                <w:sz w:val="11"/>
                <w:szCs w:val="11"/>
                <w:color w:val="auto"/>
              </w:rPr>
            </w:pPr>
          </w:p>
        </w:tc>
        <w:tc>
          <w:tcPr>
            <w:tcW w:w="80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2,303</w:t>
            </w:r>
          </w:p>
        </w:tc>
        <w:tc>
          <w:tcPr>
            <w:tcW w:w="10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380" w:type="dxa"/>
            <w:vAlign w:val="bottom"/>
            <w:tcBorders>
              <w:top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2,332</w:t>
            </w:r>
          </w:p>
        </w:tc>
        <w:tc>
          <w:tcPr>
            <w:tcW w:w="100" w:type="dxa"/>
            <w:vAlign w:val="bottom"/>
            <w:tcBorders>
              <w:top w:val="single" w:sz="8" w:color="CCEEFF"/>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6.1 %</w:t>
            </w:r>
          </w:p>
        </w:tc>
        <w:tc>
          <w:tcPr>
            <w:tcW w:w="100" w:type="dxa"/>
            <w:vAlign w:val="bottom"/>
            <w:tcBorders>
              <w:top w:val="single" w:sz="8" w:color="CCEEFF"/>
            </w:tcBorders>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auto"/>
            </w:tcBorders>
            <w:shd w:val="clear" w:color="auto" w:fill="CCEEFF"/>
          </w:tcPr>
          <w:p>
            <w:pPr>
              <w:spacing w:after="0"/>
              <w:rPr>
                <w:sz w:val="11"/>
                <w:szCs w:val="11"/>
                <w:color w:val="auto"/>
              </w:rPr>
            </w:pPr>
          </w:p>
        </w:tc>
        <w:tc>
          <w:tcPr>
            <w:tcW w:w="10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4.8 %</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3"/>
        </w:trPr>
        <w:tc>
          <w:tcPr>
            <w:tcW w:w="3820" w:type="dxa"/>
            <w:vAlign w:val="bottom"/>
            <w:gridSpan w:val="2"/>
          </w:tcPr>
          <w:p>
            <w:pPr>
              <w:ind w:left="220"/>
              <w:spacing w:after="0"/>
              <w:rPr>
                <w:sz w:val="20"/>
                <w:szCs w:val="20"/>
                <w:color w:val="auto"/>
              </w:rPr>
            </w:pPr>
            <w:r>
              <w:rPr>
                <w:rFonts w:ascii="Times New Roman" w:cs="Times New Roman" w:eastAsia="Times New Roman" w:hAnsi="Times New Roman"/>
                <w:sz w:val="10"/>
                <w:szCs w:val="10"/>
                <w:color w:val="auto"/>
              </w:rPr>
              <w:t>Cooling Degree-Days</w:t>
            </w:r>
          </w:p>
        </w:tc>
        <w:tc>
          <w:tcPr>
            <w:tcW w:w="9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14</w:t>
            </w: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20" w:type="dxa"/>
            <w:vAlign w:val="bottom"/>
            <w:gridSpan w:val="4"/>
          </w:tcPr>
          <w:p>
            <w:pPr>
              <w:jc w:val="right"/>
              <w:ind w:right="400"/>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tcPr>
          <w:p>
            <w:pPr>
              <w:spacing w:after="0"/>
              <w:rPr>
                <w:sz w:val="10"/>
                <w:szCs w:val="10"/>
                <w:color w:val="auto"/>
              </w:rPr>
            </w:pPr>
          </w:p>
        </w:tc>
        <w:tc>
          <w:tcPr>
            <w:tcW w:w="380" w:type="dxa"/>
            <w:vAlign w:val="bottom"/>
            <w:gridSpan w:val="2"/>
          </w:tcPr>
          <w:p>
            <w:pPr>
              <w:jc w:val="right"/>
              <w:ind w:right="40"/>
              <w:spacing w:after="0"/>
              <w:rPr>
                <w:sz w:val="20"/>
                <w:szCs w:val="20"/>
                <w:color w:val="auto"/>
              </w:rPr>
            </w:pPr>
            <w:r>
              <w:rPr>
                <w:rFonts w:ascii="Times New Roman" w:cs="Times New Roman" w:eastAsia="Times New Roman" w:hAnsi="Times New Roman"/>
                <w:sz w:val="10"/>
                <w:szCs w:val="10"/>
                <w:color w:val="auto"/>
              </w:rPr>
              <w:t>3</w:t>
            </w: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80" w:type="dxa"/>
            <w:vAlign w:val="bottom"/>
            <w:gridSpan w:val="5"/>
          </w:tcPr>
          <w:p>
            <w:pPr>
              <w:jc w:val="right"/>
              <w:ind w:right="560"/>
              <w:spacing w:after="0"/>
              <w:rPr>
                <w:sz w:val="20"/>
                <w:szCs w:val="20"/>
                <w:color w:val="auto"/>
              </w:rPr>
            </w:pPr>
            <w:r>
              <w:rPr>
                <w:rFonts w:ascii="Times New Roman" w:cs="Times New Roman" w:eastAsia="Times New Roman" w:hAnsi="Times New Roman"/>
                <w:sz w:val="10"/>
                <w:szCs w:val="10"/>
                <w:color w:val="auto"/>
              </w:rPr>
              <w:t>— %</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366.7 %</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81"/>
        </w:trPr>
        <w:tc>
          <w:tcPr>
            <w:tcW w:w="382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Number of Electric Customers</w:t>
            </w:r>
          </w:p>
        </w:tc>
        <w:tc>
          <w:tcPr>
            <w:tcW w:w="960" w:type="dxa"/>
            <w:vAlign w:val="bottom"/>
          </w:tcPr>
          <w:p>
            <w:pPr>
              <w:jc w:val="right"/>
              <w:ind w:right="332"/>
              <w:spacing w:after="0"/>
              <w:rPr>
                <w:sz w:val="20"/>
                <w:szCs w:val="20"/>
                <w:color w:val="auto"/>
              </w:rPr>
            </w:pPr>
            <w:r>
              <w:rPr>
                <w:rFonts w:ascii="Times New Roman" w:cs="Times New Roman" w:eastAsia="Times New Roman" w:hAnsi="Times New Roman"/>
                <w:sz w:val="10"/>
                <w:szCs w:val="10"/>
                <w:b w:val="1"/>
                <w:bCs w:val="1"/>
                <w:color w:val="auto"/>
              </w:rPr>
              <w:t>2026</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 w:type="dxa"/>
            <w:vAlign w:val="bottom"/>
            <w:gridSpan w:val="4"/>
          </w:tcPr>
          <w:p>
            <w:pPr>
              <w:jc w:val="right"/>
              <w:ind w:right="292"/>
              <w:spacing w:after="0"/>
              <w:rPr>
                <w:sz w:val="20"/>
                <w:szCs w:val="20"/>
                <w:color w:val="auto"/>
              </w:rPr>
            </w:pPr>
            <w:r>
              <w:rPr>
                <w:rFonts w:ascii="Times New Roman" w:cs="Times New Roman" w:eastAsia="Times New Roman" w:hAnsi="Times New Roman"/>
                <w:sz w:val="10"/>
                <w:szCs w:val="10"/>
                <w:b w:val="1"/>
                <w:bCs w:val="1"/>
                <w:color w:val="auto"/>
              </w:rPr>
              <w:t>2025</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80" w:type="dxa"/>
            <w:vAlign w:val="bottom"/>
            <w:gridSpan w:val="5"/>
          </w:tcPr>
          <w:p>
            <w:pPr>
              <w:ind w:left="80"/>
              <w:spacing w:after="0"/>
              <w:rPr>
                <w:sz w:val="20"/>
                <w:szCs w:val="20"/>
                <w:color w:val="auto"/>
              </w:rPr>
            </w:pPr>
            <w:r>
              <w:rPr>
                <w:rFonts w:ascii="Times New Roman" w:cs="Times New Roman" w:eastAsia="Times New Roman" w:hAnsi="Times New Roman"/>
                <w:sz w:val="10"/>
                <w:szCs w:val="10"/>
                <w:b w:val="1"/>
                <w:bCs w:val="1"/>
                <w:color w:val="auto"/>
              </w:rPr>
              <w:t>Number of Natural Gas Customers</w:t>
            </w: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gridSpan w:val="3"/>
          </w:tcPr>
          <w:p>
            <w:pPr>
              <w:jc w:val="right"/>
              <w:ind w:right="340"/>
              <w:spacing w:after="0"/>
              <w:rPr>
                <w:sz w:val="20"/>
                <w:szCs w:val="20"/>
                <w:color w:val="auto"/>
              </w:rPr>
            </w:pPr>
            <w:r>
              <w:rPr>
                <w:rFonts w:ascii="Times New Roman" w:cs="Times New Roman" w:eastAsia="Times New Roman" w:hAnsi="Times New Roman"/>
                <w:sz w:val="10"/>
                <w:szCs w:val="10"/>
                <w:b w:val="1"/>
                <w:bCs w:val="1"/>
                <w:color w:val="auto"/>
              </w:rPr>
              <w:t>2026</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20" w:type="dxa"/>
            <w:vAlign w:val="bottom"/>
            <w:gridSpan w:val="2"/>
          </w:tcPr>
          <w:p>
            <w:pPr>
              <w:jc w:val="right"/>
              <w:ind w:right="332"/>
              <w:spacing w:after="0"/>
              <w:rPr>
                <w:sz w:val="20"/>
                <w:szCs w:val="20"/>
                <w:color w:val="auto"/>
              </w:rPr>
            </w:pPr>
            <w:r>
              <w:rPr>
                <w:rFonts w:ascii="Times New Roman" w:cs="Times New Roman" w:eastAsia="Times New Roman" w:hAnsi="Times New Roman"/>
                <w:sz w:val="10"/>
                <w:szCs w:val="10"/>
                <w:b w:val="1"/>
                <w:bCs w:val="1"/>
                <w:color w:val="auto"/>
              </w:rPr>
              <w:t>2025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3820" w:type="dxa"/>
            <w:vAlign w:val="bottom"/>
            <w:tcBorders>
              <w:top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0"/>
                <w:szCs w:val="10"/>
                <w:color w:val="auto"/>
              </w:rPr>
              <w:t>Residential</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1,226,941</w:t>
            </w:r>
          </w:p>
        </w:tc>
        <w:tc>
          <w:tcPr>
            <w:tcW w:w="2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960" w:type="dxa"/>
            <w:vAlign w:val="bottom"/>
            <w:tcBorders>
              <w:top w:val="single" w:sz="8" w:color="auto"/>
            </w:tcBorders>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0"/>
                <w:szCs w:val="10"/>
                <w:color w:val="auto"/>
              </w:rPr>
              <w:t>1,220,769</w:t>
            </w:r>
          </w:p>
        </w:tc>
        <w:tc>
          <w:tcPr>
            <w:tcW w:w="2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120" w:type="dxa"/>
            <w:vAlign w:val="bottom"/>
            <w:tcBorders>
              <w:top w:val="single" w:sz="8" w:color="CCEEFF"/>
            </w:tcBorders>
            <w:gridSpan w:val="4"/>
            <w:shd w:val="clear" w:color="auto" w:fill="CCEEFF"/>
          </w:tcPr>
          <w:p>
            <w:pPr>
              <w:ind w:left="300"/>
              <w:spacing w:after="0"/>
              <w:rPr>
                <w:sz w:val="20"/>
                <w:szCs w:val="20"/>
                <w:color w:val="auto"/>
              </w:rPr>
            </w:pPr>
            <w:r>
              <w:rPr>
                <w:rFonts w:ascii="Times New Roman" w:cs="Times New Roman" w:eastAsia="Times New Roman" w:hAnsi="Times New Roman"/>
                <w:sz w:val="10"/>
                <w:szCs w:val="10"/>
                <w:color w:val="auto"/>
              </w:rPr>
              <w:t>Residential</w:t>
            </w:r>
          </w:p>
        </w:tc>
        <w:tc>
          <w:tcPr>
            <w:tcW w:w="760" w:type="dxa"/>
            <w:vAlign w:val="bottom"/>
            <w:tcBorders>
              <w:top w:val="single" w:sz="8" w:color="CCEEFF"/>
            </w:tcBorders>
            <w:shd w:val="clear" w:color="auto" w:fill="CCEEFF"/>
          </w:tcPr>
          <w:p>
            <w:pPr>
              <w:spacing w:after="0"/>
              <w:rPr>
                <w:sz w:val="11"/>
                <w:szCs w:val="11"/>
                <w:color w:val="auto"/>
              </w:rPr>
            </w:pPr>
          </w:p>
        </w:tc>
        <w:tc>
          <w:tcPr>
            <w:tcW w:w="3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8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940" w:type="dxa"/>
            <w:vAlign w:val="bottom"/>
            <w:tcBorders>
              <w:top w:val="single" w:sz="8" w:color="auto"/>
            </w:tcBorders>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663,324</w:t>
            </w:r>
          </w:p>
        </w:tc>
        <w:tc>
          <w:tcPr>
            <w:tcW w:w="4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661,195</w:t>
            </w:r>
          </w:p>
        </w:tc>
        <w:tc>
          <w:tcPr>
            <w:tcW w:w="2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820" w:type="dxa"/>
            <w:vAlign w:val="bottom"/>
            <w:gridSpan w:val="2"/>
          </w:tcPr>
          <w:p>
            <w:pPr>
              <w:ind w:left="220"/>
              <w:spacing w:after="0"/>
              <w:rPr>
                <w:sz w:val="20"/>
                <w:szCs w:val="20"/>
                <w:color w:val="auto"/>
              </w:rPr>
            </w:pPr>
            <w:r>
              <w:rPr>
                <w:rFonts w:ascii="Times New Roman" w:cs="Times New Roman" w:eastAsia="Times New Roman" w:hAnsi="Times New Roman"/>
                <w:sz w:val="10"/>
                <w:szCs w:val="10"/>
                <w:color w:val="auto"/>
              </w:rPr>
              <w:t>Small commercial &amp; industrial</w:t>
            </w:r>
          </w:p>
        </w:tc>
        <w:tc>
          <w:tcPr>
            <w:tcW w:w="9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115,253</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0" w:type="dxa"/>
            <w:vAlign w:val="bottom"/>
            <w:gridSpan w:val="5"/>
          </w:tcPr>
          <w:p>
            <w:pPr>
              <w:jc w:val="right"/>
              <w:ind w:right="20"/>
              <w:spacing w:after="0"/>
              <w:rPr>
                <w:sz w:val="20"/>
                <w:szCs w:val="20"/>
                <w:color w:val="auto"/>
              </w:rPr>
            </w:pPr>
            <w:r>
              <w:rPr>
                <w:rFonts w:ascii="Times New Roman" w:cs="Times New Roman" w:eastAsia="Times New Roman" w:hAnsi="Times New Roman"/>
                <w:sz w:val="10"/>
                <w:szCs w:val="10"/>
                <w:color w:val="auto"/>
              </w:rPr>
              <w:t>115,359</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80" w:type="dxa"/>
            <w:vAlign w:val="bottom"/>
            <w:gridSpan w:val="5"/>
          </w:tcPr>
          <w:p>
            <w:pPr>
              <w:ind w:left="300"/>
              <w:spacing w:after="0"/>
              <w:rPr>
                <w:sz w:val="20"/>
                <w:szCs w:val="20"/>
                <w:color w:val="auto"/>
              </w:rPr>
            </w:pPr>
            <w:r>
              <w:rPr>
                <w:rFonts w:ascii="Times New Roman" w:cs="Times New Roman" w:eastAsia="Times New Roman" w:hAnsi="Times New Roman"/>
                <w:sz w:val="10"/>
                <w:szCs w:val="10"/>
                <w:color w:val="auto"/>
              </w:rPr>
              <w:t>Small commercial &amp; industrial</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gridSpan w:val="4"/>
          </w:tcPr>
          <w:p>
            <w:pPr>
              <w:jc w:val="right"/>
              <w:ind w:right="40"/>
              <w:spacing w:after="0"/>
              <w:rPr>
                <w:sz w:val="20"/>
                <w:szCs w:val="20"/>
                <w:color w:val="auto"/>
              </w:rPr>
            </w:pPr>
            <w:r>
              <w:rPr>
                <w:rFonts w:ascii="Times New Roman" w:cs="Times New Roman" w:eastAsia="Times New Roman" w:hAnsi="Times New Roman"/>
                <w:sz w:val="10"/>
                <w:szCs w:val="10"/>
                <w:color w:val="auto"/>
              </w:rPr>
              <w:t>37,735</w:t>
            </w:r>
          </w:p>
        </w:tc>
        <w:tc>
          <w:tcPr>
            <w:tcW w:w="40" w:type="dxa"/>
            <w:vAlign w:val="bottom"/>
          </w:tcPr>
          <w:p>
            <w:pPr>
              <w:spacing w:after="0"/>
              <w:rPr>
                <w:sz w:val="11"/>
                <w:szCs w:val="11"/>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37,945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38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0"/>
                <w:szCs w:val="10"/>
                <w:color w:val="auto"/>
              </w:rPr>
              <w:t>Large commercial &amp; industrial</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13,372</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0" w:type="dxa"/>
            <w:vAlign w:val="bottom"/>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0"/>
                <w:szCs w:val="10"/>
                <w:color w:val="auto"/>
              </w:rPr>
              <w:t>13,302</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80" w:type="dxa"/>
            <w:vAlign w:val="bottom"/>
            <w:gridSpan w:val="5"/>
            <w:shd w:val="clear" w:color="auto" w:fill="CCEEFF"/>
          </w:tcPr>
          <w:p>
            <w:pPr>
              <w:ind w:left="300"/>
              <w:spacing w:after="0"/>
              <w:rPr>
                <w:sz w:val="20"/>
                <w:szCs w:val="20"/>
                <w:color w:val="auto"/>
              </w:rPr>
            </w:pPr>
            <w:r>
              <w:rPr>
                <w:rFonts w:ascii="Times New Roman" w:cs="Times New Roman" w:eastAsia="Times New Roman" w:hAnsi="Times New Roman"/>
                <w:sz w:val="10"/>
                <w:szCs w:val="10"/>
                <w:color w:val="auto"/>
              </w:rPr>
              <w:t>Large commercial &amp; industrial</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4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6,421</w:t>
            </w:r>
          </w:p>
        </w:tc>
        <w:tc>
          <w:tcPr>
            <w:tcW w:w="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6,380</w:t>
            </w: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3820" w:type="dxa"/>
            <w:vAlign w:val="bottom"/>
            <w:gridSpan w:val="2"/>
          </w:tcPr>
          <w:p>
            <w:pPr>
              <w:ind w:left="220"/>
              <w:spacing w:after="0"/>
              <w:rPr>
                <w:sz w:val="20"/>
                <w:szCs w:val="20"/>
                <w:color w:val="auto"/>
              </w:rPr>
            </w:pPr>
            <w:r>
              <w:rPr>
                <w:rFonts w:ascii="Times New Roman" w:cs="Times New Roman" w:eastAsia="Times New Roman" w:hAnsi="Times New Roman"/>
                <w:sz w:val="10"/>
                <w:szCs w:val="10"/>
                <w:color w:val="auto"/>
              </w:rPr>
              <w:t>Public authorities &amp; electric railroads</w:t>
            </w:r>
          </w:p>
        </w:tc>
        <w:tc>
          <w:tcPr>
            <w:tcW w:w="9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251</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0" w:type="dxa"/>
            <w:vAlign w:val="bottom"/>
            <w:gridSpan w:val="5"/>
          </w:tcPr>
          <w:p>
            <w:pPr>
              <w:jc w:val="right"/>
              <w:ind w:right="20"/>
              <w:spacing w:after="0"/>
              <w:rPr>
                <w:sz w:val="20"/>
                <w:szCs w:val="20"/>
                <w:color w:val="auto"/>
              </w:rPr>
            </w:pPr>
            <w:r>
              <w:rPr>
                <w:rFonts w:ascii="Times New Roman" w:cs="Times New Roman" w:eastAsia="Times New Roman" w:hAnsi="Times New Roman"/>
                <w:sz w:val="10"/>
                <w:szCs w:val="10"/>
                <w:color w:val="auto"/>
              </w:rPr>
              <w:t>258</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3820" w:type="dxa"/>
            <w:vAlign w:val="bottom"/>
            <w:tcBorders>
              <w:top w:val="single" w:sz="8" w:color="CCEEFF"/>
              <w:bottom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0"/>
                <w:szCs w:val="10"/>
                <w:color w:val="auto"/>
              </w:rPr>
              <w:t>Total</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1,355,817</w:t>
            </w:r>
          </w:p>
        </w:tc>
        <w:tc>
          <w:tcPr>
            <w:tcW w:w="20" w:type="dxa"/>
            <w:vAlign w:val="bottom"/>
            <w:tcBorders>
              <w:top w:val="single" w:sz="8" w:color="auto"/>
              <w:bottom w:val="single" w:sz="8" w:color="auto"/>
            </w:tcBorders>
            <w:shd w:val="clear" w:color="auto" w:fill="CCEEFF"/>
          </w:tcPr>
          <w:p>
            <w:pPr>
              <w:spacing w:after="0"/>
              <w:rPr>
                <w:sz w:val="12"/>
                <w:szCs w:val="12"/>
                <w:color w:val="auto"/>
              </w:rPr>
            </w:pP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960" w:type="dxa"/>
            <w:vAlign w:val="bottom"/>
            <w:tcBorders>
              <w:top w:val="single" w:sz="8" w:color="auto"/>
              <w:bottom w:val="single" w:sz="8" w:color="auto"/>
            </w:tcBorders>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0"/>
                <w:szCs w:val="10"/>
                <w:color w:val="auto"/>
              </w:rPr>
              <w:t>1,349,688</w:t>
            </w:r>
          </w:p>
        </w:tc>
        <w:tc>
          <w:tcPr>
            <w:tcW w:w="20" w:type="dxa"/>
            <w:vAlign w:val="bottom"/>
            <w:tcBorders>
              <w:top w:val="single" w:sz="8" w:color="auto"/>
              <w:bottom w:val="single" w:sz="8" w:color="auto"/>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1120" w:type="dxa"/>
            <w:vAlign w:val="bottom"/>
            <w:tcBorders>
              <w:top w:val="single" w:sz="8" w:color="CCEEFF"/>
              <w:bottom w:val="single" w:sz="8" w:color="CCEEFF"/>
            </w:tcBorders>
            <w:gridSpan w:val="4"/>
            <w:shd w:val="clear" w:color="auto" w:fill="CCEEFF"/>
          </w:tcPr>
          <w:p>
            <w:pPr>
              <w:ind w:left="520"/>
              <w:spacing w:after="0"/>
              <w:rPr>
                <w:sz w:val="20"/>
                <w:szCs w:val="20"/>
                <w:color w:val="auto"/>
              </w:rPr>
            </w:pPr>
            <w:r>
              <w:rPr>
                <w:rFonts w:ascii="Times New Roman" w:cs="Times New Roman" w:eastAsia="Times New Roman" w:hAnsi="Times New Roman"/>
                <w:sz w:val="10"/>
                <w:szCs w:val="10"/>
                <w:color w:val="auto"/>
              </w:rPr>
              <w:t>Total</w:t>
            </w:r>
          </w:p>
        </w:tc>
        <w:tc>
          <w:tcPr>
            <w:tcW w:w="760" w:type="dxa"/>
            <w:vAlign w:val="bottom"/>
            <w:tcBorders>
              <w:top w:val="single" w:sz="8" w:color="CCEEFF"/>
              <w:bottom w:val="single" w:sz="8" w:color="CCEEFF"/>
            </w:tcBorders>
            <w:shd w:val="clear" w:color="auto" w:fill="CCEEFF"/>
          </w:tcPr>
          <w:p>
            <w:pPr>
              <w:spacing w:after="0"/>
              <w:rPr>
                <w:sz w:val="12"/>
                <w:szCs w:val="12"/>
                <w:color w:val="auto"/>
              </w:rPr>
            </w:pPr>
          </w:p>
        </w:tc>
        <w:tc>
          <w:tcPr>
            <w:tcW w:w="30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86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spacing w:after="0"/>
              <w:rPr>
                <w:sz w:val="12"/>
                <w:szCs w:val="12"/>
                <w:color w:val="auto"/>
              </w:rPr>
            </w:pPr>
          </w:p>
        </w:tc>
        <w:tc>
          <w:tcPr>
            <w:tcW w:w="940" w:type="dxa"/>
            <w:vAlign w:val="bottom"/>
            <w:tcBorders>
              <w:top w:val="single" w:sz="8" w:color="auto"/>
              <w:bottom w:val="single" w:sz="8" w:color="auto"/>
            </w:tcBorders>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707,480</w:t>
            </w: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705,520</w:t>
            </w:r>
          </w:p>
        </w:tc>
        <w:tc>
          <w:tcPr>
            <w:tcW w:w="20" w:type="dxa"/>
            <w:vAlign w:val="bottom"/>
            <w:tcBorders>
              <w:top w:val="single" w:sz="8" w:color="auto"/>
              <w:bottom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__________</w:t>
      </w:r>
    </w:p>
    <w:p>
      <w:pPr>
        <w:spacing w:after="0" w:line="8" w:lineRule="exact"/>
        <w:rPr>
          <w:sz w:val="20"/>
          <w:szCs w:val="20"/>
          <w:color w:val="auto"/>
        </w:rPr>
      </w:pPr>
    </w:p>
    <w:p>
      <w:pPr>
        <w:ind w:left="380" w:hanging="226"/>
        <w:spacing w:after="0" w:line="244" w:lineRule="auto"/>
        <w:tabs>
          <w:tab w:leader="none" w:pos="378" w:val="left"/>
        </w:tabs>
        <w:numPr>
          <w:ilvl w:val="0"/>
          <w:numId w:val="12"/>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Reflects revenues from customers purchasing electricity directly from BGE and customers purchasing electricity from a competitive electric generation supplier as all customers are assessed distribution charges. For customers purchasing electricity from BGE, revenues also reflect the cost of energy and transmission.</w:t>
      </w:r>
    </w:p>
    <w:p>
      <w:pPr>
        <w:ind w:left="360" w:hanging="206"/>
        <w:spacing w:after="0" w:line="232" w:lineRule="auto"/>
        <w:tabs>
          <w:tab w:leader="none" w:pos="360" w:val="left"/>
        </w:tabs>
        <w:numPr>
          <w:ilvl w:val="0"/>
          <w:numId w:val="12"/>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Includes transmission revenue from PJM, wholesale electric revenue, and mutual assistance revenue.</w:t>
      </w:r>
    </w:p>
    <w:p>
      <w:pPr>
        <w:ind w:left="360" w:hanging="206"/>
        <w:spacing w:after="0" w:line="236" w:lineRule="auto"/>
        <w:tabs>
          <w:tab w:leader="none" w:pos="360" w:val="left"/>
        </w:tabs>
        <w:numPr>
          <w:ilvl w:val="0"/>
          <w:numId w:val="12"/>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Includes operating revenues from affiliates totaling $2 million and $1 million for the three months ended March 31, 2026 and 2025, respectively.</w:t>
      </w:r>
    </w:p>
    <w:p>
      <w:pPr>
        <w:ind w:left="360" w:hanging="206"/>
        <w:spacing w:after="0"/>
        <w:tabs>
          <w:tab w:leader="none" w:pos="360" w:val="left"/>
        </w:tabs>
        <w:numPr>
          <w:ilvl w:val="0"/>
          <w:numId w:val="12"/>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Includes alternative revenue programs and late payment charges.</w:t>
      </w:r>
    </w:p>
    <w:p>
      <w:pPr>
        <w:spacing w:after="0" w:line="2" w:lineRule="exact"/>
        <w:rPr>
          <w:rFonts w:ascii="Times New Roman" w:cs="Times New Roman" w:eastAsia="Times New Roman" w:hAnsi="Times New Roman"/>
          <w:sz w:val="10"/>
          <w:szCs w:val="10"/>
          <w:color w:val="auto"/>
        </w:rPr>
      </w:pPr>
    </w:p>
    <w:p>
      <w:pPr>
        <w:ind w:left="380" w:hanging="226"/>
        <w:spacing w:after="0" w:line="244" w:lineRule="auto"/>
        <w:tabs>
          <w:tab w:leader="none" w:pos="378" w:val="left"/>
        </w:tabs>
        <w:numPr>
          <w:ilvl w:val="0"/>
          <w:numId w:val="12"/>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Reflects delivery volumes and revenues from customers purchasing natural gas directly from BGE and customers purchasing natural gas from a competitive natural gas supplier as all customers are assessed distribution charges. For customers purchasing natural gas from BGE, revenue also reflects the cost of natural gas.</w:t>
      </w:r>
    </w:p>
    <w:p>
      <w:pPr>
        <w:ind w:left="360" w:hanging="206"/>
        <w:spacing w:after="0" w:line="232" w:lineRule="auto"/>
        <w:tabs>
          <w:tab w:leader="none" w:pos="360" w:val="left"/>
        </w:tabs>
        <w:numPr>
          <w:ilvl w:val="0"/>
          <w:numId w:val="12"/>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Includes revenues primarily from off-system sales.</w:t>
      </w:r>
    </w:p>
    <w:p>
      <w:pPr>
        <w:ind w:left="360" w:hanging="206"/>
        <w:spacing w:after="0" w:line="236" w:lineRule="auto"/>
        <w:tabs>
          <w:tab w:leader="none" w:pos="360" w:val="left"/>
        </w:tabs>
        <w:numPr>
          <w:ilvl w:val="0"/>
          <w:numId w:val="12"/>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Includes operating revenues from affiliates totaling $1 million for both the three months ended March 31, 2026 and 2025, respectively.</w:t>
      </w: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8</w:t>
      </w:r>
    </w:p>
    <w:p>
      <w:pPr>
        <w:sectPr>
          <w:pgSz w:w="11900" w:h="16838" w:orient="portrait"/>
          <w:cols w:equalWidth="0" w:num="1">
            <w:col w:w="11300"/>
          </w:cols>
          <w:pgMar w:left="300" w:top="129" w:right="29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Pepco Statistics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u w:val="single" w:color="auto"/>
          <w:color w:val="auto"/>
        </w:rPr>
        <w:t>Three Months Ended March 31, 2026 and 2025</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3700" w:type="dxa"/>
            <w:vAlign w:val="bottom"/>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720" w:type="dxa"/>
            <w:vAlign w:val="bottom"/>
            <w:tcBorders>
              <w:bottom w:val="single" w:sz="8" w:color="auto"/>
            </w:tcBorders>
            <w:gridSpan w:val="6"/>
          </w:tcPr>
          <w:p>
            <w:pPr>
              <w:ind w:left="20"/>
              <w:spacing w:after="0"/>
              <w:rPr>
                <w:sz w:val="20"/>
                <w:szCs w:val="20"/>
                <w:color w:val="auto"/>
              </w:rPr>
            </w:pPr>
            <w:r>
              <w:rPr>
                <w:rFonts w:ascii="Times New Roman" w:cs="Times New Roman" w:eastAsia="Times New Roman" w:hAnsi="Times New Roman"/>
                <w:sz w:val="10"/>
                <w:szCs w:val="10"/>
                <w:b w:val="1"/>
                <w:bCs w:val="1"/>
                <w:color w:val="auto"/>
              </w:rPr>
              <w:t>Electric Deliveries (in GWhs)</w:t>
            </w:r>
          </w:p>
        </w:tc>
        <w:tc>
          <w:tcPr>
            <w:tcW w:w="106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0"/>
                <w:szCs w:val="10"/>
                <w:b w:val="1"/>
                <w:bCs w:val="1"/>
                <w:color w:val="auto"/>
                <w:w w:val="94"/>
              </w:rPr>
              <w:t>Revenue (in millions)</w:t>
            </w:r>
          </w:p>
        </w:tc>
        <w:tc>
          <w:tcPr>
            <w:tcW w:w="10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3700" w:type="dxa"/>
            <w:vAlign w:val="bottom"/>
          </w:tcPr>
          <w:p>
            <w:pPr>
              <w:spacing w:after="0"/>
              <w:rPr>
                <w:sz w:val="7"/>
                <w:szCs w:val="7"/>
                <w:color w:val="auto"/>
              </w:rPr>
            </w:pPr>
          </w:p>
        </w:tc>
        <w:tc>
          <w:tcPr>
            <w:tcW w:w="40" w:type="dxa"/>
            <w:vAlign w:val="bottom"/>
          </w:tcPr>
          <w:p>
            <w:pPr>
              <w:spacing w:after="0"/>
              <w:rPr>
                <w:sz w:val="7"/>
                <w:szCs w:val="7"/>
                <w:color w:val="auto"/>
              </w:rPr>
            </w:pPr>
          </w:p>
        </w:tc>
        <w:tc>
          <w:tcPr>
            <w:tcW w:w="580" w:type="dxa"/>
            <w:vAlign w:val="bottom"/>
          </w:tcPr>
          <w:p>
            <w:pPr>
              <w:spacing w:after="0"/>
              <w:rPr>
                <w:sz w:val="7"/>
                <w:szCs w:val="7"/>
                <w:color w:val="auto"/>
              </w:rPr>
            </w:pPr>
          </w:p>
        </w:tc>
        <w:tc>
          <w:tcPr>
            <w:tcW w:w="36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60" w:type="dxa"/>
            <w:vAlign w:val="bottom"/>
          </w:tcPr>
          <w:p>
            <w:pPr>
              <w:jc w:val="center"/>
              <w:spacing w:after="0" w:line="88" w:lineRule="exact"/>
              <w:rPr>
                <w:sz w:val="20"/>
                <w:szCs w:val="20"/>
                <w:color w:val="auto"/>
              </w:rPr>
            </w:pPr>
            <w:r>
              <w:rPr>
                <w:rFonts w:ascii="Times New Roman" w:cs="Times New Roman" w:eastAsia="Times New Roman" w:hAnsi="Times New Roman"/>
                <w:sz w:val="10"/>
                <w:szCs w:val="10"/>
                <w:b w:val="1"/>
                <w:bCs w:val="1"/>
                <w:color w:val="auto"/>
                <w:w w:val="93"/>
              </w:rPr>
              <w:t>Weather-</w:t>
            </w: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4320" w:type="dxa"/>
            <w:vAlign w:val="bottom"/>
            <w:gridSpan w:val="3"/>
            <w:vMerge w:val="restart"/>
          </w:tcPr>
          <w:p>
            <w:pPr>
              <w:ind w:left="4100"/>
              <w:spacing w:after="0"/>
              <w:rPr>
                <w:sz w:val="20"/>
                <w:szCs w:val="20"/>
                <w:color w:val="auto"/>
              </w:rPr>
            </w:pPr>
            <w:r>
              <w:rPr>
                <w:rFonts w:ascii="Times New Roman" w:cs="Times New Roman" w:eastAsia="Times New Roman" w:hAnsi="Times New Roman"/>
                <w:sz w:val="10"/>
                <w:szCs w:val="10"/>
                <w:b w:val="1"/>
                <w:bCs w:val="1"/>
                <w:color w:val="auto"/>
                <w:w w:val="99"/>
              </w:rPr>
              <w:t>2026</w:t>
            </w:r>
          </w:p>
        </w:tc>
        <w:tc>
          <w:tcPr>
            <w:tcW w:w="360" w:type="dxa"/>
            <w:vAlign w:val="bottom"/>
          </w:tcPr>
          <w:p>
            <w:pPr>
              <w:spacing w:after="0"/>
              <w:rPr>
                <w:sz w:val="7"/>
                <w:szCs w:val="7"/>
                <w:color w:val="auto"/>
              </w:rPr>
            </w:pPr>
          </w:p>
        </w:tc>
        <w:tc>
          <w:tcPr>
            <w:tcW w:w="80" w:type="dxa"/>
            <w:vAlign w:val="bottom"/>
          </w:tcPr>
          <w:p>
            <w:pPr>
              <w:spacing w:after="0"/>
              <w:rPr>
                <w:sz w:val="7"/>
                <w:szCs w:val="7"/>
                <w:color w:val="auto"/>
              </w:rPr>
            </w:pPr>
          </w:p>
        </w:tc>
        <w:tc>
          <w:tcPr>
            <w:tcW w:w="960" w:type="dxa"/>
            <w:vAlign w:val="bottom"/>
            <w:gridSpan w:val="3"/>
            <w:vMerge w:val="restart"/>
          </w:tcPr>
          <w:p>
            <w:pPr>
              <w:jc w:val="right"/>
              <w:ind w:right="332"/>
              <w:spacing w:after="0"/>
              <w:rPr>
                <w:sz w:val="20"/>
                <w:szCs w:val="20"/>
                <w:color w:val="auto"/>
              </w:rPr>
            </w:pPr>
            <w:r>
              <w:rPr>
                <w:rFonts w:ascii="Times New Roman" w:cs="Times New Roman" w:eastAsia="Times New Roman" w:hAnsi="Times New Roman"/>
                <w:sz w:val="10"/>
                <w:szCs w:val="10"/>
                <w:b w:val="1"/>
                <w:bCs w:val="1"/>
                <w:color w:val="auto"/>
              </w:rPr>
              <w:t>2025</w:t>
            </w:r>
          </w:p>
        </w:tc>
        <w:tc>
          <w:tcPr>
            <w:tcW w:w="100" w:type="dxa"/>
            <w:vAlign w:val="bottom"/>
          </w:tcPr>
          <w:p>
            <w:pPr>
              <w:spacing w:after="0"/>
              <w:rPr>
                <w:sz w:val="7"/>
                <w:szCs w:val="7"/>
                <w:color w:val="auto"/>
              </w:rPr>
            </w:pPr>
          </w:p>
        </w:tc>
        <w:tc>
          <w:tcPr>
            <w:tcW w:w="1140" w:type="dxa"/>
            <w:vAlign w:val="bottom"/>
            <w:gridSpan w:val="4"/>
            <w:vMerge w:val="restart"/>
          </w:tcPr>
          <w:p>
            <w:pPr>
              <w:ind w:left="300"/>
              <w:spacing w:after="0"/>
              <w:rPr>
                <w:sz w:val="20"/>
                <w:szCs w:val="20"/>
                <w:color w:val="auto"/>
              </w:rPr>
            </w:pPr>
            <w:r>
              <w:rPr>
                <w:rFonts w:ascii="Times New Roman" w:cs="Times New Roman" w:eastAsia="Times New Roman" w:hAnsi="Times New Roman"/>
                <w:sz w:val="10"/>
                <w:szCs w:val="10"/>
                <w:b w:val="1"/>
                <w:bCs w:val="1"/>
                <w:color w:val="auto"/>
              </w:rPr>
              <w:t>% Change</w:t>
            </w:r>
          </w:p>
        </w:tc>
        <w:tc>
          <w:tcPr>
            <w:tcW w:w="1060" w:type="dxa"/>
            <w:vAlign w:val="bottom"/>
          </w:tcPr>
          <w:p>
            <w:pPr>
              <w:jc w:val="center"/>
              <w:spacing w:after="0" w:line="92" w:lineRule="exact"/>
              <w:rPr>
                <w:sz w:val="20"/>
                <w:szCs w:val="20"/>
                <w:color w:val="auto"/>
              </w:rPr>
            </w:pPr>
            <w:r>
              <w:rPr>
                <w:rFonts w:ascii="Times New Roman" w:cs="Times New Roman" w:eastAsia="Times New Roman" w:hAnsi="Times New Roman"/>
                <w:sz w:val="10"/>
                <w:szCs w:val="10"/>
                <w:b w:val="1"/>
                <w:bCs w:val="1"/>
                <w:color w:val="auto"/>
                <w:w w:val="97"/>
              </w:rPr>
              <w:t>Normal</w:t>
            </w: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gridSpan w:val="2"/>
            <w:vMerge w:val="restart"/>
          </w:tcPr>
          <w:p>
            <w:pPr>
              <w:jc w:val="right"/>
              <w:ind w:right="332"/>
              <w:spacing w:after="0"/>
              <w:rPr>
                <w:sz w:val="20"/>
                <w:szCs w:val="20"/>
                <w:color w:val="auto"/>
              </w:rPr>
            </w:pPr>
            <w:r>
              <w:rPr>
                <w:rFonts w:ascii="Times New Roman" w:cs="Times New Roman" w:eastAsia="Times New Roman" w:hAnsi="Times New Roman"/>
                <w:sz w:val="10"/>
                <w:szCs w:val="10"/>
                <w:b w:val="1"/>
                <w:bCs w:val="1"/>
                <w:color w:val="auto"/>
              </w:rPr>
              <w:t>2026</w:t>
            </w: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0"/>
                <w:szCs w:val="10"/>
                <w:b w:val="1"/>
                <w:bCs w:val="1"/>
                <w:color w:val="auto"/>
              </w:rPr>
              <w:t>2025</w:t>
            </w: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60" w:type="dxa"/>
            <w:vAlign w:val="bottom"/>
            <w:vMerge w:val="restart"/>
          </w:tcPr>
          <w:p>
            <w:pPr>
              <w:jc w:val="right"/>
              <w:ind w:right="272"/>
              <w:spacing w:after="0"/>
              <w:rPr>
                <w:sz w:val="20"/>
                <w:szCs w:val="20"/>
                <w:color w:val="auto"/>
              </w:rPr>
            </w:pPr>
            <w:r>
              <w:rPr>
                <w:rFonts w:ascii="Times New Roman" w:cs="Times New Roman" w:eastAsia="Times New Roman" w:hAnsi="Times New Roman"/>
                <w:sz w:val="10"/>
                <w:szCs w:val="10"/>
                <w:b w:val="1"/>
                <w:bCs w:val="1"/>
                <w:color w:val="auto"/>
              </w:rPr>
              <w:t>% Change</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4320" w:type="dxa"/>
            <w:vAlign w:val="bottom"/>
            <w:gridSpan w:val="3"/>
            <w:vMerge w:val="continue"/>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3"/>
            <w:vMerge w:val="continue"/>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gridSpan w:val="4"/>
            <w:vMerge w:val="continue"/>
          </w:tcPr>
          <w:p>
            <w:pPr>
              <w:spacing w:after="0"/>
              <w:rPr>
                <w:sz w:val="11"/>
                <w:szCs w:val="11"/>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7"/>
              </w:rPr>
              <w:t>% Change</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3"/>
        </w:trPr>
        <w:tc>
          <w:tcPr>
            <w:tcW w:w="3700" w:type="dxa"/>
            <w:vAlign w:val="bottom"/>
            <w:tcBorders>
              <w:top w:val="single" w:sz="8" w:color="CCEEFF"/>
            </w:tcBorders>
            <w:shd w:val="clear" w:color="auto" w:fill="CCEEFF"/>
          </w:tcPr>
          <w:p>
            <w:pPr>
              <w:ind w:left="20"/>
              <w:spacing w:after="0" w:line="124" w:lineRule="exact"/>
              <w:rPr>
                <w:sz w:val="20"/>
                <w:szCs w:val="20"/>
                <w:color w:val="auto"/>
              </w:rPr>
            </w:pPr>
            <w:r>
              <w:rPr>
                <w:rFonts w:ascii="Times New Roman" w:cs="Times New Roman" w:eastAsia="Times New Roman" w:hAnsi="Times New Roman"/>
                <w:sz w:val="10"/>
                <w:szCs w:val="10"/>
                <w:b w:val="1"/>
                <w:bCs w:val="1"/>
                <w:color w:val="auto"/>
              </w:rPr>
              <w:t>Electric Deliveries and Revenues</w:t>
            </w:r>
            <w:r>
              <w:rPr>
                <w:rFonts w:ascii="Times New Roman" w:cs="Times New Roman" w:eastAsia="Times New Roman" w:hAnsi="Times New Roman"/>
                <w:sz w:val="12"/>
                <w:szCs w:val="12"/>
                <w:b w:val="1"/>
                <w:bCs w:val="1"/>
                <w:color w:val="auto"/>
                <w:vertAlign w:val="superscript"/>
              </w:rPr>
              <w:t>(a)</w:t>
            </w:r>
          </w:p>
        </w:tc>
        <w:tc>
          <w:tcPr>
            <w:tcW w:w="40" w:type="dxa"/>
            <w:vAlign w:val="bottom"/>
            <w:tcBorders>
              <w:top w:val="single" w:sz="8" w:color="auto"/>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spacing w:after="0"/>
              <w:rPr>
                <w:sz w:val="10"/>
                <w:szCs w:val="10"/>
                <w:color w:val="auto"/>
              </w:rPr>
            </w:pPr>
          </w:p>
        </w:tc>
        <w:tc>
          <w:tcPr>
            <w:tcW w:w="36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40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84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06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auto"/>
            </w:tcBorders>
            <w:shd w:val="clear" w:color="auto" w:fill="CCEEFF"/>
          </w:tcPr>
          <w:p>
            <w:pPr>
              <w:spacing w:after="0"/>
              <w:rPr>
                <w:sz w:val="10"/>
                <w:szCs w:val="10"/>
                <w:color w:val="auto"/>
              </w:rPr>
            </w:pPr>
          </w:p>
        </w:tc>
        <w:tc>
          <w:tcPr>
            <w:tcW w:w="26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060" w:type="dxa"/>
            <w:vAlign w:val="bottom"/>
            <w:tcBorders>
              <w:top w:val="single" w:sz="8" w:color="auto"/>
            </w:tcBorders>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4320" w:type="dxa"/>
            <w:vAlign w:val="bottom"/>
            <w:gridSpan w:val="3"/>
          </w:tcPr>
          <w:p>
            <w:pPr>
              <w:ind w:left="240"/>
              <w:spacing w:after="0"/>
              <w:rPr>
                <w:sz w:val="20"/>
                <w:szCs w:val="20"/>
                <w:color w:val="auto"/>
              </w:rPr>
            </w:pPr>
            <w:r>
              <w:rPr>
                <w:rFonts w:ascii="Times New Roman" w:cs="Times New Roman" w:eastAsia="Times New Roman" w:hAnsi="Times New Roman"/>
                <w:sz w:val="10"/>
                <w:szCs w:val="10"/>
                <w:color w:val="auto"/>
              </w:rPr>
              <w:t>Residential</w:t>
            </w:r>
          </w:p>
        </w:tc>
        <w:tc>
          <w:tcPr>
            <w:tcW w:w="3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2,359</w:t>
            </w:r>
          </w:p>
        </w:tc>
        <w:tc>
          <w:tcPr>
            <w:tcW w:w="80" w:type="dxa"/>
            <w:vAlign w:val="bottom"/>
          </w:tcPr>
          <w:p>
            <w:pPr>
              <w:spacing w:after="0"/>
              <w:rPr>
                <w:sz w:val="11"/>
                <w:szCs w:val="11"/>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0"/>
                <w:szCs w:val="10"/>
                <w:color w:val="auto"/>
              </w:rPr>
              <w:t>2,336</w:t>
            </w:r>
          </w:p>
        </w:tc>
        <w:tc>
          <w:tcPr>
            <w:tcW w:w="1140" w:type="dxa"/>
            <w:vAlign w:val="bottom"/>
            <w:gridSpan w:val="4"/>
          </w:tcPr>
          <w:p>
            <w:pPr>
              <w:jc w:val="right"/>
              <w:spacing w:after="0"/>
              <w:rPr>
                <w:sz w:val="20"/>
                <w:szCs w:val="20"/>
                <w:color w:val="auto"/>
              </w:rPr>
            </w:pPr>
            <w:r>
              <w:rPr>
                <w:rFonts w:ascii="Times New Roman" w:cs="Times New Roman" w:eastAsia="Times New Roman" w:hAnsi="Times New Roman"/>
                <w:sz w:val="10"/>
                <w:szCs w:val="10"/>
                <w:color w:val="auto"/>
              </w:rPr>
              <w:t>1.0 %</w:t>
            </w:r>
          </w:p>
        </w:tc>
        <w:tc>
          <w:tcPr>
            <w:tcW w:w="100" w:type="dxa"/>
            <w:vAlign w:val="bottom"/>
          </w:tcPr>
          <w:p>
            <w:pPr>
              <w:spacing w:after="0"/>
              <w:rPr>
                <w:sz w:val="11"/>
                <w:szCs w:val="1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(4.5)%</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1"/>
                <w:szCs w:val="11"/>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507</w:t>
            </w:r>
          </w:p>
        </w:tc>
        <w:tc>
          <w:tcPr>
            <w:tcW w:w="10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880" w:type="dxa"/>
            <w:vAlign w:val="bottom"/>
            <w:gridSpan w:val="5"/>
          </w:tcPr>
          <w:p>
            <w:pPr>
              <w:jc w:val="right"/>
              <w:ind w:right="40"/>
              <w:spacing w:after="0"/>
              <w:rPr>
                <w:sz w:val="20"/>
                <w:szCs w:val="20"/>
                <w:color w:val="auto"/>
              </w:rPr>
            </w:pPr>
            <w:r>
              <w:rPr>
                <w:rFonts w:ascii="Times New Roman" w:cs="Times New Roman" w:eastAsia="Times New Roman" w:hAnsi="Times New Roman"/>
                <w:sz w:val="10"/>
                <w:szCs w:val="10"/>
                <w:color w:val="auto"/>
              </w:rPr>
              <w:t>424</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19.6 %</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432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0"/>
                <w:szCs w:val="10"/>
                <w:color w:val="auto"/>
              </w:rPr>
              <w:t>Small commercial &amp; industrial</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294</w:t>
            </w:r>
          </w:p>
        </w:tc>
        <w:tc>
          <w:tcPr>
            <w:tcW w:w="80" w:type="dxa"/>
            <w:vAlign w:val="bottom"/>
            <w:shd w:val="clear" w:color="auto" w:fill="CCEEFF"/>
          </w:tcPr>
          <w:p>
            <w:pPr>
              <w:spacing w:after="0"/>
              <w:rPr>
                <w:sz w:val="12"/>
                <w:szCs w:val="12"/>
                <w:color w:val="auto"/>
              </w:rPr>
            </w:pPr>
          </w:p>
        </w:tc>
        <w:tc>
          <w:tcPr>
            <w:tcW w:w="9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300</w:t>
            </w:r>
          </w:p>
        </w:tc>
        <w:tc>
          <w:tcPr>
            <w:tcW w:w="11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(2.0)%</w:t>
            </w: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(4.6)%</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54</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51</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5.9 %</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4320" w:type="dxa"/>
            <w:vAlign w:val="bottom"/>
            <w:gridSpan w:val="3"/>
          </w:tcPr>
          <w:p>
            <w:pPr>
              <w:ind w:left="240"/>
              <w:spacing w:after="0"/>
              <w:rPr>
                <w:sz w:val="20"/>
                <w:szCs w:val="20"/>
                <w:color w:val="auto"/>
              </w:rPr>
            </w:pPr>
            <w:r>
              <w:rPr>
                <w:rFonts w:ascii="Times New Roman" w:cs="Times New Roman" w:eastAsia="Times New Roman" w:hAnsi="Times New Roman"/>
                <w:sz w:val="10"/>
                <w:szCs w:val="10"/>
                <w:color w:val="auto"/>
              </w:rPr>
              <w:t>Large commercial &amp; industrial</w:t>
            </w:r>
          </w:p>
        </w:tc>
        <w:tc>
          <w:tcPr>
            <w:tcW w:w="3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3,301</w:t>
            </w:r>
          </w:p>
        </w:tc>
        <w:tc>
          <w:tcPr>
            <w:tcW w:w="80" w:type="dxa"/>
            <w:vAlign w:val="bottom"/>
          </w:tcPr>
          <w:p>
            <w:pPr>
              <w:spacing w:after="0"/>
              <w:rPr>
                <w:sz w:val="11"/>
                <w:szCs w:val="11"/>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0"/>
                <w:szCs w:val="10"/>
                <w:color w:val="auto"/>
              </w:rPr>
              <w:t>3,338</w:t>
            </w:r>
          </w:p>
        </w:tc>
        <w:tc>
          <w:tcPr>
            <w:tcW w:w="1140" w:type="dxa"/>
            <w:vAlign w:val="bottom"/>
            <w:gridSpan w:val="4"/>
          </w:tcPr>
          <w:p>
            <w:pPr>
              <w:jc w:val="right"/>
              <w:spacing w:after="0"/>
              <w:rPr>
                <w:sz w:val="20"/>
                <w:szCs w:val="20"/>
                <w:color w:val="auto"/>
              </w:rPr>
            </w:pPr>
            <w:r>
              <w:rPr>
                <w:rFonts w:ascii="Times New Roman" w:cs="Times New Roman" w:eastAsia="Times New Roman" w:hAnsi="Times New Roman"/>
                <w:sz w:val="10"/>
                <w:szCs w:val="10"/>
                <w:color w:val="auto"/>
              </w:rPr>
              <w:t>(1.1)%</w:t>
            </w:r>
          </w:p>
        </w:tc>
        <w:tc>
          <w:tcPr>
            <w:tcW w:w="100" w:type="dxa"/>
            <w:vAlign w:val="bottom"/>
          </w:tcPr>
          <w:p>
            <w:pPr>
              <w:spacing w:after="0"/>
              <w:rPr>
                <w:sz w:val="11"/>
                <w:szCs w:val="1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(2.8)%</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321</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5"/>
          </w:tcPr>
          <w:p>
            <w:pPr>
              <w:jc w:val="right"/>
              <w:ind w:right="40"/>
              <w:spacing w:after="0"/>
              <w:rPr>
                <w:sz w:val="20"/>
                <w:szCs w:val="20"/>
                <w:color w:val="auto"/>
              </w:rPr>
            </w:pPr>
            <w:r>
              <w:rPr>
                <w:rFonts w:ascii="Times New Roman" w:cs="Times New Roman" w:eastAsia="Times New Roman" w:hAnsi="Times New Roman"/>
                <w:sz w:val="10"/>
                <w:szCs w:val="10"/>
                <w:color w:val="auto"/>
              </w:rPr>
              <w:t>289</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11.1 %</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432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0"/>
                <w:szCs w:val="10"/>
                <w:color w:val="auto"/>
              </w:rPr>
              <w:t>Public authorities &amp; electric railroads</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174</w:t>
            </w:r>
          </w:p>
        </w:tc>
        <w:tc>
          <w:tcPr>
            <w:tcW w:w="80" w:type="dxa"/>
            <w:vAlign w:val="bottom"/>
            <w:shd w:val="clear" w:color="auto" w:fill="CCEEFF"/>
          </w:tcPr>
          <w:p>
            <w:pPr>
              <w:spacing w:after="0"/>
              <w:rPr>
                <w:sz w:val="12"/>
                <w:szCs w:val="12"/>
                <w:color w:val="auto"/>
              </w:rPr>
            </w:pPr>
          </w:p>
        </w:tc>
        <w:tc>
          <w:tcPr>
            <w:tcW w:w="9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160</w:t>
            </w:r>
          </w:p>
        </w:tc>
        <w:tc>
          <w:tcPr>
            <w:tcW w:w="11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8.8 %</w:t>
            </w: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7.8 %</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10</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8</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25.0 %</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320" w:type="dxa"/>
            <w:vAlign w:val="bottom"/>
            <w:gridSpan w:val="3"/>
          </w:tcPr>
          <w:p>
            <w:pPr>
              <w:ind w:left="240"/>
              <w:spacing w:after="0" w:line="135" w:lineRule="exact"/>
              <w:rPr>
                <w:sz w:val="20"/>
                <w:szCs w:val="20"/>
                <w:color w:val="auto"/>
              </w:rPr>
            </w:pPr>
            <w:r>
              <w:rPr>
                <w:rFonts w:ascii="Times New Roman" w:cs="Times New Roman" w:eastAsia="Times New Roman" w:hAnsi="Times New Roman"/>
                <w:sz w:val="10"/>
                <w:szCs w:val="10"/>
                <w:color w:val="auto"/>
              </w:rPr>
              <w:t>Other</w:t>
            </w:r>
            <w:r>
              <w:rPr>
                <w:rFonts w:ascii="Times New Roman" w:cs="Times New Roman" w:eastAsia="Times New Roman" w:hAnsi="Times New Roman"/>
                <w:sz w:val="12"/>
                <w:szCs w:val="12"/>
                <w:color w:val="auto"/>
                <w:vertAlign w:val="superscript"/>
              </w:rPr>
              <w:t>(b)</w:t>
            </w: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00" w:type="dxa"/>
            <w:vAlign w:val="bottom"/>
            <w:gridSpan w:val="3"/>
          </w:tcPr>
          <w:p>
            <w:pPr>
              <w:ind w:left="80"/>
              <w:spacing w:after="0"/>
              <w:rPr>
                <w:sz w:val="20"/>
                <w:szCs w:val="20"/>
                <w:color w:val="auto"/>
              </w:rPr>
            </w:pPr>
            <w:r>
              <w:rPr>
                <w:rFonts w:ascii="Times New Roman" w:cs="Times New Roman" w:eastAsia="Times New Roman" w:hAnsi="Times New Roman"/>
                <w:sz w:val="10"/>
                <w:szCs w:val="10"/>
                <w:color w:val="auto"/>
              </w:rPr>
              <w:t>n/a</w:t>
            </w:r>
          </w:p>
        </w:tc>
        <w:tc>
          <w:tcPr>
            <w:tcW w:w="10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n/a</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93</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5"/>
          </w:tcPr>
          <w:p>
            <w:pPr>
              <w:jc w:val="right"/>
              <w:ind w:right="40"/>
              <w:spacing w:after="0"/>
              <w:rPr>
                <w:sz w:val="20"/>
                <w:szCs w:val="20"/>
                <w:color w:val="auto"/>
              </w:rPr>
            </w:pPr>
            <w:r>
              <w:rPr>
                <w:rFonts w:ascii="Times New Roman" w:cs="Times New Roman" w:eastAsia="Times New Roman" w:hAnsi="Times New Roman"/>
                <w:sz w:val="10"/>
                <w:szCs w:val="10"/>
                <w:color w:val="auto"/>
              </w:rPr>
              <w:t>86</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8.1 %</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3700" w:type="dxa"/>
            <w:vAlign w:val="bottom"/>
            <w:tcBorders>
              <w:top w:val="single" w:sz="8" w:color="CCEEFF"/>
            </w:tcBorders>
            <w:shd w:val="clear" w:color="auto" w:fill="CCEEFF"/>
          </w:tcPr>
          <w:p>
            <w:pPr>
              <w:ind w:left="460"/>
              <w:spacing w:after="0" w:line="124" w:lineRule="exact"/>
              <w:rPr>
                <w:sz w:val="20"/>
                <w:szCs w:val="20"/>
                <w:color w:val="auto"/>
              </w:rPr>
            </w:pPr>
            <w:r>
              <w:rPr>
                <w:rFonts w:ascii="Times New Roman" w:cs="Times New Roman" w:eastAsia="Times New Roman" w:hAnsi="Times New Roman"/>
                <w:sz w:val="10"/>
                <w:szCs w:val="10"/>
                <w:color w:val="auto"/>
              </w:rPr>
              <w:t>Total electric revenues</w:t>
            </w:r>
            <w:r>
              <w:rPr>
                <w:rFonts w:ascii="Times New Roman" w:cs="Times New Roman" w:eastAsia="Times New Roman" w:hAnsi="Times New Roman"/>
                <w:sz w:val="12"/>
                <w:szCs w:val="12"/>
                <w:color w:val="auto"/>
                <w:vertAlign w:val="superscript"/>
              </w:rPr>
              <w:t>(c)</w:t>
            </w:r>
          </w:p>
        </w:tc>
        <w:tc>
          <w:tcPr>
            <w:tcW w:w="40" w:type="dxa"/>
            <w:vAlign w:val="bottom"/>
            <w:tcBorders>
              <w:top w:val="single" w:sz="8" w:color="auto"/>
              <w:bottom w:val="single" w:sz="8" w:color="auto"/>
            </w:tcBorders>
            <w:shd w:val="clear" w:color="auto" w:fill="CCEEFF"/>
          </w:tcPr>
          <w:p>
            <w:pPr>
              <w:spacing w:after="0"/>
              <w:rPr>
                <w:sz w:val="10"/>
                <w:szCs w:val="10"/>
                <w:color w:val="auto"/>
              </w:rPr>
            </w:pPr>
          </w:p>
        </w:tc>
        <w:tc>
          <w:tcPr>
            <w:tcW w:w="580" w:type="dxa"/>
            <w:vAlign w:val="bottom"/>
            <w:tcBorders>
              <w:top w:val="single" w:sz="8" w:color="auto"/>
              <w:bottom w:val="single" w:sz="8" w:color="auto"/>
            </w:tcBorders>
            <w:shd w:val="clear" w:color="auto" w:fill="CCEEFF"/>
          </w:tcPr>
          <w:p>
            <w:pPr>
              <w:spacing w:after="0"/>
              <w:rPr>
                <w:sz w:val="10"/>
                <w:szCs w:val="10"/>
                <w:color w:val="auto"/>
              </w:rPr>
            </w:pP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6,128</w:t>
            </w:r>
          </w:p>
        </w:tc>
        <w:tc>
          <w:tcPr>
            <w:tcW w:w="80" w:type="dxa"/>
            <w:vAlign w:val="bottom"/>
            <w:tcBorders>
              <w:top w:val="single" w:sz="8" w:color="CCEEFF"/>
            </w:tcBorders>
            <w:shd w:val="clear" w:color="auto" w:fill="CCEEFF"/>
          </w:tcPr>
          <w:p>
            <w:pPr>
              <w:spacing w:after="0"/>
              <w:rPr>
                <w:sz w:val="10"/>
                <w:szCs w:val="10"/>
                <w:color w:val="auto"/>
              </w:rPr>
            </w:pPr>
          </w:p>
        </w:tc>
        <w:tc>
          <w:tcPr>
            <w:tcW w:w="96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6,134</w:t>
            </w:r>
          </w:p>
        </w:tc>
        <w:tc>
          <w:tcPr>
            <w:tcW w:w="1140" w:type="dxa"/>
            <w:vAlign w:val="bottom"/>
            <w:tcBorders>
              <w:top w:val="single" w:sz="8" w:color="CCEEFF"/>
            </w:tcBorders>
            <w:gridSpan w:val="4"/>
            <w:shd w:val="clear" w:color="auto" w:fill="CCEEFF"/>
          </w:tcPr>
          <w:p>
            <w:pPr>
              <w:jc w:val="right"/>
              <w:spacing w:after="0" w:line="107" w:lineRule="exact"/>
              <w:rPr>
                <w:sz w:val="20"/>
                <w:szCs w:val="20"/>
                <w:color w:val="auto"/>
              </w:rPr>
            </w:pPr>
            <w:r>
              <w:rPr>
                <w:rFonts w:ascii="Times New Roman" w:cs="Times New Roman" w:eastAsia="Times New Roman" w:hAnsi="Times New Roman"/>
                <w:sz w:val="10"/>
                <w:szCs w:val="10"/>
                <w:color w:val="auto"/>
              </w:rPr>
              <w:t>(0.1)%</w:t>
            </w:r>
          </w:p>
        </w:tc>
        <w:tc>
          <w:tcPr>
            <w:tcW w:w="100" w:type="dxa"/>
            <w:vAlign w:val="bottom"/>
            <w:tcBorders>
              <w:top w:val="single" w:sz="8" w:color="CCEEFF"/>
            </w:tcBorders>
            <w:shd w:val="clear" w:color="auto" w:fill="CCEEFF"/>
          </w:tcPr>
          <w:p>
            <w:pPr>
              <w:spacing w:after="0"/>
              <w:rPr>
                <w:sz w:val="10"/>
                <w:szCs w:val="10"/>
                <w:color w:val="auto"/>
              </w:rPr>
            </w:pPr>
          </w:p>
        </w:tc>
        <w:tc>
          <w:tcPr>
            <w:tcW w:w="1060" w:type="dxa"/>
            <w:vAlign w:val="bottom"/>
            <w:tcBorders>
              <w:top w:val="single" w:sz="8" w:color="CCEEFF"/>
            </w:tcBorders>
            <w:shd w:val="clear" w:color="auto" w:fill="CCEEFF"/>
          </w:tcPr>
          <w:p>
            <w:pPr>
              <w:jc w:val="right"/>
              <w:spacing w:after="0" w:line="107" w:lineRule="exact"/>
              <w:rPr>
                <w:sz w:val="20"/>
                <w:szCs w:val="20"/>
                <w:color w:val="auto"/>
              </w:rPr>
            </w:pPr>
            <w:r>
              <w:rPr>
                <w:rFonts w:ascii="Times New Roman" w:cs="Times New Roman" w:eastAsia="Times New Roman" w:hAnsi="Times New Roman"/>
                <w:sz w:val="10"/>
                <w:szCs w:val="10"/>
                <w:color w:val="auto"/>
              </w:rPr>
              <w:t>(3.3)%</w:t>
            </w:r>
          </w:p>
        </w:tc>
        <w:tc>
          <w:tcPr>
            <w:tcW w:w="8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bottom w:val="single" w:sz="8" w:color="auto"/>
            </w:tcBorders>
            <w:shd w:val="clear" w:color="auto" w:fill="CCEEFF"/>
          </w:tcPr>
          <w:p>
            <w:pPr>
              <w:spacing w:after="0"/>
              <w:rPr>
                <w:sz w:val="10"/>
                <w:szCs w:val="10"/>
                <w:color w:val="auto"/>
              </w:rPr>
            </w:pPr>
          </w:p>
        </w:tc>
        <w:tc>
          <w:tcPr>
            <w:tcW w:w="100" w:type="dxa"/>
            <w:vAlign w:val="bottom"/>
            <w:tcBorders>
              <w:top w:val="single" w:sz="8" w:color="auto"/>
              <w:bottom w:val="single" w:sz="8" w:color="auto"/>
            </w:tcBorders>
            <w:shd w:val="clear" w:color="auto" w:fill="CCEEFF"/>
          </w:tcPr>
          <w:p>
            <w:pPr>
              <w:spacing w:after="0"/>
              <w:rPr>
                <w:sz w:val="10"/>
                <w:szCs w:val="10"/>
                <w:color w:val="auto"/>
              </w:rPr>
            </w:pPr>
          </w:p>
        </w:tc>
        <w:tc>
          <w:tcPr>
            <w:tcW w:w="8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985</w:t>
            </w:r>
          </w:p>
        </w:tc>
        <w:tc>
          <w:tcPr>
            <w:tcW w:w="10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bottom w:val="single" w:sz="8" w:color="auto"/>
            </w:tcBorders>
            <w:shd w:val="clear" w:color="auto" w:fill="CCEEFF"/>
          </w:tcPr>
          <w:p>
            <w:pPr>
              <w:spacing w:after="0"/>
              <w:rPr>
                <w:sz w:val="10"/>
                <w:szCs w:val="10"/>
                <w:color w:val="auto"/>
              </w:rPr>
            </w:pPr>
          </w:p>
        </w:tc>
        <w:tc>
          <w:tcPr>
            <w:tcW w:w="880" w:type="dxa"/>
            <w:vAlign w:val="bottom"/>
            <w:tcBorders>
              <w:top w:val="single" w:sz="8" w:color="auto"/>
              <w:bottom w:val="single" w:sz="8" w:color="auto"/>
            </w:tcBorders>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858</w:t>
            </w:r>
          </w:p>
        </w:tc>
        <w:tc>
          <w:tcPr>
            <w:tcW w:w="1160" w:type="dxa"/>
            <w:vAlign w:val="bottom"/>
            <w:tcBorders>
              <w:top w:val="single" w:sz="8" w:color="CCEEFF"/>
            </w:tcBorders>
            <w:gridSpan w:val="2"/>
            <w:shd w:val="clear" w:color="auto" w:fill="CCEEFF"/>
          </w:tcPr>
          <w:p>
            <w:pPr>
              <w:jc w:val="right"/>
              <w:spacing w:after="0" w:line="107" w:lineRule="exact"/>
              <w:rPr>
                <w:sz w:val="20"/>
                <w:szCs w:val="20"/>
                <w:color w:val="auto"/>
              </w:rPr>
            </w:pPr>
            <w:r>
              <w:rPr>
                <w:rFonts w:ascii="Times New Roman" w:cs="Times New Roman" w:eastAsia="Times New Roman" w:hAnsi="Times New Roman"/>
                <w:sz w:val="10"/>
                <w:szCs w:val="10"/>
                <w:color w:val="auto"/>
              </w:rPr>
              <w:t>14.8 %</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3700" w:type="dxa"/>
            <w:vAlign w:val="bottom"/>
            <w:tcBorders>
              <w:bottom w:val="single" w:sz="8" w:color="CCEEFF"/>
            </w:tcBorders>
          </w:tcPr>
          <w:p>
            <w:pPr>
              <w:ind w:left="20"/>
              <w:spacing w:after="0" w:line="124" w:lineRule="exact"/>
              <w:rPr>
                <w:sz w:val="20"/>
                <w:szCs w:val="20"/>
                <w:color w:val="auto"/>
              </w:rPr>
            </w:pPr>
            <w:r>
              <w:rPr>
                <w:rFonts w:ascii="Times New Roman" w:cs="Times New Roman" w:eastAsia="Times New Roman" w:hAnsi="Times New Roman"/>
                <w:sz w:val="10"/>
                <w:szCs w:val="10"/>
                <w:b w:val="1"/>
                <w:bCs w:val="1"/>
                <w:color w:val="auto"/>
              </w:rPr>
              <w:t>Other Revenues</w:t>
            </w:r>
            <w:r>
              <w:rPr>
                <w:rFonts w:ascii="Times New Roman" w:cs="Times New Roman" w:eastAsia="Times New Roman" w:hAnsi="Times New Roman"/>
                <w:sz w:val="12"/>
                <w:szCs w:val="12"/>
                <w:b w:val="1"/>
                <w:bCs w:val="1"/>
                <w:color w:val="auto"/>
                <w:vertAlign w:val="superscript"/>
              </w:rPr>
              <w:t>(d)</w:t>
            </w:r>
          </w:p>
        </w:tc>
        <w:tc>
          <w:tcPr>
            <w:tcW w:w="40" w:type="dxa"/>
            <w:vAlign w:val="bottom"/>
            <w:tcBorders>
              <w:bottom w:val="single" w:sz="8" w:color="CCEEFF"/>
            </w:tcBorders>
          </w:tcPr>
          <w:p>
            <w:pPr>
              <w:spacing w:after="0"/>
              <w:rPr>
                <w:sz w:val="10"/>
                <w:szCs w:val="10"/>
                <w:color w:val="auto"/>
              </w:rPr>
            </w:pPr>
          </w:p>
        </w:tc>
        <w:tc>
          <w:tcPr>
            <w:tcW w:w="580" w:type="dxa"/>
            <w:vAlign w:val="bottom"/>
            <w:tcBorders>
              <w:bottom w:val="single" w:sz="8" w:color="CCEEFF"/>
            </w:tcBorders>
          </w:tcPr>
          <w:p>
            <w:pPr>
              <w:spacing w:after="0"/>
              <w:rPr>
                <w:sz w:val="10"/>
                <w:szCs w:val="10"/>
                <w:color w:val="auto"/>
              </w:rPr>
            </w:pPr>
          </w:p>
        </w:tc>
        <w:tc>
          <w:tcPr>
            <w:tcW w:w="36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40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48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84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106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0"/>
                <w:szCs w:val="10"/>
                <w:color w:val="auto"/>
              </w:rPr>
              <w:t>4</w:t>
            </w:r>
          </w:p>
        </w:tc>
        <w:tc>
          <w:tcPr>
            <w:tcW w:w="10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gridSpan w:val="5"/>
          </w:tcPr>
          <w:p>
            <w:pPr>
              <w:jc w:val="right"/>
              <w:ind w:right="40"/>
              <w:spacing w:after="0"/>
              <w:rPr>
                <w:sz w:val="20"/>
                <w:szCs w:val="20"/>
                <w:color w:val="auto"/>
              </w:rPr>
            </w:pPr>
            <w:r>
              <w:rPr>
                <w:rFonts w:ascii="Times New Roman" w:cs="Times New Roman" w:eastAsia="Times New Roman" w:hAnsi="Times New Roman"/>
                <w:sz w:val="10"/>
                <w:szCs w:val="10"/>
                <w:color w:val="auto"/>
              </w:rPr>
              <w:t>1</w:t>
            </w:r>
          </w:p>
        </w:tc>
        <w:tc>
          <w:tcPr>
            <w:tcW w:w="1160" w:type="dxa"/>
            <w:vAlign w:val="bottom"/>
            <w:tcBorders>
              <w:bottom w:val="single" w:sz="8" w:color="CCEEFF"/>
            </w:tcBorders>
            <w:gridSpan w:val="2"/>
          </w:tcPr>
          <w:p>
            <w:pPr>
              <w:jc w:val="right"/>
              <w:spacing w:after="0" w:line="107" w:lineRule="exact"/>
              <w:rPr>
                <w:sz w:val="20"/>
                <w:szCs w:val="20"/>
                <w:color w:val="auto"/>
              </w:rPr>
            </w:pPr>
            <w:r>
              <w:rPr>
                <w:rFonts w:ascii="Times New Roman" w:cs="Times New Roman" w:eastAsia="Times New Roman" w:hAnsi="Times New Roman"/>
                <w:sz w:val="10"/>
                <w:szCs w:val="10"/>
                <w:color w:val="auto"/>
              </w:rPr>
              <w:t>300.0 %</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4320" w:type="dxa"/>
            <w:vAlign w:val="bottom"/>
            <w:tcBorders>
              <w:bottom w:val="single" w:sz="8" w:color="CCEEFF"/>
            </w:tcBorders>
            <w:gridSpan w:val="3"/>
            <w:shd w:val="clear" w:color="auto" w:fill="CCEEFF"/>
          </w:tcPr>
          <w:p>
            <w:pPr>
              <w:ind w:left="460"/>
              <w:spacing w:after="0"/>
              <w:rPr>
                <w:sz w:val="20"/>
                <w:szCs w:val="20"/>
                <w:color w:val="auto"/>
              </w:rPr>
            </w:pPr>
            <w:r>
              <w:rPr>
                <w:rFonts w:ascii="Times New Roman" w:cs="Times New Roman" w:eastAsia="Times New Roman" w:hAnsi="Times New Roman"/>
                <w:sz w:val="10"/>
                <w:szCs w:val="10"/>
                <w:color w:val="auto"/>
              </w:rPr>
              <w:t>Total electric revenues</w:t>
            </w:r>
          </w:p>
        </w:tc>
        <w:tc>
          <w:tcPr>
            <w:tcW w:w="36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4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4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06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0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989</w:t>
            </w:r>
          </w:p>
        </w:tc>
        <w:tc>
          <w:tcPr>
            <w:tcW w:w="1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880" w:type="dxa"/>
            <w:vAlign w:val="bottom"/>
            <w:tcBorders>
              <w:bottom w:val="single" w:sz="8" w:color="auto"/>
            </w:tcBorders>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859</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15.1 %</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4320" w:type="dxa"/>
            <w:vAlign w:val="bottom"/>
            <w:gridSpan w:val="3"/>
          </w:tcPr>
          <w:p>
            <w:pPr>
              <w:ind w:left="20"/>
              <w:spacing w:after="0"/>
              <w:rPr>
                <w:sz w:val="20"/>
                <w:szCs w:val="20"/>
                <w:color w:val="auto"/>
              </w:rPr>
            </w:pPr>
            <w:r>
              <w:rPr>
                <w:rFonts w:ascii="Times New Roman" w:cs="Times New Roman" w:eastAsia="Times New Roman" w:hAnsi="Times New Roman"/>
                <w:sz w:val="10"/>
                <w:szCs w:val="10"/>
                <w:b w:val="1"/>
                <w:bCs w:val="1"/>
                <w:color w:val="auto"/>
              </w:rPr>
              <w:t>Purchased Power</w:t>
            </w: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00" w:type="dxa"/>
            <w:vAlign w:val="bottom"/>
            <w:tcBorders>
              <w:top w:val="single" w:sz="8" w:color="auto"/>
              <w:bottom w:val="single" w:sz="8" w:color="auto"/>
            </w:tcBorders>
          </w:tcPr>
          <w:p>
            <w:pPr>
              <w:spacing w:after="0"/>
              <w:rPr>
                <w:sz w:val="10"/>
                <w:szCs w:val="10"/>
                <w:color w:val="auto"/>
              </w:rPr>
            </w:pPr>
          </w:p>
        </w:tc>
        <w:tc>
          <w:tcPr>
            <w:tcW w:w="8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0"/>
                <w:szCs w:val="10"/>
                <w:color w:val="auto"/>
              </w:rPr>
              <w:t>411</w:t>
            </w:r>
          </w:p>
        </w:tc>
        <w:tc>
          <w:tcPr>
            <w:tcW w:w="100" w:type="dxa"/>
            <w:vAlign w:val="bottom"/>
          </w:tcPr>
          <w:p>
            <w:pPr>
              <w:spacing w:after="0"/>
              <w:rPr>
                <w:sz w:val="10"/>
                <w:szCs w:val="1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880" w:type="dxa"/>
            <w:vAlign w:val="bottom"/>
            <w:tcBorders>
              <w:top w:val="single" w:sz="8" w:color="auto"/>
              <w:bottom w:val="single" w:sz="8" w:color="auto"/>
            </w:tcBorders>
            <w:gridSpan w:val="5"/>
          </w:tcPr>
          <w:p>
            <w:pPr>
              <w:jc w:val="right"/>
              <w:ind w:right="40"/>
              <w:spacing w:after="0"/>
              <w:rPr>
                <w:sz w:val="20"/>
                <w:szCs w:val="20"/>
                <w:color w:val="auto"/>
              </w:rPr>
            </w:pPr>
            <w:r>
              <w:rPr>
                <w:rFonts w:ascii="Times New Roman" w:cs="Times New Roman" w:eastAsia="Times New Roman" w:hAnsi="Times New Roman"/>
                <w:sz w:val="10"/>
                <w:szCs w:val="10"/>
                <w:color w:val="auto"/>
              </w:rPr>
              <w:t>318</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29.2 %</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3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5"/>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 Change</w:t>
            </w: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4320" w:type="dxa"/>
            <w:vAlign w:val="bottom"/>
            <w:gridSpan w:val="3"/>
          </w:tcPr>
          <w:p>
            <w:pPr>
              <w:ind w:left="20"/>
              <w:spacing w:after="0"/>
              <w:rPr>
                <w:sz w:val="20"/>
                <w:szCs w:val="20"/>
                <w:color w:val="auto"/>
              </w:rPr>
            </w:pPr>
            <w:r>
              <w:rPr>
                <w:rFonts w:ascii="Times New Roman" w:cs="Times New Roman" w:eastAsia="Times New Roman" w:hAnsi="Times New Roman"/>
                <w:sz w:val="10"/>
                <w:szCs w:val="10"/>
                <w:b w:val="1"/>
                <w:bCs w:val="1"/>
                <w:color w:val="auto"/>
              </w:rPr>
              <w:t>Heating and Cooling Degree-Days</w:t>
            </w:r>
          </w:p>
        </w:tc>
        <w:tc>
          <w:tcPr>
            <w:tcW w:w="360" w:type="dxa"/>
            <w:vAlign w:val="bottom"/>
          </w:tcPr>
          <w:p>
            <w:pPr>
              <w:jc w:val="right"/>
              <w:ind w:right="92"/>
              <w:spacing w:after="0"/>
              <w:rPr>
                <w:sz w:val="20"/>
                <w:szCs w:val="20"/>
                <w:color w:val="auto"/>
              </w:rPr>
            </w:pPr>
            <w:r>
              <w:rPr>
                <w:rFonts w:ascii="Times New Roman" w:cs="Times New Roman" w:eastAsia="Times New Roman" w:hAnsi="Times New Roman"/>
                <w:sz w:val="10"/>
                <w:szCs w:val="10"/>
                <w:b w:val="1"/>
                <w:bCs w:val="1"/>
                <w:color w:val="auto"/>
                <w:w w:val="99"/>
              </w:rPr>
              <w:t>2026</w:t>
            </w: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jc w:val="right"/>
              <w:ind w:right="552"/>
              <w:spacing w:after="0"/>
              <w:rPr>
                <w:sz w:val="20"/>
                <w:szCs w:val="20"/>
                <w:color w:val="auto"/>
              </w:rPr>
            </w:pPr>
            <w:r>
              <w:rPr>
                <w:rFonts w:ascii="Times New Roman" w:cs="Times New Roman" w:eastAsia="Times New Roman" w:hAnsi="Times New Roman"/>
                <w:sz w:val="10"/>
                <w:szCs w:val="10"/>
                <w:b w:val="1"/>
                <w:bCs w:val="1"/>
                <w:color w:val="auto"/>
              </w:rPr>
              <w:t>2025</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jc w:val="right"/>
              <w:ind w:right="352"/>
              <w:spacing w:after="0"/>
              <w:rPr>
                <w:sz w:val="20"/>
                <w:szCs w:val="20"/>
                <w:color w:val="auto"/>
              </w:rPr>
            </w:pPr>
            <w:r>
              <w:rPr>
                <w:rFonts w:ascii="Times New Roman" w:cs="Times New Roman" w:eastAsia="Times New Roman" w:hAnsi="Times New Roman"/>
                <w:sz w:val="10"/>
                <w:szCs w:val="10"/>
                <w:b w:val="1"/>
                <w:bCs w:val="1"/>
                <w:color w:val="auto"/>
              </w:rPr>
              <w:t>Normal</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0"/>
                <w:szCs w:val="10"/>
                <w:b w:val="1"/>
                <w:bCs w:val="1"/>
                <w:color w:val="auto"/>
              </w:rPr>
              <w:t>From 2025</w:t>
            </w: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jc w:val="right"/>
              <w:ind w:right="392"/>
              <w:spacing w:after="0"/>
              <w:rPr>
                <w:sz w:val="20"/>
                <w:szCs w:val="20"/>
                <w:color w:val="auto"/>
              </w:rPr>
            </w:pPr>
            <w:r>
              <w:rPr>
                <w:rFonts w:ascii="Times New Roman" w:cs="Times New Roman" w:eastAsia="Times New Roman" w:hAnsi="Times New Roman"/>
                <w:sz w:val="10"/>
                <w:szCs w:val="10"/>
                <w:b w:val="1"/>
                <w:bCs w:val="1"/>
                <w:color w:val="auto"/>
              </w:rPr>
              <w:t>From Normal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740" w:type="dxa"/>
            <w:vAlign w:val="bottom"/>
            <w:tcBorders>
              <w:top w:val="single" w:sz="8" w:color="CCEEFF"/>
            </w:tcBorders>
            <w:gridSpan w:val="2"/>
            <w:shd w:val="clear" w:color="auto" w:fill="CCEEFF"/>
          </w:tcPr>
          <w:p>
            <w:pPr>
              <w:ind w:left="220"/>
              <w:spacing w:after="0" w:line="112" w:lineRule="exact"/>
              <w:rPr>
                <w:sz w:val="20"/>
                <w:szCs w:val="20"/>
                <w:color w:val="auto"/>
              </w:rPr>
            </w:pPr>
            <w:r>
              <w:rPr>
                <w:rFonts w:ascii="Times New Roman" w:cs="Times New Roman" w:eastAsia="Times New Roman" w:hAnsi="Times New Roman"/>
                <w:sz w:val="10"/>
                <w:szCs w:val="10"/>
                <w:color w:val="auto"/>
              </w:rPr>
              <w:t>Heating Degree-Days</w:t>
            </w:r>
          </w:p>
        </w:tc>
        <w:tc>
          <w:tcPr>
            <w:tcW w:w="580" w:type="dxa"/>
            <w:vAlign w:val="bottom"/>
            <w:tcBorders>
              <w:top w:val="single" w:sz="8" w:color="auto"/>
            </w:tcBorders>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2,187</w:t>
            </w:r>
          </w:p>
        </w:tc>
        <w:tc>
          <w:tcPr>
            <w:tcW w:w="8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9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1,987</w:t>
            </w: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120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2,036</w:t>
            </w: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10.1 %</w:t>
            </w:r>
          </w:p>
        </w:tc>
        <w:tc>
          <w:tcPr>
            <w:tcW w:w="6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auto"/>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11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7.4 %</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3"/>
        </w:trPr>
        <w:tc>
          <w:tcPr>
            <w:tcW w:w="4320" w:type="dxa"/>
            <w:vAlign w:val="bottom"/>
            <w:gridSpan w:val="3"/>
          </w:tcPr>
          <w:p>
            <w:pPr>
              <w:ind w:left="220"/>
              <w:spacing w:after="0"/>
              <w:rPr>
                <w:sz w:val="20"/>
                <w:szCs w:val="20"/>
                <w:color w:val="auto"/>
              </w:rPr>
            </w:pPr>
            <w:r>
              <w:rPr>
                <w:rFonts w:ascii="Times New Roman" w:cs="Times New Roman" w:eastAsia="Times New Roman" w:hAnsi="Times New Roman"/>
                <w:sz w:val="10"/>
                <w:szCs w:val="10"/>
                <w:color w:val="auto"/>
              </w:rPr>
              <w:t>Cooling Degree-Days</w:t>
            </w: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16</w:t>
            </w: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25</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5</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(36.0)%</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220.0 %</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4"/>
        </w:trPr>
        <w:tc>
          <w:tcPr>
            <w:tcW w:w="4320" w:type="dxa"/>
            <w:vAlign w:val="bottom"/>
            <w:gridSpan w:val="3"/>
          </w:tcPr>
          <w:p>
            <w:pPr>
              <w:spacing w:after="0"/>
              <w:rPr>
                <w:sz w:val="20"/>
                <w:szCs w:val="20"/>
                <w:color w:val="auto"/>
              </w:rPr>
            </w:pPr>
            <w:r>
              <w:rPr>
                <w:rFonts w:ascii="Times New Roman" w:cs="Times New Roman" w:eastAsia="Times New Roman" w:hAnsi="Times New Roman"/>
                <w:sz w:val="10"/>
                <w:szCs w:val="10"/>
                <w:b w:val="1"/>
                <w:bCs w:val="1"/>
                <w:color w:val="auto"/>
              </w:rPr>
              <w:t>Number of Electric Customers</w:t>
            </w: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0"/>
                <w:szCs w:val="10"/>
                <w:b w:val="1"/>
                <w:bCs w:val="1"/>
                <w:color w:val="auto"/>
              </w:rPr>
              <w:t>2026</w:t>
            </w: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gridSpan w:val="2"/>
          </w:tcPr>
          <w:p>
            <w:pPr>
              <w:jc w:val="right"/>
              <w:ind w:right="552"/>
              <w:spacing w:after="0"/>
              <w:rPr>
                <w:sz w:val="20"/>
                <w:szCs w:val="20"/>
                <w:color w:val="auto"/>
              </w:rPr>
            </w:pPr>
            <w:r>
              <w:rPr>
                <w:rFonts w:ascii="Times New Roman" w:cs="Times New Roman" w:eastAsia="Times New Roman" w:hAnsi="Times New Roman"/>
                <w:sz w:val="10"/>
                <w:szCs w:val="10"/>
                <w:b w:val="1"/>
                <w:bCs w:val="1"/>
                <w:color w:val="auto"/>
              </w:rPr>
              <w:t>2025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4320" w:type="dxa"/>
            <w:vAlign w:val="bottom"/>
            <w:tcBorders>
              <w:top w:val="single" w:sz="8" w:color="CCEEFF"/>
            </w:tcBorders>
            <w:gridSpan w:val="3"/>
            <w:shd w:val="clear" w:color="auto" w:fill="CCEEFF"/>
          </w:tcPr>
          <w:p>
            <w:pPr>
              <w:ind w:left="220"/>
              <w:spacing w:after="0"/>
              <w:rPr>
                <w:sz w:val="20"/>
                <w:szCs w:val="20"/>
                <w:color w:val="auto"/>
              </w:rPr>
            </w:pPr>
            <w:r>
              <w:rPr>
                <w:rFonts w:ascii="Times New Roman" w:cs="Times New Roman" w:eastAsia="Times New Roman" w:hAnsi="Times New Roman"/>
                <w:sz w:val="10"/>
                <w:szCs w:val="10"/>
                <w:color w:val="auto"/>
              </w:rPr>
              <w:t>Residential</w:t>
            </w:r>
          </w:p>
        </w:tc>
        <w:tc>
          <w:tcPr>
            <w:tcW w:w="3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4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8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0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887,650</w:t>
            </w:r>
          </w:p>
        </w:tc>
        <w:tc>
          <w:tcPr>
            <w:tcW w:w="4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11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882,043</w:t>
            </w:r>
          </w:p>
        </w:tc>
        <w:tc>
          <w:tcPr>
            <w:tcW w:w="2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4320" w:type="dxa"/>
            <w:vAlign w:val="bottom"/>
            <w:gridSpan w:val="3"/>
          </w:tcPr>
          <w:p>
            <w:pPr>
              <w:ind w:left="220"/>
              <w:spacing w:after="0"/>
              <w:rPr>
                <w:sz w:val="20"/>
                <w:szCs w:val="20"/>
                <w:color w:val="auto"/>
              </w:rPr>
            </w:pPr>
            <w:r>
              <w:rPr>
                <w:rFonts w:ascii="Times New Roman" w:cs="Times New Roman" w:eastAsia="Times New Roman" w:hAnsi="Times New Roman"/>
                <w:sz w:val="10"/>
                <w:szCs w:val="10"/>
                <w:color w:val="auto"/>
              </w:rPr>
              <w:t>Small commercial &amp; industrial</w:t>
            </w: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0"/>
                <w:szCs w:val="10"/>
                <w:color w:val="auto"/>
              </w:rPr>
              <w:t>54,225</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54,071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432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0"/>
                <w:szCs w:val="10"/>
                <w:color w:val="auto"/>
              </w:rPr>
              <w:t>Large commercial &amp; industrial</w:t>
            </w: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23,163</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23,079</w:t>
            </w: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4320" w:type="dxa"/>
            <w:vAlign w:val="bottom"/>
            <w:tcBorders>
              <w:bottom w:val="single" w:sz="8" w:color="CCEEFF"/>
            </w:tcBorders>
            <w:gridSpan w:val="3"/>
          </w:tcPr>
          <w:p>
            <w:pPr>
              <w:ind w:left="220"/>
              <w:spacing w:after="0"/>
              <w:rPr>
                <w:sz w:val="20"/>
                <w:szCs w:val="20"/>
                <w:color w:val="auto"/>
              </w:rPr>
            </w:pPr>
            <w:r>
              <w:rPr>
                <w:rFonts w:ascii="Times New Roman" w:cs="Times New Roman" w:eastAsia="Times New Roman" w:hAnsi="Times New Roman"/>
                <w:sz w:val="10"/>
                <w:szCs w:val="10"/>
                <w:color w:val="auto"/>
              </w:rPr>
              <w:t>Public authorities &amp; electric railroads</w:t>
            </w:r>
          </w:p>
        </w:tc>
        <w:tc>
          <w:tcPr>
            <w:tcW w:w="36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40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48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84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06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0"/>
                <w:szCs w:val="10"/>
                <w:color w:val="auto"/>
              </w:rPr>
              <w:t>209</w:t>
            </w:r>
          </w:p>
        </w:tc>
        <w:tc>
          <w:tcPr>
            <w:tcW w:w="40" w:type="dxa"/>
            <w:vAlign w:val="bottom"/>
            <w:tcBorders>
              <w:bottom w:val="single" w:sz="8" w:color="CCEEFF"/>
            </w:tcBorders>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0"/>
                <w:szCs w:val="10"/>
                <w:color w:val="auto"/>
              </w:rPr>
              <w:t>205</w:t>
            </w: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4320" w:type="dxa"/>
            <w:vAlign w:val="bottom"/>
            <w:tcBorders>
              <w:bottom w:val="single" w:sz="8" w:color="CCEEFF"/>
            </w:tcBorders>
            <w:gridSpan w:val="3"/>
            <w:shd w:val="clear" w:color="auto" w:fill="CCEEFF"/>
          </w:tcPr>
          <w:p>
            <w:pPr>
              <w:ind w:left="440"/>
              <w:spacing w:after="0"/>
              <w:rPr>
                <w:sz w:val="20"/>
                <w:szCs w:val="20"/>
                <w:color w:val="auto"/>
              </w:rPr>
            </w:pPr>
            <w:r>
              <w:rPr>
                <w:rFonts w:ascii="Times New Roman" w:cs="Times New Roman" w:eastAsia="Times New Roman" w:hAnsi="Times New Roman"/>
                <w:sz w:val="10"/>
                <w:szCs w:val="10"/>
                <w:color w:val="auto"/>
              </w:rPr>
              <w:t>Total</w:t>
            </w:r>
          </w:p>
        </w:tc>
        <w:tc>
          <w:tcPr>
            <w:tcW w:w="36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4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4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06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965,247</w:t>
            </w:r>
          </w:p>
        </w:tc>
        <w:tc>
          <w:tcPr>
            <w:tcW w:w="4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11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959,398</w:t>
            </w:r>
          </w:p>
        </w:tc>
        <w:tc>
          <w:tcPr>
            <w:tcW w:w="20" w:type="dxa"/>
            <w:vAlign w:val="bottom"/>
            <w:tcBorders>
              <w:bottom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__________</w:t>
      </w:r>
    </w:p>
    <w:p>
      <w:pPr>
        <w:spacing w:after="0" w:line="8" w:lineRule="exact"/>
        <w:rPr>
          <w:sz w:val="20"/>
          <w:szCs w:val="20"/>
          <w:color w:val="auto"/>
        </w:rPr>
      </w:pPr>
    </w:p>
    <w:p>
      <w:pPr>
        <w:ind w:left="380" w:right="20" w:hanging="226"/>
        <w:spacing w:after="0" w:line="238" w:lineRule="auto"/>
        <w:tabs>
          <w:tab w:leader="none" w:pos="378" w:val="left"/>
        </w:tabs>
        <w:numPr>
          <w:ilvl w:val="0"/>
          <w:numId w:val="13"/>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Reflects revenues from customers purchasing electricity directly from Pepco and customers purchasing electricity from a competitive electric generation supplier as all customers are assessed distribution charges. For customers purchasing electricity from Pepco, revenues also reflect the cost of energy and transmission.</w:t>
      </w:r>
    </w:p>
    <w:p>
      <w:pPr>
        <w:ind w:left="360" w:hanging="206"/>
        <w:spacing w:after="0" w:line="236" w:lineRule="auto"/>
        <w:tabs>
          <w:tab w:leader="none" w:pos="360" w:val="left"/>
        </w:tabs>
        <w:numPr>
          <w:ilvl w:val="0"/>
          <w:numId w:val="13"/>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Includes transmission revenue from PJM, wholesale electric revenue, and mutual assistance revenue.</w:t>
      </w:r>
    </w:p>
    <w:p>
      <w:pPr>
        <w:ind w:left="360" w:hanging="206"/>
        <w:spacing w:after="0"/>
        <w:tabs>
          <w:tab w:leader="none" w:pos="360" w:val="left"/>
        </w:tabs>
        <w:numPr>
          <w:ilvl w:val="0"/>
          <w:numId w:val="13"/>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Includes operating revenues from affiliates totaling $2 million for both the three months ended March 31, 2026 and 2025, respectively.</w:t>
      </w:r>
    </w:p>
    <w:p>
      <w:pPr>
        <w:spacing w:after="0" w:line="2" w:lineRule="exact"/>
        <w:rPr>
          <w:rFonts w:ascii="Times New Roman" w:cs="Times New Roman" w:eastAsia="Times New Roman" w:hAnsi="Times New Roman"/>
          <w:sz w:val="10"/>
          <w:szCs w:val="10"/>
          <w:color w:val="auto"/>
        </w:rPr>
      </w:pPr>
    </w:p>
    <w:p>
      <w:pPr>
        <w:ind w:left="360" w:hanging="206"/>
        <w:spacing w:after="0"/>
        <w:tabs>
          <w:tab w:leader="none" w:pos="360" w:val="left"/>
        </w:tabs>
        <w:numPr>
          <w:ilvl w:val="0"/>
          <w:numId w:val="13"/>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Includes alternative revenue programs and late payment charge revenues.</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9</w:t>
      </w:r>
    </w:p>
    <w:p>
      <w:pPr>
        <w:sectPr>
          <w:pgSz w:w="11900" w:h="16838" w:orient="portrait"/>
          <w:cols w:equalWidth="0" w:num="1">
            <w:col w:w="11300"/>
          </w:cols>
          <w:pgMar w:left="300" w:top="129" w:right="29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DPL Statistics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u w:val="single" w:color="auto"/>
          <w:color w:val="auto"/>
        </w:rPr>
        <w:t>Three Months Ended March 31, 2026 and 2025</w:t>
      </w: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3700" w:type="dxa"/>
            <w:vAlign w:val="bottom"/>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80" w:type="dxa"/>
            <w:vAlign w:val="bottom"/>
            <w:tcBorders>
              <w:bottom w:val="single" w:sz="8" w:color="auto"/>
            </w:tcBorders>
            <w:gridSpan w:val="11"/>
          </w:tcPr>
          <w:p>
            <w:pPr>
              <w:ind w:left="260"/>
              <w:spacing w:after="0"/>
              <w:rPr>
                <w:sz w:val="20"/>
                <w:szCs w:val="20"/>
                <w:color w:val="auto"/>
              </w:rPr>
            </w:pPr>
            <w:r>
              <w:rPr>
                <w:rFonts w:ascii="Times New Roman" w:cs="Times New Roman" w:eastAsia="Times New Roman" w:hAnsi="Times New Roman"/>
                <w:sz w:val="10"/>
                <w:szCs w:val="10"/>
                <w:b w:val="1"/>
                <w:bCs w:val="1"/>
                <w:color w:val="auto"/>
              </w:rPr>
              <w:t>Electric and Natural Gas Deliveries</w:t>
            </w:r>
          </w:p>
        </w:tc>
        <w:tc>
          <w:tcPr>
            <w:tcW w:w="76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0"/>
                <w:szCs w:val="10"/>
                <w:b w:val="1"/>
                <w:bCs w:val="1"/>
                <w:color w:val="auto"/>
              </w:rPr>
              <w:t>Revenue (in millions)</w:t>
            </w:r>
          </w:p>
        </w:tc>
        <w:tc>
          <w:tcPr>
            <w:tcW w:w="6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370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8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2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Pr>
          <w:p>
            <w:pPr>
              <w:jc w:val="center"/>
              <w:ind w:left="212"/>
              <w:spacing w:after="0" w:line="89" w:lineRule="exact"/>
              <w:rPr>
                <w:sz w:val="20"/>
                <w:szCs w:val="20"/>
                <w:color w:val="auto"/>
              </w:rPr>
            </w:pPr>
            <w:r>
              <w:rPr>
                <w:rFonts w:ascii="Times New Roman" w:cs="Times New Roman" w:eastAsia="Times New Roman" w:hAnsi="Times New Roman"/>
                <w:sz w:val="10"/>
                <w:szCs w:val="10"/>
                <w:b w:val="1"/>
                <w:bCs w:val="1"/>
                <w:color w:val="auto"/>
                <w:w w:val="97"/>
              </w:rPr>
              <w:t>Weather -</w:t>
            </w: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7"/>
        </w:trPr>
        <w:tc>
          <w:tcPr>
            <w:tcW w:w="3700" w:type="dxa"/>
            <w:vAlign w:val="bottom"/>
          </w:tcPr>
          <w:p>
            <w:pPr>
              <w:spacing w:after="0"/>
              <w:rPr>
                <w:sz w:val="8"/>
                <w:szCs w:val="8"/>
                <w:color w:val="auto"/>
              </w:rPr>
            </w:pPr>
          </w:p>
        </w:tc>
        <w:tc>
          <w:tcPr>
            <w:tcW w:w="980" w:type="dxa"/>
            <w:vAlign w:val="bottom"/>
            <w:gridSpan w:val="3"/>
            <w:vMerge w:val="restart"/>
          </w:tcPr>
          <w:p>
            <w:pPr>
              <w:jc w:val="right"/>
              <w:ind w:right="352"/>
              <w:spacing w:after="0"/>
              <w:rPr>
                <w:sz w:val="20"/>
                <w:szCs w:val="20"/>
                <w:color w:val="auto"/>
              </w:rPr>
            </w:pPr>
            <w:r>
              <w:rPr>
                <w:rFonts w:ascii="Times New Roman" w:cs="Times New Roman" w:eastAsia="Times New Roman" w:hAnsi="Times New Roman"/>
                <w:sz w:val="10"/>
                <w:szCs w:val="10"/>
                <w:b w:val="1"/>
                <w:bCs w:val="1"/>
                <w:color w:val="auto"/>
              </w:rPr>
              <w:t>2026</w:t>
            </w:r>
          </w:p>
        </w:tc>
        <w:tc>
          <w:tcPr>
            <w:tcW w:w="80" w:type="dxa"/>
            <w:vAlign w:val="bottom"/>
          </w:tcPr>
          <w:p>
            <w:pPr>
              <w:spacing w:after="0"/>
              <w:rPr>
                <w:sz w:val="8"/>
                <w:szCs w:val="8"/>
                <w:color w:val="auto"/>
              </w:rPr>
            </w:pPr>
          </w:p>
        </w:tc>
        <w:tc>
          <w:tcPr>
            <w:tcW w:w="960" w:type="dxa"/>
            <w:vAlign w:val="bottom"/>
            <w:gridSpan w:val="5"/>
            <w:vMerge w:val="restart"/>
          </w:tcPr>
          <w:p>
            <w:pPr>
              <w:jc w:val="right"/>
              <w:ind w:right="332"/>
              <w:spacing w:after="0"/>
              <w:rPr>
                <w:sz w:val="20"/>
                <w:szCs w:val="20"/>
                <w:color w:val="auto"/>
              </w:rPr>
            </w:pPr>
            <w:r>
              <w:rPr>
                <w:rFonts w:ascii="Times New Roman" w:cs="Times New Roman" w:eastAsia="Times New Roman" w:hAnsi="Times New Roman"/>
                <w:sz w:val="10"/>
                <w:szCs w:val="10"/>
                <w:b w:val="1"/>
                <w:bCs w:val="1"/>
                <w:color w:val="auto"/>
              </w:rPr>
              <w:t>2025</w:t>
            </w: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80" w:type="dxa"/>
            <w:vAlign w:val="bottom"/>
            <w:gridSpan w:val="4"/>
            <w:vMerge w:val="restart"/>
          </w:tcPr>
          <w:p>
            <w:pPr>
              <w:ind w:left="40"/>
              <w:spacing w:after="0"/>
              <w:rPr>
                <w:sz w:val="20"/>
                <w:szCs w:val="20"/>
                <w:color w:val="auto"/>
              </w:rPr>
            </w:pPr>
            <w:r>
              <w:rPr>
                <w:rFonts w:ascii="Times New Roman" w:cs="Times New Roman" w:eastAsia="Times New Roman" w:hAnsi="Times New Roman"/>
                <w:sz w:val="10"/>
                <w:szCs w:val="10"/>
                <w:b w:val="1"/>
                <w:bCs w:val="1"/>
                <w:color w:val="auto"/>
              </w:rPr>
              <w:t>% Change</w:t>
            </w:r>
          </w:p>
        </w:tc>
        <w:tc>
          <w:tcPr>
            <w:tcW w:w="760" w:type="dxa"/>
            <w:vAlign w:val="bottom"/>
          </w:tcPr>
          <w:p>
            <w:pPr>
              <w:jc w:val="center"/>
              <w:ind w:left="212"/>
              <w:spacing w:after="0" w:line="98" w:lineRule="exact"/>
              <w:rPr>
                <w:sz w:val="20"/>
                <w:szCs w:val="20"/>
                <w:color w:val="auto"/>
              </w:rPr>
            </w:pPr>
            <w:r>
              <w:rPr>
                <w:rFonts w:ascii="Times New Roman" w:cs="Times New Roman" w:eastAsia="Times New Roman" w:hAnsi="Times New Roman"/>
                <w:sz w:val="10"/>
                <w:szCs w:val="10"/>
                <w:b w:val="1"/>
                <w:bCs w:val="1"/>
                <w:color w:val="auto"/>
                <w:w w:val="91"/>
              </w:rPr>
              <w:t>Normal</w:t>
            </w: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vMerge w:val="restart"/>
          </w:tcPr>
          <w:p>
            <w:pPr>
              <w:jc w:val="right"/>
              <w:ind w:right="332"/>
              <w:spacing w:after="0"/>
              <w:rPr>
                <w:sz w:val="20"/>
                <w:szCs w:val="20"/>
                <w:color w:val="auto"/>
              </w:rPr>
            </w:pPr>
            <w:r>
              <w:rPr>
                <w:rFonts w:ascii="Times New Roman" w:cs="Times New Roman" w:eastAsia="Times New Roman" w:hAnsi="Times New Roman"/>
                <w:sz w:val="10"/>
                <w:szCs w:val="10"/>
                <w:b w:val="1"/>
                <w:bCs w:val="1"/>
                <w:color w:val="auto"/>
              </w:rPr>
              <w:t>2026</w:t>
            </w: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0"/>
                <w:szCs w:val="10"/>
                <w:b w:val="1"/>
                <w:bCs w:val="1"/>
                <w:color w:val="auto"/>
              </w:rPr>
              <w:t>2025</w:t>
            </w: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2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0"/>
                <w:szCs w:val="10"/>
                <w:b w:val="1"/>
                <w:bCs w:val="1"/>
                <w:color w:val="auto"/>
              </w:rPr>
              <w:t>% Change</w:t>
            </w:r>
          </w:p>
        </w:tc>
        <w:tc>
          <w:tcPr>
            <w:tcW w:w="0" w:type="dxa"/>
            <w:vAlign w:val="bottom"/>
          </w:tcPr>
          <w:p>
            <w:pPr>
              <w:spacing w:after="0"/>
              <w:rPr>
                <w:sz w:val="1"/>
                <w:szCs w:val="1"/>
                <w:color w:val="auto"/>
              </w:rPr>
            </w:pPr>
          </w:p>
        </w:tc>
      </w:tr>
      <w:tr>
        <w:trPr>
          <w:trHeight w:val="130"/>
        </w:trPr>
        <w:tc>
          <w:tcPr>
            <w:tcW w:w="3700" w:type="dxa"/>
            <w:vAlign w:val="bottom"/>
          </w:tcPr>
          <w:p>
            <w:pPr>
              <w:spacing w:after="0"/>
              <w:rPr>
                <w:sz w:val="11"/>
                <w:szCs w:val="11"/>
                <w:color w:val="auto"/>
              </w:rPr>
            </w:pPr>
          </w:p>
        </w:tc>
        <w:tc>
          <w:tcPr>
            <w:tcW w:w="980" w:type="dxa"/>
            <w:vAlign w:val="bottom"/>
            <w:gridSpan w:val="3"/>
            <w:vMerge w:val="continue"/>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5"/>
            <w:vMerge w:val="continue"/>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gridSpan w:val="4"/>
            <w:vMerge w:val="continue"/>
          </w:tcPr>
          <w:p>
            <w:pPr>
              <w:spacing w:after="0"/>
              <w:rPr>
                <w:sz w:val="11"/>
                <w:szCs w:val="11"/>
                <w:color w:val="auto"/>
              </w:rPr>
            </w:pPr>
          </w:p>
        </w:tc>
        <w:tc>
          <w:tcPr>
            <w:tcW w:w="760" w:type="dxa"/>
            <w:vAlign w:val="bottom"/>
          </w:tcPr>
          <w:p>
            <w:pPr>
              <w:jc w:val="center"/>
              <w:ind w:left="232"/>
              <w:spacing w:after="0"/>
              <w:rPr>
                <w:sz w:val="20"/>
                <w:szCs w:val="20"/>
                <w:color w:val="auto"/>
              </w:rPr>
            </w:pPr>
            <w:r>
              <w:rPr>
                <w:rFonts w:ascii="Times New Roman" w:cs="Times New Roman" w:eastAsia="Times New Roman" w:hAnsi="Times New Roman"/>
                <w:sz w:val="10"/>
                <w:szCs w:val="10"/>
                <w:b w:val="1"/>
                <w:bCs w:val="1"/>
                <w:color w:val="auto"/>
                <w:w w:val="97"/>
              </w:rPr>
              <w:t>% Change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3700" w:type="dxa"/>
            <w:vAlign w:val="bottom"/>
            <w:tcBorders>
              <w:top w:val="single" w:sz="8" w:color="CCEEFF"/>
            </w:tcBorders>
            <w:shd w:val="clear" w:color="auto" w:fill="CCEEFF"/>
          </w:tcPr>
          <w:p>
            <w:pPr>
              <w:ind w:left="20"/>
              <w:spacing w:after="0" w:line="111" w:lineRule="exact"/>
              <w:rPr>
                <w:sz w:val="20"/>
                <w:szCs w:val="20"/>
                <w:color w:val="auto"/>
              </w:rPr>
            </w:pPr>
            <w:r>
              <w:rPr>
                <w:rFonts w:ascii="Times New Roman" w:cs="Times New Roman" w:eastAsia="Times New Roman" w:hAnsi="Times New Roman"/>
                <w:sz w:val="10"/>
                <w:szCs w:val="10"/>
                <w:b w:val="1"/>
                <w:bCs w:val="1"/>
                <w:color w:val="auto"/>
              </w:rPr>
              <w:t>Electric (in GWhs)</w:t>
            </w:r>
          </w:p>
        </w:tc>
        <w:tc>
          <w:tcPr>
            <w:tcW w:w="4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88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28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auto"/>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760" w:type="dxa"/>
            <w:vAlign w:val="bottom"/>
            <w:tcBorders>
              <w:top w:val="single" w:sz="8" w:color="auto"/>
            </w:tcBorders>
            <w:shd w:val="clear" w:color="auto" w:fill="CCEEFF"/>
          </w:tcPr>
          <w:p>
            <w:pPr>
              <w:spacing w:after="0"/>
              <w:rPr>
                <w:sz w:val="10"/>
                <w:szCs w:val="10"/>
                <w:color w:val="auto"/>
              </w:rPr>
            </w:pPr>
          </w:p>
        </w:tc>
        <w:tc>
          <w:tcPr>
            <w:tcW w:w="30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80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auto"/>
            </w:tcBorders>
            <w:shd w:val="clear" w:color="auto" w:fill="CCEEFF"/>
          </w:tcPr>
          <w:p>
            <w:pPr>
              <w:spacing w:after="0"/>
              <w:rPr>
                <w:sz w:val="10"/>
                <w:szCs w:val="10"/>
                <w:color w:val="auto"/>
              </w:rPr>
            </w:pPr>
          </w:p>
        </w:tc>
        <w:tc>
          <w:tcPr>
            <w:tcW w:w="50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28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1000" w:type="dxa"/>
            <w:vAlign w:val="bottom"/>
            <w:tcBorders>
              <w:top w:val="single" w:sz="8" w:color="auto"/>
            </w:tcBorders>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700" w:type="dxa"/>
            <w:vAlign w:val="bottom"/>
          </w:tcPr>
          <w:p>
            <w:pPr>
              <w:ind w:left="20"/>
              <w:spacing w:after="0" w:line="135" w:lineRule="exact"/>
              <w:rPr>
                <w:sz w:val="20"/>
                <w:szCs w:val="20"/>
                <w:color w:val="auto"/>
              </w:rPr>
            </w:pPr>
            <w:r>
              <w:rPr>
                <w:rFonts w:ascii="Times New Roman" w:cs="Times New Roman" w:eastAsia="Times New Roman" w:hAnsi="Times New Roman"/>
                <w:sz w:val="10"/>
                <w:szCs w:val="10"/>
                <w:b w:val="1"/>
                <w:bCs w:val="1"/>
                <w:color w:val="auto"/>
              </w:rPr>
              <w:t>Electric Deliveries and Revenues</w:t>
            </w:r>
            <w:r>
              <w:rPr>
                <w:rFonts w:ascii="Times New Roman" w:cs="Times New Roman" w:eastAsia="Times New Roman" w:hAnsi="Times New Roman"/>
                <w:sz w:val="12"/>
                <w:szCs w:val="12"/>
                <w:b w:val="1"/>
                <w:bCs w:val="1"/>
                <w:color w:val="auto"/>
                <w:vertAlign w:val="superscript"/>
              </w:rPr>
              <w:t>(a)</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0"/>
                <w:szCs w:val="10"/>
                <w:color w:val="auto"/>
              </w:rPr>
              <w:t>Residential</w:t>
            </w:r>
          </w:p>
        </w:tc>
        <w:tc>
          <w:tcPr>
            <w:tcW w:w="9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1,709</w:t>
            </w:r>
          </w:p>
        </w:tc>
        <w:tc>
          <w:tcPr>
            <w:tcW w:w="80" w:type="dxa"/>
            <w:vAlign w:val="bottom"/>
            <w:shd w:val="clear" w:color="auto" w:fill="CCEEFF"/>
          </w:tcPr>
          <w:p>
            <w:pPr>
              <w:spacing w:after="0"/>
              <w:rPr>
                <w:sz w:val="11"/>
                <w:szCs w:val="11"/>
                <w:color w:val="auto"/>
              </w:rPr>
            </w:pPr>
          </w:p>
        </w:tc>
        <w:tc>
          <w:tcPr>
            <w:tcW w:w="96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1,645</w:t>
            </w: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3.9 %</w:t>
            </w: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4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1.3 %   $</w:t>
            </w: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331</w:t>
            </w:r>
          </w:p>
        </w:tc>
        <w:tc>
          <w:tcPr>
            <w:tcW w:w="100" w:type="dxa"/>
            <w:vAlign w:val="bottom"/>
            <w:shd w:val="clear" w:color="auto" w:fill="CCEEFF"/>
          </w:tcPr>
          <w:p>
            <w:pPr>
              <w:spacing w:after="0"/>
              <w:rPr>
                <w:sz w:val="11"/>
                <w:szCs w:val="11"/>
                <w:color w:val="auto"/>
              </w:rPr>
            </w:pPr>
          </w:p>
        </w:tc>
        <w:tc>
          <w:tcPr>
            <w:tcW w:w="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0"/>
                <w:szCs w:val="10"/>
                <w:color w:val="auto"/>
                <w:w w:val="79"/>
              </w:rPr>
              <w:t>$</w:t>
            </w:r>
          </w:p>
        </w:tc>
        <w:tc>
          <w:tcPr>
            <w:tcW w:w="8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298</w:t>
            </w: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11.1 %</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700" w:type="dxa"/>
            <w:vAlign w:val="bottom"/>
          </w:tcPr>
          <w:p>
            <w:pPr>
              <w:ind w:left="240"/>
              <w:spacing w:after="0"/>
              <w:rPr>
                <w:sz w:val="20"/>
                <w:szCs w:val="20"/>
                <w:color w:val="auto"/>
              </w:rPr>
            </w:pPr>
            <w:r>
              <w:rPr>
                <w:rFonts w:ascii="Times New Roman" w:cs="Times New Roman" w:eastAsia="Times New Roman" w:hAnsi="Times New Roman"/>
                <w:sz w:val="10"/>
                <w:szCs w:val="10"/>
                <w:color w:val="auto"/>
              </w:rPr>
              <w:t>Small commercial &amp; industrial</w:t>
            </w: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0"/>
                <w:szCs w:val="10"/>
                <w:color w:val="auto"/>
              </w:rPr>
              <w:t>608</w:t>
            </w:r>
          </w:p>
        </w:tc>
        <w:tc>
          <w:tcPr>
            <w:tcW w:w="80" w:type="dxa"/>
            <w:vAlign w:val="bottom"/>
          </w:tcPr>
          <w:p>
            <w:pPr>
              <w:spacing w:after="0"/>
              <w:rPr>
                <w:sz w:val="11"/>
                <w:szCs w:val="11"/>
                <w:color w:val="auto"/>
              </w:rPr>
            </w:pPr>
          </w:p>
        </w:tc>
        <w:tc>
          <w:tcPr>
            <w:tcW w:w="960" w:type="dxa"/>
            <w:vAlign w:val="bottom"/>
            <w:gridSpan w:val="5"/>
          </w:tcPr>
          <w:p>
            <w:pPr>
              <w:jc w:val="right"/>
              <w:spacing w:after="0"/>
              <w:rPr>
                <w:sz w:val="20"/>
                <w:szCs w:val="20"/>
                <w:color w:val="auto"/>
              </w:rPr>
            </w:pPr>
            <w:r>
              <w:rPr>
                <w:rFonts w:ascii="Times New Roman" w:cs="Times New Roman" w:eastAsia="Times New Roman" w:hAnsi="Times New Roman"/>
                <w:sz w:val="10"/>
                <w:szCs w:val="10"/>
                <w:color w:val="auto"/>
              </w:rPr>
              <w:t>586</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0"/>
                <w:szCs w:val="10"/>
                <w:color w:val="auto"/>
              </w:rPr>
              <w:t>3.8 %</w:t>
            </w: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2.4 %</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69</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0"/>
                <w:szCs w:val="10"/>
                <w:color w:val="auto"/>
              </w:rPr>
              <w:t>64</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7.8 %</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3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0"/>
                <w:szCs w:val="10"/>
                <w:color w:val="auto"/>
              </w:rPr>
              <w:t>Large commercial &amp; industrial</w:t>
            </w:r>
          </w:p>
        </w:tc>
        <w:tc>
          <w:tcPr>
            <w:tcW w:w="9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929</w:t>
            </w:r>
          </w:p>
        </w:tc>
        <w:tc>
          <w:tcPr>
            <w:tcW w:w="80" w:type="dxa"/>
            <w:vAlign w:val="bottom"/>
            <w:shd w:val="clear" w:color="auto" w:fill="CCEEFF"/>
          </w:tcPr>
          <w:p>
            <w:pPr>
              <w:spacing w:after="0"/>
              <w:rPr>
                <w:sz w:val="12"/>
                <w:szCs w:val="12"/>
                <w:color w:val="auto"/>
              </w:rPr>
            </w:pPr>
          </w:p>
        </w:tc>
        <w:tc>
          <w:tcPr>
            <w:tcW w:w="96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939</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(1.1)%</w:t>
            </w: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94"/>
              </w:rPr>
              <w:t>(1.6)%</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30</w:t>
            </w: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28</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7.1 %</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3700" w:type="dxa"/>
            <w:vAlign w:val="bottom"/>
          </w:tcPr>
          <w:p>
            <w:pPr>
              <w:ind w:left="240"/>
              <w:spacing w:after="0"/>
              <w:rPr>
                <w:sz w:val="20"/>
                <w:szCs w:val="20"/>
                <w:color w:val="auto"/>
              </w:rPr>
            </w:pPr>
            <w:r>
              <w:rPr>
                <w:rFonts w:ascii="Times New Roman" w:cs="Times New Roman" w:eastAsia="Times New Roman" w:hAnsi="Times New Roman"/>
                <w:sz w:val="10"/>
                <w:szCs w:val="10"/>
                <w:color w:val="auto"/>
              </w:rPr>
              <w:t>Public authorities &amp; electric railroads</w:t>
            </w: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0"/>
                <w:szCs w:val="10"/>
                <w:color w:val="auto"/>
              </w:rPr>
              <w:t>9</w:t>
            </w:r>
          </w:p>
        </w:tc>
        <w:tc>
          <w:tcPr>
            <w:tcW w:w="80" w:type="dxa"/>
            <w:vAlign w:val="bottom"/>
          </w:tcPr>
          <w:p>
            <w:pPr>
              <w:spacing w:after="0"/>
              <w:rPr>
                <w:sz w:val="11"/>
                <w:szCs w:val="11"/>
                <w:color w:val="auto"/>
              </w:rPr>
            </w:pPr>
          </w:p>
        </w:tc>
        <w:tc>
          <w:tcPr>
            <w:tcW w:w="960" w:type="dxa"/>
            <w:vAlign w:val="bottom"/>
            <w:gridSpan w:val="5"/>
          </w:tcPr>
          <w:p>
            <w:pPr>
              <w:jc w:val="right"/>
              <w:spacing w:after="0"/>
              <w:rPr>
                <w:sz w:val="20"/>
                <w:szCs w:val="20"/>
                <w:color w:val="auto"/>
              </w:rPr>
            </w:pPr>
            <w:r>
              <w:rPr>
                <w:rFonts w:ascii="Times New Roman" w:cs="Times New Roman" w:eastAsia="Times New Roman" w:hAnsi="Times New Roman"/>
                <w:sz w:val="10"/>
                <w:szCs w:val="10"/>
                <w:color w:val="auto"/>
              </w:rPr>
              <w:t>9</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gridSpan w:val="4"/>
          </w:tcPr>
          <w:p>
            <w:pPr>
              <w:jc w:val="right"/>
              <w:ind w:right="100"/>
              <w:spacing w:after="0"/>
              <w:rPr>
                <w:sz w:val="20"/>
                <w:szCs w:val="20"/>
                <w:color w:val="auto"/>
              </w:rPr>
            </w:pPr>
            <w:r>
              <w:rPr>
                <w:rFonts w:ascii="Times New Roman" w:cs="Times New Roman" w:eastAsia="Times New Roman" w:hAnsi="Times New Roman"/>
                <w:sz w:val="10"/>
                <w:szCs w:val="10"/>
                <w:color w:val="auto"/>
              </w:rPr>
              <w:t>— %</w:t>
            </w:r>
          </w:p>
        </w:tc>
        <w:tc>
          <w:tcPr>
            <w:tcW w:w="760" w:type="dxa"/>
            <w:vAlign w:val="bottom"/>
          </w:tcPr>
          <w:p>
            <w:pPr>
              <w:spacing w:after="0"/>
              <w:rPr>
                <w:sz w:val="11"/>
                <w:szCs w:val="11"/>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94"/>
              </w:rPr>
              <w:t>(1.8)%</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0"/>
                <w:szCs w:val="10"/>
                <w:color w:val="auto"/>
              </w:rPr>
              <w:t>4</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 %</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3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0"/>
                <w:szCs w:val="10"/>
                <w:color w:val="auto"/>
              </w:rPr>
              <w:t>Other</w:t>
            </w:r>
            <w:r>
              <w:rPr>
                <w:rFonts w:ascii="Times New Roman" w:cs="Times New Roman" w:eastAsia="Times New Roman" w:hAnsi="Times New Roman"/>
                <w:sz w:val="12"/>
                <w:szCs w:val="12"/>
                <w:color w:val="auto"/>
                <w:vertAlign w:val="superscript"/>
              </w:rPr>
              <w:t>(b)</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0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0"/>
                <w:szCs w:val="10"/>
                <w:color w:val="auto"/>
              </w:rPr>
              <w:t>n/a</w:t>
            </w:r>
          </w:p>
        </w:tc>
        <w:tc>
          <w:tcPr>
            <w:tcW w:w="760" w:type="dxa"/>
            <w:vAlign w:val="bottom"/>
            <w:shd w:val="clear" w:color="auto" w:fill="CCEEFF"/>
          </w:tcPr>
          <w:p>
            <w:pPr>
              <w:spacing w:after="0"/>
              <w:rPr>
                <w:sz w:val="12"/>
                <w:szCs w:val="12"/>
                <w:color w:val="auto"/>
              </w:rPr>
            </w:pPr>
          </w:p>
        </w:tc>
        <w:tc>
          <w:tcPr>
            <w:tcW w:w="540" w:type="dxa"/>
            <w:vAlign w:val="bottom"/>
            <w:gridSpan w:val="4"/>
            <w:shd w:val="clear" w:color="auto" w:fill="CCEEFF"/>
          </w:tcPr>
          <w:p>
            <w:pPr>
              <w:ind w:left="160"/>
              <w:spacing w:after="0"/>
              <w:rPr>
                <w:sz w:val="20"/>
                <w:szCs w:val="20"/>
                <w:color w:val="auto"/>
              </w:rPr>
            </w:pPr>
            <w:r>
              <w:rPr>
                <w:rFonts w:ascii="Times New Roman" w:cs="Times New Roman" w:eastAsia="Times New Roman" w:hAnsi="Times New Roman"/>
                <w:sz w:val="10"/>
                <w:szCs w:val="10"/>
                <w:color w:val="auto"/>
              </w:rPr>
              <w:t>n/a</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77</w:t>
            </w: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71</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8.5 %</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3700" w:type="dxa"/>
            <w:vAlign w:val="bottom"/>
            <w:tcBorders>
              <w:bottom w:val="single" w:sz="8" w:color="CCEEFF"/>
            </w:tcBorders>
          </w:tcPr>
          <w:p>
            <w:pPr>
              <w:ind w:left="460"/>
              <w:spacing w:after="0" w:line="124" w:lineRule="exact"/>
              <w:rPr>
                <w:sz w:val="20"/>
                <w:szCs w:val="20"/>
                <w:color w:val="auto"/>
              </w:rPr>
            </w:pPr>
            <w:r>
              <w:rPr>
                <w:rFonts w:ascii="Times New Roman" w:cs="Times New Roman" w:eastAsia="Times New Roman" w:hAnsi="Times New Roman"/>
                <w:sz w:val="10"/>
                <w:szCs w:val="10"/>
                <w:color w:val="auto"/>
              </w:rPr>
              <w:t>Total electric revenues</w:t>
            </w:r>
            <w:r>
              <w:rPr>
                <w:rFonts w:ascii="Times New Roman" w:cs="Times New Roman" w:eastAsia="Times New Roman" w:hAnsi="Times New Roman"/>
                <w:sz w:val="12"/>
                <w:szCs w:val="12"/>
                <w:color w:val="auto"/>
                <w:vertAlign w:val="superscript"/>
              </w:rPr>
              <w:t>(c)</w:t>
            </w:r>
          </w:p>
        </w:tc>
        <w:tc>
          <w:tcPr>
            <w:tcW w:w="98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0"/>
                <w:szCs w:val="10"/>
                <w:color w:val="auto"/>
              </w:rPr>
              <w:t>3,255</w:t>
            </w:r>
          </w:p>
        </w:tc>
        <w:tc>
          <w:tcPr>
            <w:tcW w:w="80" w:type="dxa"/>
            <w:vAlign w:val="bottom"/>
            <w:tcBorders>
              <w:bottom w:val="single" w:sz="8" w:color="CCEEFF"/>
            </w:tcBorders>
          </w:tcPr>
          <w:p>
            <w:pPr>
              <w:spacing w:after="0"/>
              <w:rPr>
                <w:sz w:val="10"/>
                <w:szCs w:val="10"/>
                <w:color w:val="auto"/>
              </w:rPr>
            </w:pPr>
          </w:p>
        </w:tc>
        <w:tc>
          <w:tcPr>
            <w:tcW w:w="960" w:type="dxa"/>
            <w:vAlign w:val="bottom"/>
            <w:tcBorders>
              <w:top w:val="single" w:sz="8" w:color="auto"/>
              <w:bottom w:val="single" w:sz="8" w:color="auto"/>
            </w:tcBorders>
            <w:gridSpan w:val="5"/>
          </w:tcPr>
          <w:p>
            <w:pPr>
              <w:jc w:val="right"/>
              <w:spacing w:after="0"/>
              <w:rPr>
                <w:sz w:val="20"/>
                <w:szCs w:val="20"/>
                <w:color w:val="auto"/>
              </w:rPr>
            </w:pPr>
            <w:r>
              <w:rPr>
                <w:rFonts w:ascii="Times New Roman" w:cs="Times New Roman" w:eastAsia="Times New Roman" w:hAnsi="Times New Roman"/>
                <w:sz w:val="10"/>
                <w:szCs w:val="10"/>
                <w:color w:val="auto"/>
              </w:rPr>
              <w:t>3,179</w:t>
            </w:r>
          </w:p>
        </w:tc>
        <w:tc>
          <w:tcPr>
            <w:tcW w:w="100" w:type="dxa"/>
            <w:vAlign w:val="bottom"/>
            <w:tcBorders>
              <w:bottom w:val="single" w:sz="8" w:color="CCEEFF"/>
            </w:tcBorders>
          </w:tcPr>
          <w:p>
            <w:pPr>
              <w:spacing w:after="0"/>
              <w:rPr>
                <w:sz w:val="10"/>
                <w:szCs w:val="10"/>
                <w:color w:val="auto"/>
              </w:rPr>
            </w:pPr>
          </w:p>
        </w:tc>
        <w:tc>
          <w:tcPr>
            <w:tcW w:w="20" w:type="dxa"/>
            <w:vAlign w:val="bottom"/>
            <w:tcBorders>
              <w:bottom w:val="single" w:sz="8" w:color="CCEEFF"/>
            </w:tcBorders>
          </w:tcPr>
          <w:p>
            <w:pPr>
              <w:spacing w:after="0"/>
              <w:rPr>
                <w:sz w:val="10"/>
                <w:szCs w:val="10"/>
                <w:color w:val="auto"/>
              </w:rPr>
            </w:pPr>
          </w:p>
        </w:tc>
        <w:tc>
          <w:tcPr>
            <w:tcW w:w="40" w:type="dxa"/>
            <w:vAlign w:val="bottom"/>
            <w:tcBorders>
              <w:bottom w:val="single" w:sz="8" w:color="CCEEFF"/>
            </w:tcBorders>
          </w:tcPr>
          <w:p>
            <w:pPr>
              <w:spacing w:after="0"/>
              <w:rPr>
                <w:sz w:val="10"/>
                <w:szCs w:val="10"/>
                <w:color w:val="auto"/>
              </w:rPr>
            </w:pPr>
          </w:p>
        </w:tc>
        <w:tc>
          <w:tcPr>
            <w:tcW w:w="200" w:type="dxa"/>
            <w:vAlign w:val="bottom"/>
            <w:tcBorders>
              <w:bottom w:val="single" w:sz="8" w:color="CCEEFF"/>
            </w:tcBorders>
          </w:tcPr>
          <w:p>
            <w:pPr>
              <w:spacing w:after="0"/>
              <w:rPr>
                <w:sz w:val="10"/>
                <w:szCs w:val="10"/>
                <w:color w:val="auto"/>
              </w:rPr>
            </w:pPr>
          </w:p>
        </w:tc>
        <w:tc>
          <w:tcPr>
            <w:tcW w:w="780" w:type="dxa"/>
            <w:vAlign w:val="bottom"/>
            <w:tcBorders>
              <w:bottom w:val="single" w:sz="8" w:color="CCEEFF"/>
            </w:tcBorders>
            <w:gridSpan w:val="3"/>
          </w:tcPr>
          <w:p>
            <w:pPr>
              <w:jc w:val="right"/>
              <w:spacing w:after="0" w:line="107" w:lineRule="exact"/>
              <w:rPr>
                <w:sz w:val="20"/>
                <w:szCs w:val="20"/>
                <w:color w:val="auto"/>
              </w:rPr>
            </w:pPr>
            <w:r>
              <w:rPr>
                <w:rFonts w:ascii="Times New Roman" w:cs="Times New Roman" w:eastAsia="Times New Roman" w:hAnsi="Times New Roman"/>
                <w:sz w:val="10"/>
                <w:szCs w:val="10"/>
                <w:color w:val="auto"/>
              </w:rPr>
              <w:t>2.4 %</w:t>
            </w:r>
          </w:p>
        </w:tc>
        <w:tc>
          <w:tcPr>
            <w:tcW w:w="100" w:type="dxa"/>
            <w:vAlign w:val="bottom"/>
            <w:tcBorders>
              <w:bottom w:val="single" w:sz="8" w:color="CCEEFF"/>
            </w:tcBorders>
          </w:tcPr>
          <w:p>
            <w:pPr>
              <w:spacing w:after="0"/>
              <w:rPr>
                <w:sz w:val="10"/>
                <w:szCs w:val="10"/>
                <w:color w:val="auto"/>
              </w:rPr>
            </w:pPr>
          </w:p>
        </w:tc>
        <w:tc>
          <w:tcPr>
            <w:tcW w:w="760" w:type="dxa"/>
            <w:vAlign w:val="bottom"/>
            <w:tcBorders>
              <w:bottom w:val="single" w:sz="8" w:color="CCEEFF"/>
            </w:tcBorders>
          </w:tcPr>
          <w:p>
            <w:pPr>
              <w:spacing w:after="0"/>
              <w:rPr>
                <w:sz w:val="10"/>
                <w:szCs w:val="10"/>
                <w:color w:val="auto"/>
              </w:rPr>
            </w:pPr>
          </w:p>
        </w:tc>
        <w:tc>
          <w:tcPr>
            <w:tcW w:w="300" w:type="dxa"/>
            <w:vAlign w:val="bottom"/>
            <w:tcBorders>
              <w:bottom w:val="single" w:sz="8" w:color="CCEEFF"/>
            </w:tcBorders>
          </w:tcPr>
          <w:p>
            <w:pPr>
              <w:jc w:val="right"/>
              <w:spacing w:after="0" w:line="107" w:lineRule="exact"/>
              <w:rPr>
                <w:sz w:val="20"/>
                <w:szCs w:val="20"/>
                <w:color w:val="auto"/>
              </w:rPr>
            </w:pPr>
            <w:r>
              <w:rPr>
                <w:rFonts w:ascii="Times New Roman" w:cs="Times New Roman" w:eastAsia="Times New Roman" w:hAnsi="Times New Roman"/>
                <w:sz w:val="10"/>
                <w:szCs w:val="10"/>
                <w:color w:val="auto"/>
              </w:rPr>
              <w:t>0.6 %</w:t>
            </w:r>
          </w:p>
        </w:tc>
        <w:tc>
          <w:tcPr>
            <w:tcW w:w="80" w:type="dxa"/>
            <w:vAlign w:val="bottom"/>
            <w:tcBorders>
              <w:bottom w:val="single" w:sz="8" w:color="CCEEFF"/>
            </w:tcBorders>
          </w:tcPr>
          <w:p>
            <w:pPr>
              <w:spacing w:after="0"/>
              <w:rPr>
                <w:sz w:val="10"/>
                <w:szCs w:val="10"/>
                <w:color w:val="auto"/>
              </w:rPr>
            </w:pPr>
          </w:p>
        </w:tc>
        <w:tc>
          <w:tcPr>
            <w:tcW w:w="60" w:type="dxa"/>
            <w:vAlign w:val="bottom"/>
            <w:tcBorders>
              <w:top w:val="single" w:sz="8" w:color="auto"/>
              <w:bottom w:val="single" w:sz="8" w:color="auto"/>
            </w:tcBorders>
          </w:tcPr>
          <w:p>
            <w:pPr>
              <w:spacing w:after="0"/>
              <w:rPr>
                <w:sz w:val="10"/>
                <w:szCs w:val="10"/>
                <w:color w:val="auto"/>
              </w:rPr>
            </w:pPr>
          </w:p>
        </w:tc>
        <w:tc>
          <w:tcPr>
            <w:tcW w:w="100" w:type="dxa"/>
            <w:vAlign w:val="bottom"/>
            <w:tcBorders>
              <w:top w:val="single" w:sz="8" w:color="auto"/>
              <w:bottom w:val="single" w:sz="8" w:color="auto"/>
            </w:tcBorders>
          </w:tcPr>
          <w:p>
            <w:pPr>
              <w:spacing w:after="0"/>
              <w:rPr>
                <w:sz w:val="10"/>
                <w:szCs w:val="1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511</w:t>
            </w:r>
          </w:p>
        </w:tc>
        <w:tc>
          <w:tcPr>
            <w:tcW w:w="100" w:type="dxa"/>
            <w:vAlign w:val="bottom"/>
            <w:tcBorders>
              <w:bottom w:val="single" w:sz="8" w:color="CCEEFF"/>
            </w:tcBorders>
          </w:tcPr>
          <w:p>
            <w:pPr>
              <w:spacing w:after="0"/>
              <w:rPr>
                <w:sz w:val="10"/>
                <w:szCs w:val="10"/>
                <w:color w:val="auto"/>
              </w:rPr>
            </w:pPr>
          </w:p>
        </w:tc>
        <w:tc>
          <w:tcPr>
            <w:tcW w:w="40" w:type="dxa"/>
            <w:vAlign w:val="bottom"/>
            <w:tcBorders>
              <w:top w:val="single" w:sz="8" w:color="auto"/>
              <w:bottom w:val="single" w:sz="8" w:color="auto"/>
            </w:tcBorders>
          </w:tcPr>
          <w:p>
            <w:pPr>
              <w:spacing w:after="0"/>
              <w:rPr>
                <w:sz w:val="10"/>
                <w:szCs w:val="10"/>
                <w:color w:val="auto"/>
              </w:rPr>
            </w:pPr>
          </w:p>
        </w:tc>
        <w:tc>
          <w:tcPr>
            <w:tcW w:w="40" w:type="dxa"/>
            <w:vAlign w:val="bottom"/>
            <w:tcBorders>
              <w:top w:val="single" w:sz="8" w:color="auto"/>
              <w:bottom w:val="single" w:sz="8" w:color="auto"/>
            </w:tcBorders>
          </w:tcPr>
          <w:p>
            <w:pPr>
              <w:spacing w:after="0"/>
              <w:rPr>
                <w:sz w:val="10"/>
                <w:szCs w:val="10"/>
                <w:color w:val="auto"/>
              </w:rPr>
            </w:pPr>
          </w:p>
        </w:tc>
        <w:tc>
          <w:tcPr>
            <w:tcW w:w="88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0"/>
                <w:szCs w:val="10"/>
                <w:color w:val="auto"/>
              </w:rPr>
              <w:t>465</w:t>
            </w:r>
          </w:p>
        </w:tc>
        <w:tc>
          <w:tcPr>
            <w:tcW w:w="80" w:type="dxa"/>
            <w:vAlign w:val="bottom"/>
            <w:tcBorders>
              <w:bottom w:val="single" w:sz="8" w:color="CCEEFF"/>
            </w:tcBorders>
          </w:tcPr>
          <w:p>
            <w:pPr>
              <w:spacing w:after="0"/>
              <w:rPr>
                <w:sz w:val="10"/>
                <w:szCs w:val="10"/>
                <w:color w:val="auto"/>
              </w:rPr>
            </w:pPr>
          </w:p>
        </w:tc>
        <w:tc>
          <w:tcPr>
            <w:tcW w:w="20" w:type="dxa"/>
            <w:vAlign w:val="bottom"/>
            <w:tcBorders>
              <w:bottom w:val="single" w:sz="8" w:color="CCEEFF"/>
            </w:tcBorders>
          </w:tcPr>
          <w:p>
            <w:pPr>
              <w:spacing w:after="0"/>
              <w:rPr>
                <w:sz w:val="10"/>
                <w:szCs w:val="10"/>
                <w:color w:val="auto"/>
              </w:rPr>
            </w:pPr>
          </w:p>
        </w:tc>
        <w:tc>
          <w:tcPr>
            <w:tcW w:w="1060" w:type="dxa"/>
            <w:vAlign w:val="bottom"/>
            <w:tcBorders>
              <w:bottom w:val="single" w:sz="8" w:color="CCEEFF"/>
            </w:tcBorders>
            <w:gridSpan w:val="2"/>
          </w:tcPr>
          <w:p>
            <w:pPr>
              <w:jc w:val="right"/>
              <w:spacing w:after="0" w:line="107" w:lineRule="exact"/>
              <w:rPr>
                <w:sz w:val="20"/>
                <w:szCs w:val="20"/>
                <w:color w:val="auto"/>
              </w:rPr>
            </w:pPr>
            <w:r>
              <w:rPr>
                <w:rFonts w:ascii="Times New Roman" w:cs="Times New Roman" w:eastAsia="Times New Roman" w:hAnsi="Times New Roman"/>
                <w:sz w:val="10"/>
                <w:szCs w:val="10"/>
                <w:color w:val="auto"/>
              </w:rPr>
              <w:t>9.9 %</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3700" w:type="dxa"/>
            <w:vAlign w:val="bottom"/>
            <w:shd w:val="clear" w:color="auto" w:fill="CCEEFF"/>
          </w:tcPr>
          <w:p>
            <w:pPr>
              <w:ind w:left="20"/>
              <w:spacing w:after="0" w:line="124" w:lineRule="exact"/>
              <w:rPr>
                <w:sz w:val="20"/>
                <w:szCs w:val="20"/>
                <w:color w:val="auto"/>
              </w:rPr>
            </w:pPr>
            <w:r>
              <w:rPr>
                <w:rFonts w:ascii="Times New Roman" w:cs="Times New Roman" w:eastAsia="Times New Roman" w:hAnsi="Times New Roman"/>
                <w:sz w:val="10"/>
                <w:szCs w:val="10"/>
                <w:b w:val="1"/>
                <w:bCs w:val="1"/>
                <w:color w:val="auto"/>
              </w:rPr>
              <w:t>Other Revenues</w:t>
            </w:r>
            <w:r>
              <w:rPr>
                <w:rFonts w:ascii="Times New Roman" w:cs="Times New Roman" w:eastAsia="Times New Roman" w:hAnsi="Times New Roman"/>
                <w:sz w:val="12"/>
                <w:szCs w:val="12"/>
                <w:b w:val="1"/>
                <w:bCs w:val="1"/>
                <w:color w:val="auto"/>
                <w:vertAlign w:val="superscript"/>
              </w:rPr>
              <w:t>(d)</w:t>
            </w: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tcBorders>
              <w:bottom w:val="single" w:sz="8" w:color="auto"/>
            </w:tcBorders>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800" w:type="dxa"/>
            <w:vAlign w:val="bottom"/>
            <w:tcBorders>
              <w:bottom w:val="single" w:sz="8" w:color="auto"/>
            </w:tcBorders>
            <w:shd w:val="clear" w:color="auto" w:fill="CCEEFF"/>
          </w:tcPr>
          <w:p>
            <w:pPr>
              <w:jc w:val="center"/>
              <w:ind w:left="612"/>
              <w:spacing w:after="0"/>
              <w:rPr>
                <w:sz w:val="20"/>
                <w:szCs w:val="20"/>
                <w:color w:val="auto"/>
              </w:rPr>
            </w:pPr>
            <w:r>
              <w:rPr>
                <w:rFonts w:ascii="Times New Roman" w:cs="Times New Roman" w:eastAsia="Times New Roman" w:hAnsi="Times New Roman"/>
                <w:sz w:val="10"/>
                <w:szCs w:val="10"/>
                <w:color w:val="auto"/>
                <w:w w:val="85"/>
              </w:rPr>
              <w:t>(5)</w:t>
            </w:r>
          </w:p>
        </w:tc>
        <w:tc>
          <w:tcPr>
            <w:tcW w:w="100" w:type="dxa"/>
            <w:vAlign w:val="bottom"/>
            <w:shd w:val="clear" w:color="auto" w:fill="CCEEFF"/>
          </w:tcPr>
          <w:p>
            <w:pPr>
              <w:spacing w:after="0"/>
              <w:rPr>
                <w:sz w:val="10"/>
                <w:szCs w:val="10"/>
                <w:color w:val="auto"/>
              </w:rPr>
            </w:pPr>
          </w:p>
        </w:tc>
        <w:tc>
          <w:tcPr>
            <w:tcW w:w="40" w:type="dxa"/>
            <w:vAlign w:val="bottom"/>
            <w:tcBorders>
              <w:bottom w:val="single" w:sz="8" w:color="auto"/>
            </w:tcBorders>
            <w:shd w:val="clear" w:color="auto" w:fill="CCEEFF"/>
          </w:tcPr>
          <w:p>
            <w:pPr>
              <w:spacing w:after="0"/>
              <w:rPr>
                <w:sz w:val="10"/>
                <w:szCs w:val="10"/>
                <w:color w:val="auto"/>
              </w:rPr>
            </w:pPr>
          </w:p>
        </w:tc>
        <w:tc>
          <w:tcPr>
            <w:tcW w:w="40" w:type="dxa"/>
            <w:vAlign w:val="bottom"/>
            <w:tcBorders>
              <w:bottom w:val="single" w:sz="8" w:color="auto"/>
            </w:tcBorders>
            <w:shd w:val="clear" w:color="auto" w:fill="CCEEFF"/>
          </w:tcPr>
          <w:p>
            <w:pPr>
              <w:spacing w:after="0"/>
              <w:rPr>
                <w:sz w:val="10"/>
                <w:szCs w:val="10"/>
                <w:color w:val="auto"/>
              </w:rPr>
            </w:pPr>
          </w:p>
        </w:tc>
        <w:tc>
          <w:tcPr>
            <w:tcW w:w="88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w:t>
            </w: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0" w:type="dxa"/>
            <w:vAlign w:val="bottom"/>
            <w:shd w:val="clear" w:color="auto" w:fill="CCEEFF"/>
          </w:tcPr>
          <w:p>
            <w:pPr>
              <w:jc w:val="right"/>
              <w:spacing w:after="0" w:line="107" w:lineRule="exact"/>
              <w:rPr>
                <w:sz w:val="20"/>
                <w:szCs w:val="20"/>
                <w:color w:val="auto"/>
              </w:rPr>
            </w:pPr>
            <w:r>
              <w:rPr>
                <w:rFonts w:ascii="Times New Roman" w:cs="Times New Roman" w:eastAsia="Times New Roman" w:hAnsi="Times New Roman"/>
                <w:sz w:val="10"/>
                <w:szCs w:val="10"/>
                <w:color w:val="auto"/>
              </w:rPr>
              <w:t>— %</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3700" w:type="dxa"/>
            <w:vAlign w:val="bottom"/>
            <w:tcBorders>
              <w:bottom w:val="single" w:sz="8" w:color="CCEEFF"/>
            </w:tcBorders>
          </w:tcPr>
          <w:p>
            <w:pPr>
              <w:ind w:left="460"/>
              <w:spacing w:after="0" w:line="107" w:lineRule="exact"/>
              <w:rPr>
                <w:sz w:val="20"/>
                <w:szCs w:val="20"/>
                <w:color w:val="auto"/>
              </w:rPr>
            </w:pPr>
            <w:r>
              <w:rPr>
                <w:rFonts w:ascii="Times New Roman" w:cs="Times New Roman" w:eastAsia="Times New Roman" w:hAnsi="Times New Roman"/>
                <w:sz w:val="10"/>
                <w:szCs w:val="10"/>
                <w:color w:val="auto"/>
              </w:rPr>
              <w:t>Total electric revenues</w:t>
            </w:r>
          </w:p>
        </w:tc>
        <w:tc>
          <w:tcPr>
            <w:tcW w:w="40" w:type="dxa"/>
            <w:vAlign w:val="bottom"/>
            <w:tcBorders>
              <w:bottom w:val="single" w:sz="8" w:color="CCEEFF"/>
            </w:tcBorders>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88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4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28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48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20" w:type="dxa"/>
            <w:vAlign w:val="bottom"/>
            <w:tcBorders>
              <w:bottom w:val="single" w:sz="8" w:color="CCEEFF"/>
            </w:tcBorders>
          </w:tcPr>
          <w:p>
            <w:pPr>
              <w:spacing w:after="0"/>
              <w:rPr>
                <w:sz w:val="10"/>
                <w:szCs w:val="10"/>
                <w:color w:val="auto"/>
              </w:rPr>
            </w:pPr>
          </w:p>
        </w:tc>
        <w:tc>
          <w:tcPr>
            <w:tcW w:w="40" w:type="dxa"/>
            <w:vAlign w:val="bottom"/>
            <w:tcBorders>
              <w:bottom w:val="single" w:sz="8" w:color="CCEEFF"/>
            </w:tcBorders>
          </w:tcPr>
          <w:p>
            <w:pPr>
              <w:spacing w:after="0"/>
              <w:rPr>
                <w:sz w:val="10"/>
                <w:szCs w:val="10"/>
                <w:color w:val="auto"/>
              </w:rPr>
            </w:pPr>
          </w:p>
        </w:tc>
        <w:tc>
          <w:tcPr>
            <w:tcW w:w="200" w:type="dxa"/>
            <w:vAlign w:val="bottom"/>
            <w:tcBorders>
              <w:bottom w:val="single" w:sz="8" w:color="CCEEFF"/>
            </w:tcBorders>
          </w:tcPr>
          <w:p>
            <w:pPr>
              <w:spacing w:after="0"/>
              <w:rPr>
                <w:sz w:val="10"/>
                <w:szCs w:val="10"/>
                <w:color w:val="auto"/>
              </w:rPr>
            </w:pPr>
          </w:p>
        </w:tc>
        <w:tc>
          <w:tcPr>
            <w:tcW w:w="58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760" w:type="dxa"/>
            <w:vAlign w:val="bottom"/>
            <w:tcBorders>
              <w:bottom w:val="single" w:sz="8" w:color="CCEEFF"/>
            </w:tcBorders>
          </w:tcPr>
          <w:p>
            <w:pPr>
              <w:spacing w:after="0"/>
              <w:rPr>
                <w:sz w:val="10"/>
                <w:szCs w:val="10"/>
                <w:color w:val="auto"/>
              </w:rPr>
            </w:pPr>
          </w:p>
        </w:tc>
        <w:tc>
          <w:tcPr>
            <w:tcW w:w="30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506</w:t>
            </w:r>
          </w:p>
        </w:tc>
        <w:tc>
          <w:tcPr>
            <w:tcW w:w="100" w:type="dxa"/>
            <w:vAlign w:val="bottom"/>
            <w:tcBorders>
              <w:bottom w:val="single" w:sz="8" w:color="CCEEFF"/>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0"/>
                <w:szCs w:val="10"/>
                <w:color w:val="auto"/>
              </w:rPr>
              <w:t>460</w:t>
            </w:r>
          </w:p>
        </w:tc>
        <w:tc>
          <w:tcPr>
            <w:tcW w:w="80" w:type="dxa"/>
            <w:vAlign w:val="bottom"/>
            <w:tcBorders>
              <w:bottom w:val="single" w:sz="8" w:color="CCEEFF"/>
            </w:tcBorders>
          </w:tcPr>
          <w:p>
            <w:pPr>
              <w:spacing w:after="0"/>
              <w:rPr>
                <w:sz w:val="10"/>
                <w:szCs w:val="10"/>
                <w:color w:val="auto"/>
              </w:rPr>
            </w:pPr>
          </w:p>
        </w:tc>
        <w:tc>
          <w:tcPr>
            <w:tcW w:w="20" w:type="dxa"/>
            <w:vAlign w:val="bottom"/>
            <w:tcBorders>
              <w:bottom w:val="single" w:sz="8" w:color="CCEEFF"/>
            </w:tcBorders>
          </w:tcPr>
          <w:p>
            <w:pPr>
              <w:spacing w:after="0"/>
              <w:rPr>
                <w:sz w:val="10"/>
                <w:szCs w:val="10"/>
                <w:color w:val="auto"/>
              </w:rPr>
            </w:pPr>
          </w:p>
        </w:tc>
        <w:tc>
          <w:tcPr>
            <w:tcW w:w="1060" w:type="dxa"/>
            <w:vAlign w:val="bottom"/>
            <w:tcBorders>
              <w:bottom w:val="single" w:sz="8" w:color="CCEEFF"/>
            </w:tcBorders>
            <w:gridSpan w:val="2"/>
          </w:tcPr>
          <w:p>
            <w:pPr>
              <w:jc w:val="right"/>
              <w:spacing w:after="0" w:line="107" w:lineRule="exact"/>
              <w:rPr>
                <w:sz w:val="20"/>
                <w:szCs w:val="20"/>
                <w:color w:val="auto"/>
              </w:rPr>
            </w:pPr>
            <w:r>
              <w:rPr>
                <w:rFonts w:ascii="Times New Roman" w:cs="Times New Roman" w:eastAsia="Times New Roman" w:hAnsi="Times New Roman"/>
                <w:sz w:val="10"/>
                <w:szCs w:val="10"/>
                <w:color w:val="auto"/>
              </w:rPr>
              <w:t>10.0 %</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00" w:type="dxa"/>
            <w:vAlign w:val="bottom"/>
            <w:shd w:val="clear" w:color="auto" w:fill="CCEEFF"/>
          </w:tcPr>
          <w:p>
            <w:pPr>
              <w:ind w:left="20"/>
              <w:spacing w:after="0" w:line="112" w:lineRule="exact"/>
              <w:rPr>
                <w:sz w:val="20"/>
                <w:szCs w:val="20"/>
                <w:color w:val="auto"/>
              </w:rPr>
            </w:pPr>
            <w:r>
              <w:rPr>
                <w:rFonts w:ascii="Times New Roman" w:cs="Times New Roman" w:eastAsia="Times New Roman" w:hAnsi="Times New Roman"/>
                <w:sz w:val="10"/>
                <w:szCs w:val="10"/>
                <w:b w:val="1"/>
                <w:bCs w:val="1"/>
                <w:color w:val="auto"/>
              </w:rPr>
              <w:t>Natural Gas (in mmcfs)</w:t>
            </w: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700" w:type="dxa"/>
            <w:vAlign w:val="bottom"/>
          </w:tcPr>
          <w:p>
            <w:pPr>
              <w:ind w:left="20"/>
              <w:spacing w:after="0" w:line="135" w:lineRule="exact"/>
              <w:rPr>
                <w:sz w:val="20"/>
                <w:szCs w:val="20"/>
                <w:color w:val="auto"/>
              </w:rPr>
            </w:pPr>
            <w:r>
              <w:rPr>
                <w:rFonts w:ascii="Times New Roman" w:cs="Times New Roman" w:eastAsia="Times New Roman" w:hAnsi="Times New Roman"/>
                <w:sz w:val="10"/>
                <w:szCs w:val="10"/>
                <w:b w:val="1"/>
                <w:bCs w:val="1"/>
                <w:color w:val="auto"/>
              </w:rPr>
              <w:t>Natural Gas Deliveries and Revenues</w:t>
            </w:r>
            <w:r>
              <w:rPr>
                <w:rFonts w:ascii="Times New Roman" w:cs="Times New Roman" w:eastAsia="Times New Roman" w:hAnsi="Times New Roman"/>
                <w:sz w:val="12"/>
                <w:szCs w:val="12"/>
                <w:b w:val="1"/>
                <w:bCs w:val="1"/>
                <w:color w:val="auto"/>
                <w:vertAlign w:val="superscript"/>
              </w:rPr>
              <w:t>(e)</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0"/>
                <w:szCs w:val="10"/>
                <w:color w:val="auto"/>
              </w:rPr>
              <w:t>Residential</w:t>
            </w:r>
          </w:p>
        </w:tc>
        <w:tc>
          <w:tcPr>
            <w:tcW w:w="9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4,678</w:t>
            </w:r>
          </w:p>
        </w:tc>
        <w:tc>
          <w:tcPr>
            <w:tcW w:w="80" w:type="dxa"/>
            <w:vAlign w:val="bottom"/>
            <w:shd w:val="clear" w:color="auto" w:fill="CCEEFF"/>
          </w:tcPr>
          <w:p>
            <w:pPr>
              <w:spacing w:after="0"/>
              <w:rPr>
                <w:sz w:val="11"/>
                <w:szCs w:val="11"/>
                <w:color w:val="auto"/>
              </w:rPr>
            </w:pPr>
          </w:p>
        </w:tc>
        <w:tc>
          <w:tcPr>
            <w:tcW w:w="96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4,590</w:t>
            </w: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1.9 %</w:t>
            </w: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94"/>
              </w:rPr>
              <w:t>(2.3)%</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74</w:t>
            </w: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56</w:t>
            </w: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32.1 %</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700" w:type="dxa"/>
            <w:vAlign w:val="bottom"/>
          </w:tcPr>
          <w:p>
            <w:pPr>
              <w:ind w:left="240"/>
              <w:spacing w:after="0"/>
              <w:rPr>
                <w:sz w:val="20"/>
                <w:szCs w:val="20"/>
                <w:color w:val="auto"/>
              </w:rPr>
            </w:pPr>
            <w:r>
              <w:rPr>
                <w:rFonts w:ascii="Times New Roman" w:cs="Times New Roman" w:eastAsia="Times New Roman" w:hAnsi="Times New Roman"/>
                <w:sz w:val="10"/>
                <w:szCs w:val="10"/>
                <w:color w:val="auto"/>
              </w:rPr>
              <w:t>Small commercial &amp; industrial</w:t>
            </w: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0"/>
                <w:szCs w:val="10"/>
                <w:color w:val="auto"/>
              </w:rPr>
              <w:t>2,128</w:t>
            </w:r>
          </w:p>
        </w:tc>
        <w:tc>
          <w:tcPr>
            <w:tcW w:w="80" w:type="dxa"/>
            <w:vAlign w:val="bottom"/>
          </w:tcPr>
          <w:p>
            <w:pPr>
              <w:spacing w:after="0"/>
              <w:rPr>
                <w:sz w:val="11"/>
                <w:szCs w:val="11"/>
                <w:color w:val="auto"/>
              </w:rPr>
            </w:pPr>
          </w:p>
        </w:tc>
        <w:tc>
          <w:tcPr>
            <w:tcW w:w="960" w:type="dxa"/>
            <w:vAlign w:val="bottom"/>
            <w:gridSpan w:val="5"/>
          </w:tcPr>
          <w:p>
            <w:pPr>
              <w:jc w:val="right"/>
              <w:spacing w:after="0"/>
              <w:rPr>
                <w:sz w:val="20"/>
                <w:szCs w:val="20"/>
                <w:color w:val="auto"/>
              </w:rPr>
            </w:pPr>
            <w:r>
              <w:rPr>
                <w:rFonts w:ascii="Times New Roman" w:cs="Times New Roman" w:eastAsia="Times New Roman" w:hAnsi="Times New Roman"/>
                <w:sz w:val="10"/>
                <w:szCs w:val="10"/>
                <w:color w:val="auto"/>
              </w:rPr>
              <w:t>1,970</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0"/>
                <w:szCs w:val="10"/>
                <w:color w:val="auto"/>
              </w:rPr>
              <w:t>8.0 %</w:t>
            </w: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3.0 %</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29</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0"/>
                <w:szCs w:val="10"/>
                <w:color w:val="auto"/>
              </w:rPr>
              <w:t>21</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38.1 %</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3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0"/>
                <w:szCs w:val="10"/>
                <w:color w:val="auto"/>
              </w:rPr>
              <w:t>Large commercial &amp; industrial</w:t>
            </w:r>
          </w:p>
        </w:tc>
        <w:tc>
          <w:tcPr>
            <w:tcW w:w="9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429</w:t>
            </w:r>
          </w:p>
        </w:tc>
        <w:tc>
          <w:tcPr>
            <w:tcW w:w="80" w:type="dxa"/>
            <w:vAlign w:val="bottom"/>
            <w:shd w:val="clear" w:color="auto" w:fill="CCEEFF"/>
          </w:tcPr>
          <w:p>
            <w:pPr>
              <w:spacing w:after="0"/>
              <w:rPr>
                <w:sz w:val="12"/>
                <w:szCs w:val="12"/>
                <w:color w:val="auto"/>
              </w:rPr>
            </w:pPr>
          </w:p>
        </w:tc>
        <w:tc>
          <w:tcPr>
            <w:tcW w:w="96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428</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0.2 %</w:t>
            </w: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0.2 %</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w:t>
            </w: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33.3 %</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3700" w:type="dxa"/>
            <w:vAlign w:val="bottom"/>
          </w:tcPr>
          <w:p>
            <w:pPr>
              <w:ind w:left="240"/>
              <w:spacing w:after="0"/>
              <w:rPr>
                <w:sz w:val="20"/>
                <w:szCs w:val="20"/>
                <w:color w:val="auto"/>
              </w:rPr>
            </w:pPr>
            <w:r>
              <w:rPr>
                <w:rFonts w:ascii="Times New Roman" w:cs="Times New Roman" w:eastAsia="Times New Roman" w:hAnsi="Times New Roman"/>
                <w:sz w:val="10"/>
                <w:szCs w:val="10"/>
                <w:color w:val="auto"/>
              </w:rPr>
              <w:t>Transportation</w:t>
            </w: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0"/>
                <w:szCs w:val="10"/>
                <w:color w:val="auto"/>
              </w:rPr>
              <w:t>2,027</w:t>
            </w:r>
          </w:p>
        </w:tc>
        <w:tc>
          <w:tcPr>
            <w:tcW w:w="80" w:type="dxa"/>
            <w:vAlign w:val="bottom"/>
          </w:tcPr>
          <w:p>
            <w:pPr>
              <w:spacing w:after="0"/>
              <w:rPr>
                <w:sz w:val="11"/>
                <w:szCs w:val="11"/>
                <w:color w:val="auto"/>
              </w:rPr>
            </w:pPr>
          </w:p>
        </w:tc>
        <w:tc>
          <w:tcPr>
            <w:tcW w:w="960" w:type="dxa"/>
            <w:vAlign w:val="bottom"/>
            <w:gridSpan w:val="5"/>
          </w:tcPr>
          <w:p>
            <w:pPr>
              <w:jc w:val="right"/>
              <w:spacing w:after="0"/>
              <w:rPr>
                <w:sz w:val="20"/>
                <w:szCs w:val="20"/>
                <w:color w:val="auto"/>
              </w:rPr>
            </w:pPr>
            <w:r>
              <w:rPr>
                <w:rFonts w:ascii="Times New Roman" w:cs="Times New Roman" w:eastAsia="Times New Roman" w:hAnsi="Times New Roman"/>
                <w:sz w:val="10"/>
                <w:szCs w:val="10"/>
                <w:color w:val="auto"/>
              </w:rPr>
              <w:t>2,106</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0"/>
                <w:szCs w:val="10"/>
                <w:color w:val="auto"/>
              </w:rPr>
              <w:t>(3.8)%</w:t>
            </w: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94"/>
              </w:rPr>
              <w:t>(6.1)%</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0"/>
                <w:szCs w:val="10"/>
                <w:color w:val="auto"/>
              </w:rPr>
              <w:t>5</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 %</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3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0"/>
                <w:szCs w:val="10"/>
                <w:color w:val="auto"/>
              </w:rPr>
              <w:t>Other</w:t>
            </w:r>
            <w:r>
              <w:rPr>
                <w:rFonts w:ascii="Times New Roman" w:cs="Times New Roman" w:eastAsia="Times New Roman" w:hAnsi="Times New Roman"/>
                <w:sz w:val="12"/>
                <w:szCs w:val="12"/>
                <w:color w:val="auto"/>
                <w:vertAlign w:val="superscript"/>
              </w:rPr>
              <w:t>(f)</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0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0"/>
                <w:szCs w:val="10"/>
                <w:color w:val="auto"/>
              </w:rPr>
              <w:t>n/a</w:t>
            </w:r>
          </w:p>
        </w:tc>
        <w:tc>
          <w:tcPr>
            <w:tcW w:w="760" w:type="dxa"/>
            <w:vAlign w:val="bottom"/>
            <w:shd w:val="clear" w:color="auto" w:fill="CCEEFF"/>
          </w:tcPr>
          <w:p>
            <w:pPr>
              <w:spacing w:after="0"/>
              <w:rPr>
                <w:sz w:val="12"/>
                <w:szCs w:val="12"/>
                <w:color w:val="auto"/>
              </w:rPr>
            </w:pPr>
          </w:p>
        </w:tc>
        <w:tc>
          <w:tcPr>
            <w:tcW w:w="540" w:type="dxa"/>
            <w:vAlign w:val="bottom"/>
            <w:gridSpan w:val="4"/>
            <w:shd w:val="clear" w:color="auto" w:fill="CCEEFF"/>
          </w:tcPr>
          <w:p>
            <w:pPr>
              <w:ind w:left="160"/>
              <w:spacing w:after="0"/>
              <w:rPr>
                <w:sz w:val="20"/>
                <w:szCs w:val="20"/>
                <w:color w:val="auto"/>
              </w:rPr>
            </w:pPr>
            <w:r>
              <w:rPr>
                <w:rFonts w:ascii="Times New Roman" w:cs="Times New Roman" w:eastAsia="Times New Roman" w:hAnsi="Times New Roman"/>
                <w:sz w:val="10"/>
                <w:szCs w:val="10"/>
                <w:color w:val="auto"/>
              </w:rPr>
              <w:t>n/a</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w:t>
            </w: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33.3 %</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3700" w:type="dxa"/>
            <w:vAlign w:val="bottom"/>
            <w:tcBorders>
              <w:bottom w:val="single" w:sz="8" w:color="CCEEFF"/>
            </w:tcBorders>
          </w:tcPr>
          <w:p>
            <w:pPr>
              <w:ind w:left="460"/>
              <w:spacing w:after="0" w:line="107" w:lineRule="exact"/>
              <w:rPr>
                <w:sz w:val="20"/>
                <w:szCs w:val="20"/>
                <w:color w:val="auto"/>
              </w:rPr>
            </w:pPr>
            <w:r>
              <w:rPr>
                <w:rFonts w:ascii="Times New Roman" w:cs="Times New Roman" w:eastAsia="Times New Roman" w:hAnsi="Times New Roman"/>
                <w:sz w:val="10"/>
                <w:szCs w:val="10"/>
                <w:color w:val="auto"/>
              </w:rPr>
              <w:t>Total natural gas revenues</w:t>
            </w:r>
          </w:p>
        </w:tc>
        <w:tc>
          <w:tcPr>
            <w:tcW w:w="98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0"/>
                <w:szCs w:val="10"/>
                <w:color w:val="auto"/>
              </w:rPr>
              <w:t>9,262</w:t>
            </w:r>
          </w:p>
        </w:tc>
        <w:tc>
          <w:tcPr>
            <w:tcW w:w="80" w:type="dxa"/>
            <w:vAlign w:val="bottom"/>
            <w:tcBorders>
              <w:bottom w:val="single" w:sz="8" w:color="CCEEFF"/>
            </w:tcBorders>
          </w:tcPr>
          <w:p>
            <w:pPr>
              <w:spacing w:after="0"/>
              <w:rPr>
                <w:sz w:val="10"/>
                <w:szCs w:val="10"/>
                <w:color w:val="auto"/>
              </w:rPr>
            </w:pPr>
          </w:p>
        </w:tc>
        <w:tc>
          <w:tcPr>
            <w:tcW w:w="960" w:type="dxa"/>
            <w:vAlign w:val="bottom"/>
            <w:tcBorders>
              <w:top w:val="single" w:sz="8" w:color="auto"/>
              <w:bottom w:val="single" w:sz="8" w:color="auto"/>
            </w:tcBorders>
            <w:gridSpan w:val="5"/>
          </w:tcPr>
          <w:p>
            <w:pPr>
              <w:jc w:val="right"/>
              <w:spacing w:after="0"/>
              <w:rPr>
                <w:sz w:val="20"/>
                <w:szCs w:val="20"/>
                <w:color w:val="auto"/>
              </w:rPr>
            </w:pPr>
            <w:r>
              <w:rPr>
                <w:rFonts w:ascii="Times New Roman" w:cs="Times New Roman" w:eastAsia="Times New Roman" w:hAnsi="Times New Roman"/>
                <w:sz w:val="10"/>
                <w:szCs w:val="10"/>
                <w:color w:val="auto"/>
              </w:rPr>
              <w:t>9,094</w:t>
            </w:r>
          </w:p>
        </w:tc>
        <w:tc>
          <w:tcPr>
            <w:tcW w:w="100" w:type="dxa"/>
            <w:vAlign w:val="bottom"/>
            <w:tcBorders>
              <w:bottom w:val="single" w:sz="8" w:color="CCEEFF"/>
            </w:tcBorders>
          </w:tcPr>
          <w:p>
            <w:pPr>
              <w:spacing w:after="0"/>
              <w:rPr>
                <w:sz w:val="10"/>
                <w:szCs w:val="10"/>
                <w:color w:val="auto"/>
              </w:rPr>
            </w:pPr>
          </w:p>
        </w:tc>
        <w:tc>
          <w:tcPr>
            <w:tcW w:w="20" w:type="dxa"/>
            <w:vAlign w:val="bottom"/>
            <w:tcBorders>
              <w:bottom w:val="single" w:sz="8" w:color="CCEEFF"/>
            </w:tcBorders>
          </w:tcPr>
          <w:p>
            <w:pPr>
              <w:spacing w:after="0"/>
              <w:rPr>
                <w:sz w:val="10"/>
                <w:szCs w:val="10"/>
                <w:color w:val="auto"/>
              </w:rPr>
            </w:pPr>
          </w:p>
        </w:tc>
        <w:tc>
          <w:tcPr>
            <w:tcW w:w="40" w:type="dxa"/>
            <w:vAlign w:val="bottom"/>
            <w:tcBorders>
              <w:bottom w:val="single" w:sz="8" w:color="CCEEFF"/>
            </w:tcBorders>
          </w:tcPr>
          <w:p>
            <w:pPr>
              <w:spacing w:after="0"/>
              <w:rPr>
                <w:sz w:val="10"/>
                <w:szCs w:val="10"/>
                <w:color w:val="auto"/>
              </w:rPr>
            </w:pPr>
          </w:p>
        </w:tc>
        <w:tc>
          <w:tcPr>
            <w:tcW w:w="200" w:type="dxa"/>
            <w:vAlign w:val="bottom"/>
            <w:tcBorders>
              <w:bottom w:val="single" w:sz="8" w:color="CCEEFF"/>
            </w:tcBorders>
          </w:tcPr>
          <w:p>
            <w:pPr>
              <w:spacing w:after="0"/>
              <w:rPr>
                <w:sz w:val="10"/>
                <w:szCs w:val="10"/>
                <w:color w:val="auto"/>
              </w:rPr>
            </w:pPr>
          </w:p>
        </w:tc>
        <w:tc>
          <w:tcPr>
            <w:tcW w:w="780" w:type="dxa"/>
            <w:vAlign w:val="bottom"/>
            <w:tcBorders>
              <w:bottom w:val="single" w:sz="8" w:color="CCEEFF"/>
            </w:tcBorders>
            <w:gridSpan w:val="3"/>
          </w:tcPr>
          <w:p>
            <w:pPr>
              <w:jc w:val="right"/>
              <w:spacing w:after="0" w:line="107" w:lineRule="exact"/>
              <w:rPr>
                <w:sz w:val="20"/>
                <w:szCs w:val="20"/>
                <w:color w:val="auto"/>
              </w:rPr>
            </w:pPr>
            <w:r>
              <w:rPr>
                <w:rFonts w:ascii="Times New Roman" w:cs="Times New Roman" w:eastAsia="Times New Roman" w:hAnsi="Times New Roman"/>
                <w:sz w:val="10"/>
                <w:szCs w:val="10"/>
                <w:color w:val="auto"/>
              </w:rPr>
              <w:t>1.8 %</w:t>
            </w:r>
          </w:p>
        </w:tc>
        <w:tc>
          <w:tcPr>
            <w:tcW w:w="100" w:type="dxa"/>
            <w:vAlign w:val="bottom"/>
            <w:tcBorders>
              <w:bottom w:val="single" w:sz="8" w:color="CCEEFF"/>
            </w:tcBorders>
          </w:tcPr>
          <w:p>
            <w:pPr>
              <w:spacing w:after="0"/>
              <w:rPr>
                <w:sz w:val="10"/>
                <w:szCs w:val="10"/>
                <w:color w:val="auto"/>
              </w:rPr>
            </w:pPr>
          </w:p>
        </w:tc>
        <w:tc>
          <w:tcPr>
            <w:tcW w:w="760" w:type="dxa"/>
            <w:vAlign w:val="bottom"/>
            <w:tcBorders>
              <w:bottom w:val="single" w:sz="8" w:color="CCEEFF"/>
            </w:tcBorders>
          </w:tcPr>
          <w:p>
            <w:pPr>
              <w:spacing w:after="0"/>
              <w:rPr>
                <w:sz w:val="10"/>
                <w:szCs w:val="10"/>
                <w:color w:val="auto"/>
              </w:rPr>
            </w:pPr>
          </w:p>
        </w:tc>
        <w:tc>
          <w:tcPr>
            <w:tcW w:w="300" w:type="dxa"/>
            <w:vAlign w:val="bottom"/>
            <w:tcBorders>
              <w:bottom w:val="single" w:sz="8" w:color="CCEEFF"/>
            </w:tcBorders>
          </w:tcPr>
          <w:p>
            <w:pPr>
              <w:jc w:val="right"/>
              <w:spacing w:after="0" w:line="107" w:lineRule="exact"/>
              <w:rPr>
                <w:sz w:val="20"/>
                <w:szCs w:val="20"/>
                <w:color w:val="auto"/>
              </w:rPr>
            </w:pPr>
            <w:r>
              <w:rPr>
                <w:rFonts w:ascii="Times New Roman" w:cs="Times New Roman" w:eastAsia="Times New Roman" w:hAnsi="Times New Roman"/>
                <w:sz w:val="10"/>
                <w:szCs w:val="10"/>
                <w:color w:val="auto"/>
                <w:w w:val="94"/>
              </w:rPr>
              <w:t>(1.9)%</w:t>
            </w:r>
          </w:p>
        </w:tc>
        <w:tc>
          <w:tcPr>
            <w:tcW w:w="80" w:type="dxa"/>
            <w:vAlign w:val="bottom"/>
            <w:tcBorders>
              <w:bottom w:val="single" w:sz="8" w:color="CCEEFF"/>
            </w:tcBorders>
          </w:tcPr>
          <w:p>
            <w:pPr>
              <w:spacing w:after="0"/>
              <w:rPr>
                <w:sz w:val="10"/>
                <w:szCs w:val="10"/>
                <w:color w:val="auto"/>
              </w:rPr>
            </w:pPr>
          </w:p>
        </w:tc>
        <w:tc>
          <w:tcPr>
            <w:tcW w:w="60" w:type="dxa"/>
            <w:vAlign w:val="bottom"/>
            <w:tcBorders>
              <w:top w:val="single" w:sz="8" w:color="auto"/>
              <w:bottom w:val="single" w:sz="8" w:color="auto"/>
            </w:tcBorders>
          </w:tcPr>
          <w:p>
            <w:pPr>
              <w:spacing w:after="0"/>
              <w:rPr>
                <w:sz w:val="10"/>
                <w:szCs w:val="10"/>
                <w:color w:val="auto"/>
              </w:rPr>
            </w:pPr>
          </w:p>
        </w:tc>
        <w:tc>
          <w:tcPr>
            <w:tcW w:w="100" w:type="dxa"/>
            <w:vAlign w:val="bottom"/>
            <w:tcBorders>
              <w:top w:val="single" w:sz="8" w:color="auto"/>
              <w:bottom w:val="single" w:sz="8" w:color="auto"/>
            </w:tcBorders>
          </w:tcPr>
          <w:p>
            <w:pPr>
              <w:spacing w:after="0"/>
              <w:rPr>
                <w:sz w:val="10"/>
                <w:szCs w:val="1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116</w:t>
            </w:r>
          </w:p>
        </w:tc>
        <w:tc>
          <w:tcPr>
            <w:tcW w:w="100" w:type="dxa"/>
            <w:vAlign w:val="bottom"/>
            <w:tcBorders>
              <w:bottom w:val="single" w:sz="8" w:color="CCEEFF"/>
            </w:tcBorders>
          </w:tcPr>
          <w:p>
            <w:pPr>
              <w:spacing w:after="0"/>
              <w:rPr>
                <w:sz w:val="10"/>
                <w:szCs w:val="10"/>
                <w:color w:val="auto"/>
              </w:rPr>
            </w:pPr>
          </w:p>
        </w:tc>
        <w:tc>
          <w:tcPr>
            <w:tcW w:w="40" w:type="dxa"/>
            <w:vAlign w:val="bottom"/>
            <w:tcBorders>
              <w:top w:val="single" w:sz="8" w:color="auto"/>
              <w:bottom w:val="single" w:sz="8" w:color="auto"/>
            </w:tcBorders>
          </w:tcPr>
          <w:p>
            <w:pPr>
              <w:spacing w:after="0"/>
              <w:rPr>
                <w:sz w:val="10"/>
                <w:szCs w:val="10"/>
                <w:color w:val="auto"/>
              </w:rPr>
            </w:pPr>
          </w:p>
        </w:tc>
        <w:tc>
          <w:tcPr>
            <w:tcW w:w="40" w:type="dxa"/>
            <w:vAlign w:val="bottom"/>
            <w:tcBorders>
              <w:top w:val="single" w:sz="8" w:color="auto"/>
              <w:bottom w:val="single" w:sz="8" w:color="auto"/>
            </w:tcBorders>
          </w:tcPr>
          <w:p>
            <w:pPr>
              <w:spacing w:after="0"/>
              <w:rPr>
                <w:sz w:val="10"/>
                <w:szCs w:val="10"/>
                <w:color w:val="auto"/>
              </w:rPr>
            </w:pPr>
          </w:p>
        </w:tc>
        <w:tc>
          <w:tcPr>
            <w:tcW w:w="88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0"/>
                <w:szCs w:val="10"/>
                <w:color w:val="auto"/>
              </w:rPr>
              <w:t>88</w:t>
            </w:r>
          </w:p>
        </w:tc>
        <w:tc>
          <w:tcPr>
            <w:tcW w:w="80" w:type="dxa"/>
            <w:vAlign w:val="bottom"/>
            <w:tcBorders>
              <w:bottom w:val="single" w:sz="8" w:color="CCEEFF"/>
            </w:tcBorders>
          </w:tcPr>
          <w:p>
            <w:pPr>
              <w:spacing w:after="0"/>
              <w:rPr>
                <w:sz w:val="10"/>
                <w:szCs w:val="10"/>
                <w:color w:val="auto"/>
              </w:rPr>
            </w:pPr>
          </w:p>
        </w:tc>
        <w:tc>
          <w:tcPr>
            <w:tcW w:w="20" w:type="dxa"/>
            <w:vAlign w:val="bottom"/>
            <w:tcBorders>
              <w:bottom w:val="single" w:sz="8" w:color="CCEEFF"/>
            </w:tcBorders>
          </w:tcPr>
          <w:p>
            <w:pPr>
              <w:spacing w:after="0"/>
              <w:rPr>
                <w:sz w:val="10"/>
                <w:szCs w:val="10"/>
                <w:color w:val="auto"/>
              </w:rPr>
            </w:pPr>
          </w:p>
        </w:tc>
        <w:tc>
          <w:tcPr>
            <w:tcW w:w="1060" w:type="dxa"/>
            <w:vAlign w:val="bottom"/>
            <w:tcBorders>
              <w:bottom w:val="single" w:sz="8" w:color="CCEEFF"/>
            </w:tcBorders>
            <w:gridSpan w:val="2"/>
          </w:tcPr>
          <w:p>
            <w:pPr>
              <w:jc w:val="right"/>
              <w:spacing w:after="0" w:line="107" w:lineRule="exact"/>
              <w:rPr>
                <w:sz w:val="20"/>
                <w:szCs w:val="20"/>
                <w:color w:val="auto"/>
              </w:rPr>
            </w:pPr>
            <w:r>
              <w:rPr>
                <w:rFonts w:ascii="Times New Roman" w:cs="Times New Roman" w:eastAsia="Times New Roman" w:hAnsi="Times New Roman"/>
                <w:sz w:val="10"/>
                <w:szCs w:val="10"/>
                <w:color w:val="auto"/>
              </w:rPr>
              <w:t>31.8 %</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3700" w:type="dxa"/>
            <w:vAlign w:val="bottom"/>
            <w:shd w:val="clear" w:color="auto" w:fill="CCEEFF"/>
          </w:tcPr>
          <w:p>
            <w:pPr>
              <w:ind w:left="20"/>
              <w:spacing w:after="0" w:line="130" w:lineRule="exact"/>
              <w:rPr>
                <w:sz w:val="20"/>
                <w:szCs w:val="20"/>
                <w:color w:val="auto"/>
              </w:rPr>
            </w:pPr>
            <w:r>
              <w:rPr>
                <w:rFonts w:ascii="Times New Roman" w:cs="Times New Roman" w:eastAsia="Times New Roman" w:hAnsi="Times New Roman"/>
                <w:sz w:val="10"/>
                <w:szCs w:val="10"/>
                <w:b w:val="1"/>
                <w:bCs w:val="1"/>
                <w:color w:val="auto"/>
              </w:rPr>
              <w:t>Other Revenues</w:t>
            </w:r>
            <w:r>
              <w:rPr>
                <w:rFonts w:ascii="Times New Roman" w:cs="Times New Roman" w:eastAsia="Times New Roman" w:hAnsi="Times New Roman"/>
                <w:sz w:val="12"/>
                <w:szCs w:val="12"/>
                <w:b w:val="1"/>
                <w:bCs w:val="1"/>
                <w:color w:val="auto"/>
                <w:vertAlign w:val="superscript"/>
              </w:rPr>
              <w:t>(d)</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1"/>
                <w:szCs w:val="11"/>
                <w:color w:val="auto"/>
              </w:rPr>
            </w:pPr>
          </w:p>
        </w:tc>
        <w:tc>
          <w:tcPr>
            <w:tcW w:w="40" w:type="dxa"/>
            <w:vAlign w:val="bottom"/>
            <w:tcBorders>
              <w:bottom w:val="single" w:sz="8" w:color="auto"/>
            </w:tcBorders>
            <w:shd w:val="clear" w:color="auto" w:fill="CCEEFF"/>
          </w:tcPr>
          <w:p>
            <w:pPr>
              <w:spacing w:after="0"/>
              <w:rPr>
                <w:sz w:val="11"/>
                <w:szCs w:val="11"/>
                <w:color w:val="auto"/>
              </w:rPr>
            </w:pPr>
          </w:p>
        </w:tc>
        <w:tc>
          <w:tcPr>
            <w:tcW w:w="40" w:type="dxa"/>
            <w:vAlign w:val="bottom"/>
            <w:tcBorders>
              <w:bottom w:val="single" w:sz="8" w:color="auto"/>
            </w:tcBorders>
            <w:shd w:val="clear" w:color="auto" w:fill="CCEEFF"/>
          </w:tcPr>
          <w:p>
            <w:pPr>
              <w:spacing w:after="0"/>
              <w:rPr>
                <w:sz w:val="11"/>
                <w:szCs w:val="11"/>
                <w:color w:val="auto"/>
              </w:rPr>
            </w:pPr>
          </w:p>
        </w:tc>
        <w:tc>
          <w:tcPr>
            <w:tcW w:w="500" w:type="dxa"/>
            <w:vAlign w:val="bottom"/>
            <w:tcBorders>
              <w:bottom w:val="single" w:sz="8" w:color="auto"/>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0" w:type="dxa"/>
            <w:vAlign w:val="bottom"/>
            <w:shd w:val="clear" w:color="auto" w:fill="CCEEFF"/>
          </w:tcPr>
          <w:p>
            <w:pPr>
              <w:jc w:val="right"/>
              <w:spacing w:after="0" w:line="113" w:lineRule="exact"/>
              <w:rPr>
                <w:sz w:val="20"/>
                <w:szCs w:val="20"/>
                <w:color w:val="auto"/>
              </w:rPr>
            </w:pPr>
            <w:r>
              <w:rPr>
                <w:rFonts w:ascii="Times New Roman" w:cs="Times New Roman" w:eastAsia="Times New Roman" w:hAnsi="Times New Roman"/>
                <w:sz w:val="10"/>
                <w:szCs w:val="10"/>
                <w:color w:val="auto"/>
              </w:rPr>
              <w:t>n/a</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3700" w:type="dxa"/>
            <w:vAlign w:val="bottom"/>
            <w:tcBorders>
              <w:bottom w:val="single" w:sz="8" w:color="CCEEFF"/>
            </w:tcBorders>
          </w:tcPr>
          <w:p>
            <w:pPr>
              <w:ind w:left="460"/>
              <w:spacing w:after="0" w:line="107" w:lineRule="exact"/>
              <w:rPr>
                <w:sz w:val="20"/>
                <w:szCs w:val="20"/>
                <w:color w:val="auto"/>
              </w:rPr>
            </w:pPr>
            <w:r>
              <w:rPr>
                <w:rFonts w:ascii="Times New Roman" w:cs="Times New Roman" w:eastAsia="Times New Roman" w:hAnsi="Times New Roman"/>
                <w:sz w:val="10"/>
                <w:szCs w:val="10"/>
                <w:color w:val="auto"/>
              </w:rPr>
              <w:t>Total natural gas revenues</w:t>
            </w:r>
          </w:p>
        </w:tc>
        <w:tc>
          <w:tcPr>
            <w:tcW w:w="40" w:type="dxa"/>
            <w:vAlign w:val="bottom"/>
            <w:tcBorders>
              <w:bottom w:val="single" w:sz="8" w:color="CCEEFF"/>
            </w:tcBorders>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88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4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28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48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20" w:type="dxa"/>
            <w:vAlign w:val="bottom"/>
            <w:tcBorders>
              <w:bottom w:val="single" w:sz="8" w:color="CCEEFF"/>
            </w:tcBorders>
          </w:tcPr>
          <w:p>
            <w:pPr>
              <w:spacing w:after="0"/>
              <w:rPr>
                <w:sz w:val="10"/>
                <w:szCs w:val="10"/>
                <w:color w:val="auto"/>
              </w:rPr>
            </w:pPr>
          </w:p>
        </w:tc>
        <w:tc>
          <w:tcPr>
            <w:tcW w:w="40" w:type="dxa"/>
            <w:vAlign w:val="bottom"/>
            <w:tcBorders>
              <w:bottom w:val="single" w:sz="8" w:color="CCEEFF"/>
            </w:tcBorders>
          </w:tcPr>
          <w:p>
            <w:pPr>
              <w:spacing w:after="0"/>
              <w:rPr>
                <w:sz w:val="10"/>
                <w:szCs w:val="10"/>
                <w:color w:val="auto"/>
              </w:rPr>
            </w:pPr>
          </w:p>
        </w:tc>
        <w:tc>
          <w:tcPr>
            <w:tcW w:w="200" w:type="dxa"/>
            <w:vAlign w:val="bottom"/>
            <w:tcBorders>
              <w:bottom w:val="single" w:sz="8" w:color="CCEEFF"/>
            </w:tcBorders>
          </w:tcPr>
          <w:p>
            <w:pPr>
              <w:spacing w:after="0"/>
              <w:rPr>
                <w:sz w:val="10"/>
                <w:szCs w:val="10"/>
                <w:color w:val="auto"/>
              </w:rPr>
            </w:pPr>
          </w:p>
        </w:tc>
        <w:tc>
          <w:tcPr>
            <w:tcW w:w="58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760" w:type="dxa"/>
            <w:vAlign w:val="bottom"/>
            <w:tcBorders>
              <w:bottom w:val="single" w:sz="8" w:color="CCEEFF"/>
            </w:tcBorders>
          </w:tcPr>
          <w:p>
            <w:pPr>
              <w:spacing w:after="0"/>
              <w:rPr>
                <w:sz w:val="10"/>
                <w:szCs w:val="10"/>
                <w:color w:val="auto"/>
              </w:rPr>
            </w:pPr>
          </w:p>
        </w:tc>
        <w:tc>
          <w:tcPr>
            <w:tcW w:w="30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116</w:t>
            </w:r>
          </w:p>
        </w:tc>
        <w:tc>
          <w:tcPr>
            <w:tcW w:w="100" w:type="dxa"/>
            <w:vAlign w:val="bottom"/>
            <w:tcBorders>
              <w:bottom w:val="single" w:sz="8" w:color="CCEEFF"/>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0"/>
                <w:szCs w:val="10"/>
                <w:color w:val="auto"/>
              </w:rPr>
              <w:t>88</w:t>
            </w:r>
          </w:p>
        </w:tc>
        <w:tc>
          <w:tcPr>
            <w:tcW w:w="80" w:type="dxa"/>
            <w:vAlign w:val="bottom"/>
            <w:tcBorders>
              <w:bottom w:val="single" w:sz="8" w:color="CCEEFF"/>
            </w:tcBorders>
          </w:tcPr>
          <w:p>
            <w:pPr>
              <w:spacing w:after="0"/>
              <w:rPr>
                <w:sz w:val="10"/>
                <w:szCs w:val="10"/>
                <w:color w:val="auto"/>
              </w:rPr>
            </w:pPr>
          </w:p>
        </w:tc>
        <w:tc>
          <w:tcPr>
            <w:tcW w:w="20" w:type="dxa"/>
            <w:vAlign w:val="bottom"/>
            <w:tcBorders>
              <w:bottom w:val="single" w:sz="8" w:color="CCEEFF"/>
            </w:tcBorders>
          </w:tcPr>
          <w:p>
            <w:pPr>
              <w:spacing w:after="0"/>
              <w:rPr>
                <w:sz w:val="10"/>
                <w:szCs w:val="10"/>
                <w:color w:val="auto"/>
              </w:rPr>
            </w:pPr>
          </w:p>
        </w:tc>
        <w:tc>
          <w:tcPr>
            <w:tcW w:w="1060" w:type="dxa"/>
            <w:vAlign w:val="bottom"/>
            <w:tcBorders>
              <w:bottom w:val="single" w:sz="8" w:color="CCEEFF"/>
            </w:tcBorders>
            <w:gridSpan w:val="2"/>
          </w:tcPr>
          <w:p>
            <w:pPr>
              <w:jc w:val="right"/>
              <w:spacing w:after="0" w:line="107" w:lineRule="exact"/>
              <w:rPr>
                <w:sz w:val="20"/>
                <w:szCs w:val="20"/>
                <w:color w:val="auto"/>
              </w:rPr>
            </w:pPr>
            <w:r>
              <w:rPr>
                <w:rFonts w:ascii="Times New Roman" w:cs="Times New Roman" w:eastAsia="Times New Roman" w:hAnsi="Times New Roman"/>
                <w:sz w:val="10"/>
                <w:szCs w:val="10"/>
                <w:color w:val="auto"/>
              </w:rPr>
              <w:t>31.8 %</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370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0"/>
                <w:szCs w:val="10"/>
                <w:color w:val="auto"/>
              </w:rPr>
              <w:t>Total electric and natural gas revenues</w:t>
            </w:r>
          </w:p>
        </w:tc>
        <w:tc>
          <w:tcPr>
            <w:tcW w:w="4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8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4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spacing w:after="0"/>
              <w:rPr>
                <w:sz w:val="13"/>
                <w:szCs w:val="13"/>
                <w:color w:val="auto"/>
              </w:rPr>
            </w:pPr>
          </w:p>
        </w:tc>
        <w:tc>
          <w:tcPr>
            <w:tcW w:w="3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0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622</w:t>
            </w:r>
          </w:p>
        </w:tc>
        <w:tc>
          <w:tcPr>
            <w:tcW w:w="1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0"/>
                <w:szCs w:val="10"/>
                <w:color w:val="auto"/>
                <w:w w:val="79"/>
              </w:rPr>
              <w:t>$</w:t>
            </w:r>
          </w:p>
        </w:tc>
        <w:tc>
          <w:tcPr>
            <w:tcW w:w="88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548</w:t>
            </w:r>
          </w:p>
        </w:tc>
        <w:tc>
          <w:tcPr>
            <w:tcW w:w="8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13.5 %</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370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Purchased Power and Fuel</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00" w:type="dxa"/>
            <w:vAlign w:val="bottom"/>
            <w:tcBorders>
              <w:top w:val="single" w:sz="8" w:color="auto"/>
              <w:bottom w:val="single" w:sz="8" w:color="auto"/>
            </w:tcBorders>
          </w:tcPr>
          <w:p>
            <w:pPr>
              <w:spacing w:after="0"/>
              <w:rPr>
                <w:sz w:val="10"/>
                <w:szCs w:val="1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289</w:t>
            </w:r>
          </w:p>
        </w:tc>
        <w:tc>
          <w:tcPr>
            <w:tcW w:w="100" w:type="dxa"/>
            <w:vAlign w:val="bottom"/>
          </w:tcPr>
          <w:p>
            <w:pPr>
              <w:spacing w:after="0"/>
              <w:rPr>
                <w:sz w:val="10"/>
                <w:szCs w:val="10"/>
                <w:color w:val="auto"/>
              </w:rPr>
            </w:pPr>
          </w:p>
        </w:tc>
        <w:tc>
          <w:tcPr>
            <w:tcW w:w="8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0"/>
                <w:szCs w:val="10"/>
                <w:color w:val="auto"/>
                <w:w w:val="79"/>
              </w:rPr>
              <w:t>$</w:t>
            </w:r>
          </w:p>
        </w:tc>
        <w:tc>
          <w:tcPr>
            <w:tcW w:w="88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0"/>
                <w:szCs w:val="10"/>
                <w:color w:val="auto"/>
              </w:rPr>
              <w:t>247</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17.0 %</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3"/>
        </w:trPr>
        <w:tc>
          <w:tcPr>
            <w:tcW w:w="370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Electric Service Territory</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gridSpan w:val="5"/>
          </w:tcPr>
          <w:p>
            <w:pPr>
              <w:ind w:left="320"/>
              <w:spacing w:after="0"/>
              <w:rPr>
                <w:sz w:val="20"/>
                <w:szCs w:val="20"/>
                <w:color w:val="auto"/>
              </w:rPr>
            </w:pPr>
            <w:r>
              <w:rPr>
                <w:rFonts w:ascii="Times New Roman" w:cs="Times New Roman" w:eastAsia="Times New Roman" w:hAnsi="Times New Roman"/>
                <w:sz w:val="10"/>
                <w:szCs w:val="10"/>
                <w:b w:val="1"/>
                <w:bCs w:val="1"/>
                <w:color w:val="auto"/>
              </w:rPr>
              <w:t>% Change</w:t>
            </w:r>
          </w:p>
        </w:tc>
        <w:tc>
          <w:tcPr>
            <w:tcW w:w="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370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Heating and Cooling Degree-Days</w:t>
            </w:r>
          </w:p>
        </w:tc>
        <w:tc>
          <w:tcPr>
            <w:tcW w:w="980" w:type="dxa"/>
            <w:vAlign w:val="bottom"/>
            <w:gridSpan w:val="3"/>
          </w:tcPr>
          <w:p>
            <w:pPr>
              <w:jc w:val="right"/>
              <w:ind w:right="92"/>
              <w:spacing w:after="0"/>
              <w:rPr>
                <w:sz w:val="20"/>
                <w:szCs w:val="20"/>
                <w:color w:val="auto"/>
              </w:rPr>
            </w:pPr>
            <w:r>
              <w:rPr>
                <w:rFonts w:ascii="Times New Roman" w:cs="Times New Roman" w:eastAsia="Times New Roman" w:hAnsi="Times New Roman"/>
                <w:sz w:val="10"/>
                <w:szCs w:val="10"/>
                <w:b w:val="1"/>
                <w:bCs w:val="1"/>
                <w:color w:val="auto"/>
              </w:rPr>
              <w:t>2026</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0"/>
                <w:szCs w:val="10"/>
                <w:b w:val="1"/>
                <w:bCs w:val="1"/>
                <w:color w:val="auto"/>
                <w:w w:val="99"/>
              </w:rPr>
              <w:t>2025</w:t>
            </w: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ind w:left="340"/>
              <w:spacing w:after="0"/>
              <w:rPr>
                <w:sz w:val="20"/>
                <w:szCs w:val="20"/>
                <w:color w:val="auto"/>
              </w:rPr>
            </w:pPr>
            <w:r>
              <w:rPr>
                <w:rFonts w:ascii="Times New Roman" w:cs="Times New Roman" w:eastAsia="Times New Roman" w:hAnsi="Times New Roman"/>
                <w:sz w:val="10"/>
                <w:szCs w:val="10"/>
                <w:b w:val="1"/>
                <w:bCs w:val="1"/>
                <w:color w:val="auto"/>
              </w:rPr>
              <w:t>Normal</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4"/>
          </w:tcPr>
          <w:p>
            <w:pPr>
              <w:jc w:val="center"/>
              <w:ind w:left="452"/>
              <w:spacing w:after="0"/>
              <w:rPr>
                <w:sz w:val="20"/>
                <w:szCs w:val="20"/>
                <w:color w:val="auto"/>
              </w:rPr>
            </w:pPr>
            <w:r>
              <w:rPr>
                <w:rFonts w:ascii="Times New Roman" w:cs="Times New Roman" w:eastAsia="Times New Roman" w:hAnsi="Times New Roman"/>
                <w:sz w:val="10"/>
                <w:szCs w:val="10"/>
                <w:b w:val="1"/>
                <w:bCs w:val="1"/>
                <w:color w:val="auto"/>
                <w:w w:val="94"/>
              </w:rPr>
              <w:t>From 2025</w:t>
            </w: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80" w:type="dxa"/>
            <w:vAlign w:val="bottom"/>
            <w:gridSpan w:val="3"/>
          </w:tcPr>
          <w:p>
            <w:pPr>
              <w:jc w:val="right"/>
              <w:ind w:right="460"/>
              <w:spacing w:after="0"/>
              <w:rPr>
                <w:sz w:val="20"/>
                <w:szCs w:val="20"/>
                <w:color w:val="auto"/>
              </w:rPr>
            </w:pPr>
            <w:r>
              <w:rPr>
                <w:rFonts w:ascii="Times New Roman" w:cs="Times New Roman" w:eastAsia="Times New Roman" w:hAnsi="Times New Roman"/>
                <w:sz w:val="10"/>
                <w:szCs w:val="10"/>
                <w:b w:val="1"/>
                <w:bCs w:val="1"/>
                <w:color w:val="auto"/>
              </w:rPr>
              <w:t>From Normal</w:t>
            </w:r>
          </w:p>
        </w:tc>
        <w:tc>
          <w:tcPr>
            <w:tcW w:w="0" w:type="dxa"/>
            <w:vAlign w:val="bottom"/>
          </w:tcPr>
          <w:p>
            <w:pPr>
              <w:spacing w:after="0"/>
              <w:rPr>
                <w:sz w:val="1"/>
                <w:szCs w:val="1"/>
                <w:color w:val="auto"/>
              </w:rPr>
            </w:pPr>
          </w:p>
        </w:tc>
      </w:tr>
      <w:tr>
        <w:trPr>
          <w:trHeight w:val="129"/>
        </w:trPr>
        <w:tc>
          <w:tcPr>
            <w:tcW w:w="3700" w:type="dxa"/>
            <w:vAlign w:val="bottom"/>
            <w:tcBorders>
              <w:top w:val="single" w:sz="8" w:color="CCEEFF"/>
            </w:tcBorders>
            <w:shd w:val="clear" w:color="auto" w:fill="CCEEFF"/>
          </w:tcPr>
          <w:p>
            <w:pPr>
              <w:ind w:left="220"/>
              <w:spacing w:after="0" w:line="112" w:lineRule="exact"/>
              <w:rPr>
                <w:sz w:val="20"/>
                <w:szCs w:val="20"/>
                <w:color w:val="auto"/>
              </w:rPr>
            </w:pPr>
            <w:r>
              <w:rPr>
                <w:rFonts w:ascii="Times New Roman" w:cs="Times New Roman" w:eastAsia="Times New Roman" w:hAnsi="Times New Roman"/>
                <w:sz w:val="10"/>
                <w:szCs w:val="10"/>
                <w:color w:val="auto"/>
              </w:rPr>
              <w:t>Heating Degree-Days</w:t>
            </w:r>
          </w:p>
        </w:tc>
        <w:tc>
          <w:tcPr>
            <w:tcW w:w="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0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2,443</w:t>
            </w:r>
          </w:p>
        </w:tc>
        <w:tc>
          <w:tcPr>
            <w:tcW w:w="8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2,354</w:t>
            </w: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44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2,323</w:t>
            </w:r>
          </w:p>
        </w:tc>
        <w:tc>
          <w:tcPr>
            <w:tcW w:w="100" w:type="dxa"/>
            <w:vAlign w:val="bottom"/>
            <w:tcBorders>
              <w:top w:val="single" w:sz="8" w:color="CCEEFF"/>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auto"/>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3.8 %</w:t>
            </w:r>
          </w:p>
        </w:tc>
        <w:tc>
          <w:tcPr>
            <w:tcW w:w="10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c>
          <w:tcPr>
            <w:tcW w:w="1080" w:type="dxa"/>
            <w:vAlign w:val="bottom"/>
            <w:tcBorders>
              <w:top w:val="single" w:sz="8" w:color="auto"/>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0"/>
                <w:szCs w:val="10"/>
                <w:color w:val="auto"/>
              </w:rPr>
              <w:t>5.2 %</w:t>
            </w:r>
          </w:p>
        </w:tc>
        <w:tc>
          <w:tcPr>
            <w:tcW w:w="0" w:type="dxa"/>
            <w:vAlign w:val="bottom"/>
          </w:tcPr>
          <w:p>
            <w:pPr>
              <w:spacing w:after="0"/>
              <w:rPr>
                <w:sz w:val="1"/>
                <w:szCs w:val="1"/>
                <w:color w:val="auto"/>
              </w:rPr>
            </w:pPr>
          </w:p>
        </w:tc>
      </w:tr>
      <w:tr>
        <w:trPr>
          <w:trHeight w:val="123"/>
        </w:trPr>
        <w:tc>
          <w:tcPr>
            <w:tcW w:w="3700" w:type="dxa"/>
            <w:vAlign w:val="bottom"/>
          </w:tcPr>
          <w:p>
            <w:pPr>
              <w:ind w:left="220"/>
              <w:spacing w:after="0"/>
              <w:rPr>
                <w:sz w:val="20"/>
                <w:szCs w:val="20"/>
                <w:color w:val="auto"/>
              </w:rPr>
            </w:pPr>
            <w:r>
              <w:rPr>
                <w:rFonts w:ascii="Times New Roman" w:cs="Times New Roman" w:eastAsia="Times New Roman" w:hAnsi="Times New Roman"/>
                <w:sz w:val="10"/>
                <w:szCs w:val="10"/>
                <w:color w:val="auto"/>
              </w:rPr>
              <w:t>Cooling Degree-Days</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gridSpan w:val="3"/>
          </w:tcPr>
          <w:p>
            <w:pPr>
              <w:jc w:val="right"/>
              <w:spacing w:after="0"/>
              <w:rPr>
                <w:sz w:val="20"/>
                <w:szCs w:val="20"/>
                <w:color w:val="auto"/>
              </w:rPr>
            </w:pPr>
            <w:r>
              <w:rPr>
                <w:rFonts w:ascii="Times New Roman" w:cs="Times New Roman" w:eastAsia="Times New Roman" w:hAnsi="Times New Roman"/>
                <w:sz w:val="10"/>
                <w:szCs w:val="10"/>
                <w:color w:val="auto"/>
              </w:rPr>
              <w:t>9</w:t>
            </w: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gridSpan w:val="3"/>
          </w:tcPr>
          <w:p>
            <w:pPr>
              <w:jc w:val="right"/>
              <w:spacing w:after="0"/>
              <w:rPr>
                <w:sz w:val="20"/>
                <w:szCs w:val="20"/>
                <w:color w:val="auto"/>
              </w:rPr>
            </w:pPr>
            <w:r>
              <w:rPr>
                <w:rFonts w:ascii="Times New Roman" w:cs="Times New Roman" w:eastAsia="Times New Roman" w:hAnsi="Times New Roman"/>
                <w:sz w:val="10"/>
                <w:szCs w:val="10"/>
                <w:color w:val="auto"/>
              </w:rPr>
              <w:t>2</w:t>
            </w: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(10.0)%</w:t>
            </w: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80" w:type="dxa"/>
            <w:vAlign w:val="bottom"/>
            <w:gridSpan w:val="3"/>
          </w:tcPr>
          <w:p>
            <w:pPr>
              <w:jc w:val="right"/>
              <w:ind w:right="20"/>
              <w:spacing w:after="0"/>
              <w:rPr>
                <w:sz w:val="20"/>
                <w:szCs w:val="20"/>
                <w:color w:val="auto"/>
              </w:rPr>
            </w:pPr>
            <w:r>
              <w:rPr>
                <w:rFonts w:ascii="Times New Roman" w:cs="Times New Roman" w:eastAsia="Times New Roman" w:hAnsi="Times New Roman"/>
                <w:sz w:val="10"/>
                <w:szCs w:val="10"/>
                <w:color w:val="auto"/>
              </w:rPr>
              <w:t>350.0 %</w:t>
            </w:r>
          </w:p>
        </w:tc>
        <w:tc>
          <w:tcPr>
            <w:tcW w:w="0" w:type="dxa"/>
            <w:vAlign w:val="bottom"/>
          </w:tcPr>
          <w:p>
            <w:pPr>
              <w:spacing w:after="0"/>
              <w:rPr>
                <w:sz w:val="1"/>
                <w:szCs w:val="1"/>
                <w:color w:val="auto"/>
              </w:rPr>
            </w:pPr>
          </w:p>
        </w:tc>
      </w:tr>
      <w:tr>
        <w:trPr>
          <w:trHeight w:val="208"/>
        </w:trPr>
        <w:tc>
          <w:tcPr>
            <w:tcW w:w="370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Natural Gas Service Territory</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5"/>
          </w:tcPr>
          <w:p>
            <w:pPr>
              <w:ind w:left="320"/>
              <w:spacing w:after="0"/>
              <w:rPr>
                <w:sz w:val="20"/>
                <w:szCs w:val="20"/>
                <w:color w:val="auto"/>
              </w:rPr>
            </w:pPr>
            <w:r>
              <w:rPr>
                <w:rFonts w:ascii="Times New Roman" w:cs="Times New Roman" w:eastAsia="Times New Roman" w:hAnsi="Times New Roman"/>
                <w:sz w:val="10"/>
                <w:szCs w:val="10"/>
                <w:b w:val="1"/>
                <w:bCs w:val="1"/>
                <w:color w:val="auto"/>
              </w:rPr>
              <w:t>% Change</w:t>
            </w:r>
          </w:p>
        </w:tc>
        <w:tc>
          <w:tcPr>
            <w:tcW w:w="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370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Heating Degree-Days</w:t>
            </w:r>
          </w:p>
        </w:tc>
        <w:tc>
          <w:tcPr>
            <w:tcW w:w="980" w:type="dxa"/>
            <w:vAlign w:val="bottom"/>
            <w:gridSpan w:val="3"/>
          </w:tcPr>
          <w:p>
            <w:pPr>
              <w:jc w:val="right"/>
              <w:ind w:right="92"/>
              <w:spacing w:after="0"/>
              <w:rPr>
                <w:sz w:val="20"/>
                <w:szCs w:val="20"/>
                <w:color w:val="auto"/>
              </w:rPr>
            </w:pPr>
            <w:r>
              <w:rPr>
                <w:rFonts w:ascii="Times New Roman" w:cs="Times New Roman" w:eastAsia="Times New Roman" w:hAnsi="Times New Roman"/>
                <w:sz w:val="10"/>
                <w:szCs w:val="10"/>
                <w:b w:val="1"/>
                <w:bCs w:val="1"/>
                <w:color w:val="auto"/>
              </w:rPr>
              <w:t>2026</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0"/>
                <w:szCs w:val="10"/>
                <w:b w:val="1"/>
                <w:bCs w:val="1"/>
                <w:color w:val="auto"/>
                <w:w w:val="99"/>
              </w:rPr>
              <w:t>2025</w:t>
            </w: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ind w:left="340"/>
              <w:spacing w:after="0"/>
              <w:rPr>
                <w:sz w:val="20"/>
                <w:szCs w:val="20"/>
                <w:color w:val="auto"/>
              </w:rPr>
            </w:pPr>
            <w:r>
              <w:rPr>
                <w:rFonts w:ascii="Times New Roman" w:cs="Times New Roman" w:eastAsia="Times New Roman" w:hAnsi="Times New Roman"/>
                <w:sz w:val="10"/>
                <w:szCs w:val="10"/>
                <w:b w:val="1"/>
                <w:bCs w:val="1"/>
                <w:color w:val="auto"/>
              </w:rPr>
              <w:t>Normal</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4"/>
          </w:tcPr>
          <w:p>
            <w:pPr>
              <w:jc w:val="center"/>
              <w:ind w:left="452"/>
              <w:spacing w:after="0"/>
              <w:rPr>
                <w:sz w:val="20"/>
                <w:szCs w:val="20"/>
                <w:color w:val="auto"/>
              </w:rPr>
            </w:pPr>
            <w:r>
              <w:rPr>
                <w:rFonts w:ascii="Times New Roman" w:cs="Times New Roman" w:eastAsia="Times New Roman" w:hAnsi="Times New Roman"/>
                <w:sz w:val="10"/>
                <w:szCs w:val="10"/>
                <w:b w:val="1"/>
                <w:bCs w:val="1"/>
                <w:color w:val="auto"/>
                <w:w w:val="94"/>
              </w:rPr>
              <w:t>From 2025</w:t>
            </w: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80" w:type="dxa"/>
            <w:vAlign w:val="bottom"/>
            <w:gridSpan w:val="3"/>
          </w:tcPr>
          <w:p>
            <w:pPr>
              <w:jc w:val="right"/>
              <w:ind w:right="460"/>
              <w:spacing w:after="0"/>
              <w:rPr>
                <w:sz w:val="20"/>
                <w:szCs w:val="20"/>
                <w:color w:val="auto"/>
              </w:rPr>
            </w:pPr>
            <w:r>
              <w:rPr>
                <w:rFonts w:ascii="Times New Roman" w:cs="Times New Roman" w:eastAsia="Times New Roman" w:hAnsi="Times New Roman"/>
                <w:sz w:val="10"/>
                <w:szCs w:val="10"/>
                <w:b w:val="1"/>
                <w:bCs w:val="1"/>
                <w:color w:val="auto"/>
              </w:rPr>
              <w:t>From Normal</w:t>
            </w:r>
          </w:p>
        </w:tc>
        <w:tc>
          <w:tcPr>
            <w:tcW w:w="0" w:type="dxa"/>
            <w:vAlign w:val="bottom"/>
          </w:tcPr>
          <w:p>
            <w:pPr>
              <w:spacing w:after="0"/>
              <w:rPr>
                <w:sz w:val="1"/>
                <w:szCs w:val="1"/>
                <w:color w:val="auto"/>
              </w:rPr>
            </w:pPr>
          </w:p>
        </w:tc>
      </w:tr>
      <w:tr>
        <w:trPr>
          <w:trHeight w:val="129"/>
        </w:trPr>
        <w:tc>
          <w:tcPr>
            <w:tcW w:w="3700" w:type="dxa"/>
            <w:vAlign w:val="bottom"/>
            <w:tcBorders>
              <w:top w:val="single" w:sz="8" w:color="CCEEFF"/>
            </w:tcBorders>
            <w:shd w:val="clear" w:color="auto" w:fill="CCEEFF"/>
          </w:tcPr>
          <w:p>
            <w:pPr>
              <w:ind w:left="220"/>
              <w:spacing w:after="0" w:line="112" w:lineRule="exact"/>
              <w:rPr>
                <w:sz w:val="20"/>
                <w:szCs w:val="20"/>
                <w:color w:val="auto"/>
              </w:rPr>
            </w:pPr>
            <w:r>
              <w:rPr>
                <w:rFonts w:ascii="Times New Roman" w:cs="Times New Roman" w:eastAsia="Times New Roman" w:hAnsi="Times New Roman"/>
                <w:sz w:val="10"/>
                <w:szCs w:val="10"/>
                <w:color w:val="auto"/>
              </w:rPr>
              <w:t>Heating Degree-Days</w:t>
            </w:r>
          </w:p>
        </w:tc>
        <w:tc>
          <w:tcPr>
            <w:tcW w:w="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0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2,531</w:t>
            </w:r>
          </w:p>
        </w:tc>
        <w:tc>
          <w:tcPr>
            <w:tcW w:w="8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2,399</w:t>
            </w: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44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2,449</w:t>
            </w:r>
          </w:p>
        </w:tc>
        <w:tc>
          <w:tcPr>
            <w:tcW w:w="100" w:type="dxa"/>
            <w:vAlign w:val="bottom"/>
            <w:tcBorders>
              <w:top w:val="single" w:sz="8" w:color="CCEEFF"/>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auto"/>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5.5 %</w:t>
            </w:r>
          </w:p>
        </w:tc>
        <w:tc>
          <w:tcPr>
            <w:tcW w:w="10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c>
          <w:tcPr>
            <w:tcW w:w="1080" w:type="dxa"/>
            <w:vAlign w:val="bottom"/>
            <w:tcBorders>
              <w:top w:val="single" w:sz="8" w:color="auto"/>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0"/>
                <w:szCs w:val="10"/>
                <w:color w:val="auto"/>
              </w:rPr>
              <w:t>3.3 %</w:t>
            </w:r>
          </w:p>
        </w:tc>
        <w:tc>
          <w:tcPr>
            <w:tcW w:w="0" w:type="dxa"/>
            <w:vAlign w:val="bottom"/>
          </w:tcPr>
          <w:p>
            <w:pPr>
              <w:spacing w:after="0"/>
              <w:rPr>
                <w:sz w:val="1"/>
                <w:szCs w:val="1"/>
                <w:color w:val="auto"/>
              </w:rPr>
            </w:pPr>
          </w:p>
        </w:tc>
      </w:tr>
      <w:tr>
        <w:trPr>
          <w:trHeight w:val="370"/>
        </w:trPr>
        <w:tc>
          <w:tcPr>
            <w:tcW w:w="370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Number of Electric Customers</w:t>
            </w:r>
          </w:p>
        </w:tc>
        <w:tc>
          <w:tcPr>
            <w:tcW w:w="980" w:type="dxa"/>
            <w:vAlign w:val="bottom"/>
            <w:gridSpan w:val="3"/>
          </w:tcPr>
          <w:p>
            <w:pPr>
              <w:jc w:val="right"/>
              <w:ind w:right="232"/>
              <w:spacing w:after="0"/>
              <w:rPr>
                <w:sz w:val="20"/>
                <w:szCs w:val="20"/>
                <w:color w:val="auto"/>
              </w:rPr>
            </w:pPr>
            <w:r>
              <w:rPr>
                <w:rFonts w:ascii="Times New Roman" w:cs="Times New Roman" w:eastAsia="Times New Roman" w:hAnsi="Times New Roman"/>
                <w:sz w:val="10"/>
                <w:szCs w:val="10"/>
                <w:b w:val="1"/>
                <w:bCs w:val="1"/>
                <w:color w:val="auto"/>
              </w:rPr>
              <w:t>2026</w:t>
            </w:r>
          </w:p>
        </w:tc>
        <w:tc>
          <w:tcPr>
            <w:tcW w:w="80" w:type="dxa"/>
            <w:vAlign w:val="bottom"/>
          </w:tcPr>
          <w:p>
            <w:pPr>
              <w:spacing w:after="0"/>
              <w:rPr>
                <w:sz w:val="24"/>
                <w:szCs w:val="24"/>
                <w:color w:val="auto"/>
              </w:rPr>
            </w:pPr>
          </w:p>
        </w:tc>
        <w:tc>
          <w:tcPr>
            <w:tcW w:w="960" w:type="dxa"/>
            <w:vAlign w:val="bottom"/>
            <w:gridSpan w:val="5"/>
          </w:tcPr>
          <w:p>
            <w:pPr>
              <w:jc w:val="right"/>
              <w:ind w:right="192"/>
              <w:spacing w:after="0"/>
              <w:rPr>
                <w:sz w:val="20"/>
                <w:szCs w:val="20"/>
                <w:color w:val="auto"/>
              </w:rPr>
            </w:pPr>
            <w:r>
              <w:rPr>
                <w:rFonts w:ascii="Times New Roman" w:cs="Times New Roman" w:eastAsia="Times New Roman" w:hAnsi="Times New Roman"/>
                <w:sz w:val="10"/>
                <w:szCs w:val="10"/>
                <w:b w:val="1"/>
                <w:bCs w:val="1"/>
                <w:color w:val="auto"/>
              </w:rPr>
              <w:t>2025</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40" w:type="dxa"/>
            <w:vAlign w:val="bottom"/>
            <w:gridSpan w:val="6"/>
          </w:tcPr>
          <w:p>
            <w:pPr>
              <w:ind w:left="100"/>
              <w:spacing w:after="0"/>
              <w:rPr>
                <w:sz w:val="20"/>
                <w:szCs w:val="20"/>
                <w:color w:val="auto"/>
              </w:rPr>
            </w:pPr>
            <w:r>
              <w:rPr>
                <w:rFonts w:ascii="Times New Roman" w:cs="Times New Roman" w:eastAsia="Times New Roman" w:hAnsi="Times New Roman"/>
                <w:sz w:val="10"/>
                <w:szCs w:val="10"/>
                <w:b w:val="1"/>
                <w:bCs w:val="1"/>
                <w:color w:val="auto"/>
              </w:rPr>
              <w:t>Number of Natural Gas Customers</w:t>
            </w: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0"/>
                <w:szCs w:val="10"/>
                <w:b w:val="1"/>
                <w:bCs w:val="1"/>
                <w:color w:val="auto"/>
              </w:rPr>
              <w:t>2026</w:t>
            </w: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gridSpan w:val="2"/>
          </w:tcPr>
          <w:p>
            <w:pPr>
              <w:jc w:val="right"/>
              <w:ind w:right="352"/>
              <w:spacing w:after="0"/>
              <w:rPr>
                <w:sz w:val="20"/>
                <w:szCs w:val="20"/>
                <w:color w:val="auto"/>
              </w:rPr>
            </w:pPr>
            <w:r>
              <w:rPr>
                <w:rFonts w:ascii="Times New Roman" w:cs="Times New Roman" w:eastAsia="Times New Roman" w:hAnsi="Times New Roman"/>
                <w:sz w:val="10"/>
                <w:szCs w:val="10"/>
                <w:b w:val="1"/>
                <w:bCs w:val="1"/>
                <w:color w:val="auto"/>
              </w:rPr>
              <w:t>2025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370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0"/>
                <w:szCs w:val="10"/>
                <w:color w:val="auto"/>
              </w:rPr>
              <w:t>Residential</w:t>
            </w:r>
          </w:p>
        </w:tc>
        <w:tc>
          <w:tcPr>
            <w:tcW w:w="100" w:type="dxa"/>
            <w:vAlign w:val="bottom"/>
            <w:tcBorders>
              <w:top w:val="single" w:sz="8" w:color="CCEEFF"/>
            </w:tcBorders>
            <w:gridSpan w:val="2"/>
            <w:shd w:val="clear" w:color="auto" w:fill="CCEEFF"/>
          </w:tcPr>
          <w:p>
            <w:pPr>
              <w:spacing w:after="0"/>
              <w:rPr>
                <w:sz w:val="11"/>
                <w:szCs w:val="11"/>
                <w:color w:val="auto"/>
              </w:rPr>
            </w:pPr>
          </w:p>
        </w:tc>
        <w:tc>
          <w:tcPr>
            <w:tcW w:w="9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496,074</w:t>
            </w:r>
          </w:p>
        </w:tc>
        <w:tc>
          <w:tcPr>
            <w:tcW w:w="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960" w:type="dxa"/>
            <w:vAlign w:val="bottom"/>
            <w:tcBorders>
              <w:top w:val="single" w:sz="8" w:color="auto"/>
            </w:tcBorders>
            <w:gridSpan w:val="5"/>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491,907</w:t>
            </w:r>
          </w:p>
        </w:tc>
        <w:tc>
          <w:tcPr>
            <w:tcW w:w="4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880" w:type="dxa"/>
            <w:vAlign w:val="bottom"/>
            <w:tcBorders>
              <w:top w:val="single" w:sz="8" w:color="CCEEFF"/>
            </w:tcBorders>
            <w:gridSpan w:val="4"/>
            <w:shd w:val="clear" w:color="auto" w:fill="CCEEFF"/>
          </w:tcPr>
          <w:p>
            <w:pPr>
              <w:ind w:left="120"/>
              <w:spacing w:after="0"/>
              <w:rPr>
                <w:sz w:val="20"/>
                <w:szCs w:val="20"/>
                <w:color w:val="auto"/>
              </w:rPr>
            </w:pPr>
            <w:r>
              <w:rPr>
                <w:rFonts w:ascii="Times New Roman" w:cs="Times New Roman" w:eastAsia="Times New Roman" w:hAnsi="Times New Roman"/>
                <w:sz w:val="10"/>
                <w:szCs w:val="10"/>
                <w:color w:val="auto"/>
              </w:rPr>
              <w:t>Residential</w:t>
            </w:r>
          </w:p>
        </w:tc>
        <w:tc>
          <w:tcPr>
            <w:tcW w:w="760" w:type="dxa"/>
            <w:vAlign w:val="bottom"/>
            <w:tcBorders>
              <w:top w:val="single" w:sz="8" w:color="CCEEFF"/>
            </w:tcBorders>
            <w:shd w:val="clear" w:color="auto" w:fill="CCEEFF"/>
          </w:tcPr>
          <w:p>
            <w:pPr>
              <w:spacing w:after="0"/>
              <w:rPr>
                <w:sz w:val="11"/>
                <w:szCs w:val="11"/>
                <w:color w:val="auto"/>
              </w:rPr>
            </w:pPr>
          </w:p>
        </w:tc>
        <w:tc>
          <w:tcPr>
            <w:tcW w:w="3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8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auto"/>
            </w:tcBorders>
            <w:shd w:val="clear" w:color="auto" w:fill="CCEEFF"/>
          </w:tcPr>
          <w:p>
            <w:pPr>
              <w:spacing w:after="0"/>
              <w:rPr>
                <w:sz w:val="11"/>
                <w:szCs w:val="11"/>
                <w:color w:val="auto"/>
              </w:rPr>
            </w:pPr>
          </w:p>
        </w:tc>
        <w:tc>
          <w:tcPr>
            <w:tcW w:w="960" w:type="dxa"/>
            <w:vAlign w:val="bottom"/>
            <w:tcBorders>
              <w:top w:val="single" w:sz="8" w:color="auto"/>
            </w:tcBorders>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132,419</w:t>
            </w:r>
          </w:p>
        </w:tc>
        <w:tc>
          <w:tcPr>
            <w:tcW w:w="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131,716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700" w:type="dxa"/>
            <w:vAlign w:val="bottom"/>
          </w:tcPr>
          <w:p>
            <w:pPr>
              <w:ind w:left="220"/>
              <w:spacing w:after="0"/>
              <w:rPr>
                <w:sz w:val="20"/>
                <w:szCs w:val="20"/>
                <w:color w:val="auto"/>
              </w:rPr>
            </w:pPr>
            <w:r>
              <w:rPr>
                <w:rFonts w:ascii="Times New Roman" w:cs="Times New Roman" w:eastAsia="Times New Roman" w:hAnsi="Times New Roman"/>
                <w:sz w:val="10"/>
                <w:szCs w:val="10"/>
                <w:color w:val="auto"/>
              </w:rPr>
              <w:t>Small commercial &amp; industrial</w:t>
            </w:r>
          </w:p>
        </w:tc>
        <w:tc>
          <w:tcPr>
            <w:tcW w:w="1060" w:type="dxa"/>
            <w:vAlign w:val="bottom"/>
            <w:gridSpan w:val="4"/>
          </w:tcPr>
          <w:p>
            <w:pPr>
              <w:jc w:val="right"/>
              <w:spacing w:after="0"/>
              <w:rPr>
                <w:sz w:val="20"/>
                <w:szCs w:val="20"/>
                <w:color w:val="auto"/>
              </w:rPr>
            </w:pPr>
            <w:r>
              <w:rPr>
                <w:rFonts w:ascii="Times New Roman" w:cs="Times New Roman" w:eastAsia="Times New Roman" w:hAnsi="Times New Roman"/>
                <w:sz w:val="10"/>
                <w:szCs w:val="10"/>
                <w:color w:val="auto"/>
              </w:rPr>
              <w:t>65,604</w:t>
            </w:r>
          </w:p>
        </w:tc>
        <w:tc>
          <w:tcPr>
            <w:tcW w:w="1080" w:type="dxa"/>
            <w:vAlign w:val="bottom"/>
            <w:gridSpan w:val="7"/>
          </w:tcPr>
          <w:p>
            <w:pPr>
              <w:jc w:val="right"/>
              <w:spacing w:after="0"/>
              <w:rPr>
                <w:sz w:val="20"/>
                <w:szCs w:val="20"/>
                <w:color w:val="auto"/>
              </w:rPr>
            </w:pPr>
            <w:r>
              <w:rPr>
                <w:rFonts w:ascii="Times New Roman" w:cs="Times New Roman" w:eastAsia="Times New Roman" w:hAnsi="Times New Roman"/>
                <w:sz w:val="10"/>
                <w:szCs w:val="10"/>
                <w:color w:val="auto"/>
              </w:rPr>
              <w:t>64,999</w:t>
            </w: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40" w:type="dxa"/>
            <w:vAlign w:val="bottom"/>
            <w:gridSpan w:val="5"/>
          </w:tcPr>
          <w:p>
            <w:pPr>
              <w:ind w:left="120"/>
              <w:spacing w:after="0"/>
              <w:rPr>
                <w:sz w:val="20"/>
                <w:szCs w:val="20"/>
                <w:color w:val="auto"/>
              </w:rPr>
            </w:pPr>
            <w:r>
              <w:rPr>
                <w:rFonts w:ascii="Times New Roman" w:cs="Times New Roman" w:eastAsia="Times New Roman" w:hAnsi="Times New Roman"/>
                <w:sz w:val="10"/>
                <w:szCs w:val="10"/>
                <w:color w:val="auto"/>
              </w:rPr>
              <w:t>Small commercial &amp; industrial</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60" w:type="dxa"/>
            <w:vAlign w:val="bottom"/>
            <w:gridSpan w:val="4"/>
          </w:tcPr>
          <w:p>
            <w:pPr>
              <w:jc w:val="right"/>
              <w:ind w:right="40"/>
              <w:spacing w:after="0"/>
              <w:rPr>
                <w:sz w:val="20"/>
                <w:szCs w:val="20"/>
                <w:color w:val="auto"/>
              </w:rPr>
            </w:pPr>
            <w:r>
              <w:rPr>
                <w:rFonts w:ascii="Times New Roman" w:cs="Times New Roman" w:eastAsia="Times New Roman" w:hAnsi="Times New Roman"/>
                <w:sz w:val="10"/>
                <w:szCs w:val="10"/>
                <w:color w:val="auto"/>
              </w:rPr>
              <w:t>10,285</w:t>
            </w:r>
          </w:p>
        </w:tc>
        <w:tc>
          <w:tcPr>
            <w:tcW w:w="20" w:type="dxa"/>
            <w:vAlign w:val="bottom"/>
          </w:tcPr>
          <w:p>
            <w:pPr>
              <w:spacing w:after="0"/>
              <w:rPr>
                <w:sz w:val="11"/>
                <w:szCs w:val="11"/>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10,254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3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0"/>
                <w:szCs w:val="10"/>
                <w:color w:val="auto"/>
              </w:rPr>
              <w:t>Large commercial &amp; industrial</w:t>
            </w:r>
          </w:p>
        </w:tc>
        <w:tc>
          <w:tcPr>
            <w:tcW w:w="10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1,288</w:t>
            </w:r>
          </w:p>
        </w:tc>
        <w:tc>
          <w:tcPr>
            <w:tcW w:w="1080" w:type="dxa"/>
            <w:vAlign w:val="bottom"/>
            <w:gridSpan w:val="7"/>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1,251</w:t>
            </w: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40" w:type="dxa"/>
            <w:vAlign w:val="bottom"/>
            <w:gridSpan w:val="5"/>
            <w:shd w:val="clear" w:color="auto" w:fill="CCEEFF"/>
          </w:tcPr>
          <w:p>
            <w:pPr>
              <w:ind w:left="120"/>
              <w:spacing w:after="0"/>
              <w:rPr>
                <w:sz w:val="20"/>
                <w:szCs w:val="20"/>
                <w:color w:val="auto"/>
              </w:rPr>
            </w:pPr>
            <w:r>
              <w:rPr>
                <w:rFonts w:ascii="Times New Roman" w:cs="Times New Roman" w:eastAsia="Times New Roman" w:hAnsi="Times New Roman"/>
                <w:sz w:val="10"/>
                <w:szCs w:val="10"/>
                <w:color w:val="auto"/>
              </w:rPr>
              <w:t>Large commercial &amp; industrial</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96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14</w:t>
            </w:r>
          </w:p>
        </w:tc>
        <w:tc>
          <w:tcPr>
            <w:tcW w:w="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3700" w:type="dxa"/>
            <w:vAlign w:val="bottom"/>
          </w:tcPr>
          <w:p>
            <w:pPr>
              <w:ind w:left="220"/>
              <w:spacing w:after="0"/>
              <w:rPr>
                <w:sz w:val="20"/>
                <w:szCs w:val="20"/>
                <w:color w:val="auto"/>
              </w:rPr>
            </w:pPr>
            <w:r>
              <w:rPr>
                <w:rFonts w:ascii="Times New Roman" w:cs="Times New Roman" w:eastAsia="Times New Roman" w:hAnsi="Times New Roman"/>
                <w:sz w:val="10"/>
                <w:szCs w:val="10"/>
                <w:color w:val="auto"/>
              </w:rPr>
              <w:t>Public authorities &amp; electric railroads</w:t>
            </w:r>
          </w:p>
        </w:tc>
        <w:tc>
          <w:tcPr>
            <w:tcW w:w="1060" w:type="dxa"/>
            <w:vAlign w:val="bottom"/>
            <w:gridSpan w:val="4"/>
          </w:tcPr>
          <w:p>
            <w:pPr>
              <w:jc w:val="right"/>
              <w:spacing w:after="0"/>
              <w:rPr>
                <w:sz w:val="20"/>
                <w:szCs w:val="20"/>
                <w:color w:val="auto"/>
              </w:rPr>
            </w:pPr>
            <w:r>
              <w:rPr>
                <w:rFonts w:ascii="Times New Roman" w:cs="Times New Roman" w:eastAsia="Times New Roman" w:hAnsi="Times New Roman"/>
                <w:sz w:val="10"/>
                <w:szCs w:val="10"/>
                <w:color w:val="auto"/>
              </w:rPr>
              <w:t>628</w:t>
            </w:r>
          </w:p>
        </w:tc>
        <w:tc>
          <w:tcPr>
            <w:tcW w:w="1080" w:type="dxa"/>
            <w:vAlign w:val="bottom"/>
            <w:gridSpan w:val="7"/>
          </w:tcPr>
          <w:p>
            <w:pPr>
              <w:jc w:val="right"/>
              <w:spacing w:after="0"/>
              <w:rPr>
                <w:sz w:val="20"/>
                <w:szCs w:val="20"/>
                <w:color w:val="auto"/>
              </w:rPr>
            </w:pPr>
            <w:r>
              <w:rPr>
                <w:rFonts w:ascii="Times New Roman" w:cs="Times New Roman" w:eastAsia="Times New Roman" w:hAnsi="Times New Roman"/>
                <w:sz w:val="10"/>
                <w:szCs w:val="10"/>
                <w:color w:val="auto"/>
              </w:rPr>
              <w:t>617</w:t>
            </w: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gridSpan w:val="4"/>
          </w:tcPr>
          <w:p>
            <w:pPr>
              <w:ind w:left="120"/>
              <w:spacing w:after="0"/>
              <w:rPr>
                <w:sz w:val="20"/>
                <w:szCs w:val="20"/>
                <w:color w:val="auto"/>
              </w:rPr>
            </w:pPr>
            <w:r>
              <w:rPr>
                <w:rFonts w:ascii="Times New Roman" w:cs="Times New Roman" w:eastAsia="Times New Roman" w:hAnsi="Times New Roman"/>
                <w:sz w:val="10"/>
                <w:szCs w:val="10"/>
                <w:color w:val="auto"/>
              </w:rPr>
              <w:t>Transportation</w:t>
            </w: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60" w:type="dxa"/>
            <w:vAlign w:val="bottom"/>
            <w:gridSpan w:val="4"/>
          </w:tcPr>
          <w:p>
            <w:pPr>
              <w:jc w:val="right"/>
              <w:ind w:right="40"/>
              <w:spacing w:after="0"/>
              <w:rPr>
                <w:sz w:val="20"/>
                <w:szCs w:val="20"/>
                <w:color w:val="auto"/>
              </w:rPr>
            </w:pPr>
            <w:r>
              <w:rPr>
                <w:rFonts w:ascii="Times New Roman" w:cs="Times New Roman" w:eastAsia="Times New Roman" w:hAnsi="Times New Roman"/>
                <w:sz w:val="10"/>
                <w:szCs w:val="10"/>
                <w:color w:val="auto"/>
              </w:rPr>
              <w:t>159</w:t>
            </w:r>
          </w:p>
        </w:tc>
        <w:tc>
          <w:tcPr>
            <w:tcW w:w="20" w:type="dxa"/>
            <w:vAlign w:val="bottom"/>
          </w:tcPr>
          <w:p>
            <w:pPr>
              <w:spacing w:after="0"/>
              <w:rPr>
                <w:sz w:val="11"/>
                <w:szCs w:val="11"/>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161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3700" w:type="dxa"/>
            <w:vAlign w:val="bottom"/>
            <w:tcBorders>
              <w:top w:val="single" w:sz="8" w:color="CCEEFF"/>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0"/>
                <w:szCs w:val="10"/>
                <w:color w:val="auto"/>
              </w:rPr>
              <w:t>Total</w:t>
            </w:r>
          </w:p>
        </w:tc>
        <w:tc>
          <w:tcPr>
            <w:tcW w:w="100" w:type="dxa"/>
            <w:vAlign w:val="bottom"/>
            <w:tcBorders>
              <w:top w:val="single" w:sz="8" w:color="CCEEFF"/>
              <w:bottom w:val="single" w:sz="8" w:color="CCEEFF"/>
            </w:tcBorders>
            <w:gridSpan w:val="2"/>
            <w:shd w:val="clear" w:color="auto" w:fill="CCEEFF"/>
          </w:tcPr>
          <w:p>
            <w:pPr>
              <w:spacing w:after="0"/>
              <w:rPr>
                <w:sz w:val="12"/>
                <w:szCs w:val="12"/>
                <w:color w:val="auto"/>
              </w:rPr>
            </w:pPr>
          </w:p>
        </w:tc>
        <w:tc>
          <w:tcPr>
            <w:tcW w:w="9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563,594</w:t>
            </w:r>
          </w:p>
        </w:tc>
        <w:tc>
          <w:tcPr>
            <w:tcW w:w="40" w:type="dxa"/>
            <w:vAlign w:val="bottom"/>
            <w:tcBorders>
              <w:top w:val="single" w:sz="8" w:color="auto"/>
              <w:bottom w:val="single" w:sz="8" w:color="auto"/>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960" w:type="dxa"/>
            <w:vAlign w:val="bottom"/>
            <w:tcBorders>
              <w:top w:val="single" w:sz="8" w:color="auto"/>
              <w:bottom w:val="single" w:sz="8" w:color="auto"/>
            </w:tcBorders>
            <w:gridSpan w:val="5"/>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558,774</w:t>
            </w:r>
          </w:p>
        </w:tc>
        <w:tc>
          <w:tcPr>
            <w:tcW w:w="40" w:type="dxa"/>
            <w:vAlign w:val="bottom"/>
            <w:tcBorders>
              <w:top w:val="single" w:sz="8" w:color="auto"/>
              <w:bottom w:val="single" w:sz="8" w:color="auto"/>
            </w:tcBorders>
            <w:shd w:val="clear" w:color="auto" w:fill="CCEEFF"/>
          </w:tcPr>
          <w:p>
            <w:pPr>
              <w:spacing w:after="0"/>
              <w:rPr>
                <w:sz w:val="12"/>
                <w:szCs w:val="12"/>
                <w:color w:val="auto"/>
              </w:rPr>
            </w:pPr>
          </w:p>
        </w:tc>
        <w:tc>
          <w:tcPr>
            <w:tcW w:w="200" w:type="dxa"/>
            <w:vAlign w:val="bottom"/>
            <w:tcBorders>
              <w:top w:val="single" w:sz="8" w:color="CCEEFF"/>
              <w:bottom w:val="single" w:sz="8" w:color="CCEEFF"/>
            </w:tcBorders>
            <w:shd w:val="clear" w:color="auto" w:fill="CCEEFF"/>
          </w:tcPr>
          <w:p>
            <w:pPr>
              <w:spacing w:after="0"/>
              <w:rPr>
                <w:sz w:val="12"/>
                <w:szCs w:val="12"/>
                <w:color w:val="auto"/>
              </w:rPr>
            </w:pPr>
          </w:p>
        </w:tc>
        <w:tc>
          <w:tcPr>
            <w:tcW w:w="880" w:type="dxa"/>
            <w:vAlign w:val="bottom"/>
            <w:tcBorders>
              <w:top w:val="single" w:sz="8" w:color="CCEEFF"/>
              <w:bottom w:val="single" w:sz="8" w:color="CCEEFF"/>
            </w:tcBorders>
            <w:gridSpan w:val="4"/>
            <w:shd w:val="clear" w:color="auto" w:fill="CCEEFF"/>
          </w:tcPr>
          <w:p>
            <w:pPr>
              <w:ind w:left="340"/>
              <w:spacing w:after="0"/>
              <w:rPr>
                <w:sz w:val="20"/>
                <w:szCs w:val="20"/>
                <w:color w:val="auto"/>
              </w:rPr>
            </w:pPr>
            <w:r>
              <w:rPr>
                <w:rFonts w:ascii="Times New Roman" w:cs="Times New Roman" w:eastAsia="Times New Roman" w:hAnsi="Times New Roman"/>
                <w:sz w:val="10"/>
                <w:szCs w:val="10"/>
                <w:color w:val="auto"/>
              </w:rPr>
              <w:t>Total</w:t>
            </w:r>
          </w:p>
        </w:tc>
        <w:tc>
          <w:tcPr>
            <w:tcW w:w="760" w:type="dxa"/>
            <w:vAlign w:val="bottom"/>
            <w:tcBorders>
              <w:top w:val="single" w:sz="8" w:color="CCEEFF"/>
              <w:bottom w:val="single" w:sz="8" w:color="CCEEFF"/>
            </w:tcBorders>
            <w:shd w:val="clear" w:color="auto" w:fill="CCEEFF"/>
          </w:tcPr>
          <w:p>
            <w:pPr>
              <w:spacing w:after="0"/>
              <w:rPr>
                <w:sz w:val="12"/>
                <w:szCs w:val="12"/>
                <w:color w:val="auto"/>
              </w:rPr>
            </w:pPr>
          </w:p>
        </w:tc>
        <w:tc>
          <w:tcPr>
            <w:tcW w:w="30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80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40" w:type="dxa"/>
            <w:vAlign w:val="bottom"/>
            <w:tcBorders>
              <w:top w:val="single" w:sz="8" w:color="auto"/>
              <w:bottom w:val="single" w:sz="8" w:color="auto"/>
            </w:tcBorders>
            <w:shd w:val="clear" w:color="auto" w:fill="CCEEFF"/>
          </w:tcPr>
          <w:p>
            <w:pPr>
              <w:spacing w:after="0"/>
              <w:rPr>
                <w:sz w:val="12"/>
                <w:szCs w:val="12"/>
                <w:color w:val="auto"/>
              </w:rPr>
            </w:pPr>
          </w:p>
        </w:tc>
        <w:tc>
          <w:tcPr>
            <w:tcW w:w="960" w:type="dxa"/>
            <w:vAlign w:val="bottom"/>
            <w:tcBorders>
              <w:top w:val="single" w:sz="8" w:color="auto"/>
              <w:bottom w:val="single" w:sz="8" w:color="auto"/>
            </w:tcBorders>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142,877</w:t>
            </w: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142,146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__________</w:t>
      </w:r>
    </w:p>
    <w:p>
      <w:pPr>
        <w:spacing w:after="0" w:line="3" w:lineRule="exact"/>
        <w:rPr>
          <w:sz w:val="20"/>
          <w:szCs w:val="20"/>
          <w:color w:val="auto"/>
        </w:rPr>
      </w:pPr>
    </w:p>
    <w:p>
      <w:pPr>
        <w:ind w:left="380" w:hanging="226"/>
        <w:spacing w:after="0"/>
        <w:tabs>
          <w:tab w:leader="none" w:pos="378" w:val="left"/>
        </w:tabs>
        <w:numPr>
          <w:ilvl w:val="0"/>
          <w:numId w:val="14"/>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Reflects delivery volumes and revenues from customers purchasing electricity directly from DPL and customers purchasing electricity from a competitive electric generation supplier as all customers are assessed distribution charges. For customers purchasing electricity from DPL, revenues also reflect the cost of energy and transmission.</w:t>
      </w:r>
    </w:p>
    <w:p>
      <w:pPr>
        <w:ind w:left="360" w:hanging="206"/>
        <w:spacing w:after="0"/>
        <w:tabs>
          <w:tab w:leader="none" w:pos="360" w:val="left"/>
        </w:tabs>
        <w:numPr>
          <w:ilvl w:val="0"/>
          <w:numId w:val="14"/>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Includes transmission revenue from PJM, wholesale electric revenue, and mutual assistance revenue.</w:t>
      </w:r>
    </w:p>
    <w:p>
      <w:pPr>
        <w:spacing w:after="0" w:line="2" w:lineRule="exact"/>
        <w:rPr>
          <w:rFonts w:ascii="Times New Roman" w:cs="Times New Roman" w:eastAsia="Times New Roman" w:hAnsi="Times New Roman"/>
          <w:sz w:val="10"/>
          <w:szCs w:val="10"/>
          <w:color w:val="auto"/>
        </w:rPr>
      </w:pPr>
    </w:p>
    <w:p>
      <w:pPr>
        <w:ind w:left="360" w:hanging="206"/>
        <w:spacing w:after="0"/>
        <w:tabs>
          <w:tab w:leader="none" w:pos="360" w:val="left"/>
        </w:tabs>
        <w:numPr>
          <w:ilvl w:val="0"/>
          <w:numId w:val="14"/>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Includes operating revenues from affiliates totaling $2 million for both the three months ended March 31, 2026 and 2025, respectively.</w:t>
      </w:r>
    </w:p>
    <w:p>
      <w:pPr>
        <w:spacing w:after="0" w:line="2" w:lineRule="exact"/>
        <w:rPr>
          <w:rFonts w:ascii="Times New Roman" w:cs="Times New Roman" w:eastAsia="Times New Roman" w:hAnsi="Times New Roman"/>
          <w:sz w:val="10"/>
          <w:szCs w:val="10"/>
          <w:color w:val="auto"/>
        </w:rPr>
      </w:pPr>
    </w:p>
    <w:p>
      <w:pPr>
        <w:ind w:left="360" w:hanging="206"/>
        <w:spacing w:after="0" w:line="232" w:lineRule="auto"/>
        <w:tabs>
          <w:tab w:leader="none" w:pos="360" w:val="left"/>
        </w:tabs>
        <w:numPr>
          <w:ilvl w:val="0"/>
          <w:numId w:val="14"/>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Includes alternative revenue programs and late payment charges.</w:t>
      </w:r>
    </w:p>
    <w:p>
      <w:pPr>
        <w:ind w:left="380" w:hanging="226"/>
        <w:spacing w:after="0"/>
        <w:tabs>
          <w:tab w:leader="none" w:pos="378" w:val="left"/>
        </w:tabs>
        <w:numPr>
          <w:ilvl w:val="0"/>
          <w:numId w:val="14"/>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Reflects delivery volumes and revenues from customers purchasing natural gas directly from DPL and customers purchasing natural gas from a competitive natural gas supplier as all customers are assessed distribution charges. For customers purchasing natural gas from DPL, revenue also reflects the cost of natural gas.</w:t>
      </w:r>
    </w:p>
    <w:p>
      <w:pPr>
        <w:ind w:left="360" w:hanging="206"/>
        <w:spacing w:after="0"/>
        <w:tabs>
          <w:tab w:leader="none" w:pos="360" w:val="left"/>
        </w:tabs>
        <w:numPr>
          <w:ilvl w:val="0"/>
          <w:numId w:val="14"/>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Includes revenues primarily from off-system sales.</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10</w:t>
      </w:r>
    </w:p>
    <w:p>
      <w:pPr>
        <w:sectPr>
          <w:pgSz w:w="11900" w:h="16838" w:orient="portrait"/>
          <w:cols w:equalWidth="0" w:num="1">
            <w:col w:w="11300"/>
          </w:cols>
          <w:pgMar w:left="300" w:top="129" w:right="29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ACE Statistics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u w:val="single" w:color="auto"/>
          <w:color w:val="auto"/>
        </w:rPr>
        <w:t>Three Months Ended March 31, 2026 and 2025</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3700" w:type="dxa"/>
            <w:vAlign w:val="bottom"/>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720" w:type="dxa"/>
            <w:vAlign w:val="bottom"/>
            <w:tcBorders>
              <w:bottom w:val="single" w:sz="8" w:color="auto"/>
            </w:tcBorders>
            <w:gridSpan w:val="6"/>
          </w:tcPr>
          <w:p>
            <w:pPr>
              <w:ind w:left="20"/>
              <w:spacing w:after="0"/>
              <w:rPr>
                <w:sz w:val="20"/>
                <w:szCs w:val="20"/>
                <w:color w:val="auto"/>
              </w:rPr>
            </w:pPr>
            <w:r>
              <w:rPr>
                <w:rFonts w:ascii="Times New Roman" w:cs="Times New Roman" w:eastAsia="Times New Roman" w:hAnsi="Times New Roman"/>
                <w:sz w:val="10"/>
                <w:szCs w:val="10"/>
                <w:b w:val="1"/>
                <w:bCs w:val="1"/>
                <w:color w:val="auto"/>
              </w:rPr>
              <w:t>Electric Deliveries (in GWhs)</w:t>
            </w:r>
          </w:p>
        </w:tc>
        <w:tc>
          <w:tcPr>
            <w:tcW w:w="106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0"/>
                <w:szCs w:val="10"/>
                <w:b w:val="1"/>
                <w:bCs w:val="1"/>
                <w:color w:val="auto"/>
                <w:w w:val="94"/>
              </w:rPr>
              <w:t>Revenue (in millions)</w:t>
            </w:r>
          </w:p>
        </w:tc>
        <w:tc>
          <w:tcPr>
            <w:tcW w:w="10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3700" w:type="dxa"/>
            <w:vAlign w:val="bottom"/>
          </w:tcPr>
          <w:p>
            <w:pPr>
              <w:spacing w:after="0"/>
              <w:rPr>
                <w:sz w:val="7"/>
                <w:szCs w:val="7"/>
                <w:color w:val="auto"/>
              </w:rPr>
            </w:pPr>
          </w:p>
        </w:tc>
        <w:tc>
          <w:tcPr>
            <w:tcW w:w="40" w:type="dxa"/>
            <w:vAlign w:val="bottom"/>
          </w:tcPr>
          <w:p>
            <w:pPr>
              <w:spacing w:after="0"/>
              <w:rPr>
                <w:sz w:val="7"/>
                <w:szCs w:val="7"/>
                <w:color w:val="auto"/>
              </w:rPr>
            </w:pPr>
          </w:p>
        </w:tc>
        <w:tc>
          <w:tcPr>
            <w:tcW w:w="580" w:type="dxa"/>
            <w:vAlign w:val="bottom"/>
          </w:tcPr>
          <w:p>
            <w:pPr>
              <w:spacing w:after="0"/>
              <w:rPr>
                <w:sz w:val="7"/>
                <w:szCs w:val="7"/>
                <w:color w:val="auto"/>
              </w:rPr>
            </w:pPr>
          </w:p>
        </w:tc>
        <w:tc>
          <w:tcPr>
            <w:tcW w:w="36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60" w:type="dxa"/>
            <w:vAlign w:val="bottom"/>
          </w:tcPr>
          <w:p>
            <w:pPr>
              <w:jc w:val="center"/>
              <w:spacing w:after="0" w:line="89" w:lineRule="exact"/>
              <w:rPr>
                <w:sz w:val="20"/>
                <w:szCs w:val="20"/>
                <w:color w:val="auto"/>
              </w:rPr>
            </w:pPr>
            <w:r>
              <w:rPr>
                <w:rFonts w:ascii="Times New Roman" w:cs="Times New Roman" w:eastAsia="Times New Roman" w:hAnsi="Times New Roman"/>
                <w:sz w:val="10"/>
                <w:szCs w:val="10"/>
                <w:b w:val="1"/>
                <w:bCs w:val="1"/>
                <w:color w:val="auto"/>
                <w:w w:val="97"/>
              </w:rPr>
              <w:t>Weather -</w:t>
            </w: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7"/>
        </w:trPr>
        <w:tc>
          <w:tcPr>
            <w:tcW w:w="4320" w:type="dxa"/>
            <w:vAlign w:val="bottom"/>
            <w:gridSpan w:val="3"/>
            <w:vMerge w:val="restart"/>
          </w:tcPr>
          <w:p>
            <w:pPr>
              <w:ind w:left="4100"/>
              <w:spacing w:after="0"/>
              <w:rPr>
                <w:sz w:val="20"/>
                <w:szCs w:val="20"/>
                <w:color w:val="auto"/>
              </w:rPr>
            </w:pPr>
            <w:r>
              <w:rPr>
                <w:rFonts w:ascii="Times New Roman" w:cs="Times New Roman" w:eastAsia="Times New Roman" w:hAnsi="Times New Roman"/>
                <w:sz w:val="10"/>
                <w:szCs w:val="10"/>
                <w:b w:val="1"/>
                <w:bCs w:val="1"/>
                <w:color w:val="auto"/>
                <w:w w:val="99"/>
              </w:rPr>
              <w:t>2026</w:t>
            </w: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960" w:type="dxa"/>
            <w:vAlign w:val="bottom"/>
            <w:gridSpan w:val="3"/>
            <w:vMerge w:val="restart"/>
          </w:tcPr>
          <w:p>
            <w:pPr>
              <w:jc w:val="right"/>
              <w:ind w:right="332"/>
              <w:spacing w:after="0"/>
              <w:rPr>
                <w:sz w:val="20"/>
                <w:szCs w:val="20"/>
                <w:color w:val="auto"/>
              </w:rPr>
            </w:pPr>
            <w:r>
              <w:rPr>
                <w:rFonts w:ascii="Times New Roman" w:cs="Times New Roman" w:eastAsia="Times New Roman" w:hAnsi="Times New Roman"/>
                <w:sz w:val="10"/>
                <w:szCs w:val="10"/>
                <w:b w:val="1"/>
                <w:bCs w:val="1"/>
                <w:color w:val="auto"/>
              </w:rPr>
              <w:t>2025</w:t>
            </w:r>
          </w:p>
        </w:tc>
        <w:tc>
          <w:tcPr>
            <w:tcW w:w="100" w:type="dxa"/>
            <w:vAlign w:val="bottom"/>
          </w:tcPr>
          <w:p>
            <w:pPr>
              <w:spacing w:after="0"/>
              <w:rPr>
                <w:sz w:val="8"/>
                <w:szCs w:val="8"/>
                <w:color w:val="auto"/>
              </w:rPr>
            </w:pPr>
          </w:p>
        </w:tc>
        <w:tc>
          <w:tcPr>
            <w:tcW w:w="1140" w:type="dxa"/>
            <w:vAlign w:val="bottom"/>
            <w:gridSpan w:val="4"/>
            <w:vMerge w:val="restart"/>
          </w:tcPr>
          <w:p>
            <w:pPr>
              <w:ind w:left="300"/>
              <w:spacing w:after="0"/>
              <w:rPr>
                <w:sz w:val="20"/>
                <w:szCs w:val="20"/>
                <w:color w:val="auto"/>
              </w:rPr>
            </w:pPr>
            <w:r>
              <w:rPr>
                <w:rFonts w:ascii="Times New Roman" w:cs="Times New Roman" w:eastAsia="Times New Roman" w:hAnsi="Times New Roman"/>
                <w:sz w:val="10"/>
                <w:szCs w:val="10"/>
                <w:b w:val="1"/>
                <w:bCs w:val="1"/>
                <w:color w:val="auto"/>
              </w:rPr>
              <w:t>% Change</w:t>
            </w:r>
          </w:p>
        </w:tc>
        <w:tc>
          <w:tcPr>
            <w:tcW w:w="1060" w:type="dxa"/>
            <w:vAlign w:val="bottom"/>
          </w:tcPr>
          <w:p>
            <w:pPr>
              <w:jc w:val="center"/>
              <w:spacing w:after="0" w:line="98" w:lineRule="exact"/>
              <w:rPr>
                <w:sz w:val="20"/>
                <w:szCs w:val="20"/>
                <w:color w:val="auto"/>
              </w:rPr>
            </w:pPr>
            <w:r>
              <w:rPr>
                <w:rFonts w:ascii="Times New Roman" w:cs="Times New Roman" w:eastAsia="Times New Roman" w:hAnsi="Times New Roman"/>
                <w:sz w:val="10"/>
                <w:szCs w:val="10"/>
                <w:b w:val="1"/>
                <w:bCs w:val="1"/>
                <w:color w:val="auto"/>
                <w:w w:val="91"/>
              </w:rPr>
              <w:t>Normal</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gridSpan w:val="2"/>
            <w:vMerge w:val="restart"/>
          </w:tcPr>
          <w:p>
            <w:pPr>
              <w:jc w:val="right"/>
              <w:ind w:right="332"/>
              <w:spacing w:after="0"/>
              <w:rPr>
                <w:sz w:val="20"/>
                <w:szCs w:val="20"/>
                <w:color w:val="auto"/>
              </w:rPr>
            </w:pPr>
            <w:r>
              <w:rPr>
                <w:rFonts w:ascii="Times New Roman" w:cs="Times New Roman" w:eastAsia="Times New Roman" w:hAnsi="Times New Roman"/>
                <w:sz w:val="10"/>
                <w:szCs w:val="10"/>
                <w:b w:val="1"/>
                <w:bCs w:val="1"/>
                <w:color w:val="auto"/>
              </w:rPr>
              <w:t>2026</w:t>
            </w: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0"/>
                <w:szCs w:val="10"/>
                <w:b w:val="1"/>
                <w:bCs w:val="1"/>
                <w:color w:val="auto"/>
              </w:rPr>
              <w:t>2025</w:t>
            </w: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8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0"/>
                <w:szCs w:val="10"/>
                <w:b w:val="1"/>
                <w:bCs w:val="1"/>
                <w:color w:val="auto"/>
              </w:rPr>
              <w:t>% Change</w:t>
            </w:r>
          </w:p>
        </w:tc>
        <w:tc>
          <w:tcPr>
            <w:tcW w:w="0" w:type="dxa"/>
            <w:vAlign w:val="bottom"/>
          </w:tcPr>
          <w:p>
            <w:pPr>
              <w:spacing w:after="0"/>
              <w:rPr>
                <w:sz w:val="1"/>
                <w:szCs w:val="1"/>
                <w:color w:val="auto"/>
              </w:rPr>
            </w:pPr>
          </w:p>
        </w:tc>
      </w:tr>
      <w:tr>
        <w:trPr>
          <w:trHeight w:val="130"/>
        </w:trPr>
        <w:tc>
          <w:tcPr>
            <w:tcW w:w="4320" w:type="dxa"/>
            <w:vAlign w:val="bottom"/>
            <w:gridSpan w:val="3"/>
            <w:vMerge w:val="continue"/>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3"/>
            <w:vMerge w:val="continue"/>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gridSpan w:val="4"/>
            <w:vMerge w:val="continue"/>
          </w:tcPr>
          <w:p>
            <w:pPr>
              <w:spacing w:after="0"/>
              <w:rPr>
                <w:sz w:val="11"/>
                <w:szCs w:val="11"/>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7"/>
              </w:rPr>
              <w:t>% Change</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3700" w:type="dxa"/>
            <w:vAlign w:val="bottom"/>
            <w:tcBorders>
              <w:top w:val="single" w:sz="8" w:color="CCEEFF"/>
            </w:tcBorders>
            <w:shd w:val="clear" w:color="auto" w:fill="CCEEFF"/>
          </w:tcPr>
          <w:p>
            <w:pPr>
              <w:ind w:left="20"/>
              <w:spacing w:after="0" w:line="120" w:lineRule="exact"/>
              <w:rPr>
                <w:sz w:val="20"/>
                <w:szCs w:val="20"/>
                <w:color w:val="auto"/>
              </w:rPr>
            </w:pPr>
            <w:r>
              <w:rPr>
                <w:rFonts w:ascii="Times New Roman" w:cs="Times New Roman" w:eastAsia="Times New Roman" w:hAnsi="Times New Roman"/>
                <w:sz w:val="10"/>
                <w:szCs w:val="10"/>
                <w:b w:val="1"/>
                <w:bCs w:val="1"/>
                <w:color w:val="auto"/>
              </w:rPr>
              <w:t>Electric Deliveries and Revenues</w:t>
            </w:r>
            <w:r>
              <w:rPr>
                <w:rFonts w:ascii="Times New Roman" w:cs="Times New Roman" w:eastAsia="Times New Roman" w:hAnsi="Times New Roman"/>
                <w:sz w:val="12"/>
                <w:szCs w:val="12"/>
                <w:b w:val="1"/>
                <w:bCs w:val="1"/>
                <w:color w:val="auto"/>
                <w:vertAlign w:val="superscript"/>
              </w:rPr>
              <w:t>(a)</w:t>
            </w:r>
          </w:p>
        </w:tc>
        <w:tc>
          <w:tcPr>
            <w:tcW w:w="40" w:type="dxa"/>
            <w:vAlign w:val="bottom"/>
            <w:tcBorders>
              <w:top w:val="single" w:sz="8" w:color="auto"/>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spacing w:after="0"/>
              <w:rPr>
                <w:sz w:val="10"/>
                <w:szCs w:val="10"/>
                <w:color w:val="auto"/>
              </w:rPr>
            </w:pPr>
          </w:p>
        </w:tc>
        <w:tc>
          <w:tcPr>
            <w:tcW w:w="36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40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84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06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50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26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060" w:type="dxa"/>
            <w:vAlign w:val="bottom"/>
            <w:tcBorders>
              <w:top w:val="single" w:sz="8" w:color="auto"/>
            </w:tcBorders>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4320" w:type="dxa"/>
            <w:vAlign w:val="bottom"/>
            <w:gridSpan w:val="3"/>
          </w:tcPr>
          <w:p>
            <w:pPr>
              <w:ind w:left="240"/>
              <w:spacing w:after="0"/>
              <w:rPr>
                <w:sz w:val="20"/>
                <w:szCs w:val="20"/>
                <w:color w:val="auto"/>
              </w:rPr>
            </w:pPr>
            <w:r>
              <w:rPr>
                <w:rFonts w:ascii="Times New Roman" w:cs="Times New Roman" w:eastAsia="Times New Roman" w:hAnsi="Times New Roman"/>
                <w:sz w:val="10"/>
                <w:szCs w:val="10"/>
                <w:color w:val="auto"/>
              </w:rPr>
              <w:t>Residential</w:t>
            </w:r>
          </w:p>
        </w:tc>
        <w:tc>
          <w:tcPr>
            <w:tcW w:w="3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955</w:t>
            </w:r>
          </w:p>
        </w:tc>
        <w:tc>
          <w:tcPr>
            <w:tcW w:w="80" w:type="dxa"/>
            <w:vAlign w:val="bottom"/>
          </w:tcPr>
          <w:p>
            <w:pPr>
              <w:spacing w:after="0"/>
              <w:rPr>
                <w:sz w:val="11"/>
                <w:szCs w:val="11"/>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0"/>
                <w:szCs w:val="10"/>
                <w:color w:val="auto"/>
              </w:rPr>
              <w:t>902</w:t>
            </w:r>
          </w:p>
        </w:tc>
        <w:tc>
          <w:tcPr>
            <w:tcW w:w="1140" w:type="dxa"/>
            <w:vAlign w:val="bottom"/>
            <w:gridSpan w:val="4"/>
          </w:tcPr>
          <w:p>
            <w:pPr>
              <w:jc w:val="right"/>
              <w:spacing w:after="0"/>
              <w:rPr>
                <w:sz w:val="20"/>
                <w:szCs w:val="20"/>
                <w:color w:val="auto"/>
              </w:rPr>
            </w:pPr>
            <w:r>
              <w:rPr>
                <w:rFonts w:ascii="Times New Roman" w:cs="Times New Roman" w:eastAsia="Times New Roman" w:hAnsi="Times New Roman"/>
                <w:sz w:val="10"/>
                <w:szCs w:val="10"/>
                <w:color w:val="auto"/>
              </w:rPr>
              <w:t>5.9 %</w:t>
            </w:r>
          </w:p>
        </w:tc>
        <w:tc>
          <w:tcPr>
            <w:tcW w:w="100" w:type="dxa"/>
            <w:vAlign w:val="bottom"/>
          </w:tcPr>
          <w:p>
            <w:pPr>
              <w:spacing w:after="0"/>
              <w:rPr>
                <w:sz w:val="11"/>
                <w:szCs w:val="1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3.7%</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1"/>
                <w:szCs w:val="11"/>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258</w:t>
            </w:r>
          </w:p>
        </w:tc>
        <w:tc>
          <w:tcPr>
            <w:tcW w:w="10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880" w:type="dxa"/>
            <w:vAlign w:val="bottom"/>
            <w:gridSpan w:val="5"/>
          </w:tcPr>
          <w:p>
            <w:pPr>
              <w:jc w:val="right"/>
              <w:spacing w:after="0"/>
              <w:rPr>
                <w:sz w:val="20"/>
                <w:szCs w:val="20"/>
                <w:color w:val="auto"/>
              </w:rPr>
            </w:pPr>
            <w:r>
              <w:rPr>
                <w:rFonts w:ascii="Times New Roman" w:cs="Times New Roman" w:eastAsia="Times New Roman" w:hAnsi="Times New Roman"/>
                <w:sz w:val="10"/>
                <w:szCs w:val="10"/>
                <w:color w:val="auto"/>
              </w:rPr>
              <w:t>196</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31.6 %</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432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0"/>
                <w:szCs w:val="10"/>
                <w:color w:val="auto"/>
              </w:rPr>
              <w:t>Small commercial &amp; industrial</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405</w:t>
            </w:r>
          </w:p>
        </w:tc>
        <w:tc>
          <w:tcPr>
            <w:tcW w:w="80" w:type="dxa"/>
            <w:vAlign w:val="bottom"/>
            <w:shd w:val="clear" w:color="auto" w:fill="CCEEFF"/>
          </w:tcPr>
          <w:p>
            <w:pPr>
              <w:spacing w:after="0"/>
              <w:rPr>
                <w:sz w:val="12"/>
                <w:szCs w:val="12"/>
                <w:color w:val="auto"/>
              </w:rPr>
            </w:pPr>
          </w:p>
        </w:tc>
        <w:tc>
          <w:tcPr>
            <w:tcW w:w="9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390</w:t>
            </w:r>
          </w:p>
        </w:tc>
        <w:tc>
          <w:tcPr>
            <w:tcW w:w="11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3.8 %</w:t>
            </w: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3.0%</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68</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54</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25.9 %</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4320" w:type="dxa"/>
            <w:vAlign w:val="bottom"/>
            <w:gridSpan w:val="3"/>
          </w:tcPr>
          <w:p>
            <w:pPr>
              <w:ind w:left="240"/>
              <w:spacing w:after="0"/>
              <w:rPr>
                <w:sz w:val="20"/>
                <w:szCs w:val="20"/>
                <w:color w:val="auto"/>
              </w:rPr>
            </w:pPr>
            <w:r>
              <w:rPr>
                <w:rFonts w:ascii="Times New Roman" w:cs="Times New Roman" w:eastAsia="Times New Roman" w:hAnsi="Times New Roman"/>
                <w:sz w:val="10"/>
                <w:szCs w:val="10"/>
                <w:color w:val="auto"/>
              </w:rPr>
              <w:t>Large commercial &amp; industrial</w:t>
            </w:r>
          </w:p>
        </w:tc>
        <w:tc>
          <w:tcPr>
            <w:tcW w:w="3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688</w:t>
            </w:r>
          </w:p>
        </w:tc>
        <w:tc>
          <w:tcPr>
            <w:tcW w:w="80" w:type="dxa"/>
            <w:vAlign w:val="bottom"/>
          </w:tcPr>
          <w:p>
            <w:pPr>
              <w:spacing w:after="0"/>
              <w:rPr>
                <w:sz w:val="10"/>
                <w:szCs w:val="10"/>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0"/>
                <w:szCs w:val="10"/>
                <w:color w:val="auto"/>
              </w:rPr>
              <w:t>713</w:t>
            </w:r>
          </w:p>
        </w:tc>
        <w:tc>
          <w:tcPr>
            <w:tcW w:w="1140" w:type="dxa"/>
            <w:vAlign w:val="bottom"/>
            <w:gridSpan w:val="4"/>
          </w:tcPr>
          <w:p>
            <w:pPr>
              <w:jc w:val="right"/>
              <w:spacing w:after="0"/>
              <w:rPr>
                <w:sz w:val="20"/>
                <w:szCs w:val="20"/>
                <w:color w:val="auto"/>
              </w:rPr>
            </w:pPr>
            <w:r>
              <w:rPr>
                <w:rFonts w:ascii="Times New Roman" w:cs="Times New Roman" w:eastAsia="Times New Roman" w:hAnsi="Times New Roman"/>
                <w:sz w:val="10"/>
                <w:szCs w:val="10"/>
                <w:color w:val="auto"/>
              </w:rPr>
              <w:t>(3.5)%</w:t>
            </w:r>
          </w:p>
        </w:tc>
        <w:tc>
          <w:tcPr>
            <w:tcW w:w="100" w:type="dxa"/>
            <w:vAlign w:val="bottom"/>
          </w:tcPr>
          <w:p>
            <w:pPr>
              <w:spacing w:after="0"/>
              <w:rPr>
                <w:sz w:val="10"/>
                <w:szCs w:val="1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(3.5)%</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44</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gridSpan w:val="5"/>
          </w:tcPr>
          <w:p>
            <w:pPr>
              <w:jc w:val="right"/>
              <w:spacing w:after="0"/>
              <w:rPr>
                <w:sz w:val="20"/>
                <w:szCs w:val="20"/>
                <w:color w:val="auto"/>
              </w:rPr>
            </w:pPr>
            <w:r>
              <w:rPr>
                <w:rFonts w:ascii="Times New Roman" w:cs="Times New Roman" w:eastAsia="Times New Roman" w:hAnsi="Times New Roman"/>
                <w:sz w:val="10"/>
                <w:szCs w:val="10"/>
                <w:color w:val="auto"/>
              </w:rPr>
              <w:t>50</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(12.0)%</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432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0"/>
                <w:szCs w:val="10"/>
                <w:color w:val="auto"/>
              </w:rPr>
              <w:t>Public authorities &amp; electric railroads</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12</w:t>
            </w:r>
          </w:p>
        </w:tc>
        <w:tc>
          <w:tcPr>
            <w:tcW w:w="80" w:type="dxa"/>
            <w:vAlign w:val="bottom"/>
            <w:shd w:val="clear" w:color="auto" w:fill="CCEEFF"/>
          </w:tcPr>
          <w:p>
            <w:pPr>
              <w:spacing w:after="0"/>
              <w:rPr>
                <w:sz w:val="12"/>
                <w:szCs w:val="12"/>
                <w:color w:val="auto"/>
              </w:rPr>
            </w:pPr>
          </w:p>
        </w:tc>
        <w:tc>
          <w:tcPr>
            <w:tcW w:w="9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13</w:t>
            </w:r>
          </w:p>
        </w:tc>
        <w:tc>
          <w:tcPr>
            <w:tcW w:w="11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(7.7)%</w:t>
            </w: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(8.3)%</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w:t>
            </w: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 %</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320" w:type="dxa"/>
            <w:vAlign w:val="bottom"/>
            <w:gridSpan w:val="3"/>
          </w:tcPr>
          <w:p>
            <w:pPr>
              <w:ind w:left="240"/>
              <w:spacing w:after="0" w:line="135" w:lineRule="exact"/>
              <w:rPr>
                <w:sz w:val="20"/>
                <w:szCs w:val="20"/>
                <w:color w:val="auto"/>
              </w:rPr>
            </w:pPr>
            <w:r>
              <w:rPr>
                <w:rFonts w:ascii="Times New Roman" w:cs="Times New Roman" w:eastAsia="Times New Roman" w:hAnsi="Times New Roman"/>
                <w:sz w:val="10"/>
                <w:szCs w:val="10"/>
                <w:color w:val="auto"/>
              </w:rPr>
              <w:t>Other</w:t>
            </w:r>
            <w:r>
              <w:rPr>
                <w:rFonts w:ascii="Times New Roman" w:cs="Times New Roman" w:eastAsia="Times New Roman" w:hAnsi="Times New Roman"/>
                <w:sz w:val="12"/>
                <w:szCs w:val="12"/>
                <w:color w:val="auto"/>
                <w:vertAlign w:val="superscript"/>
              </w:rPr>
              <w:t>(b)</w:t>
            </w: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00" w:type="dxa"/>
            <w:vAlign w:val="bottom"/>
            <w:gridSpan w:val="3"/>
          </w:tcPr>
          <w:p>
            <w:pPr>
              <w:ind w:left="80"/>
              <w:spacing w:after="0"/>
              <w:rPr>
                <w:sz w:val="20"/>
                <w:szCs w:val="20"/>
                <w:color w:val="auto"/>
              </w:rPr>
            </w:pPr>
            <w:r>
              <w:rPr>
                <w:rFonts w:ascii="Times New Roman" w:cs="Times New Roman" w:eastAsia="Times New Roman" w:hAnsi="Times New Roman"/>
                <w:sz w:val="10"/>
                <w:szCs w:val="10"/>
                <w:color w:val="auto"/>
              </w:rPr>
              <w:t>n/a</w:t>
            </w:r>
          </w:p>
        </w:tc>
        <w:tc>
          <w:tcPr>
            <w:tcW w:w="10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n/a</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64</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5"/>
          </w:tcPr>
          <w:p>
            <w:pPr>
              <w:jc w:val="right"/>
              <w:spacing w:after="0"/>
              <w:rPr>
                <w:sz w:val="20"/>
                <w:szCs w:val="20"/>
                <w:color w:val="auto"/>
              </w:rPr>
            </w:pPr>
            <w:r>
              <w:rPr>
                <w:rFonts w:ascii="Times New Roman" w:cs="Times New Roman" w:eastAsia="Times New Roman" w:hAnsi="Times New Roman"/>
                <w:sz w:val="10"/>
                <w:szCs w:val="10"/>
                <w:color w:val="auto"/>
              </w:rPr>
              <w:t>68</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(5.9)%</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3700" w:type="dxa"/>
            <w:vAlign w:val="bottom"/>
            <w:tcBorders>
              <w:top w:val="single" w:sz="8" w:color="CCEEFF"/>
            </w:tcBorders>
            <w:shd w:val="clear" w:color="auto" w:fill="CCEEFF"/>
          </w:tcPr>
          <w:p>
            <w:pPr>
              <w:ind w:left="460"/>
              <w:spacing w:after="0" w:line="124" w:lineRule="exact"/>
              <w:rPr>
                <w:sz w:val="20"/>
                <w:szCs w:val="20"/>
                <w:color w:val="auto"/>
              </w:rPr>
            </w:pPr>
            <w:r>
              <w:rPr>
                <w:rFonts w:ascii="Times New Roman" w:cs="Times New Roman" w:eastAsia="Times New Roman" w:hAnsi="Times New Roman"/>
                <w:sz w:val="10"/>
                <w:szCs w:val="10"/>
                <w:color w:val="auto"/>
              </w:rPr>
              <w:t>Total electric revenues</w:t>
            </w:r>
            <w:r>
              <w:rPr>
                <w:rFonts w:ascii="Times New Roman" w:cs="Times New Roman" w:eastAsia="Times New Roman" w:hAnsi="Times New Roman"/>
                <w:sz w:val="12"/>
                <w:szCs w:val="12"/>
                <w:color w:val="auto"/>
                <w:vertAlign w:val="superscript"/>
              </w:rPr>
              <w:t>(c)</w:t>
            </w:r>
          </w:p>
        </w:tc>
        <w:tc>
          <w:tcPr>
            <w:tcW w:w="40" w:type="dxa"/>
            <w:vAlign w:val="bottom"/>
            <w:tcBorders>
              <w:top w:val="single" w:sz="8" w:color="auto"/>
              <w:bottom w:val="single" w:sz="8" w:color="auto"/>
            </w:tcBorders>
            <w:shd w:val="clear" w:color="auto" w:fill="CCEEFF"/>
          </w:tcPr>
          <w:p>
            <w:pPr>
              <w:spacing w:after="0"/>
              <w:rPr>
                <w:sz w:val="10"/>
                <w:szCs w:val="10"/>
                <w:color w:val="auto"/>
              </w:rPr>
            </w:pPr>
          </w:p>
        </w:tc>
        <w:tc>
          <w:tcPr>
            <w:tcW w:w="580" w:type="dxa"/>
            <w:vAlign w:val="bottom"/>
            <w:tcBorders>
              <w:top w:val="single" w:sz="8" w:color="auto"/>
              <w:bottom w:val="single" w:sz="8" w:color="auto"/>
            </w:tcBorders>
            <w:shd w:val="clear" w:color="auto" w:fill="CCEEFF"/>
          </w:tcPr>
          <w:p>
            <w:pPr>
              <w:spacing w:after="0"/>
              <w:rPr>
                <w:sz w:val="10"/>
                <w:szCs w:val="10"/>
                <w:color w:val="auto"/>
              </w:rPr>
            </w:pP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2,060</w:t>
            </w:r>
          </w:p>
        </w:tc>
        <w:tc>
          <w:tcPr>
            <w:tcW w:w="80" w:type="dxa"/>
            <w:vAlign w:val="bottom"/>
            <w:tcBorders>
              <w:top w:val="single" w:sz="8" w:color="CCEEFF"/>
            </w:tcBorders>
            <w:shd w:val="clear" w:color="auto" w:fill="CCEEFF"/>
          </w:tcPr>
          <w:p>
            <w:pPr>
              <w:spacing w:after="0"/>
              <w:rPr>
                <w:sz w:val="10"/>
                <w:szCs w:val="10"/>
                <w:color w:val="auto"/>
              </w:rPr>
            </w:pPr>
          </w:p>
        </w:tc>
        <w:tc>
          <w:tcPr>
            <w:tcW w:w="96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2,018</w:t>
            </w:r>
          </w:p>
        </w:tc>
        <w:tc>
          <w:tcPr>
            <w:tcW w:w="1140" w:type="dxa"/>
            <w:vAlign w:val="bottom"/>
            <w:tcBorders>
              <w:top w:val="single" w:sz="8" w:color="CCEEFF"/>
            </w:tcBorders>
            <w:gridSpan w:val="4"/>
            <w:shd w:val="clear" w:color="auto" w:fill="CCEEFF"/>
          </w:tcPr>
          <w:p>
            <w:pPr>
              <w:jc w:val="right"/>
              <w:spacing w:after="0" w:line="107" w:lineRule="exact"/>
              <w:rPr>
                <w:sz w:val="20"/>
                <w:szCs w:val="20"/>
                <w:color w:val="auto"/>
              </w:rPr>
            </w:pPr>
            <w:r>
              <w:rPr>
                <w:rFonts w:ascii="Times New Roman" w:cs="Times New Roman" w:eastAsia="Times New Roman" w:hAnsi="Times New Roman"/>
                <w:sz w:val="10"/>
                <w:szCs w:val="10"/>
                <w:color w:val="auto"/>
              </w:rPr>
              <w:t>2.1 %</w:t>
            </w:r>
          </w:p>
        </w:tc>
        <w:tc>
          <w:tcPr>
            <w:tcW w:w="100" w:type="dxa"/>
            <w:vAlign w:val="bottom"/>
            <w:tcBorders>
              <w:top w:val="single" w:sz="8" w:color="CCEEFF"/>
            </w:tcBorders>
            <w:shd w:val="clear" w:color="auto" w:fill="CCEEFF"/>
          </w:tcPr>
          <w:p>
            <w:pPr>
              <w:spacing w:after="0"/>
              <w:rPr>
                <w:sz w:val="10"/>
                <w:szCs w:val="10"/>
                <w:color w:val="auto"/>
              </w:rPr>
            </w:pPr>
          </w:p>
        </w:tc>
        <w:tc>
          <w:tcPr>
            <w:tcW w:w="1060" w:type="dxa"/>
            <w:vAlign w:val="bottom"/>
            <w:tcBorders>
              <w:top w:val="single" w:sz="8" w:color="CCEEFF"/>
            </w:tcBorders>
            <w:shd w:val="clear" w:color="auto" w:fill="CCEEFF"/>
          </w:tcPr>
          <w:p>
            <w:pPr>
              <w:jc w:val="right"/>
              <w:spacing w:after="0" w:line="107" w:lineRule="exact"/>
              <w:rPr>
                <w:sz w:val="20"/>
                <w:szCs w:val="20"/>
                <w:color w:val="auto"/>
              </w:rPr>
            </w:pPr>
            <w:r>
              <w:rPr>
                <w:rFonts w:ascii="Times New Roman" w:cs="Times New Roman" w:eastAsia="Times New Roman" w:hAnsi="Times New Roman"/>
                <w:sz w:val="10"/>
                <w:szCs w:val="10"/>
                <w:color w:val="auto"/>
              </w:rPr>
              <w:t>0.9 %</w:t>
            </w:r>
          </w:p>
        </w:tc>
        <w:tc>
          <w:tcPr>
            <w:tcW w:w="8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bottom w:val="single" w:sz="8" w:color="auto"/>
            </w:tcBorders>
            <w:shd w:val="clear" w:color="auto" w:fill="CCEEFF"/>
          </w:tcPr>
          <w:p>
            <w:pPr>
              <w:spacing w:after="0"/>
              <w:rPr>
                <w:sz w:val="10"/>
                <w:szCs w:val="10"/>
                <w:color w:val="auto"/>
              </w:rPr>
            </w:pPr>
          </w:p>
        </w:tc>
        <w:tc>
          <w:tcPr>
            <w:tcW w:w="100" w:type="dxa"/>
            <w:vAlign w:val="bottom"/>
            <w:tcBorders>
              <w:top w:val="single" w:sz="8" w:color="auto"/>
              <w:bottom w:val="single" w:sz="8" w:color="auto"/>
            </w:tcBorders>
            <w:shd w:val="clear" w:color="auto" w:fill="CCEEFF"/>
          </w:tcPr>
          <w:p>
            <w:pPr>
              <w:spacing w:after="0"/>
              <w:rPr>
                <w:sz w:val="10"/>
                <w:szCs w:val="10"/>
                <w:color w:val="auto"/>
              </w:rPr>
            </w:pPr>
          </w:p>
        </w:tc>
        <w:tc>
          <w:tcPr>
            <w:tcW w:w="8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439</w:t>
            </w:r>
          </w:p>
        </w:tc>
        <w:tc>
          <w:tcPr>
            <w:tcW w:w="10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bottom w:val="single" w:sz="8" w:color="auto"/>
            </w:tcBorders>
            <w:shd w:val="clear" w:color="auto" w:fill="CCEEFF"/>
          </w:tcPr>
          <w:p>
            <w:pPr>
              <w:spacing w:after="0"/>
              <w:rPr>
                <w:sz w:val="10"/>
                <w:szCs w:val="10"/>
                <w:color w:val="auto"/>
              </w:rPr>
            </w:pPr>
          </w:p>
        </w:tc>
        <w:tc>
          <w:tcPr>
            <w:tcW w:w="880" w:type="dxa"/>
            <w:vAlign w:val="bottom"/>
            <w:tcBorders>
              <w:top w:val="single" w:sz="8" w:color="auto"/>
              <w:bottom w:val="single" w:sz="8" w:color="auto"/>
            </w:tcBorders>
            <w:gridSpan w:val="5"/>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373</w:t>
            </w:r>
          </w:p>
        </w:tc>
        <w:tc>
          <w:tcPr>
            <w:tcW w:w="1160" w:type="dxa"/>
            <w:vAlign w:val="bottom"/>
            <w:tcBorders>
              <w:top w:val="single" w:sz="8" w:color="CCEEFF"/>
            </w:tcBorders>
            <w:gridSpan w:val="2"/>
            <w:shd w:val="clear" w:color="auto" w:fill="CCEEFF"/>
          </w:tcPr>
          <w:p>
            <w:pPr>
              <w:jc w:val="right"/>
              <w:spacing w:after="0" w:line="107" w:lineRule="exact"/>
              <w:rPr>
                <w:sz w:val="20"/>
                <w:szCs w:val="20"/>
                <w:color w:val="auto"/>
              </w:rPr>
            </w:pPr>
            <w:r>
              <w:rPr>
                <w:rFonts w:ascii="Times New Roman" w:cs="Times New Roman" w:eastAsia="Times New Roman" w:hAnsi="Times New Roman"/>
                <w:sz w:val="10"/>
                <w:szCs w:val="10"/>
                <w:color w:val="auto"/>
              </w:rPr>
              <w:t>17.7 %</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3700" w:type="dxa"/>
            <w:vAlign w:val="bottom"/>
          </w:tcPr>
          <w:p>
            <w:pPr>
              <w:ind w:left="20"/>
              <w:spacing w:after="0" w:line="124" w:lineRule="exact"/>
              <w:rPr>
                <w:sz w:val="20"/>
                <w:szCs w:val="20"/>
                <w:color w:val="auto"/>
              </w:rPr>
            </w:pPr>
            <w:r>
              <w:rPr>
                <w:rFonts w:ascii="Times New Roman" w:cs="Times New Roman" w:eastAsia="Times New Roman" w:hAnsi="Times New Roman"/>
                <w:sz w:val="10"/>
                <w:szCs w:val="10"/>
                <w:b w:val="1"/>
                <w:bCs w:val="1"/>
                <w:color w:val="auto"/>
              </w:rPr>
              <w:t>Other Revenues</w:t>
            </w:r>
            <w:r>
              <w:rPr>
                <w:rFonts w:ascii="Times New Roman" w:cs="Times New Roman" w:eastAsia="Times New Roman" w:hAnsi="Times New Roman"/>
                <w:sz w:val="12"/>
                <w:szCs w:val="12"/>
                <w:b w:val="1"/>
                <w:bCs w:val="1"/>
                <w:color w:val="auto"/>
                <w:vertAlign w:val="superscript"/>
              </w:rPr>
              <w:t>(d)</w:t>
            </w:r>
          </w:p>
        </w:tc>
        <w:tc>
          <w:tcPr>
            <w:tcW w:w="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(18)</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0"/>
                <w:szCs w:val="10"/>
                <w:color w:val="auto"/>
              </w:rPr>
            </w:pPr>
          </w:p>
        </w:tc>
        <w:tc>
          <w:tcPr>
            <w:tcW w:w="1080" w:type="dxa"/>
            <w:vAlign w:val="bottom"/>
            <w:gridSpan w:val="2"/>
          </w:tcPr>
          <w:p>
            <w:pPr>
              <w:jc w:val="right"/>
              <w:ind w:right="40"/>
              <w:spacing w:after="0" w:line="107" w:lineRule="exact"/>
              <w:rPr>
                <w:sz w:val="20"/>
                <w:szCs w:val="20"/>
                <w:color w:val="auto"/>
              </w:rPr>
            </w:pPr>
            <w:r>
              <w:rPr>
                <w:rFonts w:ascii="Times New Roman" w:cs="Times New Roman" w:eastAsia="Times New Roman" w:hAnsi="Times New Roman"/>
                <w:sz w:val="10"/>
                <w:szCs w:val="10"/>
                <w:color w:val="auto"/>
              </w:rPr>
              <w:t>n/a</w:t>
            </w:r>
          </w:p>
        </w:tc>
        <w:tc>
          <w:tcPr>
            <w:tcW w:w="0" w:type="dxa"/>
            <w:vAlign w:val="bottom"/>
          </w:tcPr>
          <w:p>
            <w:pPr>
              <w:spacing w:after="0"/>
              <w:rPr>
                <w:sz w:val="1"/>
                <w:szCs w:val="1"/>
                <w:color w:val="auto"/>
              </w:rPr>
            </w:pPr>
          </w:p>
        </w:tc>
      </w:tr>
      <w:tr>
        <w:trPr>
          <w:trHeight w:val="151"/>
        </w:trPr>
        <w:tc>
          <w:tcPr>
            <w:tcW w:w="4320" w:type="dxa"/>
            <w:vAlign w:val="bottom"/>
            <w:tcBorders>
              <w:top w:val="single" w:sz="8" w:color="CCEEFF"/>
              <w:bottom w:val="single" w:sz="8" w:color="CCEEFF"/>
            </w:tcBorders>
            <w:gridSpan w:val="3"/>
            <w:shd w:val="clear" w:color="auto" w:fill="CCEEFF"/>
          </w:tcPr>
          <w:p>
            <w:pPr>
              <w:ind w:left="460"/>
              <w:spacing w:after="0"/>
              <w:rPr>
                <w:sz w:val="20"/>
                <w:szCs w:val="20"/>
                <w:color w:val="auto"/>
              </w:rPr>
            </w:pPr>
            <w:r>
              <w:rPr>
                <w:rFonts w:ascii="Times New Roman" w:cs="Times New Roman" w:eastAsia="Times New Roman" w:hAnsi="Times New Roman"/>
                <w:sz w:val="10"/>
                <w:szCs w:val="10"/>
                <w:color w:val="auto"/>
              </w:rPr>
              <w:t>Total electric revenues</w:t>
            </w:r>
          </w:p>
        </w:tc>
        <w:tc>
          <w:tcPr>
            <w:tcW w:w="36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40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48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84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06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00" w:type="dxa"/>
            <w:vAlign w:val="bottom"/>
            <w:tcBorders>
              <w:top w:val="single" w:sz="8" w:color="auto"/>
              <w:bottom w:val="single" w:sz="8" w:color="auto"/>
            </w:tcBorders>
            <w:shd w:val="clear" w:color="auto" w:fill="CCEEFF"/>
          </w:tcPr>
          <w:p>
            <w:pPr>
              <w:spacing w:after="0"/>
              <w:rPr>
                <w:sz w:val="13"/>
                <w:szCs w:val="13"/>
                <w:color w:val="auto"/>
              </w:rPr>
            </w:pPr>
          </w:p>
        </w:tc>
        <w:tc>
          <w:tcPr>
            <w:tcW w:w="8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421</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880" w:type="dxa"/>
            <w:vAlign w:val="bottom"/>
            <w:tcBorders>
              <w:top w:val="single" w:sz="8" w:color="auto"/>
              <w:bottom w:val="single" w:sz="8" w:color="auto"/>
            </w:tcBorders>
            <w:gridSpan w:val="5"/>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373</w:t>
            </w:r>
          </w:p>
        </w:tc>
        <w:tc>
          <w:tcPr>
            <w:tcW w:w="116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12.9 %</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4320" w:type="dxa"/>
            <w:vAlign w:val="bottom"/>
            <w:gridSpan w:val="3"/>
          </w:tcPr>
          <w:p>
            <w:pPr>
              <w:ind w:left="20"/>
              <w:spacing w:after="0"/>
              <w:rPr>
                <w:sz w:val="20"/>
                <w:szCs w:val="20"/>
                <w:color w:val="auto"/>
              </w:rPr>
            </w:pPr>
            <w:r>
              <w:rPr>
                <w:rFonts w:ascii="Times New Roman" w:cs="Times New Roman" w:eastAsia="Times New Roman" w:hAnsi="Times New Roman"/>
                <w:sz w:val="10"/>
                <w:szCs w:val="10"/>
                <w:b w:val="1"/>
                <w:bCs w:val="1"/>
                <w:color w:val="auto"/>
              </w:rPr>
              <w:t>Purchased Power</w:t>
            </w: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00" w:type="dxa"/>
            <w:vAlign w:val="bottom"/>
            <w:tcBorders>
              <w:top w:val="single" w:sz="8" w:color="auto"/>
              <w:bottom w:val="single" w:sz="8" w:color="auto"/>
            </w:tcBorders>
          </w:tcPr>
          <w:p>
            <w:pPr>
              <w:spacing w:after="0"/>
              <w:rPr>
                <w:sz w:val="10"/>
                <w:szCs w:val="10"/>
                <w:color w:val="auto"/>
              </w:rPr>
            </w:pPr>
          </w:p>
        </w:tc>
        <w:tc>
          <w:tcPr>
            <w:tcW w:w="8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0"/>
                <w:szCs w:val="10"/>
                <w:color w:val="auto"/>
              </w:rPr>
              <w:t>205</w:t>
            </w:r>
          </w:p>
        </w:tc>
        <w:tc>
          <w:tcPr>
            <w:tcW w:w="100" w:type="dxa"/>
            <w:vAlign w:val="bottom"/>
          </w:tcPr>
          <w:p>
            <w:pPr>
              <w:spacing w:after="0"/>
              <w:rPr>
                <w:sz w:val="10"/>
                <w:szCs w:val="1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880" w:type="dxa"/>
            <w:vAlign w:val="bottom"/>
            <w:tcBorders>
              <w:top w:val="single" w:sz="8" w:color="auto"/>
              <w:bottom w:val="single" w:sz="8" w:color="auto"/>
            </w:tcBorders>
            <w:gridSpan w:val="5"/>
          </w:tcPr>
          <w:p>
            <w:pPr>
              <w:jc w:val="right"/>
              <w:spacing w:after="0"/>
              <w:rPr>
                <w:sz w:val="20"/>
                <w:szCs w:val="20"/>
                <w:color w:val="auto"/>
              </w:rPr>
            </w:pPr>
            <w:r>
              <w:rPr>
                <w:rFonts w:ascii="Times New Roman" w:cs="Times New Roman" w:eastAsia="Times New Roman" w:hAnsi="Times New Roman"/>
                <w:sz w:val="10"/>
                <w:szCs w:val="10"/>
                <w:color w:val="auto"/>
              </w:rPr>
              <w:t>157</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30.6 %</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3"/>
        </w:trPr>
        <w:tc>
          <w:tcPr>
            <w:tcW w:w="3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gridSpan w:val="5"/>
          </w:tcPr>
          <w:p>
            <w:pPr>
              <w:jc w:val="right"/>
              <w:ind w:right="72"/>
              <w:spacing w:after="0"/>
              <w:rPr>
                <w:sz w:val="20"/>
                <w:szCs w:val="20"/>
                <w:color w:val="auto"/>
              </w:rPr>
            </w:pPr>
            <w:r>
              <w:rPr>
                <w:rFonts w:ascii="Times New Roman" w:cs="Times New Roman" w:eastAsia="Times New Roman" w:hAnsi="Times New Roman"/>
                <w:sz w:val="10"/>
                <w:szCs w:val="10"/>
                <w:b w:val="1"/>
                <w:bCs w:val="1"/>
                <w:color w:val="auto"/>
              </w:rPr>
              <w:t>% Change</w:t>
            </w:r>
          </w:p>
        </w:tc>
        <w:tc>
          <w:tcPr>
            <w:tcW w:w="1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4320" w:type="dxa"/>
            <w:vAlign w:val="bottom"/>
            <w:gridSpan w:val="3"/>
          </w:tcPr>
          <w:p>
            <w:pPr>
              <w:spacing w:after="0"/>
              <w:rPr>
                <w:sz w:val="20"/>
                <w:szCs w:val="20"/>
                <w:color w:val="auto"/>
              </w:rPr>
            </w:pPr>
            <w:r>
              <w:rPr>
                <w:rFonts w:ascii="Times New Roman" w:cs="Times New Roman" w:eastAsia="Times New Roman" w:hAnsi="Times New Roman"/>
                <w:sz w:val="10"/>
                <w:szCs w:val="10"/>
                <w:b w:val="1"/>
                <w:bCs w:val="1"/>
                <w:color w:val="auto"/>
              </w:rPr>
              <w:t>Heating and Cooling Degree-Days</w:t>
            </w:r>
          </w:p>
        </w:tc>
        <w:tc>
          <w:tcPr>
            <w:tcW w:w="360" w:type="dxa"/>
            <w:vAlign w:val="bottom"/>
          </w:tcPr>
          <w:p>
            <w:pPr>
              <w:jc w:val="right"/>
              <w:ind w:right="92"/>
              <w:spacing w:after="0"/>
              <w:rPr>
                <w:sz w:val="20"/>
                <w:szCs w:val="20"/>
                <w:color w:val="auto"/>
              </w:rPr>
            </w:pPr>
            <w:r>
              <w:rPr>
                <w:rFonts w:ascii="Times New Roman" w:cs="Times New Roman" w:eastAsia="Times New Roman" w:hAnsi="Times New Roman"/>
                <w:sz w:val="10"/>
                <w:szCs w:val="10"/>
                <w:b w:val="1"/>
                <w:bCs w:val="1"/>
                <w:color w:val="auto"/>
                <w:w w:val="99"/>
              </w:rPr>
              <w:t>2026</w:t>
            </w: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jc w:val="right"/>
              <w:ind w:right="552"/>
              <w:spacing w:after="0"/>
              <w:rPr>
                <w:sz w:val="20"/>
                <w:szCs w:val="20"/>
                <w:color w:val="auto"/>
              </w:rPr>
            </w:pPr>
            <w:r>
              <w:rPr>
                <w:rFonts w:ascii="Times New Roman" w:cs="Times New Roman" w:eastAsia="Times New Roman" w:hAnsi="Times New Roman"/>
                <w:sz w:val="10"/>
                <w:szCs w:val="10"/>
                <w:b w:val="1"/>
                <w:bCs w:val="1"/>
                <w:color w:val="auto"/>
              </w:rPr>
              <w:t>2025</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jc w:val="right"/>
              <w:ind w:right="352"/>
              <w:spacing w:after="0"/>
              <w:rPr>
                <w:sz w:val="20"/>
                <w:szCs w:val="20"/>
                <w:color w:val="auto"/>
              </w:rPr>
            </w:pPr>
            <w:r>
              <w:rPr>
                <w:rFonts w:ascii="Times New Roman" w:cs="Times New Roman" w:eastAsia="Times New Roman" w:hAnsi="Times New Roman"/>
                <w:sz w:val="10"/>
                <w:szCs w:val="10"/>
                <w:b w:val="1"/>
                <w:bCs w:val="1"/>
                <w:color w:val="auto"/>
              </w:rPr>
              <w:t>Normal</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0"/>
                <w:szCs w:val="10"/>
                <w:b w:val="1"/>
                <w:bCs w:val="1"/>
                <w:color w:val="auto"/>
              </w:rPr>
              <w:t>From 2025</w:t>
            </w: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gridSpan w:val="2"/>
          </w:tcPr>
          <w:p>
            <w:pPr>
              <w:jc w:val="right"/>
              <w:ind w:right="460"/>
              <w:spacing w:after="0"/>
              <w:rPr>
                <w:sz w:val="20"/>
                <w:szCs w:val="20"/>
                <w:color w:val="auto"/>
              </w:rPr>
            </w:pPr>
            <w:r>
              <w:rPr>
                <w:rFonts w:ascii="Times New Roman" w:cs="Times New Roman" w:eastAsia="Times New Roman" w:hAnsi="Times New Roman"/>
                <w:sz w:val="10"/>
                <w:szCs w:val="10"/>
                <w:b w:val="1"/>
                <w:bCs w:val="1"/>
                <w:color w:val="auto"/>
              </w:rPr>
              <w:t>From Normal</w:t>
            </w:r>
          </w:p>
        </w:tc>
        <w:tc>
          <w:tcPr>
            <w:tcW w:w="0" w:type="dxa"/>
            <w:vAlign w:val="bottom"/>
          </w:tcPr>
          <w:p>
            <w:pPr>
              <w:spacing w:after="0"/>
              <w:rPr>
                <w:sz w:val="1"/>
                <w:szCs w:val="1"/>
                <w:color w:val="auto"/>
              </w:rPr>
            </w:pPr>
          </w:p>
        </w:tc>
      </w:tr>
      <w:tr>
        <w:trPr>
          <w:trHeight w:val="129"/>
        </w:trPr>
        <w:tc>
          <w:tcPr>
            <w:tcW w:w="3740" w:type="dxa"/>
            <w:vAlign w:val="bottom"/>
            <w:tcBorders>
              <w:top w:val="single" w:sz="8" w:color="CCEEFF"/>
            </w:tcBorders>
            <w:gridSpan w:val="2"/>
            <w:shd w:val="clear" w:color="auto" w:fill="CCEEFF"/>
          </w:tcPr>
          <w:p>
            <w:pPr>
              <w:ind w:left="220"/>
              <w:spacing w:after="0" w:line="112" w:lineRule="exact"/>
              <w:rPr>
                <w:sz w:val="20"/>
                <w:szCs w:val="20"/>
                <w:color w:val="auto"/>
              </w:rPr>
            </w:pPr>
            <w:r>
              <w:rPr>
                <w:rFonts w:ascii="Times New Roman" w:cs="Times New Roman" w:eastAsia="Times New Roman" w:hAnsi="Times New Roman"/>
                <w:sz w:val="10"/>
                <w:szCs w:val="10"/>
                <w:color w:val="auto"/>
              </w:rPr>
              <w:t>Heating Degree-Days</w:t>
            </w:r>
          </w:p>
        </w:tc>
        <w:tc>
          <w:tcPr>
            <w:tcW w:w="580" w:type="dxa"/>
            <w:vAlign w:val="bottom"/>
            <w:tcBorders>
              <w:top w:val="single" w:sz="8" w:color="auto"/>
            </w:tcBorders>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2,543</w:t>
            </w:r>
          </w:p>
        </w:tc>
        <w:tc>
          <w:tcPr>
            <w:tcW w:w="8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9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2,408</w:t>
            </w: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120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2,386</w:t>
            </w: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5.6 %</w:t>
            </w:r>
          </w:p>
        </w:tc>
        <w:tc>
          <w:tcPr>
            <w:tcW w:w="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1180" w:type="dxa"/>
            <w:vAlign w:val="bottom"/>
            <w:tcBorders>
              <w:top w:val="single" w:sz="8" w:color="auto"/>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0"/>
                <w:szCs w:val="10"/>
                <w:color w:val="auto"/>
              </w:rPr>
              <w:t>6.6 %</w:t>
            </w:r>
          </w:p>
        </w:tc>
        <w:tc>
          <w:tcPr>
            <w:tcW w:w="0" w:type="dxa"/>
            <w:vAlign w:val="bottom"/>
          </w:tcPr>
          <w:p>
            <w:pPr>
              <w:spacing w:after="0"/>
              <w:rPr>
                <w:sz w:val="1"/>
                <w:szCs w:val="1"/>
                <w:color w:val="auto"/>
              </w:rPr>
            </w:pPr>
          </w:p>
        </w:tc>
      </w:tr>
      <w:tr>
        <w:trPr>
          <w:trHeight w:val="123"/>
        </w:trPr>
        <w:tc>
          <w:tcPr>
            <w:tcW w:w="4320" w:type="dxa"/>
            <w:vAlign w:val="bottom"/>
            <w:gridSpan w:val="3"/>
          </w:tcPr>
          <w:p>
            <w:pPr>
              <w:ind w:left="220"/>
              <w:spacing w:after="0"/>
              <w:rPr>
                <w:sz w:val="20"/>
                <w:szCs w:val="20"/>
                <w:color w:val="auto"/>
              </w:rPr>
            </w:pPr>
            <w:r>
              <w:rPr>
                <w:rFonts w:ascii="Times New Roman" w:cs="Times New Roman" w:eastAsia="Times New Roman" w:hAnsi="Times New Roman"/>
                <w:sz w:val="10"/>
                <w:szCs w:val="10"/>
                <w:color w:val="auto"/>
              </w:rPr>
              <w:t>Cooling Degree-Days</w:t>
            </w: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w:t>
            </w: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gridSpan w:val="4"/>
          </w:tcPr>
          <w:p>
            <w:pPr>
              <w:jc w:val="right"/>
              <w:ind w:right="34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tcPr>
          <w:p>
            <w:pPr>
              <w:spacing w:after="0"/>
              <w:rPr>
                <w:sz w:val="10"/>
                <w:szCs w:val="10"/>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1</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gridSpan w:val="5"/>
          </w:tcPr>
          <w:p>
            <w:pPr>
              <w:jc w:val="right"/>
              <w:ind w:right="332"/>
              <w:spacing w:after="0"/>
              <w:rPr>
                <w:sz w:val="20"/>
                <w:szCs w:val="20"/>
                <w:color w:val="auto"/>
              </w:rPr>
            </w:pPr>
            <w:r>
              <w:rPr>
                <w:rFonts w:ascii="Times New Roman" w:cs="Times New Roman" w:eastAsia="Times New Roman" w:hAnsi="Times New Roman"/>
                <w:sz w:val="10"/>
                <w:szCs w:val="10"/>
                <w:color w:val="auto"/>
              </w:rPr>
              <w:t>— %</w:t>
            </w:r>
          </w:p>
        </w:tc>
        <w:tc>
          <w:tcPr>
            <w:tcW w:w="1180" w:type="dxa"/>
            <w:vAlign w:val="bottom"/>
            <w:gridSpan w:val="3"/>
          </w:tcPr>
          <w:p>
            <w:pPr>
              <w:jc w:val="right"/>
              <w:ind w:right="20"/>
              <w:spacing w:after="0"/>
              <w:rPr>
                <w:sz w:val="20"/>
                <w:szCs w:val="20"/>
                <w:color w:val="auto"/>
              </w:rPr>
            </w:pPr>
            <w:r>
              <w:rPr>
                <w:rFonts w:ascii="Times New Roman" w:cs="Times New Roman" w:eastAsia="Times New Roman" w:hAnsi="Times New Roman"/>
                <w:sz w:val="10"/>
                <w:szCs w:val="10"/>
                <w:color w:val="auto"/>
              </w:rPr>
              <w:t>200.0 %</w:t>
            </w:r>
          </w:p>
        </w:tc>
        <w:tc>
          <w:tcPr>
            <w:tcW w:w="0" w:type="dxa"/>
            <w:vAlign w:val="bottom"/>
          </w:tcPr>
          <w:p>
            <w:pPr>
              <w:spacing w:after="0"/>
              <w:rPr>
                <w:sz w:val="1"/>
                <w:szCs w:val="1"/>
                <w:color w:val="auto"/>
              </w:rPr>
            </w:pPr>
          </w:p>
        </w:tc>
      </w:tr>
      <w:tr>
        <w:trPr>
          <w:trHeight w:val="372"/>
        </w:trPr>
        <w:tc>
          <w:tcPr>
            <w:tcW w:w="4320" w:type="dxa"/>
            <w:vAlign w:val="bottom"/>
            <w:gridSpan w:val="3"/>
          </w:tcPr>
          <w:p>
            <w:pPr>
              <w:spacing w:after="0"/>
              <w:rPr>
                <w:sz w:val="20"/>
                <w:szCs w:val="20"/>
                <w:color w:val="auto"/>
              </w:rPr>
            </w:pPr>
            <w:r>
              <w:rPr>
                <w:rFonts w:ascii="Times New Roman" w:cs="Times New Roman" w:eastAsia="Times New Roman" w:hAnsi="Times New Roman"/>
                <w:sz w:val="10"/>
                <w:szCs w:val="10"/>
                <w:b w:val="1"/>
                <w:bCs w:val="1"/>
                <w:color w:val="auto"/>
              </w:rPr>
              <w:t>Number of Electric Customers</w:t>
            </w: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0"/>
                <w:szCs w:val="10"/>
                <w:b w:val="1"/>
                <w:bCs w:val="1"/>
                <w:color w:val="auto"/>
              </w:rPr>
              <w:t>2026</w:t>
            </w: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gridSpan w:val="2"/>
          </w:tcPr>
          <w:p>
            <w:pPr>
              <w:jc w:val="right"/>
              <w:ind w:right="552"/>
              <w:spacing w:after="0"/>
              <w:rPr>
                <w:sz w:val="20"/>
                <w:szCs w:val="20"/>
                <w:color w:val="auto"/>
              </w:rPr>
            </w:pPr>
            <w:r>
              <w:rPr>
                <w:rFonts w:ascii="Times New Roman" w:cs="Times New Roman" w:eastAsia="Times New Roman" w:hAnsi="Times New Roman"/>
                <w:sz w:val="10"/>
                <w:szCs w:val="10"/>
                <w:b w:val="1"/>
                <w:bCs w:val="1"/>
                <w:color w:val="auto"/>
              </w:rPr>
              <w:t>2025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4320" w:type="dxa"/>
            <w:vAlign w:val="bottom"/>
            <w:tcBorders>
              <w:top w:val="single" w:sz="8" w:color="CCEEFF"/>
            </w:tcBorders>
            <w:gridSpan w:val="3"/>
            <w:shd w:val="clear" w:color="auto" w:fill="CCEEFF"/>
          </w:tcPr>
          <w:p>
            <w:pPr>
              <w:ind w:left="220"/>
              <w:spacing w:after="0"/>
              <w:rPr>
                <w:sz w:val="20"/>
                <w:szCs w:val="20"/>
                <w:color w:val="auto"/>
              </w:rPr>
            </w:pPr>
            <w:r>
              <w:rPr>
                <w:rFonts w:ascii="Times New Roman" w:cs="Times New Roman" w:eastAsia="Times New Roman" w:hAnsi="Times New Roman"/>
                <w:sz w:val="10"/>
                <w:szCs w:val="10"/>
                <w:color w:val="auto"/>
              </w:rPr>
              <w:t>Residential</w:t>
            </w:r>
          </w:p>
        </w:tc>
        <w:tc>
          <w:tcPr>
            <w:tcW w:w="3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4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8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0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510,569</w:t>
            </w:r>
          </w:p>
        </w:tc>
        <w:tc>
          <w:tcPr>
            <w:tcW w:w="4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11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508,354</w:t>
            </w:r>
          </w:p>
        </w:tc>
        <w:tc>
          <w:tcPr>
            <w:tcW w:w="2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4320" w:type="dxa"/>
            <w:vAlign w:val="bottom"/>
            <w:gridSpan w:val="3"/>
          </w:tcPr>
          <w:p>
            <w:pPr>
              <w:ind w:left="220"/>
              <w:spacing w:after="0"/>
              <w:rPr>
                <w:sz w:val="20"/>
                <w:szCs w:val="20"/>
                <w:color w:val="auto"/>
              </w:rPr>
            </w:pPr>
            <w:r>
              <w:rPr>
                <w:rFonts w:ascii="Times New Roman" w:cs="Times New Roman" w:eastAsia="Times New Roman" w:hAnsi="Times New Roman"/>
                <w:sz w:val="10"/>
                <w:szCs w:val="10"/>
                <w:color w:val="auto"/>
              </w:rPr>
              <w:t>Small commercial &amp; industrial</w:t>
            </w: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63,174</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62,861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432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0"/>
                <w:szCs w:val="10"/>
                <w:color w:val="auto"/>
              </w:rPr>
              <w:t>Large commercial &amp; industrial</w:t>
            </w: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2,660</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2,824</w:t>
            </w: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4320" w:type="dxa"/>
            <w:vAlign w:val="bottom"/>
            <w:tcBorders>
              <w:bottom w:val="single" w:sz="8" w:color="CCEEFF"/>
            </w:tcBorders>
            <w:gridSpan w:val="3"/>
          </w:tcPr>
          <w:p>
            <w:pPr>
              <w:ind w:left="220"/>
              <w:spacing w:after="0"/>
              <w:rPr>
                <w:sz w:val="20"/>
                <w:szCs w:val="20"/>
                <w:color w:val="auto"/>
              </w:rPr>
            </w:pPr>
            <w:r>
              <w:rPr>
                <w:rFonts w:ascii="Times New Roman" w:cs="Times New Roman" w:eastAsia="Times New Roman" w:hAnsi="Times New Roman"/>
                <w:sz w:val="10"/>
                <w:szCs w:val="10"/>
                <w:color w:val="auto"/>
              </w:rPr>
              <w:t>Public authorities &amp; electric railroads</w:t>
            </w:r>
          </w:p>
        </w:tc>
        <w:tc>
          <w:tcPr>
            <w:tcW w:w="36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40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48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84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06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756</w:t>
            </w:r>
          </w:p>
        </w:tc>
        <w:tc>
          <w:tcPr>
            <w:tcW w:w="40" w:type="dxa"/>
            <w:vAlign w:val="bottom"/>
            <w:tcBorders>
              <w:bottom w:val="single" w:sz="8" w:color="auto"/>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0"/>
                <w:szCs w:val="10"/>
                <w:color w:val="auto"/>
              </w:rPr>
              <w:t>723</w:t>
            </w: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4320" w:type="dxa"/>
            <w:vAlign w:val="bottom"/>
            <w:tcBorders>
              <w:bottom w:val="single" w:sz="8" w:color="CCEEFF"/>
            </w:tcBorders>
            <w:gridSpan w:val="3"/>
            <w:shd w:val="clear" w:color="auto" w:fill="CCEEFF"/>
          </w:tcPr>
          <w:p>
            <w:pPr>
              <w:ind w:left="440"/>
              <w:spacing w:after="0"/>
              <w:rPr>
                <w:sz w:val="20"/>
                <w:szCs w:val="20"/>
                <w:color w:val="auto"/>
              </w:rPr>
            </w:pPr>
            <w:r>
              <w:rPr>
                <w:rFonts w:ascii="Times New Roman" w:cs="Times New Roman" w:eastAsia="Times New Roman" w:hAnsi="Times New Roman"/>
                <w:sz w:val="10"/>
                <w:szCs w:val="10"/>
                <w:color w:val="auto"/>
              </w:rPr>
              <w:t>Total</w:t>
            </w:r>
          </w:p>
        </w:tc>
        <w:tc>
          <w:tcPr>
            <w:tcW w:w="36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4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4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06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577,159</w:t>
            </w:r>
          </w:p>
        </w:tc>
        <w:tc>
          <w:tcPr>
            <w:tcW w:w="40" w:type="dxa"/>
            <w:vAlign w:val="bottom"/>
            <w:tcBorders>
              <w:bottom w:val="single" w:sz="8" w:color="auto"/>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11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574,762</w:t>
            </w:r>
          </w:p>
        </w:tc>
        <w:tc>
          <w:tcPr>
            <w:tcW w:w="20" w:type="dxa"/>
            <w:vAlign w:val="bottom"/>
            <w:tcBorders>
              <w:bottom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__________</w:t>
      </w:r>
    </w:p>
    <w:p>
      <w:pPr>
        <w:spacing w:after="0" w:line="8" w:lineRule="exact"/>
        <w:rPr>
          <w:sz w:val="20"/>
          <w:szCs w:val="20"/>
          <w:color w:val="auto"/>
        </w:rPr>
      </w:pPr>
    </w:p>
    <w:p>
      <w:pPr>
        <w:ind w:left="380" w:hanging="226"/>
        <w:spacing w:after="0" w:line="238" w:lineRule="auto"/>
        <w:tabs>
          <w:tab w:leader="none" w:pos="378" w:val="left"/>
        </w:tabs>
        <w:numPr>
          <w:ilvl w:val="0"/>
          <w:numId w:val="15"/>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Reflects delivery volumes and revenues from customers purchasing electricity directly from ACE and customers purchasing electricity from a competitive electric generation supplier as all customers are assessed distribution charges. For customers purchasing electricity from ACE, revenues also reflect the cost of energy and transmission.</w:t>
      </w:r>
    </w:p>
    <w:p>
      <w:pPr>
        <w:ind w:left="360" w:hanging="206"/>
        <w:spacing w:after="0" w:line="236" w:lineRule="auto"/>
        <w:tabs>
          <w:tab w:leader="none" w:pos="360" w:val="left"/>
        </w:tabs>
        <w:numPr>
          <w:ilvl w:val="0"/>
          <w:numId w:val="15"/>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Includes transmission revenue from PJM, wholesale electric revenue, and mutual assistance revenue.</w:t>
      </w:r>
    </w:p>
    <w:p>
      <w:pPr>
        <w:ind w:left="360" w:hanging="206"/>
        <w:spacing w:after="0"/>
        <w:tabs>
          <w:tab w:leader="none" w:pos="360" w:val="left"/>
        </w:tabs>
        <w:numPr>
          <w:ilvl w:val="0"/>
          <w:numId w:val="15"/>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Includes operating revenues from affiliates totaling $1 million for both the three months ended March 31, 2026 and 2025, respectively.</w:t>
      </w:r>
    </w:p>
    <w:p>
      <w:pPr>
        <w:spacing w:after="0" w:line="2" w:lineRule="exact"/>
        <w:rPr>
          <w:rFonts w:ascii="Times New Roman" w:cs="Times New Roman" w:eastAsia="Times New Roman" w:hAnsi="Times New Roman"/>
          <w:sz w:val="10"/>
          <w:szCs w:val="10"/>
          <w:color w:val="auto"/>
        </w:rPr>
      </w:pPr>
    </w:p>
    <w:p>
      <w:pPr>
        <w:ind w:left="360" w:hanging="206"/>
        <w:spacing w:after="0"/>
        <w:tabs>
          <w:tab w:leader="none" w:pos="360" w:val="left"/>
        </w:tabs>
        <w:numPr>
          <w:ilvl w:val="0"/>
          <w:numId w:val="15"/>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Includes alternative revenue programs.</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11</w:t>
      </w:r>
    </w:p>
    <w:p>
      <w:pPr>
        <w:sectPr>
          <w:pgSz w:w="11900" w:h="16838" w:orient="portrait"/>
          <w:cols w:equalWidth="0" w:num="1">
            <w:col w:w="11300"/>
          </w:cols>
          <w:pgMar w:left="300" w:top="129" w:right="299" w:bottom="1440" w:gutter="0" w:footer="0" w:header="0"/>
        </w:sectPr>
      </w:pPr>
    </w:p>
    <w:bookmarkStart w:id="25" w:name="page26"/>
    <w:bookmarkEnd w:id="2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34042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99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0415" cy="3409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99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0415" cy="3409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99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0415" cy="3409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99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0415" cy="3409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99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0415" cy="3409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 w:name="page59"/>
    <w:bookmarkEnd w:id="5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9" w:name="page60"/>
    <w:bookmarkEnd w:id="5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0" w:name="page61"/>
    <w:bookmarkEnd w:id="6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1" w:name="page62"/>
    <w:bookmarkEnd w:id="6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2" w:name="page63"/>
    <w:bookmarkEnd w:id="6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3" w:name="page64"/>
    <w:bookmarkEnd w:id="6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99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0415" cy="3409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4" w:name="page65"/>
    <w:bookmarkEnd w:id="6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5" w:name="page66"/>
    <w:bookmarkEnd w:id="6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6" w:name="page67"/>
    <w:bookmarkEnd w:id="6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7" w:name="page68"/>
    <w:bookmarkEnd w:id="6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8" w:name="page69"/>
    <w:bookmarkEnd w:id="6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9" w:name="page70"/>
    <w:bookmarkEnd w:id="6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0" w:name="page71"/>
    <w:bookmarkEnd w:id="7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1" w:name="page72"/>
    <w:bookmarkEnd w:id="7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2" w:name="page73"/>
    <w:bookmarkEnd w:id="7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39852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0415" cy="33985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3" w:name="page74"/>
    <w:bookmarkEnd w:id="7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1)"/>
      <w:numFmt w:val="lowerLetter"/>
      <w:start w:val="4"/>
    </w:lvl>
  </w:abstractNum>
  <w:abstractNum w:abstractNumId="2">
    <w:nsid w:val="5BD062C2"/>
    <w:multiLevelType w:val="hybridMultilevel"/>
    <w:lvl w:ilvl="0">
      <w:lvlJc w:val="left"/>
      <w:lvlText w:val="•"/>
      <w:numFmt w:val="bullet"/>
      <w:start w:val="1"/>
    </w:lvl>
  </w:abstractNum>
  <w:abstractNum w:abstractNumId="3">
    <w:nsid w:val="12200854"/>
    <w:multiLevelType w:val="hybridMultilevel"/>
    <w:lvl w:ilvl="0">
      <w:lvlJc w:val="left"/>
      <w:lvlText w:val="•"/>
      <w:numFmt w:val="bullet"/>
      <w:start w:val="1"/>
    </w:lvl>
  </w:abstractNum>
  <w:abstractNum w:abstractNumId="4">
    <w:nsid w:val="4DB127F8"/>
    <w:multiLevelType w:val="hybridMultilevel"/>
    <w:lvl w:ilvl="0">
      <w:lvlJc w:val="left"/>
      <w:lvlText w:val="1"/>
      <w:numFmt w:val="bullet"/>
      <w:start w:val="1"/>
    </w:lvl>
  </w:abstractNum>
  <w:abstractNum w:abstractNumId="5">
    <w:nsid w:val="216231B"/>
    <w:multiLevelType w:val="hybridMultilevel"/>
    <w:lvl w:ilvl="0">
      <w:lvlJc w:val="left"/>
      <w:lvlText w:val="•"/>
      <w:numFmt w:val="bullet"/>
      <w:start w:val="1"/>
    </w:lvl>
    <w:lvl w:ilvl="1">
      <w:lvlJc w:val="left"/>
      <w:lvlText w:val="◦"/>
      <w:numFmt w:val="bullet"/>
      <w:start w:val="1"/>
    </w:lvl>
  </w:abstractNum>
  <w:abstractNum w:abstractNumId="6">
    <w:nsid w:val="1F16E9E8"/>
    <w:multiLevelType w:val="hybridMultilevel"/>
    <w:lvl w:ilvl="0">
      <w:lvlJc w:val="left"/>
      <w:lvlText w:val="(%1)"/>
      <w:numFmt w:val="lowerLetter"/>
      <w:start w:val="1"/>
    </w:lvl>
  </w:abstractNum>
  <w:abstractNum w:abstractNumId="7">
    <w:nsid w:val="1190CDE7"/>
    <w:multiLevelType w:val="hybridMultilevel"/>
    <w:lvl w:ilvl="0">
      <w:lvlJc w:val="left"/>
      <w:lvlText w:val="(%1)"/>
      <w:numFmt w:val="lowerLetter"/>
      <w:start w:val="1"/>
    </w:lvl>
  </w:abstractNum>
  <w:abstractNum w:abstractNumId="8">
    <w:nsid w:val="66EF438D"/>
    <w:multiLevelType w:val="hybridMultilevel"/>
    <w:lvl w:ilvl="0">
      <w:lvlJc w:val="left"/>
      <w:lvlText w:val="(%1)"/>
      <w:numFmt w:val="decimal"/>
      <w:start w:val="1"/>
    </w:lvl>
  </w:abstractNum>
  <w:abstractNum w:abstractNumId="9">
    <w:nsid w:val="140E0F76"/>
    <w:multiLevelType w:val="hybridMultilevel"/>
    <w:lvl w:ilvl="0">
      <w:lvlJc w:val="left"/>
      <w:lvlText w:val="(%1)"/>
      <w:numFmt w:val="lowerLetter"/>
      <w:start w:val="1"/>
    </w:lvl>
  </w:abstractNum>
  <w:abstractNum w:abstractNumId="10">
    <w:nsid w:val="3352255A"/>
    <w:multiLevelType w:val="hybridMultilevel"/>
    <w:lvl w:ilvl="0">
      <w:lvlJc w:val="left"/>
      <w:lvlText w:val="(%1)"/>
      <w:numFmt w:val="lowerLetter"/>
      <w:start w:val="1"/>
    </w:lvl>
  </w:abstractNum>
  <w:abstractNum w:abstractNumId="11">
    <w:nsid w:val="109CF92E"/>
    <w:multiLevelType w:val="hybridMultilevel"/>
    <w:lvl w:ilvl="0">
      <w:lvlJc w:val="left"/>
      <w:lvlText w:val="(%1)"/>
      <w:numFmt w:val="lowerLetter"/>
      <w:start w:val="1"/>
    </w:lvl>
  </w:abstractNum>
  <w:abstractNum w:abstractNumId="12">
    <w:nsid w:val="DED7263"/>
    <w:multiLevelType w:val="hybridMultilevel"/>
    <w:lvl w:ilvl="0">
      <w:lvlJc w:val="left"/>
      <w:lvlText w:val="(%1)"/>
      <w:numFmt w:val="lowerLetter"/>
      <w:start w:val="1"/>
    </w:lvl>
  </w:abstractNum>
  <w:abstractNum w:abstractNumId="13">
    <w:nsid w:val="7FDCC233"/>
    <w:multiLevelType w:val="hybridMultilevel"/>
    <w:lvl w:ilvl="0">
      <w:lvlJc w:val="left"/>
      <w:lvlText w:val="(%1)"/>
      <w:numFmt w:val="lowerLetter"/>
      <w:start w:val="1"/>
    </w:lvl>
  </w:abstractNum>
  <w:abstractNum w:abstractNumId="14">
    <w:nsid w:val="1BEFD79F"/>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2026-05-06T05:59:21Z</dcterms:created>
  <dcterms:modified xsi:type="dcterms:W3CDTF">2026-05-06T05:59:21Z</dcterms:modified>
</cp:coreProperties>
</file>