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2"/>
          <w:szCs w:val="12"/>
          <w:b w:val="1"/>
          <w:bCs w:val="1"/>
          <w:color w:val="auto"/>
        </w:rPr>
        <w:t>UNITED STATES SECURITIES AND EXCHANGE COMMISSION</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9"/>
          <w:szCs w:val="9"/>
          <w:b w:val="1"/>
          <w:bCs w:val="1"/>
          <w:color w:val="auto"/>
        </w:rPr>
        <w:t>Washington, D.C. 20549</w:t>
      </w:r>
    </w:p>
    <w:p>
      <w:pPr>
        <w:spacing w:after="0" w:line="14" w:lineRule="exact"/>
        <w:rPr>
          <w:sz w:val="24"/>
          <w:szCs w:val="24"/>
          <w:color w:val="auto"/>
        </w:rPr>
      </w:pPr>
    </w:p>
    <w:p>
      <w:pPr>
        <w:jc w:val="center"/>
        <w:ind w:right="200"/>
        <w:spacing w:after="0"/>
        <w:rPr>
          <w:sz w:val="20"/>
          <w:szCs w:val="20"/>
          <w:color w:val="auto"/>
        </w:rPr>
      </w:pPr>
      <w:r>
        <w:rPr>
          <w:rFonts w:ascii="Arial" w:cs="Arial" w:eastAsia="Arial" w:hAnsi="Arial"/>
          <w:sz w:val="14"/>
          <w:szCs w:val="1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972185</wp:posOffset>
            </wp:positionH>
            <wp:positionV relativeFrom="paragraph">
              <wp:posOffset>17780</wp:posOffset>
            </wp:positionV>
            <wp:extent cx="522351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23510" cy="5715"/>
                    </a:xfrm>
                    <a:prstGeom prst="rect">
                      <a:avLst/>
                    </a:prstGeom>
                    <a:noFill/>
                  </pic:spPr>
                </pic:pic>
              </a:graphicData>
            </a:graphic>
          </wp:anchor>
        </w:drawing>
        <w:drawing>
          <wp:anchor simplePos="0" relativeHeight="251657728" behindDoc="1" locked="0" layoutInCell="0" allowOverlap="1">
            <wp:simplePos x="0" y="0"/>
            <wp:positionH relativeFrom="column">
              <wp:posOffset>972185</wp:posOffset>
            </wp:positionH>
            <wp:positionV relativeFrom="paragraph">
              <wp:posOffset>-101600</wp:posOffset>
            </wp:positionV>
            <wp:extent cx="522351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23510" cy="5715"/>
                    </a:xfrm>
                    <a:prstGeom prst="rect">
                      <a:avLst/>
                    </a:prstGeom>
                    <a:noFill/>
                  </pic:spPr>
                </pic:pic>
              </a:graphicData>
            </a:graphic>
          </wp:anchor>
        </w:drawing>
      </w:r>
    </w:p>
    <w:p>
      <w:pPr>
        <w:spacing w:after="0" w:line="4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February 12, 2026</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9"/>
          <w:szCs w:val="9"/>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972185</wp:posOffset>
            </wp:positionH>
            <wp:positionV relativeFrom="paragraph">
              <wp:posOffset>8890</wp:posOffset>
            </wp:positionV>
            <wp:extent cx="5223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23510" cy="5715"/>
                    </a:xfrm>
                    <a:prstGeom prst="rect">
                      <a:avLst/>
                    </a:prstGeom>
                    <a:noFill/>
                  </pic:spPr>
                </pic:pic>
              </a:graphicData>
            </a:graphic>
          </wp:anchor>
        </w:drawing>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92"/>
        </w:trPr>
        <w:tc>
          <w:tcPr>
            <w:tcW w:w="2540" w:type="dxa"/>
            <w:vAlign w:val="bottom"/>
            <w:gridSpan w:val="2"/>
          </w:tcPr>
          <w:p>
            <w:pPr>
              <w:spacing w:after="0"/>
              <w:rPr>
                <w:sz w:val="20"/>
                <w:szCs w:val="20"/>
                <w:color w:val="auto"/>
              </w:rPr>
            </w:pPr>
            <w:r>
              <w:rPr>
                <w:rFonts w:ascii="Arial" w:cs="Arial" w:eastAsia="Arial" w:hAnsi="Arial"/>
                <w:sz w:val="8"/>
                <w:szCs w:val="8"/>
                <w:b w:val="1"/>
                <w:bCs w:val="1"/>
                <w:color w:val="auto"/>
              </w:rPr>
              <w:t>Commission</w:t>
            </w:r>
          </w:p>
        </w:tc>
        <w:tc>
          <w:tcPr>
            <w:tcW w:w="6340" w:type="dxa"/>
            <w:vAlign w:val="bottom"/>
            <w:vMerge w:val="restart"/>
          </w:tcPr>
          <w:p>
            <w:pPr>
              <w:ind w:left="20"/>
              <w:spacing w:after="0"/>
              <w:rPr>
                <w:sz w:val="20"/>
                <w:szCs w:val="20"/>
                <w:color w:val="auto"/>
              </w:rPr>
            </w:pPr>
            <w:r>
              <w:rPr>
                <w:rFonts w:ascii="Arial" w:cs="Arial" w:eastAsia="Arial" w:hAnsi="Arial"/>
                <w:sz w:val="8"/>
                <w:szCs w:val="8"/>
                <w:b w:val="1"/>
                <w:bCs w:val="1"/>
                <w:color w:val="auto"/>
              </w:rPr>
              <w:t>Name of Registrant; State or Other Jurisdiction of Incorporation; Address of Principal Executive Offices; and Telephone Number</w:t>
            </w:r>
          </w:p>
        </w:tc>
        <w:tc>
          <w:tcPr>
            <w:tcW w:w="80" w:type="dxa"/>
            <w:vAlign w:val="bottom"/>
            <w:vMerge w:val="restart"/>
          </w:tcPr>
          <w:p>
            <w:pPr>
              <w:spacing w:after="0"/>
              <w:rPr>
                <w:sz w:val="7"/>
                <w:szCs w:val="7"/>
                <w:color w:val="auto"/>
              </w:rPr>
            </w:pPr>
          </w:p>
        </w:tc>
        <w:tc>
          <w:tcPr>
            <w:tcW w:w="2340" w:type="dxa"/>
            <w:vAlign w:val="bottom"/>
            <w:vMerge w:val="restart"/>
          </w:tcPr>
          <w:p>
            <w:pPr>
              <w:jc w:val="right"/>
              <w:ind w:right="847"/>
              <w:spacing w:after="0"/>
              <w:rPr>
                <w:sz w:val="20"/>
                <w:szCs w:val="20"/>
                <w:color w:val="auto"/>
              </w:rPr>
            </w:pPr>
            <w:r>
              <w:rPr>
                <w:rFonts w:ascii="Arial" w:cs="Arial" w:eastAsia="Arial" w:hAnsi="Arial"/>
                <w:sz w:val="8"/>
                <w:szCs w:val="8"/>
                <w:b w:val="1"/>
                <w:bCs w:val="1"/>
                <w:color w:val="auto"/>
              </w:rPr>
              <w:t>IRS Employer Identification Number</w:t>
            </w:r>
          </w:p>
        </w:tc>
        <w:tc>
          <w:tcPr>
            <w:tcW w:w="0" w:type="dxa"/>
            <w:vAlign w:val="bottom"/>
          </w:tcPr>
          <w:p>
            <w:pPr>
              <w:spacing w:after="0"/>
              <w:rPr>
                <w:sz w:val="1"/>
                <w:szCs w:val="1"/>
                <w:color w:val="auto"/>
              </w:rPr>
            </w:pPr>
          </w:p>
        </w:tc>
      </w:tr>
      <w:tr>
        <w:trPr>
          <w:trHeight w:val="123"/>
        </w:trPr>
        <w:tc>
          <w:tcPr>
            <w:tcW w:w="246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File Number</w:t>
            </w:r>
          </w:p>
        </w:tc>
        <w:tc>
          <w:tcPr>
            <w:tcW w:w="80" w:type="dxa"/>
            <w:vAlign w:val="bottom"/>
          </w:tcPr>
          <w:p>
            <w:pPr>
              <w:spacing w:after="0"/>
              <w:rPr>
                <w:sz w:val="10"/>
                <w:szCs w:val="10"/>
                <w:color w:val="auto"/>
              </w:rPr>
            </w:pPr>
          </w:p>
        </w:tc>
        <w:tc>
          <w:tcPr>
            <w:tcW w:w="6340" w:type="dxa"/>
            <w:vAlign w:val="bottom"/>
            <w:tcBorders>
              <w:bottom w:val="single" w:sz="8" w:color="auto"/>
            </w:tcBorders>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23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460" w:type="dxa"/>
            <w:vAlign w:val="bottom"/>
          </w:tcPr>
          <w:p>
            <w:pPr>
              <w:spacing w:after="0"/>
              <w:rPr>
                <w:sz w:val="20"/>
                <w:szCs w:val="20"/>
                <w:color w:val="auto"/>
              </w:rPr>
            </w:pPr>
            <w:r>
              <w:rPr>
                <w:rFonts w:ascii="Arial" w:cs="Arial" w:eastAsia="Arial" w:hAnsi="Arial"/>
                <w:sz w:val="11"/>
                <w:szCs w:val="11"/>
                <w:color w:val="auto"/>
              </w:rPr>
              <w:t>001-16169</w:t>
            </w:r>
          </w:p>
        </w:tc>
        <w:tc>
          <w:tcPr>
            <w:tcW w:w="80" w:type="dxa"/>
            <w:vAlign w:val="bottom"/>
          </w:tcPr>
          <w:p>
            <w:pPr>
              <w:spacing w:after="0"/>
              <w:rPr>
                <w:sz w:val="14"/>
                <w:szCs w:val="14"/>
                <w:color w:val="auto"/>
              </w:rPr>
            </w:pPr>
          </w:p>
        </w:tc>
        <w:tc>
          <w:tcPr>
            <w:tcW w:w="6420" w:type="dxa"/>
            <w:vAlign w:val="bottom"/>
            <w:gridSpan w:val="2"/>
          </w:tcPr>
          <w:p>
            <w:pPr>
              <w:ind w:left="20"/>
              <w:spacing w:after="0"/>
              <w:rPr>
                <w:sz w:val="20"/>
                <w:szCs w:val="20"/>
                <w:color w:val="auto"/>
              </w:rPr>
            </w:pPr>
            <w:r>
              <w:rPr>
                <w:rFonts w:ascii="Arial" w:cs="Arial" w:eastAsia="Arial" w:hAnsi="Arial"/>
                <w:sz w:val="11"/>
                <w:szCs w:val="11"/>
                <w:color w:val="auto"/>
              </w:rPr>
              <w:t>EXELON CORPORATION</w:t>
            </w:r>
          </w:p>
        </w:tc>
        <w:tc>
          <w:tcPr>
            <w:tcW w:w="2340" w:type="dxa"/>
            <w:vAlign w:val="bottom"/>
          </w:tcPr>
          <w:p>
            <w:pPr>
              <w:jc w:val="right"/>
              <w:spacing w:after="0"/>
              <w:rPr>
                <w:sz w:val="20"/>
                <w:szCs w:val="20"/>
                <w:color w:val="auto"/>
              </w:rPr>
            </w:pPr>
            <w:r>
              <w:rPr>
                <w:rFonts w:ascii="Arial" w:cs="Arial" w:eastAsia="Arial" w:hAnsi="Arial"/>
                <w:sz w:val="11"/>
                <w:szCs w:val="11"/>
                <w:color w:val="auto"/>
              </w:rPr>
              <w:t>23-2990190</w:t>
            </w: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11" w:lineRule="exact"/>
              <w:rPr>
                <w:sz w:val="20"/>
                <w:szCs w:val="20"/>
                <w:color w:val="auto"/>
              </w:rPr>
            </w:pPr>
            <w:r>
              <w:rPr>
                <w:rFonts w:ascii="Arial" w:cs="Arial" w:eastAsia="Arial" w:hAnsi="Arial"/>
                <w:sz w:val="11"/>
                <w:szCs w:val="11"/>
                <w:color w:val="auto"/>
              </w:rPr>
              <w:t>(a Pennsylvania corporation)</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10 South Dearborn Street</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P.O. Box 805379</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Chicago, Illinois 60680-5379</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340" w:type="dxa"/>
            <w:vAlign w:val="bottom"/>
          </w:tcPr>
          <w:p>
            <w:pPr>
              <w:ind w:left="20"/>
              <w:spacing w:after="0"/>
              <w:rPr>
                <w:sz w:val="20"/>
                <w:szCs w:val="20"/>
                <w:color w:val="auto"/>
              </w:rPr>
            </w:pPr>
            <w:r>
              <w:rPr>
                <w:rFonts w:ascii="Arial" w:cs="Arial" w:eastAsia="Arial" w:hAnsi="Arial"/>
                <w:sz w:val="11"/>
                <w:szCs w:val="11"/>
                <w:color w:val="auto"/>
              </w:rPr>
              <w:t>(800) 483-3220</w:t>
            </w: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20"/>
                <w:szCs w:val="20"/>
                <w:color w:val="auto"/>
              </w:rPr>
            </w:pPr>
            <w:r>
              <w:rPr>
                <w:rFonts w:ascii="Arial" w:cs="Arial" w:eastAsia="Arial" w:hAnsi="Arial"/>
                <w:sz w:val="11"/>
                <w:szCs w:val="11"/>
                <w:color w:val="auto"/>
              </w:rPr>
              <w:t>001-01839</w:t>
            </w:r>
          </w:p>
        </w:tc>
        <w:tc>
          <w:tcPr>
            <w:tcW w:w="80" w:type="dxa"/>
            <w:vAlign w:val="bottom"/>
          </w:tcPr>
          <w:p>
            <w:pPr>
              <w:spacing w:after="0"/>
              <w:rPr>
                <w:sz w:val="15"/>
                <w:szCs w:val="15"/>
                <w:color w:val="auto"/>
              </w:rPr>
            </w:pPr>
          </w:p>
        </w:tc>
        <w:tc>
          <w:tcPr>
            <w:tcW w:w="6420" w:type="dxa"/>
            <w:vAlign w:val="bottom"/>
            <w:gridSpan w:val="2"/>
          </w:tcPr>
          <w:p>
            <w:pPr>
              <w:ind w:left="20"/>
              <w:spacing w:after="0"/>
              <w:rPr>
                <w:sz w:val="20"/>
                <w:szCs w:val="20"/>
                <w:color w:val="auto"/>
              </w:rPr>
            </w:pPr>
            <w:r>
              <w:rPr>
                <w:rFonts w:ascii="Arial" w:cs="Arial" w:eastAsia="Arial" w:hAnsi="Arial"/>
                <w:sz w:val="11"/>
                <w:szCs w:val="11"/>
                <w:color w:val="auto"/>
              </w:rPr>
              <w:t>COMMONWEALTH EDISON COMPANY</w:t>
            </w:r>
          </w:p>
        </w:tc>
        <w:tc>
          <w:tcPr>
            <w:tcW w:w="2340" w:type="dxa"/>
            <w:vAlign w:val="bottom"/>
          </w:tcPr>
          <w:p>
            <w:pPr>
              <w:jc w:val="right"/>
              <w:spacing w:after="0"/>
              <w:rPr>
                <w:sz w:val="20"/>
                <w:szCs w:val="20"/>
                <w:color w:val="auto"/>
              </w:rPr>
            </w:pPr>
            <w:r>
              <w:rPr>
                <w:rFonts w:ascii="Arial" w:cs="Arial" w:eastAsia="Arial" w:hAnsi="Arial"/>
                <w:sz w:val="11"/>
                <w:szCs w:val="11"/>
                <w:color w:val="auto"/>
              </w:rPr>
              <w:t>36-0938600</w:t>
            </w: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11" w:lineRule="exact"/>
              <w:rPr>
                <w:sz w:val="20"/>
                <w:szCs w:val="20"/>
                <w:color w:val="auto"/>
              </w:rPr>
            </w:pPr>
            <w:r>
              <w:rPr>
                <w:rFonts w:ascii="Arial" w:cs="Arial" w:eastAsia="Arial" w:hAnsi="Arial"/>
                <w:sz w:val="11"/>
                <w:szCs w:val="11"/>
                <w:color w:val="auto"/>
              </w:rPr>
              <w:t>(an Illinois corporation)</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10 South Dearborn Street</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Chicago, Illinois 60603-2300</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340" w:type="dxa"/>
            <w:vAlign w:val="bottom"/>
          </w:tcPr>
          <w:p>
            <w:pPr>
              <w:ind w:left="20"/>
              <w:spacing w:after="0"/>
              <w:rPr>
                <w:sz w:val="20"/>
                <w:szCs w:val="20"/>
                <w:color w:val="auto"/>
              </w:rPr>
            </w:pPr>
            <w:r>
              <w:rPr>
                <w:rFonts w:ascii="Arial" w:cs="Arial" w:eastAsia="Arial" w:hAnsi="Arial"/>
                <w:sz w:val="11"/>
                <w:szCs w:val="11"/>
                <w:color w:val="auto"/>
              </w:rPr>
              <w:t>(312) 394-4321</w:t>
            </w: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20"/>
                <w:szCs w:val="20"/>
                <w:color w:val="auto"/>
              </w:rPr>
            </w:pPr>
            <w:r>
              <w:rPr>
                <w:rFonts w:ascii="Arial" w:cs="Arial" w:eastAsia="Arial" w:hAnsi="Arial"/>
                <w:sz w:val="11"/>
                <w:szCs w:val="11"/>
                <w:color w:val="auto"/>
              </w:rPr>
              <w:t>000-16844</w:t>
            </w:r>
          </w:p>
        </w:tc>
        <w:tc>
          <w:tcPr>
            <w:tcW w:w="80" w:type="dxa"/>
            <w:vAlign w:val="bottom"/>
          </w:tcPr>
          <w:p>
            <w:pPr>
              <w:spacing w:after="0"/>
              <w:rPr>
                <w:sz w:val="15"/>
                <w:szCs w:val="15"/>
                <w:color w:val="auto"/>
              </w:rPr>
            </w:pPr>
          </w:p>
        </w:tc>
        <w:tc>
          <w:tcPr>
            <w:tcW w:w="6420" w:type="dxa"/>
            <w:vAlign w:val="bottom"/>
            <w:gridSpan w:val="2"/>
          </w:tcPr>
          <w:p>
            <w:pPr>
              <w:ind w:left="20"/>
              <w:spacing w:after="0"/>
              <w:rPr>
                <w:sz w:val="20"/>
                <w:szCs w:val="20"/>
                <w:color w:val="auto"/>
              </w:rPr>
            </w:pPr>
            <w:r>
              <w:rPr>
                <w:rFonts w:ascii="Arial" w:cs="Arial" w:eastAsia="Arial" w:hAnsi="Arial"/>
                <w:sz w:val="11"/>
                <w:szCs w:val="11"/>
                <w:color w:val="auto"/>
              </w:rPr>
              <w:t>PECO ENERGY COMPANY</w:t>
            </w:r>
          </w:p>
        </w:tc>
        <w:tc>
          <w:tcPr>
            <w:tcW w:w="2340" w:type="dxa"/>
            <w:vAlign w:val="bottom"/>
          </w:tcPr>
          <w:p>
            <w:pPr>
              <w:jc w:val="right"/>
              <w:spacing w:after="0"/>
              <w:rPr>
                <w:sz w:val="20"/>
                <w:szCs w:val="20"/>
                <w:color w:val="auto"/>
              </w:rPr>
            </w:pPr>
            <w:r>
              <w:rPr>
                <w:rFonts w:ascii="Arial" w:cs="Arial" w:eastAsia="Arial" w:hAnsi="Arial"/>
                <w:sz w:val="11"/>
                <w:szCs w:val="11"/>
                <w:color w:val="auto"/>
              </w:rPr>
              <w:t>23-0970240</w:t>
            </w: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11" w:lineRule="exact"/>
              <w:rPr>
                <w:sz w:val="20"/>
                <w:szCs w:val="20"/>
                <w:color w:val="auto"/>
              </w:rPr>
            </w:pPr>
            <w:r>
              <w:rPr>
                <w:rFonts w:ascii="Arial" w:cs="Arial" w:eastAsia="Arial" w:hAnsi="Arial"/>
                <w:sz w:val="11"/>
                <w:szCs w:val="11"/>
                <w:color w:val="auto"/>
              </w:rPr>
              <w:t>(a Pennsylvania corporation)</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2301 Market Street</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P.O. Box 8699</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Philadelphia, Pennsylvania 19101-8699</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340" w:type="dxa"/>
            <w:vAlign w:val="bottom"/>
          </w:tcPr>
          <w:p>
            <w:pPr>
              <w:ind w:left="20"/>
              <w:spacing w:after="0"/>
              <w:rPr>
                <w:sz w:val="20"/>
                <w:szCs w:val="20"/>
                <w:color w:val="auto"/>
              </w:rPr>
            </w:pPr>
            <w:r>
              <w:rPr>
                <w:rFonts w:ascii="Arial" w:cs="Arial" w:eastAsia="Arial" w:hAnsi="Arial"/>
                <w:sz w:val="11"/>
                <w:szCs w:val="11"/>
                <w:color w:val="auto"/>
              </w:rPr>
              <w:t>(215) 841-4000</w:t>
            </w: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20"/>
                <w:szCs w:val="20"/>
                <w:color w:val="auto"/>
              </w:rPr>
            </w:pPr>
            <w:r>
              <w:rPr>
                <w:rFonts w:ascii="Arial" w:cs="Arial" w:eastAsia="Arial" w:hAnsi="Arial"/>
                <w:sz w:val="11"/>
                <w:szCs w:val="11"/>
                <w:color w:val="auto"/>
              </w:rPr>
              <w:t>001-01910</w:t>
            </w:r>
          </w:p>
        </w:tc>
        <w:tc>
          <w:tcPr>
            <w:tcW w:w="80" w:type="dxa"/>
            <w:vAlign w:val="bottom"/>
          </w:tcPr>
          <w:p>
            <w:pPr>
              <w:spacing w:after="0"/>
              <w:rPr>
                <w:sz w:val="15"/>
                <w:szCs w:val="15"/>
                <w:color w:val="auto"/>
              </w:rPr>
            </w:pPr>
          </w:p>
        </w:tc>
        <w:tc>
          <w:tcPr>
            <w:tcW w:w="6420" w:type="dxa"/>
            <w:vAlign w:val="bottom"/>
            <w:gridSpan w:val="2"/>
          </w:tcPr>
          <w:p>
            <w:pPr>
              <w:ind w:left="20"/>
              <w:spacing w:after="0"/>
              <w:rPr>
                <w:sz w:val="20"/>
                <w:szCs w:val="20"/>
                <w:color w:val="auto"/>
              </w:rPr>
            </w:pPr>
            <w:r>
              <w:rPr>
                <w:rFonts w:ascii="Arial" w:cs="Arial" w:eastAsia="Arial" w:hAnsi="Arial"/>
                <w:sz w:val="11"/>
                <w:szCs w:val="11"/>
                <w:color w:val="auto"/>
              </w:rPr>
              <w:t>BALTIMORE GAS AND ELECTRIC COMPANY</w:t>
            </w:r>
          </w:p>
        </w:tc>
        <w:tc>
          <w:tcPr>
            <w:tcW w:w="2340" w:type="dxa"/>
            <w:vAlign w:val="bottom"/>
          </w:tcPr>
          <w:p>
            <w:pPr>
              <w:jc w:val="right"/>
              <w:spacing w:after="0"/>
              <w:rPr>
                <w:sz w:val="20"/>
                <w:szCs w:val="20"/>
                <w:color w:val="auto"/>
              </w:rPr>
            </w:pPr>
            <w:r>
              <w:rPr>
                <w:rFonts w:ascii="Arial" w:cs="Arial" w:eastAsia="Arial" w:hAnsi="Arial"/>
                <w:sz w:val="11"/>
                <w:szCs w:val="11"/>
                <w:color w:val="auto"/>
              </w:rPr>
              <w:t>52-0280210</w:t>
            </w: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11" w:lineRule="exact"/>
              <w:rPr>
                <w:sz w:val="20"/>
                <w:szCs w:val="20"/>
                <w:color w:val="auto"/>
              </w:rPr>
            </w:pPr>
            <w:r>
              <w:rPr>
                <w:rFonts w:ascii="Arial" w:cs="Arial" w:eastAsia="Arial" w:hAnsi="Arial"/>
                <w:sz w:val="11"/>
                <w:szCs w:val="11"/>
                <w:color w:val="auto"/>
              </w:rPr>
              <w:t>(a Maryland corporation)</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2 Center Plaza</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110 West Fayette Street</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Baltimore, Maryland 21201-3708</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340" w:type="dxa"/>
            <w:vAlign w:val="bottom"/>
          </w:tcPr>
          <w:p>
            <w:pPr>
              <w:ind w:left="20"/>
              <w:spacing w:after="0"/>
              <w:rPr>
                <w:sz w:val="20"/>
                <w:szCs w:val="20"/>
                <w:color w:val="auto"/>
              </w:rPr>
            </w:pPr>
            <w:r>
              <w:rPr>
                <w:rFonts w:ascii="Arial" w:cs="Arial" w:eastAsia="Arial" w:hAnsi="Arial"/>
                <w:sz w:val="11"/>
                <w:szCs w:val="11"/>
                <w:color w:val="auto"/>
              </w:rPr>
              <w:t>(410) 234-5000</w:t>
            </w: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20"/>
                <w:szCs w:val="20"/>
                <w:color w:val="auto"/>
              </w:rPr>
            </w:pPr>
            <w:r>
              <w:rPr>
                <w:rFonts w:ascii="Arial" w:cs="Arial" w:eastAsia="Arial" w:hAnsi="Arial"/>
                <w:sz w:val="11"/>
                <w:szCs w:val="11"/>
                <w:color w:val="auto"/>
              </w:rPr>
              <w:t>001-31403</w:t>
            </w:r>
          </w:p>
        </w:tc>
        <w:tc>
          <w:tcPr>
            <w:tcW w:w="80" w:type="dxa"/>
            <w:vAlign w:val="bottom"/>
          </w:tcPr>
          <w:p>
            <w:pPr>
              <w:spacing w:after="0"/>
              <w:rPr>
                <w:sz w:val="15"/>
                <w:szCs w:val="15"/>
                <w:color w:val="auto"/>
              </w:rPr>
            </w:pPr>
          </w:p>
        </w:tc>
        <w:tc>
          <w:tcPr>
            <w:tcW w:w="6420" w:type="dxa"/>
            <w:vAlign w:val="bottom"/>
            <w:gridSpan w:val="2"/>
          </w:tcPr>
          <w:p>
            <w:pPr>
              <w:ind w:left="20"/>
              <w:spacing w:after="0"/>
              <w:rPr>
                <w:sz w:val="20"/>
                <w:szCs w:val="20"/>
                <w:color w:val="auto"/>
              </w:rPr>
            </w:pPr>
            <w:r>
              <w:rPr>
                <w:rFonts w:ascii="Arial" w:cs="Arial" w:eastAsia="Arial" w:hAnsi="Arial"/>
                <w:sz w:val="11"/>
                <w:szCs w:val="11"/>
                <w:color w:val="auto"/>
              </w:rPr>
              <w:t>PEPCO HOLDINGS LLC</w:t>
            </w:r>
          </w:p>
        </w:tc>
        <w:tc>
          <w:tcPr>
            <w:tcW w:w="2340" w:type="dxa"/>
            <w:vAlign w:val="bottom"/>
          </w:tcPr>
          <w:p>
            <w:pPr>
              <w:jc w:val="right"/>
              <w:spacing w:after="0"/>
              <w:rPr>
                <w:sz w:val="20"/>
                <w:szCs w:val="20"/>
                <w:color w:val="auto"/>
              </w:rPr>
            </w:pPr>
            <w:r>
              <w:rPr>
                <w:rFonts w:ascii="Arial" w:cs="Arial" w:eastAsia="Arial" w:hAnsi="Arial"/>
                <w:sz w:val="11"/>
                <w:szCs w:val="11"/>
                <w:color w:val="auto"/>
              </w:rPr>
              <w:t>52-2297449</w:t>
            </w: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11" w:lineRule="exact"/>
              <w:rPr>
                <w:sz w:val="20"/>
                <w:szCs w:val="20"/>
                <w:color w:val="auto"/>
              </w:rPr>
            </w:pPr>
            <w:r>
              <w:rPr>
                <w:rFonts w:ascii="Arial" w:cs="Arial" w:eastAsia="Arial" w:hAnsi="Arial"/>
                <w:sz w:val="11"/>
                <w:szCs w:val="11"/>
                <w:color w:val="auto"/>
              </w:rPr>
              <w:t>(a Delaware limited liability company)</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701 Ninth Street, N.W.</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Washington, District of Columbia 20068-0001</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340" w:type="dxa"/>
            <w:vAlign w:val="bottom"/>
          </w:tcPr>
          <w:p>
            <w:pPr>
              <w:ind w:left="20"/>
              <w:spacing w:after="0"/>
              <w:rPr>
                <w:sz w:val="20"/>
                <w:szCs w:val="20"/>
                <w:color w:val="auto"/>
              </w:rPr>
            </w:pPr>
            <w:r>
              <w:rPr>
                <w:rFonts w:ascii="Arial" w:cs="Arial" w:eastAsia="Arial" w:hAnsi="Arial"/>
                <w:sz w:val="11"/>
                <w:szCs w:val="11"/>
                <w:color w:val="auto"/>
              </w:rPr>
              <w:t>(202) 872-2000</w:t>
            </w: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20"/>
                <w:szCs w:val="20"/>
                <w:color w:val="auto"/>
              </w:rPr>
            </w:pPr>
            <w:r>
              <w:rPr>
                <w:rFonts w:ascii="Arial" w:cs="Arial" w:eastAsia="Arial" w:hAnsi="Arial"/>
                <w:sz w:val="11"/>
                <w:szCs w:val="11"/>
                <w:color w:val="auto"/>
              </w:rPr>
              <w:t>001-01072</w:t>
            </w:r>
          </w:p>
        </w:tc>
        <w:tc>
          <w:tcPr>
            <w:tcW w:w="80" w:type="dxa"/>
            <w:vAlign w:val="bottom"/>
          </w:tcPr>
          <w:p>
            <w:pPr>
              <w:spacing w:after="0"/>
              <w:rPr>
                <w:sz w:val="15"/>
                <w:szCs w:val="15"/>
                <w:color w:val="auto"/>
              </w:rPr>
            </w:pPr>
          </w:p>
        </w:tc>
        <w:tc>
          <w:tcPr>
            <w:tcW w:w="6420" w:type="dxa"/>
            <w:vAlign w:val="bottom"/>
            <w:gridSpan w:val="2"/>
          </w:tcPr>
          <w:p>
            <w:pPr>
              <w:ind w:left="20"/>
              <w:spacing w:after="0"/>
              <w:rPr>
                <w:sz w:val="20"/>
                <w:szCs w:val="20"/>
                <w:color w:val="auto"/>
              </w:rPr>
            </w:pPr>
            <w:r>
              <w:rPr>
                <w:rFonts w:ascii="Arial" w:cs="Arial" w:eastAsia="Arial" w:hAnsi="Arial"/>
                <w:sz w:val="11"/>
                <w:szCs w:val="11"/>
                <w:color w:val="auto"/>
              </w:rPr>
              <w:t>POTOMAC ELECTRIC POWER COMPANY</w:t>
            </w:r>
          </w:p>
        </w:tc>
        <w:tc>
          <w:tcPr>
            <w:tcW w:w="2340" w:type="dxa"/>
            <w:vAlign w:val="bottom"/>
          </w:tcPr>
          <w:p>
            <w:pPr>
              <w:jc w:val="right"/>
              <w:spacing w:after="0"/>
              <w:rPr>
                <w:sz w:val="20"/>
                <w:szCs w:val="20"/>
                <w:color w:val="auto"/>
              </w:rPr>
            </w:pPr>
            <w:r>
              <w:rPr>
                <w:rFonts w:ascii="Arial" w:cs="Arial" w:eastAsia="Arial" w:hAnsi="Arial"/>
                <w:sz w:val="11"/>
                <w:szCs w:val="11"/>
                <w:color w:val="auto"/>
              </w:rPr>
              <w:t>53-0127880</w:t>
            </w: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11" w:lineRule="exact"/>
              <w:rPr>
                <w:sz w:val="20"/>
                <w:szCs w:val="20"/>
                <w:color w:val="auto"/>
              </w:rPr>
            </w:pPr>
            <w:r>
              <w:rPr>
                <w:rFonts w:ascii="Arial" w:cs="Arial" w:eastAsia="Arial" w:hAnsi="Arial"/>
                <w:sz w:val="11"/>
                <w:szCs w:val="11"/>
                <w:color w:val="auto"/>
              </w:rPr>
              <w:t>(a District of Columbia and Virginia corporation)</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701 Ninth Street, N.W.</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Washington, District of Columbia 20068-0001</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340" w:type="dxa"/>
            <w:vAlign w:val="bottom"/>
          </w:tcPr>
          <w:p>
            <w:pPr>
              <w:ind w:left="20"/>
              <w:spacing w:after="0"/>
              <w:rPr>
                <w:sz w:val="20"/>
                <w:szCs w:val="20"/>
                <w:color w:val="auto"/>
              </w:rPr>
            </w:pPr>
            <w:r>
              <w:rPr>
                <w:rFonts w:ascii="Arial" w:cs="Arial" w:eastAsia="Arial" w:hAnsi="Arial"/>
                <w:sz w:val="11"/>
                <w:szCs w:val="11"/>
                <w:color w:val="auto"/>
              </w:rPr>
              <w:t>(202) 872-2000</w:t>
            </w: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20"/>
                <w:szCs w:val="20"/>
                <w:color w:val="auto"/>
              </w:rPr>
            </w:pPr>
            <w:r>
              <w:rPr>
                <w:rFonts w:ascii="Arial" w:cs="Arial" w:eastAsia="Arial" w:hAnsi="Arial"/>
                <w:sz w:val="11"/>
                <w:szCs w:val="11"/>
                <w:color w:val="auto"/>
              </w:rPr>
              <w:t>001-01405</w:t>
            </w:r>
          </w:p>
        </w:tc>
        <w:tc>
          <w:tcPr>
            <w:tcW w:w="80" w:type="dxa"/>
            <w:vAlign w:val="bottom"/>
          </w:tcPr>
          <w:p>
            <w:pPr>
              <w:spacing w:after="0"/>
              <w:rPr>
                <w:sz w:val="15"/>
                <w:szCs w:val="15"/>
                <w:color w:val="auto"/>
              </w:rPr>
            </w:pPr>
          </w:p>
        </w:tc>
        <w:tc>
          <w:tcPr>
            <w:tcW w:w="6420" w:type="dxa"/>
            <w:vAlign w:val="bottom"/>
            <w:gridSpan w:val="2"/>
          </w:tcPr>
          <w:p>
            <w:pPr>
              <w:ind w:left="20"/>
              <w:spacing w:after="0"/>
              <w:rPr>
                <w:sz w:val="20"/>
                <w:szCs w:val="20"/>
                <w:color w:val="auto"/>
              </w:rPr>
            </w:pPr>
            <w:r>
              <w:rPr>
                <w:rFonts w:ascii="Arial" w:cs="Arial" w:eastAsia="Arial" w:hAnsi="Arial"/>
                <w:sz w:val="11"/>
                <w:szCs w:val="11"/>
                <w:color w:val="auto"/>
              </w:rPr>
              <w:t>DELMARVA POWER &amp; LIGHT COMPANY</w:t>
            </w:r>
          </w:p>
        </w:tc>
        <w:tc>
          <w:tcPr>
            <w:tcW w:w="2340" w:type="dxa"/>
            <w:vAlign w:val="bottom"/>
          </w:tcPr>
          <w:p>
            <w:pPr>
              <w:jc w:val="right"/>
              <w:spacing w:after="0"/>
              <w:rPr>
                <w:sz w:val="20"/>
                <w:szCs w:val="20"/>
                <w:color w:val="auto"/>
              </w:rPr>
            </w:pPr>
            <w:r>
              <w:rPr>
                <w:rFonts w:ascii="Arial" w:cs="Arial" w:eastAsia="Arial" w:hAnsi="Arial"/>
                <w:sz w:val="11"/>
                <w:szCs w:val="11"/>
                <w:color w:val="auto"/>
              </w:rPr>
              <w:t>51-0084283</w:t>
            </w: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11" w:lineRule="exact"/>
              <w:rPr>
                <w:sz w:val="20"/>
                <w:szCs w:val="20"/>
                <w:color w:val="auto"/>
              </w:rPr>
            </w:pPr>
            <w:r>
              <w:rPr>
                <w:rFonts w:ascii="Arial" w:cs="Arial" w:eastAsia="Arial" w:hAnsi="Arial"/>
                <w:sz w:val="11"/>
                <w:szCs w:val="11"/>
                <w:color w:val="auto"/>
              </w:rPr>
              <w:t>(a Delaware and Virginia corporation)</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500 North Wakefield Drive</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Newark, Delaware 19702-5440</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340" w:type="dxa"/>
            <w:vAlign w:val="bottom"/>
          </w:tcPr>
          <w:p>
            <w:pPr>
              <w:ind w:left="20"/>
              <w:spacing w:after="0"/>
              <w:rPr>
                <w:sz w:val="20"/>
                <w:szCs w:val="20"/>
                <w:color w:val="auto"/>
              </w:rPr>
            </w:pPr>
            <w:r>
              <w:rPr>
                <w:rFonts w:ascii="Arial" w:cs="Arial" w:eastAsia="Arial" w:hAnsi="Arial"/>
                <w:sz w:val="11"/>
                <w:szCs w:val="11"/>
                <w:color w:val="auto"/>
              </w:rPr>
              <w:t>(202) 872-2000</w:t>
            </w: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460" w:type="dxa"/>
            <w:vAlign w:val="bottom"/>
          </w:tcPr>
          <w:p>
            <w:pPr>
              <w:spacing w:after="0"/>
              <w:rPr>
                <w:sz w:val="20"/>
                <w:szCs w:val="20"/>
                <w:color w:val="auto"/>
              </w:rPr>
            </w:pPr>
            <w:r>
              <w:rPr>
                <w:rFonts w:ascii="Arial" w:cs="Arial" w:eastAsia="Arial" w:hAnsi="Arial"/>
                <w:sz w:val="11"/>
                <w:szCs w:val="11"/>
                <w:color w:val="auto"/>
              </w:rPr>
              <w:t>001-03559</w:t>
            </w:r>
          </w:p>
        </w:tc>
        <w:tc>
          <w:tcPr>
            <w:tcW w:w="80" w:type="dxa"/>
            <w:vAlign w:val="bottom"/>
          </w:tcPr>
          <w:p>
            <w:pPr>
              <w:spacing w:after="0"/>
              <w:rPr>
                <w:sz w:val="15"/>
                <w:szCs w:val="15"/>
                <w:color w:val="auto"/>
              </w:rPr>
            </w:pPr>
          </w:p>
        </w:tc>
        <w:tc>
          <w:tcPr>
            <w:tcW w:w="6420" w:type="dxa"/>
            <w:vAlign w:val="bottom"/>
            <w:gridSpan w:val="2"/>
          </w:tcPr>
          <w:p>
            <w:pPr>
              <w:ind w:left="20"/>
              <w:spacing w:after="0"/>
              <w:rPr>
                <w:sz w:val="20"/>
                <w:szCs w:val="20"/>
                <w:color w:val="auto"/>
              </w:rPr>
            </w:pPr>
            <w:r>
              <w:rPr>
                <w:rFonts w:ascii="Arial" w:cs="Arial" w:eastAsia="Arial" w:hAnsi="Arial"/>
                <w:sz w:val="11"/>
                <w:szCs w:val="11"/>
                <w:color w:val="auto"/>
              </w:rPr>
              <w:t>ATLANTIC CITY ELECTRIC COMPANY</w:t>
            </w:r>
          </w:p>
        </w:tc>
        <w:tc>
          <w:tcPr>
            <w:tcW w:w="2340" w:type="dxa"/>
            <w:vAlign w:val="bottom"/>
          </w:tcPr>
          <w:p>
            <w:pPr>
              <w:jc w:val="right"/>
              <w:spacing w:after="0"/>
              <w:rPr>
                <w:sz w:val="20"/>
                <w:szCs w:val="20"/>
                <w:color w:val="auto"/>
              </w:rPr>
            </w:pPr>
            <w:r>
              <w:rPr>
                <w:rFonts w:ascii="Arial" w:cs="Arial" w:eastAsia="Arial" w:hAnsi="Arial"/>
                <w:sz w:val="11"/>
                <w:szCs w:val="11"/>
                <w:color w:val="auto"/>
              </w:rPr>
              <w:t>21-0398280</w:t>
            </w:r>
          </w:p>
        </w:tc>
        <w:tc>
          <w:tcPr>
            <w:tcW w:w="0" w:type="dxa"/>
            <w:vAlign w:val="bottom"/>
          </w:tcPr>
          <w:p>
            <w:pPr>
              <w:spacing w:after="0"/>
              <w:rPr>
                <w:sz w:val="1"/>
                <w:szCs w:val="1"/>
                <w:color w:val="auto"/>
              </w:rPr>
            </w:pPr>
          </w:p>
        </w:tc>
      </w:tr>
      <w:tr>
        <w:trPr>
          <w:trHeight w:val="110"/>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11" w:lineRule="exact"/>
              <w:rPr>
                <w:sz w:val="20"/>
                <w:szCs w:val="20"/>
                <w:color w:val="auto"/>
              </w:rPr>
            </w:pPr>
            <w:r>
              <w:rPr>
                <w:rFonts w:ascii="Arial" w:cs="Arial" w:eastAsia="Arial" w:hAnsi="Arial"/>
                <w:sz w:val="11"/>
                <w:szCs w:val="11"/>
                <w:color w:val="auto"/>
              </w:rPr>
              <w:t>(a New Jersey corporation)</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500 North Wakefield Drive</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20" w:type="dxa"/>
            <w:vAlign w:val="bottom"/>
            <w:gridSpan w:val="2"/>
          </w:tcPr>
          <w:p>
            <w:pPr>
              <w:ind w:left="20"/>
              <w:spacing w:after="0" w:line="108" w:lineRule="exact"/>
              <w:rPr>
                <w:sz w:val="20"/>
                <w:szCs w:val="20"/>
                <w:color w:val="auto"/>
              </w:rPr>
            </w:pPr>
            <w:r>
              <w:rPr>
                <w:rFonts w:ascii="Arial" w:cs="Arial" w:eastAsia="Arial" w:hAnsi="Arial"/>
                <w:sz w:val="11"/>
                <w:szCs w:val="11"/>
                <w:color w:val="auto"/>
              </w:rPr>
              <w:t>Newark, Delaware 19702-5440</w:t>
            </w:r>
          </w:p>
        </w:tc>
        <w:tc>
          <w:tcPr>
            <w:tcW w:w="2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340" w:type="dxa"/>
            <w:vAlign w:val="bottom"/>
          </w:tcPr>
          <w:p>
            <w:pPr>
              <w:ind w:left="20"/>
              <w:spacing w:after="0"/>
              <w:rPr>
                <w:sz w:val="20"/>
                <w:szCs w:val="20"/>
                <w:color w:val="auto"/>
              </w:rPr>
            </w:pPr>
            <w:r>
              <w:rPr>
                <w:rFonts w:ascii="Arial" w:cs="Arial" w:eastAsia="Arial" w:hAnsi="Arial"/>
                <w:sz w:val="11"/>
                <w:szCs w:val="11"/>
                <w:color w:val="auto"/>
              </w:rPr>
              <w:t>(202) 872-2000</w:t>
            </w:r>
          </w:p>
        </w:tc>
        <w:tc>
          <w:tcPr>
            <w:tcW w:w="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2"/>
        </w:trPr>
        <w:tc>
          <w:tcPr>
            <w:tcW w:w="24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58" w:right="299" w:bottom="1440" w:gutter="0" w:footer="0" w:header="0"/>
        </w:sectPr>
      </w:pPr>
    </w:p>
    <w:bookmarkStart w:id="1" w:name="page2"/>
    <w:bookmarkEnd w:id="1"/>
    <w:p>
      <w:pPr>
        <w:spacing w:after="0"/>
        <w:rPr>
          <w:sz w:val="20"/>
          <w:szCs w:val="20"/>
          <w:color w:val="auto"/>
        </w:rPr>
      </w:pPr>
      <w:r>
        <w:rPr>
          <w:rFonts w:ascii="Arial" w:cs="Arial" w:eastAsia="Arial" w:hAnsi="Arial"/>
          <w:sz w:val="11"/>
          <w:szCs w:val="11"/>
          <w:color w:val="auto"/>
        </w:rPr>
        <w:t>Check the appropriate box below if the Form 8-K filing is intended to simultaneously satisfy the filing obligation of the registrant under any of the following provisions:</w:t>
      </w:r>
    </w:p>
    <w:p>
      <w:pPr>
        <w:spacing w:after="0" w:line="18" w:lineRule="exact"/>
        <w:rPr>
          <w:sz w:val="20"/>
          <w:szCs w:val="20"/>
          <w:color w:val="auto"/>
        </w:rPr>
      </w:pPr>
    </w:p>
    <w:p>
      <w:pPr>
        <w:ind w:left="420" w:hanging="416"/>
        <w:spacing w:after="0"/>
        <w:tabs>
          <w:tab w:leader="none" w:pos="42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Written communications pursuant to Rule 425 under the Securities Act (17 CFR 230.425)</w:t>
      </w:r>
    </w:p>
    <w:p>
      <w:pPr>
        <w:spacing w:after="0" w:line="27" w:lineRule="exact"/>
        <w:rPr>
          <w:rFonts w:ascii="MS PGothic" w:cs="MS PGothic" w:eastAsia="MS PGothic" w:hAnsi="MS PGothic"/>
          <w:sz w:val="11"/>
          <w:szCs w:val="11"/>
          <w:color w:val="auto"/>
        </w:rPr>
      </w:pPr>
    </w:p>
    <w:p>
      <w:pPr>
        <w:ind w:left="420" w:hanging="416"/>
        <w:spacing w:after="0"/>
        <w:tabs>
          <w:tab w:leader="none" w:pos="42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Soliciting material pursuant to Rule 14a-12 under the Exchange Act (17 CFR 240.14a-12)</w:t>
      </w:r>
    </w:p>
    <w:p>
      <w:pPr>
        <w:spacing w:after="0" w:line="17" w:lineRule="exact"/>
        <w:rPr>
          <w:rFonts w:ascii="MS PGothic" w:cs="MS PGothic" w:eastAsia="MS PGothic" w:hAnsi="MS PGothic"/>
          <w:sz w:val="11"/>
          <w:szCs w:val="11"/>
          <w:color w:val="auto"/>
        </w:rPr>
      </w:pPr>
    </w:p>
    <w:p>
      <w:pPr>
        <w:ind w:left="420" w:hanging="416"/>
        <w:spacing w:after="0"/>
        <w:tabs>
          <w:tab w:leader="none" w:pos="42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14d-2(b) under the Exchange Act (17 CFR 240.14d-2(b))</w:t>
      </w:r>
    </w:p>
    <w:p>
      <w:pPr>
        <w:spacing w:after="0" w:line="17" w:lineRule="exact"/>
        <w:rPr>
          <w:rFonts w:ascii="MS PGothic" w:cs="MS PGothic" w:eastAsia="MS PGothic" w:hAnsi="MS PGothic"/>
          <w:sz w:val="11"/>
          <w:szCs w:val="11"/>
          <w:color w:val="auto"/>
        </w:rPr>
      </w:pPr>
    </w:p>
    <w:p>
      <w:pPr>
        <w:ind w:left="420" w:hanging="416"/>
        <w:spacing w:after="0"/>
        <w:tabs>
          <w:tab w:leader="none" w:pos="42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Pre-commencement communications pursuant to Rule 13e-4(c) under the Exchange Act (17 CFR 240.13e-4(c))</w:t>
      </w:r>
    </w:p>
    <w:p>
      <w:pPr>
        <w:spacing w:after="0" w:line="89" w:lineRule="exact"/>
        <w:rPr>
          <w:sz w:val="20"/>
          <w:szCs w:val="20"/>
          <w:color w:val="auto"/>
        </w:rPr>
      </w:pPr>
    </w:p>
    <w:p>
      <w:pPr>
        <w:spacing w:after="0"/>
        <w:rPr>
          <w:sz w:val="20"/>
          <w:szCs w:val="20"/>
          <w:color w:val="auto"/>
        </w:rPr>
      </w:pPr>
      <w:r>
        <w:rPr>
          <w:rFonts w:ascii="Arial" w:cs="Arial" w:eastAsia="Arial" w:hAnsi="Arial"/>
          <w:sz w:val="11"/>
          <w:szCs w:val="11"/>
          <w:color w:val="auto"/>
        </w:rPr>
        <w:t>Securities registered pursuant to Section 12(b) of the Act: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16"/>
        </w:trPr>
        <w:tc>
          <w:tcPr>
            <w:tcW w:w="496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Title of each class</w:t>
            </w:r>
          </w:p>
        </w:tc>
        <w:tc>
          <w:tcPr>
            <w:tcW w:w="100" w:type="dxa"/>
            <w:vAlign w:val="bottom"/>
          </w:tcPr>
          <w:p>
            <w:pPr>
              <w:spacing w:after="0"/>
              <w:rPr>
                <w:sz w:val="10"/>
                <w:szCs w:val="1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Trading Symbol(s)</w:t>
            </w:r>
          </w:p>
        </w:tc>
        <w:tc>
          <w:tcPr>
            <w:tcW w:w="100" w:type="dxa"/>
            <w:vAlign w:val="bottom"/>
          </w:tcPr>
          <w:p>
            <w:pPr>
              <w:spacing w:after="0"/>
              <w:rPr>
                <w:sz w:val="10"/>
                <w:szCs w:val="10"/>
                <w:color w:val="auto"/>
              </w:rPr>
            </w:pPr>
          </w:p>
        </w:tc>
        <w:tc>
          <w:tcPr>
            <w:tcW w:w="4980" w:type="dxa"/>
            <w:vAlign w:val="bottom"/>
            <w:tcBorders>
              <w:bottom w:val="single" w:sz="8" w:color="auto"/>
            </w:tcBorders>
          </w:tcPr>
          <w:p>
            <w:pPr>
              <w:jc w:val="center"/>
              <w:spacing w:after="0"/>
              <w:rPr>
                <w:sz w:val="20"/>
                <w:szCs w:val="20"/>
                <w:color w:val="auto"/>
              </w:rPr>
            </w:pPr>
            <w:r>
              <w:rPr>
                <w:rFonts w:ascii="Arial" w:cs="Arial" w:eastAsia="Arial" w:hAnsi="Arial"/>
                <w:sz w:val="8"/>
                <w:szCs w:val="8"/>
                <w:b w:val="1"/>
                <w:bCs w:val="1"/>
                <w:color w:val="auto"/>
              </w:rPr>
              <w:t>Name of each exchange on which registered</w:t>
            </w:r>
          </w:p>
        </w:tc>
      </w:tr>
      <w:tr>
        <w:trPr>
          <w:trHeight w:val="136"/>
        </w:trPr>
        <w:tc>
          <w:tcPr>
            <w:tcW w:w="5060" w:type="dxa"/>
            <w:vAlign w:val="bottom"/>
            <w:gridSpan w:val="2"/>
          </w:tcPr>
          <w:p>
            <w:pPr>
              <w:spacing w:after="0"/>
              <w:rPr>
                <w:sz w:val="20"/>
                <w:szCs w:val="20"/>
                <w:color w:val="auto"/>
              </w:rPr>
            </w:pPr>
            <w:r>
              <w:rPr>
                <w:rFonts w:ascii="Arial" w:cs="Arial" w:eastAsia="Arial" w:hAnsi="Arial"/>
                <w:sz w:val="11"/>
                <w:szCs w:val="11"/>
                <w:b w:val="1"/>
                <w:bCs w:val="1"/>
                <w:color w:val="auto"/>
              </w:rPr>
              <w:t>EXELON CORPORATION:</w:t>
            </w: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980" w:type="dxa"/>
            <w:vAlign w:val="bottom"/>
          </w:tcPr>
          <w:p>
            <w:pPr>
              <w:spacing w:after="0"/>
              <w:rPr>
                <w:sz w:val="11"/>
                <w:szCs w:val="11"/>
                <w:color w:val="auto"/>
              </w:rPr>
            </w:pPr>
          </w:p>
        </w:tc>
      </w:tr>
      <w:tr>
        <w:trPr>
          <w:trHeight w:val="142"/>
        </w:trPr>
        <w:tc>
          <w:tcPr>
            <w:tcW w:w="5060" w:type="dxa"/>
            <w:vAlign w:val="bottom"/>
            <w:gridSpan w:val="2"/>
          </w:tcPr>
          <w:p>
            <w:pPr>
              <w:spacing w:after="0"/>
              <w:rPr>
                <w:sz w:val="20"/>
                <w:szCs w:val="20"/>
                <w:color w:val="auto"/>
              </w:rPr>
            </w:pPr>
            <w:r>
              <w:rPr>
                <w:rFonts w:ascii="Arial" w:cs="Arial" w:eastAsia="Arial" w:hAnsi="Arial"/>
                <w:sz w:val="11"/>
                <w:szCs w:val="11"/>
                <w:color w:val="auto"/>
              </w:rPr>
              <w:t>Common Stock, without par value</w:t>
            </w:r>
          </w:p>
        </w:tc>
        <w:tc>
          <w:tcPr>
            <w:tcW w:w="1260" w:type="dxa"/>
            <w:vAlign w:val="bottom"/>
            <w:gridSpan w:val="2"/>
          </w:tcPr>
          <w:p>
            <w:pPr>
              <w:jc w:val="center"/>
              <w:ind w:right="80"/>
              <w:spacing w:after="0"/>
              <w:rPr>
                <w:sz w:val="20"/>
                <w:szCs w:val="20"/>
                <w:color w:val="auto"/>
              </w:rPr>
            </w:pPr>
            <w:r>
              <w:rPr>
                <w:rFonts w:ascii="Arial" w:cs="Arial" w:eastAsia="Arial" w:hAnsi="Arial"/>
                <w:sz w:val="11"/>
                <w:szCs w:val="11"/>
                <w:color w:val="auto"/>
                <w:w w:val="97"/>
              </w:rPr>
              <w:t>EXC</w:t>
            </w:r>
          </w:p>
        </w:tc>
        <w:tc>
          <w:tcPr>
            <w:tcW w:w="4980" w:type="dxa"/>
            <w:vAlign w:val="bottom"/>
          </w:tcPr>
          <w:p>
            <w:pPr>
              <w:jc w:val="center"/>
              <w:spacing w:after="0"/>
              <w:rPr>
                <w:sz w:val="20"/>
                <w:szCs w:val="20"/>
                <w:color w:val="auto"/>
              </w:rPr>
            </w:pPr>
            <w:r>
              <w:rPr>
                <w:rFonts w:ascii="Arial" w:cs="Arial" w:eastAsia="Arial" w:hAnsi="Arial"/>
                <w:sz w:val="11"/>
                <w:szCs w:val="11"/>
                <w:color w:val="auto"/>
                <w:w w:val="98"/>
              </w:rPr>
              <w:t>The Nasdaq Stock Market LLC</w:t>
            </w:r>
          </w:p>
        </w:tc>
      </w:tr>
    </w:tbl>
    <w:p>
      <w:pPr>
        <w:spacing w:after="0" w:line="236" w:lineRule="exact"/>
        <w:rPr>
          <w:sz w:val="20"/>
          <w:szCs w:val="20"/>
          <w:color w:val="auto"/>
        </w:rPr>
      </w:pPr>
    </w:p>
    <w:p>
      <w:pPr>
        <w:ind w:right="120"/>
        <w:spacing w:after="0" w:line="132" w:lineRule="exact"/>
        <w:rPr>
          <w:sz w:val="20"/>
          <w:szCs w:val="20"/>
          <w:color w:val="auto"/>
        </w:rPr>
      </w:pPr>
      <w:r>
        <w:rPr>
          <w:rFonts w:ascii="Arial" w:cs="Arial" w:eastAsia="Arial" w:hAnsi="Arial"/>
          <w:sz w:val="11"/>
          <w:szCs w:val="11"/>
          <w:color w:val="auto"/>
        </w:rPr>
        <w:t xml:space="preserve">Indicate by check mark whether any of the registrants are emerging growth companies as defined in Rule 405 of the Securities Act of 1933 (§230.405 of this chapter) or Rule 12b-2 of the Securities Exchange Act of 1934 (§240.12b-2 of this chapter). Emerging growth company </w:t>
      </w:r>
      <w:r>
        <w:rPr>
          <w:rFonts w:ascii="MS PGothic" w:cs="MS PGothic" w:eastAsia="MS PGothic" w:hAnsi="MS PGothic"/>
          <w:sz w:val="11"/>
          <w:szCs w:val="11"/>
          <w:color w:val="auto"/>
        </w:rPr>
        <w:t>☐</w:t>
      </w:r>
    </w:p>
    <w:p>
      <w:pPr>
        <w:spacing w:after="0" w:line="69" w:lineRule="exact"/>
        <w:rPr>
          <w:sz w:val="20"/>
          <w:szCs w:val="20"/>
          <w:color w:val="auto"/>
        </w:rPr>
      </w:pPr>
    </w:p>
    <w:p>
      <w:pPr>
        <w:ind w:right="200"/>
        <w:spacing w:after="0" w:line="132" w:lineRule="exact"/>
        <w:rPr>
          <w:sz w:val="20"/>
          <w:szCs w:val="20"/>
          <w:color w:val="auto"/>
        </w:rPr>
      </w:pPr>
      <w:r>
        <w:rPr>
          <w:rFonts w:ascii="Arial" w:cs="Arial" w:eastAsia="Arial" w:hAnsi="Arial"/>
          <w:sz w:val="11"/>
          <w:szCs w:val="11"/>
          <w:color w:val="auto"/>
        </w:rPr>
        <w:t xml:space="preserve">If an emerging growth company, indicate by check mark if any of the registrants have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442595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90" w:right="299" w:bottom="1440" w:gutter="0" w:footer="0" w:header="0"/>
        </w:sectPr>
      </w:pPr>
    </w:p>
    <w:bookmarkStart w:id="2" w:name="page3"/>
    <w:bookmarkEnd w:id="2"/>
    <w:p>
      <w:pPr>
        <w:ind w:left="8"/>
        <w:spacing w:after="0"/>
        <w:rPr>
          <w:sz w:val="20"/>
          <w:szCs w:val="20"/>
          <w:color w:val="auto"/>
        </w:rPr>
      </w:pPr>
      <w:r>
        <w:rPr>
          <w:rFonts w:ascii="Arial" w:cs="Arial" w:eastAsia="Arial" w:hAnsi="Arial"/>
          <w:sz w:val="11"/>
          <w:szCs w:val="11"/>
          <w:b w:val="1"/>
          <w:bCs w:val="1"/>
          <w:color w:val="auto"/>
        </w:rPr>
        <w:t>Item 2.02. Results of Operations and Financial Condition.</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Item 7.01. Regulation FD Disclosure.</w:t>
      </w:r>
    </w:p>
    <w:p>
      <w:pPr>
        <w:spacing w:after="0" w:line="125"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On February 12, 2026, Exelon Corporation (Exelon) announced via press release its results for the fourth quarter ended December 31, 2025. A copy of the press release and related attachments are attached hereto as Exhibit 99.1. Also attached as Exhibit 99.2 to this Current Report on Form 8-K are the presentation slides to be used at the fourth quarter 2025 earnings conference call. This Form 8-K and the attached exhibits are provided under Items 2.02, 7.01 and 9.01 of Form 8-K and are furnished to, but not filed with, the Securities and Exchange Commission (SEC).</w:t>
      </w:r>
    </w:p>
    <w:p>
      <w:pPr>
        <w:spacing w:after="0" w:line="135" w:lineRule="exact"/>
        <w:rPr>
          <w:sz w:val="20"/>
          <w:szCs w:val="20"/>
          <w:color w:val="auto"/>
        </w:rPr>
      </w:pPr>
    </w:p>
    <w:p>
      <w:pPr>
        <w:jc w:val="both"/>
        <w:ind w:left="8" w:right="20"/>
        <w:spacing w:after="0" w:line="285" w:lineRule="auto"/>
        <w:rPr>
          <w:sz w:val="20"/>
          <w:szCs w:val="20"/>
          <w:color w:val="auto"/>
        </w:rPr>
      </w:pPr>
      <w:r>
        <w:rPr>
          <w:rFonts w:ascii="Arial" w:cs="Arial" w:eastAsia="Arial" w:hAnsi="Arial"/>
          <w:sz w:val="11"/>
          <w:szCs w:val="11"/>
          <w:color w:val="auto"/>
        </w:rPr>
        <w:t>Exelon has scheduled the conference call for 9:00 AM CT (10:00 AM ET) on February 12, 2026. Participants who would like to join the call to ask a question may register at the link found on the Investor Relations page of Exelon's website: www.exeloncorp.com. Media representatives are invited to participate on a listen-only basis. The call will be archived and available for replay.</w:t>
      </w:r>
    </w:p>
    <w:p>
      <w:pPr>
        <w:spacing w:after="0" w:line="123" w:lineRule="exact"/>
        <w:rPr>
          <w:sz w:val="20"/>
          <w:szCs w:val="20"/>
          <w:color w:val="auto"/>
        </w:rPr>
      </w:pPr>
    </w:p>
    <w:p>
      <w:pPr>
        <w:ind w:left="8"/>
        <w:spacing w:after="0"/>
        <w:rPr>
          <w:sz w:val="20"/>
          <w:szCs w:val="20"/>
          <w:color w:val="auto"/>
        </w:rPr>
      </w:pPr>
      <w:r>
        <w:rPr>
          <w:rFonts w:ascii="Arial" w:cs="Arial" w:eastAsia="Arial" w:hAnsi="Arial"/>
          <w:sz w:val="11"/>
          <w:szCs w:val="11"/>
          <w:b w:val="1"/>
          <w:bCs w:val="1"/>
          <w:color w:val="auto"/>
        </w:rPr>
        <w:t>Item 9.01. Financial Statements and Exhibits</w:t>
      </w:r>
    </w:p>
    <w:p>
      <w:pPr>
        <w:spacing w:after="0" w:line="171" w:lineRule="exact"/>
        <w:rPr>
          <w:sz w:val="20"/>
          <w:szCs w:val="20"/>
          <w:color w:val="auto"/>
        </w:rPr>
      </w:pPr>
    </w:p>
    <w:p>
      <w:pPr>
        <w:ind w:left="248" w:hanging="248"/>
        <w:spacing w:after="0"/>
        <w:tabs>
          <w:tab w:leader="none" w:pos="248" w:val="left"/>
        </w:tabs>
        <w:numPr>
          <w:ilvl w:val="0"/>
          <w:numId w:val="2"/>
        </w:numPr>
        <w:rPr>
          <w:rFonts w:ascii="Arial" w:cs="Arial" w:eastAsia="Arial" w:hAnsi="Arial"/>
          <w:sz w:val="11"/>
          <w:szCs w:val="11"/>
          <w:i w:val="1"/>
          <w:iCs w:val="1"/>
          <w:color w:val="auto"/>
        </w:rPr>
      </w:pPr>
      <w:r>
        <w:rPr>
          <w:rFonts w:ascii="Arial" w:cs="Arial" w:eastAsia="Arial" w:hAnsi="Arial"/>
          <w:sz w:val="11"/>
          <w:szCs w:val="11"/>
          <w:i w:val="1"/>
          <w:iCs w:val="1"/>
          <w:color w:val="auto"/>
        </w:rPr>
        <w:t>Exhibits.</w:t>
      </w:r>
    </w:p>
    <w:p>
      <w:pPr>
        <w:spacing w:after="0" w:line="17"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1380" w:type="dxa"/>
            <w:vAlign w:val="bottom"/>
            <w:gridSpan w:val="3"/>
          </w:tcPr>
          <w:p>
            <w:pPr>
              <w:spacing w:after="0"/>
              <w:rPr>
                <w:sz w:val="20"/>
                <w:szCs w:val="20"/>
                <w:color w:val="auto"/>
              </w:rPr>
            </w:pPr>
            <w:r>
              <w:rPr>
                <w:rFonts w:ascii="Arial" w:cs="Arial" w:eastAsia="Arial" w:hAnsi="Arial"/>
                <w:sz w:val="11"/>
                <w:szCs w:val="11"/>
                <w:color w:val="auto"/>
              </w:rPr>
              <w:t>Exhibit No.</w:t>
            </w:r>
          </w:p>
        </w:tc>
        <w:tc>
          <w:tcPr>
            <w:tcW w:w="5260" w:type="dxa"/>
            <w:vAlign w:val="bottom"/>
            <w:gridSpan w:val="4"/>
          </w:tcPr>
          <w:p>
            <w:pPr>
              <w:spacing w:after="0"/>
              <w:rPr>
                <w:sz w:val="20"/>
                <w:szCs w:val="20"/>
                <w:color w:val="auto"/>
              </w:rPr>
            </w:pPr>
            <w:r>
              <w:rPr>
                <w:rFonts w:ascii="Arial" w:cs="Arial" w:eastAsia="Arial" w:hAnsi="Arial"/>
                <w:sz w:val="11"/>
                <w:szCs w:val="11"/>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24"/>
        </w:trPr>
        <w:tc>
          <w:tcPr>
            <w:tcW w:w="220" w:type="dxa"/>
            <w:vAlign w:val="bottom"/>
            <w:tcBorders>
              <w:bottom w:val="single" w:sz="8" w:color="0000FF"/>
            </w:tcBorders>
          </w:tcPr>
          <w:p>
            <w:pPr>
              <w:spacing w:after="0" w:line="124" w:lineRule="exact"/>
              <w:rPr>
                <w:sz w:val="20"/>
                <w:szCs w:val="20"/>
                <w:color w:val="auto"/>
              </w:rPr>
            </w:pPr>
            <w:r>
              <w:rPr>
                <w:rFonts w:ascii="Arial" w:cs="Arial" w:eastAsia="Arial" w:hAnsi="Arial"/>
                <w:sz w:val="11"/>
                <w:szCs w:val="11"/>
                <w:color w:val="0000FF"/>
                <w:w w:val="93"/>
              </w:rPr>
              <w:t>99.</w:t>
            </w:r>
            <w:r>
              <w:rPr>
                <w:rFonts w:ascii="Arial" w:cs="Arial" w:eastAsia="Arial" w:hAnsi="Arial"/>
                <w:sz w:val="11"/>
                <w:szCs w:val="11"/>
                <w:u w:val="single" w:color="auto"/>
                <w:color w:val="0000FF"/>
                <w:w w:val="93"/>
              </w:rPr>
              <w:t>1</w:t>
            </w: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320" w:type="dxa"/>
            <w:vAlign w:val="bottom"/>
            <w:tcBorders>
              <w:bottom w:val="single" w:sz="8" w:color="0000FF"/>
            </w:tcBorders>
            <w:gridSpan w:val="3"/>
          </w:tcPr>
          <w:p>
            <w:pPr>
              <w:spacing w:after="0" w:line="124" w:lineRule="exact"/>
              <w:rPr>
                <w:sz w:val="20"/>
                <w:szCs w:val="20"/>
                <w:color w:val="auto"/>
              </w:rPr>
            </w:pPr>
            <w:r>
              <w:rPr>
                <w:rFonts w:ascii="Arial" w:cs="Arial" w:eastAsia="Arial" w:hAnsi="Arial"/>
                <w:sz w:val="11"/>
                <w:szCs w:val="11"/>
                <w:color w:val="0000FF"/>
                <w:w w:val="97"/>
              </w:rPr>
              <w:t>Press release and earnings release attachments</w:t>
            </w:r>
          </w:p>
        </w:tc>
        <w:tc>
          <w:tcPr>
            <w:tcW w:w="2940" w:type="dxa"/>
            <w:vAlign w:val="bottom"/>
          </w:tcPr>
          <w:p>
            <w:pPr>
              <w:spacing w:after="0"/>
              <w:rPr>
                <w:sz w:val="10"/>
                <w:szCs w:val="10"/>
                <w:color w:val="auto"/>
              </w:rPr>
            </w:pPr>
          </w:p>
        </w:tc>
      </w:tr>
      <w:tr>
        <w:trPr>
          <w:trHeight w:val="124"/>
        </w:trPr>
        <w:tc>
          <w:tcPr>
            <w:tcW w:w="220" w:type="dxa"/>
            <w:vAlign w:val="bottom"/>
            <w:tcBorders>
              <w:bottom w:val="single" w:sz="8" w:color="0000FF"/>
            </w:tcBorders>
          </w:tcPr>
          <w:p>
            <w:pPr>
              <w:spacing w:after="0" w:line="124" w:lineRule="exact"/>
              <w:rPr>
                <w:sz w:val="20"/>
                <w:szCs w:val="20"/>
                <w:color w:val="auto"/>
              </w:rPr>
            </w:pPr>
            <w:r>
              <w:rPr>
                <w:rFonts w:ascii="Arial" w:cs="Arial" w:eastAsia="Arial" w:hAnsi="Arial"/>
                <w:sz w:val="11"/>
                <w:szCs w:val="11"/>
                <w:color w:val="0000FF"/>
                <w:w w:val="93"/>
              </w:rPr>
              <w:t>99.</w:t>
            </w:r>
            <w:r>
              <w:rPr>
                <w:rFonts w:ascii="Arial" w:cs="Arial" w:eastAsia="Arial" w:hAnsi="Arial"/>
                <w:sz w:val="11"/>
                <w:szCs w:val="11"/>
                <w:u w:val="single" w:color="auto"/>
                <w:color w:val="0000FF"/>
                <w:w w:val="93"/>
              </w:rPr>
              <w:t>2</w:t>
            </w:r>
          </w:p>
        </w:tc>
        <w:tc>
          <w:tcPr>
            <w:tcW w:w="3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120" w:type="dxa"/>
            <w:vAlign w:val="bottom"/>
            <w:tcBorders>
              <w:bottom w:val="single" w:sz="8" w:color="0000FF"/>
            </w:tcBorders>
            <w:gridSpan w:val="2"/>
          </w:tcPr>
          <w:p>
            <w:pPr>
              <w:spacing w:after="0" w:line="124" w:lineRule="exact"/>
              <w:rPr>
                <w:sz w:val="20"/>
                <w:szCs w:val="20"/>
                <w:color w:val="auto"/>
              </w:rPr>
            </w:pPr>
            <w:r>
              <w:rPr>
                <w:rFonts w:ascii="Arial" w:cs="Arial" w:eastAsia="Arial" w:hAnsi="Arial"/>
                <w:sz w:val="11"/>
                <w:szCs w:val="11"/>
                <w:color w:val="0000FF"/>
                <w:w w:val="97"/>
              </w:rPr>
              <w:t>Earnings conference call presentation slides</w:t>
            </w:r>
          </w:p>
        </w:tc>
        <w:tc>
          <w:tcPr>
            <w:tcW w:w="3140" w:type="dxa"/>
            <w:vAlign w:val="bottom"/>
            <w:gridSpan w:val="2"/>
          </w:tcPr>
          <w:p>
            <w:pPr>
              <w:spacing w:after="0"/>
              <w:rPr>
                <w:sz w:val="10"/>
                <w:szCs w:val="10"/>
                <w:color w:val="auto"/>
              </w:rPr>
            </w:pPr>
          </w:p>
        </w:tc>
      </w:tr>
      <w:tr>
        <w:trPr>
          <w:trHeight w:val="149"/>
        </w:trPr>
        <w:tc>
          <w:tcPr>
            <w:tcW w:w="220" w:type="dxa"/>
            <w:vAlign w:val="bottom"/>
          </w:tcPr>
          <w:p>
            <w:pPr>
              <w:spacing w:after="0"/>
              <w:rPr>
                <w:sz w:val="20"/>
                <w:szCs w:val="20"/>
                <w:color w:val="auto"/>
              </w:rPr>
            </w:pPr>
            <w:r>
              <w:rPr>
                <w:rFonts w:ascii="Arial" w:cs="Arial" w:eastAsia="Arial" w:hAnsi="Arial"/>
                <w:sz w:val="11"/>
                <w:szCs w:val="11"/>
                <w:color w:val="auto"/>
              </w:rPr>
              <w:t>101</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60" w:type="dxa"/>
            <w:vAlign w:val="bottom"/>
            <w:gridSpan w:val="4"/>
          </w:tcPr>
          <w:p>
            <w:pPr>
              <w:spacing w:after="0"/>
              <w:rPr>
                <w:sz w:val="20"/>
                <w:szCs w:val="20"/>
                <w:color w:val="auto"/>
              </w:rPr>
            </w:pPr>
            <w:r>
              <w:rPr>
                <w:rFonts w:ascii="Arial" w:cs="Arial" w:eastAsia="Arial" w:hAnsi="Arial"/>
                <w:sz w:val="11"/>
                <w:szCs w:val="11"/>
                <w:color w:val="auto"/>
                <w:w w:val="97"/>
              </w:rPr>
              <w:t>Cover Page Interactive Data File - the cover page XBRL tags are embedded within the Inline XBRL document.</w:t>
            </w:r>
          </w:p>
        </w:tc>
      </w:tr>
      <w:tr>
        <w:trPr>
          <w:trHeight w:val="144"/>
        </w:trPr>
        <w:tc>
          <w:tcPr>
            <w:tcW w:w="220" w:type="dxa"/>
            <w:vAlign w:val="bottom"/>
          </w:tcPr>
          <w:p>
            <w:pPr>
              <w:spacing w:after="0"/>
              <w:rPr>
                <w:sz w:val="20"/>
                <w:szCs w:val="20"/>
                <w:color w:val="auto"/>
              </w:rPr>
            </w:pPr>
            <w:r>
              <w:rPr>
                <w:rFonts w:ascii="Arial" w:cs="Arial" w:eastAsia="Arial" w:hAnsi="Arial"/>
                <w:sz w:val="11"/>
                <w:szCs w:val="11"/>
                <w:color w:val="auto"/>
              </w:rPr>
              <w:t>104</w:t>
            </w: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60" w:type="dxa"/>
            <w:vAlign w:val="bottom"/>
            <w:gridSpan w:val="4"/>
          </w:tcPr>
          <w:p>
            <w:pPr>
              <w:spacing w:after="0"/>
              <w:rPr>
                <w:sz w:val="20"/>
                <w:szCs w:val="20"/>
                <w:color w:val="auto"/>
              </w:rPr>
            </w:pPr>
            <w:r>
              <w:rPr>
                <w:rFonts w:ascii="Arial" w:cs="Arial" w:eastAsia="Arial" w:hAnsi="Arial"/>
                <w:sz w:val="11"/>
                <w:szCs w:val="11"/>
                <w:color w:val="auto"/>
              </w:rPr>
              <w:t>Cover Page Interactive Data File (formatted as Inline XBRL and contained in Exhibit 101)</w:t>
            </w:r>
          </w:p>
        </w:tc>
      </w:tr>
    </w:tbl>
    <w:p>
      <w:pPr>
        <w:spacing w:after="0" w:line="218"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 * * * *</w:t>
      </w:r>
    </w:p>
    <w:p>
      <w:pPr>
        <w:spacing w:after="0" w:line="10" w:lineRule="exact"/>
        <w:rPr>
          <w:sz w:val="20"/>
          <w:szCs w:val="20"/>
          <w:color w:val="auto"/>
        </w:rPr>
      </w:pPr>
    </w:p>
    <w:p>
      <w:pPr>
        <w:jc w:val="both"/>
        <w:ind w:left="8"/>
        <w:spacing w:after="0" w:line="252" w:lineRule="auto"/>
        <w:rPr>
          <w:sz w:val="20"/>
          <w:szCs w:val="20"/>
          <w:color w:val="auto"/>
        </w:rPr>
      </w:pPr>
      <w:r>
        <w:rPr>
          <w:rFonts w:ascii="Arial" w:cs="Arial" w:eastAsia="Arial" w:hAnsi="Arial"/>
          <w:sz w:val="11"/>
          <w:szCs w:val="11"/>
          <w:color w:val="auto"/>
        </w:rPr>
        <w:t>This combined Current Report on Form 8-K is being furnished separately by Exelon, Commonwealth Edison Company (ComEd), PECO Energy Company, Baltimore Gas and Electric Company, Pepco Holdings LLC, Potomac Electric Power Company, Delmarva Power &amp; Light Company, and Atlantic City Electric Company (Registrants). Information contained herein relating to any individual Registrant has been furnished by such Registrant on its own behalf. No Registrant makes any representation as to information relating to any other Registrant.</w:t>
      </w:r>
    </w:p>
    <w:p>
      <w:pPr>
        <w:spacing w:after="0" w:line="141" w:lineRule="exact"/>
        <w:rPr>
          <w:sz w:val="20"/>
          <w:szCs w:val="20"/>
          <w:color w:val="auto"/>
        </w:rPr>
      </w:pPr>
    </w:p>
    <w:p>
      <w:pPr>
        <w:jc w:val="both"/>
        <w:ind w:left="8"/>
        <w:spacing w:after="0" w:line="262" w:lineRule="auto"/>
        <w:rPr>
          <w:sz w:val="20"/>
          <w:szCs w:val="20"/>
          <w:color w:val="auto"/>
        </w:rPr>
      </w:pPr>
      <w:r>
        <w:rPr>
          <w:rFonts w:ascii="Arial" w:cs="Arial" w:eastAsia="Arial" w:hAnsi="Arial"/>
          <w:sz w:val="11"/>
          <w:szCs w:val="11"/>
          <w:color w:val="auto"/>
        </w:rPr>
        <w:t>This Current Report contains certain forward-looking statements within the meaning of federal securities laws that are subject to risks and uncertainties. Words such as “could,” “may,” “expects,” “anticipates,” “will,” “targets,” “goals,” “projects,” “intends,” “plans,” “believes,” “seeks,” “estimates,” “predicts,” “should,” and variations on such words, and similar expressions that reflect our current views with respect to future events and operational, economic, and financial performance, are intended to identify such forward-looking statements.</w:t>
      </w:r>
    </w:p>
    <w:p>
      <w:pPr>
        <w:spacing w:after="0" w:line="135" w:lineRule="exact"/>
        <w:rPr>
          <w:sz w:val="20"/>
          <w:szCs w:val="20"/>
          <w:color w:val="auto"/>
        </w:rPr>
      </w:pPr>
    </w:p>
    <w:p>
      <w:pPr>
        <w:jc w:val="both"/>
        <w:ind w:left="8"/>
        <w:spacing w:after="0" w:line="249" w:lineRule="auto"/>
        <w:rPr>
          <w:sz w:val="20"/>
          <w:szCs w:val="20"/>
          <w:color w:val="auto"/>
        </w:rPr>
      </w:pPr>
      <w:r>
        <w:rPr>
          <w:rFonts w:ascii="Arial" w:cs="Arial" w:eastAsia="Arial" w:hAnsi="Arial"/>
          <w:sz w:val="11"/>
          <w:szCs w:val="11"/>
          <w:color w:val="auto"/>
        </w:rPr>
        <w:t>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 unfavorable legislative and/or regulatory actions; uncertainty as to outcomes and timing of regulatory approval proceedings and/or negotiated settlements thereof; environmental liabilities and remediation costs; state and federal legislation requiring use of low-emission, renewable, and/or alternate fuel sources and/or mandating implementation of energy conservation programs requiring implementation of new technologies; challenges to tax positions taken, tax law changes, and difficulty in quantifying potential tax effects of business decisions; negative outcomes in legal proceedings; physical security and cybersecurity risks; extreme weather events, natural disasters, operational accidents such as wildfires or natural gas explosions, war, acts and threats of terrorism, public health crises, epidemics, pandemics, or other significant events; disruptions or cost increases in the supply chain, including shortages in labor, materials or parts, or significant increases in relevant tariffs; lack of sufficient power generation resources to meet actual or forecasted demand or disruptions at power generation facilities owned by third parties; emerging technologies that could affect or transform the energy industry; instability in capital and credit markets; a downgrade of any Registrant's credit ratings or other failure to satisfy the credit standards in the Registrants' agreements or regulatory financial requirements; significant economic downturns or increases in customer rates; impacts of climate change and weather on energy usage and maintenance and capital costs; and impairment of long-lived assets, goodwill,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786130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95" w:right="299" w:bottom="1440" w:gutter="0" w:footer="0" w:header="0"/>
        </w:sectPr>
      </w:pPr>
    </w:p>
    <w:bookmarkStart w:id="3" w:name="page4"/>
    <w:bookmarkEnd w:id="3"/>
    <w:p>
      <w:pPr>
        <w:jc w:val="both"/>
        <w:spacing w:after="0" w:line="262" w:lineRule="auto"/>
        <w:rPr>
          <w:sz w:val="20"/>
          <w:szCs w:val="20"/>
          <w:color w:val="auto"/>
        </w:rPr>
      </w:pPr>
      <w:r>
        <w:rPr>
          <w:rFonts w:ascii="Arial" w:cs="Arial" w:eastAsia="Arial" w:hAnsi="Arial"/>
          <w:sz w:val="11"/>
          <w:szCs w:val="11"/>
          <w:color w:val="auto"/>
        </w:rPr>
        <w:t>New factors emerge from time to time, and it is impossible for us to predict all of such factors, nor can we assess the impact of each such factor on the business or the extent to which any factor, or combination of factors, may cause actual results to differ materially from those contained in any forward-looking statements. For more information, see those factors discussed with respect to each of the Registrants in the Registrants' most recent Annual Report on Form 10-K, including in Part I, ITEM 1A, any subsequent Quarterly Reports on Form 10-Q, and in other reports filed by the Registrants from time to time with the SEC.</w:t>
      </w:r>
    </w:p>
    <w:p>
      <w:pPr>
        <w:spacing w:after="0" w:line="135" w:lineRule="exact"/>
        <w:rPr>
          <w:sz w:val="20"/>
          <w:szCs w:val="20"/>
          <w:color w:val="auto"/>
        </w:rPr>
      </w:pPr>
    </w:p>
    <w:p>
      <w:pPr>
        <w:jc w:val="both"/>
        <w:ind w:right="20"/>
        <w:spacing w:after="0" w:line="285" w:lineRule="auto"/>
        <w:rPr>
          <w:sz w:val="20"/>
          <w:szCs w:val="20"/>
          <w:color w:val="auto"/>
        </w:rPr>
      </w:pPr>
      <w:r>
        <w:rPr>
          <w:rFonts w:ascii="Arial" w:cs="Arial" w:eastAsia="Arial" w:hAnsi="Arial"/>
          <w:sz w:val="11"/>
          <w:szCs w:val="11"/>
          <w:color w:val="auto"/>
        </w:rPr>
        <w:t>Investors are cautioned not to place undue reliance on these forward-looking statements, whether written or oral, which apply only as of the date of this Current Report. None of the Registrants undertakes any obligation to publicly release any revision to its forward-looking statements to reflect events or circumstances after the date of this Current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561975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95" w:right="299" w:bottom="1440" w:gutter="0" w:footer="0" w:header="0"/>
        </w:sectPr>
      </w:pPr>
    </w:p>
    <w:bookmarkStart w:id="4" w:name="page5"/>
    <w:bookmarkEnd w:id="4"/>
    <w:p>
      <w:pPr>
        <w:ind w:left="5260"/>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each Registrant has duly caused this report to be signed on its behalf by the undersigned hereunto duly authorized.</w:t>
      </w:r>
    </w:p>
    <w:p>
      <w:pPr>
        <w:spacing w:after="0" w:line="18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EXELON CORPORATION</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 JEANNE M.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Jeanne M. Jones</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0"/>
          <w:szCs w:val="10"/>
          <w:color w:val="auto"/>
        </w:rPr>
        <w:t>Executive Vice President and Chief Finance Officer, Audit and Risk</w:t>
      </w:r>
    </w:p>
    <w:p>
      <w:pPr>
        <w:spacing w:after="0" w:line="173"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COMMONWEALTH EDISON COMPANY</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 JOSHUA S.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Joshua S. Levin</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Senior Vice President, Chief Financial Officer and Treasurer</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PECO ENERGY COMPANY</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 MARISSA E.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Marissa E. Humphrey</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Senior Vice President, Chief Financial Officer and Treasurer</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BALTIMORE GAS AND ELECTRIC COMPANY</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 MICHAEL J. CLOYD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Michael J. Cloyd</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Senior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815340</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991" w:right="1440" w:bottom="1440" w:gutter="0" w:footer="0" w:header="0"/>
        </w:sectPr>
      </w:pPr>
    </w:p>
    <w:bookmarkStart w:id="5" w:name="page6"/>
    <w:bookmarkEnd w:id="5"/>
    <w:p>
      <w:pPr>
        <w:ind w:left="5660"/>
        <w:spacing w:after="0"/>
        <w:rPr>
          <w:sz w:val="20"/>
          <w:szCs w:val="20"/>
          <w:color w:val="auto"/>
        </w:rPr>
      </w:pPr>
      <w:r>
        <w:rPr>
          <w:rFonts w:ascii="Arial" w:cs="Arial" w:eastAsia="Arial" w:hAnsi="Arial"/>
          <w:sz w:val="11"/>
          <w:szCs w:val="11"/>
          <w:b w:val="1"/>
          <w:bCs w:val="1"/>
          <w:color w:val="auto"/>
        </w:rPr>
        <w:t>PEPCO HOLDINGS LLC</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 ELIZABETH MORGAN DOWNS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Elizabeth Morgan Downs O'Donnell</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0"/>
          <w:szCs w:val="10"/>
          <w:color w:val="auto"/>
        </w:rPr>
        <w:t>Senior Vice President, Chief Financial Officer and Treasurer</w:t>
      </w:r>
    </w:p>
    <w:p>
      <w:pPr>
        <w:spacing w:after="0" w:line="173"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POTOMAC ELECTRIC POWER COMPANY</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 ELIZABETH MORGAN DOWNS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Elizabeth Morgan Downs O'Donnell</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0"/>
          <w:szCs w:val="10"/>
          <w:color w:val="auto"/>
        </w:rPr>
        <w:t>Senior Vice President, Chief Financial Officer and Treasurer</w:t>
      </w:r>
    </w:p>
    <w:p>
      <w:pPr>
        <w:spacing w:after="0" w:line="173"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DELMARVA POWER &amp; LIGHT COMPANY</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 ELIZABETH MORGAN DOWNS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Elizabeth Morgan Downs O'Donnell</w:t>
      </w:r>
    </w:p>
    <w:p>
      <w:pPr>
        <w:spacing w:after="0" w:line="18" w:lineRule="exact"/>
        <w:rPr>
          <w:sz w:val="20"/>
          <w:szCs w:val="20"/>
          <w:color w:val="auto"/>
        </w:rPr>
      </w:pPr>
    </w:p>
    <w:p>
      <w:pPr>
        <w:ind w:left="5660"/>
        <w:spacing w:after="0"/>
        <w:rPr>
          <w:sz w:val="20"/>
          <w:szCs w:val="20"/>
          <w:color w:val="auto"/>
        </w:rPr>
      </w:pPr>
      <w:r>
        <w:rPr>
          <w:rFonts w:ascii="Arial" w:cs="Arial" w:eastAsia="Arial" w:hAnsi="Arial"/>
          <w:sz w:val="10"/>
          <w:szCs w:val="10"/>
          <w:color w:val="auto"/>
        </w:rPr>
        <w:t>Senior Vice President, Chief Financial Officer and Treasurer</w:t>
      </w:r>
    </w:p>
    <w:p>
      <w:pPr>
        <w:spacing w:after="0" w:line="173" w:lineRule="exact"/>
        <w:rPr>
          <w:sz w:val="20"/>
          <w:szCs w:val="20"/>
          <w:color w:val="auto"/>
        </w:rPr>
      </w:pPr>
    </w:p>
    <w:p>
      <w:pPr>
        <w:ind w:left="5660"/>
        <w:spacing w:after="0"/>
        <w:rPr>
          <w:sz w:val="20"/>
          <w:szCs w:val="20"/>
          <w:color w:val="auto"/>
        </w:rPr>
      </w:pPr>
      <w:r>
        <w:rPr>
          <w:rFonts w:ascii="Arial" w:cs="Arial" w:eastAsia="Arial" w:hAnsi="Arial"/>
          <w:sz w:val="11"/>
          <w:szCs w:val="11"/>
          <w:b w:val="1"/>
          <w:bCs w:val="1"/>
          <w:color w:val="auto"/>
        </w:rPr>
        <w:t>ATLANTIC CITY ELECTRIC COMPANY</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/s/ ELIZABETH MORGAN DOWNS O'DONNELL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358902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7" w:lineRule="exact"/>
        <w:rPr>
          <w:sz w:val="20"/>
          <w:szCs w:val="20"/>
          <w:color w:val="auto"/>
        </w:rPr>
      </w:pPr>
    </w:p>
    <w:p>
      <w:pPr>
        <w:ind w:left="5660"/>
        <w:spacing w:after="0"/>
        <w:rPr>
          <w:sz w:val="20"/>
          <w:szCs w:val="20"/>
          <w:color w:val="auto"/>
        </w:rPr>
      </w:pPr>
      <w:r>
        <w:rPr>
          <w:rFonts w:ascii="Arial" w:cs="Arial" w:eastAsia="Arial" w:hAnsi="Arial"/>
          <w:sz w:val="11"/>
          <w:szCs w:val="11"/>
          <w:color w:val="auto"/>
        </w:rPr>
        <w:t>Elizabeth Morgan Downs O'Donnell</w:t>
      </w:r>
    </w:p>
    <w:p>
      <w:pPr>
        <w:spacing w:after="0" w:line="18" w:lineRule="exact"/>
        <w:rPr>
          <w:sz w:val="20"/>
          <w:szCs w:val="20"/>
          <w:color w:val="auto"/>
        </w:rPr>
      </w:pPr>
    </w:p>
    <w:p>
      <w:pPr>
        <w:jc w:val="right"/>
        <w:ind w:right="1639"/>
        <w:spacing w:after="0"/>
        <w:rPr>
          <w:sz w:val="20"/>
          <w:szCs w:val="20"/>
          <w:color w:val="auto"/>
        </w:rPr>
      </w:pPr>
      <w:r>
        <w:rPr>
          <w:rFonts w:ascii="Arial" w:cs="Arial" w:eastAsia="Arial" w:hAnsi="Arial"/>
          <w:sz w:val="11"/>
          <w:szCs w:val="11"/>
          <w:color w:val="auto"/>
        </w:rPr>
        <w:t>Senior Vice President, Chief Financial Officer and Treasurer</w:t>
      </w:r>
    </w:p>
    <w:p>
      <w:pPr>
        <w:spacing w:after="0" w:line="212" w:lineRule="exact"/>
        <w:rPr>
          <w:sz w:val="20"/>
          <w:szCs w:val="20"/>
          <w:color w:val="auto"/>
        </w:rPr>
      </w:pPr>
    </w:p>
    <w:p>
      <w:pPr>
        <w:spacing w:after="0"/>
        <w:rPr>
          <w:sz w:val="20"/>
          <w:szCs w:val="20"/>
          <w:color w:val="auto"/>
        </w:rPr>
      </w:pPr>
      <w:r>
        <w:rPr>
          <w:rFonts w:ascii="Arial" w:cs="Arial" w:eastAsia="Arial" w:hAnsi="Arial"/>
          <w:sz w:val="12"/>
          <w:szCs w:val="12"/>
          <w:color w:val="auto"/>
        </w:rPr>
        <w:t>February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685165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022"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5"/>
        </w:trPr>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tcPr>
          <w:p>
            <w:pPr>
              <w:ind w:left="1480"/>
              <w:spacing w:after="0"/>
              <w:rPr>
                <w:sz w:val="20"/>
                <w:szCs w:val="20"/>
                <w:color w:val="auto"/>
              </w:rPr>
            </w:pPr>
            <w:r>
              <w:rPr>
                <w:rFonts w:ascii="Arial" w:cs="Arial" w:eastAsia="Arial" w:hAnsi="Arial"/>
                <w:sz w:val="12"/>
                <w:szCs w:val="12"/>
                <w:b w:val="1"/>
                <w:bCs w:val="1"/>
                <w:color w:val="auto"/>
              </w:rPr>
              <w:t>EXHIBIT INDEX</w:t>
            </w:r>
          </w:p>
        </w:tc>
      </w:tr>
      <w:tr>
        <w:trPr>
          <w:trHeight w:val="163"/>
        </w:trPr>
        <w:tc>
          <w:tcPr>
            <w:tcW w:w="940" w:type="dxa"/>
            <w:vAlign w:val="bottom"/>
            <w:gridSpan w:val="3"/>
          </w:tcPr>
          <w:p>
            <w:pPr>
              <w:spacing w:after="0"/>
              <w:rPr>
                <w:sz w:val="20"/>
                <w:szCs w:val="20"/>
                <w:color w:val="auto"/>
              </w:rPr>
            </w:pPr>
            <w:r>
              <w:rPr>
                <w:rFonts w:ascii="Arial" w:cs="Arial" w:eastAsia="Arial" w:hAnsi="Arial"/>
                <w:sz w:val="11"/>
                <w:szCs w:val="11"/>
                <w:color w:val="auto"/>
              </w:rPr>
              <w:t>Exhibit No.</w:t>
            </w:r>
          </w:p>
        </w:tc>
        <w:tc>
          <w:tcPr>
            <w:tcW w:w="5700" w:type="dxa"/>
            <w:vAlign w:val="bottom"/>
            <w:gridSpan w:val="5"/>
          </w:tcPr>
          <w:p>
            <w:pPr>
              <w:ind w:left="440"/>
              <w:spacing w:after="0"/>
              <w:rPr>
                <w:sz w:val="20"/>
                <w:szCs w:val="20"/>
                <w:color w:val="auto"/>
              </w:rPr>
            </w:pPr>
            <w:r>
              <w:rPr>
                <w:rFonts w:ascii="Arial" w:cs="Arial" w:eastAsia="Arial" w:hAnsi="Arial"/>
                <w:sz w:val="11"/>
                <w:szCs w:val="11"/>
                <w:color w:val="auto"/>
              </w:rPr>
              <w:t>Description</w:t>
            </w:r>
          </w:p>
        </w:tc>
      </w:tr>
      <w:tr>
        <w:trPr>
          <w:trHeight w:val="20"/>
        </w:trPr>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24"/>
        </w:trPr>
        <w:tc>
          <w:tcPr>
            <w:tcW w:w="220" w:type="dxa"/>
            <w:vAlign w:val="bottom"/>
          </w:tcPr>
          <w:p>
            <w:pPr>
              <w:spacing w:after="0" w:line="124" w:lineRule="exact"/>
              <w:rPr>
                <w:sz w:val="20"/>
                <w:szCs w:val="20"/>
                <w:color w:val="auto"/>
              </w:rPr>
            </w:pPr>
            <w:r>
              <w:rPr>
                <w:rFonts w:ascii="Arial" w:cs="Arial" w:eastAsia="Arial" w:hAnsi="Arial"/>
                <w:sz w:val="11"/>
                <w:szCs w:val="11"/>
                <w:color w:val="0000FF"/>
                <w:w w:val="93"/>
              </w:rPr>
              <w:t>99.</w:t>
            </w:r>
            <w:r>
              <w:rPr>
                <w:rFonts w:ascii="Arial" w:cs="Arial" w:eastAsia="Arial" w:hAnsi="Arial"/>
                <w:sz w:val="11"/>
                <w:szCs w:val="11"/>
                <w:u w:val="single" w:color="auto"/>
                <w:color w:val="0000FF"/>
                <w:w w:val="93"/>
              </w:rPr>
              <w:t>1</w:t>
            </w: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700" w:type="dxa"/>
            <w:vAlign w:val="bottom"/>
            <w:gridSpan w:val="5"/>
          </w:tcPr>
          <w:p>
            <w:pPr>
              <w:ind w:left="440"/>
              <w:spacing w:after="0" w:line="124" w:lineRule="exact"/>
              <w:rPr>
                <w:sz w:val="20"/>
                <w:szCs w:val="20"/>
                <w:color w:val="auto"/>
              </w:rPr>
            </w:pPr>
            <w:r>
              <w:rPr>
                <w:rFonts w:ascii="Arial" w:cs="Arial" w:eastAsia="Arial" w:hAnsi="Arial"/>
                <w:sz w:val="11"/>
                <w:szCs w:val="11"/>
                <w:color w:val="0000FF"/>
              </w:rPr>
              <w:t>Press release and earnings release attachments</w:t>
            </w:r>
          </w:p>
        </w:tc>
      </w:tr>
      <w:tr>
        <w:trPr>
          <w:trHeight w:val="20"/>
        </w:trPr>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24"/>
        </w:trPr>
        <w:tc>
          <w:tcPr>
            <w:tcW w:w="220" w:type="dxa"/>
            <w:vAlign w:val="bottom"/>
          </w:tcPr>
          <w:p>
            <w:pPr>
              <w:spacing w:after="0" w:line="124" w:lineRule="exact"/>
              <w:rPr>
                <w:sz w:val="20"/>
                <w:szCs w:val="20"/>
                <w:color w:val="auto"/>
              </w:rPr>
            </w:pPr>
            <w:r>
              <w:rPr>
                <w:rFonts w:ascii="Arial" w:cs="Arial" w:eastAsia="Arial" w:hAnsi="Arial"/>
                <w:sz w:val="11"/>
                <w:szCs w:val="11"/>
                <w:color w:val="0000FF"/>
                <w:w w:val="93"/>
              </w:rPr>
              <w:t>99.</w:t>
            </w:r>
            <w:r>
              <w:rPr>
                <w:rFonts w:ascii="Arial" w:cs="Arial" w:eastAsia="Arial" w:hAnsi="Arial"/>
                <w:sz w:val="11"/>
                <w:szCs w:val="11"/>
                <w:u w:val="single" w:color="auto"/>
                <w:color w:val="0000FF"/>
                <w:w w:val="93"/>
              </w:rPr>
              <w:t>2</w:t>
            </w: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700" w:type="dxa"/>
            <w:vAlign w:val="bottom"/>
            <w:gridSpan w:val="5"/>
          </w:tcPr>
          <w:p>
            <w:pPr>
              <w:ind w:left="440"/>
              <w:spacing w:after="0" w:line="124" w:lineRule="exact"/>
              <w:rPr>
                <w:sz w:val="20"/>
                <w:szCs w:val="20"/>
                <w:color w:val="auto"/>
              </w:rPr>
            </w:pPr>
            <w:r>
              <w:rPr>
                <w:rFonts w:ascii="Arial" w:cs="Arial" w:eastAsia="Arial" w:hAnsi="Arial"/>
                <w:sz w:val="11"/>
                <w:szCs w:val="11"/>
                <w:color w:val="0000FF"/>
              </w:rPr>
              <w:t>Earnings conference call presentation slides</w:t>
            </w:r>
          </w:p>
        </w:tc>
      </w:tr>
      <w:tr>
        <w:trPr>
          <w:trHeight w:val="20"/>
        </w:trPr>
        <w:tc>
          <w:tcPr>
            <w:tcW w:w="2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49"/>
        </w:trPr>
        <w:tc>
          <w:tcPr>
            <w:tcW w:w="220" w:type="dxa"/>
            <w:vAlign w:val="bottom"/>
          </w:tcPr>
          <w:p>
            <w:pPr>
              <w:spacing w:after="0"/>
              <w:rPr>
                <w:sz w:val="20"/>
                <w:szCs w:val="20"/>
                <w:color w:val="auto"/>
              </w:rPr>
            </w:pPr>
            <w:r>
              <w:rPr>
                <w:rFonts w:ascii="Arial" w:cs="Arial" w:eastAsia="Arial" w:hAnsi="Arial"/>
                <w:sz w:val="11"/>
                <w:szCs w:val="11"/>
                <w:color w:val="auto"/>
              </w:rPr>
              <w:t>101</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700" w:type="dxa"/>
            <w:vAlign w:val="bottom"/>
            <w:gridSpan w:val="5"/>
          </w:tcPr>
          <w:p>
            <w:pPr>
              <w:ind w:left="440"/>
              <w:spacing w:after="0"/>
              <w:rPr>
                <w:sz w:val="20"/>
                <w:szCs w:val="20"/>
                <w:color w:val="auto"/>
              </w:rPr>
            </w:pPr>
            <w:r>
              <w:rPr>
                <w:rFonts w:ascii="Arial" w:cs="Arial" w:eastAsia="Arial" w:hAnsi="Arial"/>
                <w:sz w:val="11"/>
                <w:szCs w:val="11"/>
                <w:color w:val="auto"/>
                <w:w w:val="97"/>
              </w:rPr>
              <w:t>Cover Page Interactive Data File - the cover page XBRL tags are embedded within the Inline XBRL document.</w:t>
            </w:r>
          </w:p>
        </w:tc>
      </w:tr>
      <w:tr>
        <w:trPr>
          <w:trHeight w:val="144"/>
        </w:trPr>
        <w:tc>
          <w:tcPr>
            <w:tcW w:w="220" w:type="dxa"/>
            <w:vAlign w:val="bottom"/>
          </w:tcPr>
          <w:p>
            <w:pPr>
              <w:spacing w:after="0"/>
              <w:rPr>
                <w:sz w:val="20"/>
                <w:szCs w:val="20"/>
                <w:color w:val="auto"/>
              </w:rPr>
            </w:pPr>
            <w:r>
              <w:rPr>
                <w:rFonts w:ascii="Arial" w:cs="Arial" w:eastAsia="Arial" w:hAnsi="Arial"/>
                <w:sz w:val="11"/>
                <w:szCs w:val="11"/>
                <w:color w:val="auto"/>
              </w:rPr>
              <w:t>104</w:t>
            </w: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700" w:type="dxa"/>
            <w:vAlign w:val="bottom"/>
            <w:gridSpan w:val="5"/>
          </w:tcPr>
          <w:p>
            <w:pPr>
              <w:ind w:left="440"/>
              <w:spacing w:after="0"/>
              <w:rPr>
                <w:sz w:val="20"/>
                <w:szCs w:val="20"/>
                <w:color w:val="auto"/>
              </w:rPr>
            </w:pPr>
            <w:r>
              <w:rPr>
                <w:rFonts w:ascii="Arial" w:cs="Arial" w:eastAsia="Arial" w:hAnsi="Arial"/>
                <w:sz w:val="11"/>
                <w:szCs w:val="11"/>
                <w:color w:val="auto"/>
              </w:rPr>
              <w:t>Cover Page Interactive Data File (formatted as Inline XBRL and contained in Exhibit 101)</w:t>
            </w:r>
          </w:p>
        </w:tc>
      </w:tr>
    </w:tbl>
    <w:p>
      <w:pPr>
        <w:sectPr>
          <w:pgSz w:w="11900" w:h="16838" w:orient="portrait"/>
          <w:cols w:equalWidth="0" w:num="1">
            <w:col w:w="10119"/>
          </w:cols>
          <w:pgMar w:left="340" w:top="1027"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1503045" cy="388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03045" cy="388620"/>
                    </a:xfrm>
                    <a:prstGeom prst="rect">
                      <a:avLst/>
                    </a:prstGeom>
                    <a:noFill/>
                  </pic:spPr>
                </pic:pic>
              </a:graphicData>
            </a:graphic>
          </wp:anchor>
        </w:drawing>
      </w:r>
    </w:p>
    <w:p>
      <w:pPr>
        <w:sectPr>
          <w:pgSz w:w="11900" w:h="16838" w:orient="portrait"/>
          <w:cols w:equalWidth="0" w:num="1">
            <w:col w:w="11300"/>
          </w:cols>
          <w:pgMar w:left="300" w:top="668"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661DE8"/>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James Gherardi</w:t>
      </w:r>
    </w:p>
    <w:p>
      <w:pPr>
        <w:spacing w:after="0" w:line="214" w:lineRule="auto"/>
        <w:rPr>
          <w:sz w:val="20"/>
          <w:szCs w:val="20"/>
          <w:color w:val="auto"/>
        </w:rPr>
      </w:pPr>
      <w:r>
        <w:rPr>
          <w:rFonts w:ascii="Times New Roman" w:cs="Times New Roman" w:eastAsia="Times New Roman" w:hAnsi="Times New Roman"/>
          <w:sz w:val="14"/>
          <w:szCs w:val="14"/>
          <w:color w:val="auto"/>
        </w:rPr>
        <w:t>Corporate Communications</w:t>
      </w:r>
    </w:p>
    <w:p>
      <w:pPr>
        <w:spacing w:after="0"/>
        <w:rPr>
          <w:sz w:val="20"/>
          <w:szCs w:val="20"/>
          <w:color w:val="auto"/>
        </w:rPr>
      </w:pPr>
      <w:r>
        <w:rPr>
          <w:rFonts w:ascii="Times New Roman" w:cs="Times New Roman" w:eastAsia="Times New Roman" w:hAnsi="Times New Roman"/>
          <w:sz w:val="14"/>
          <w:szCs w:val="14"/>
          <w:color w:val="auto"/>
        </w:rPr>
        <w:t>312-394-7417</w:t>
      </w:r>
    </w:p>
    <w:p>
      <w:pPr>
        <w:spacing w:after="0" w:line="110" w:lineRule="exact"/>
        <w:rPr>
          <w:sz w:val="20"/>
          <w:szCs w:val="20"/>
          <w:color w:val="auto"/>
        </w:rPr>
      </w:pPr>
    </w:p>
    <w:p>
      <w:pPr>
        <w:sectPr>
          <w:pgSz w:w="11900" w:h="16838" w:orient="portrait"/>
          <w:cols w:equalWidth="0" w:num="2">
            <w:col w:w="560" w:space="720"/>
            <w:col w:w="10020"/>
          </w:cols>
          <w:pgMar w:left="300" w:top="668" w:right="29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14"/>
          <w:szCs w:val="14"/>
          <w:color w:val="auto"/>
        </w:rPr>
        <w:t>Ryan Brown</w:t>
      </w:r>
    </w:p>
    <w:p>
      <w:pPr>
        <w:ind w:left="1280"/>
        <w:spacing w:after="0" w:line="214" w:lineRule="auto"/>
        <w:rPr>
          <w:sz w:val="20"/>
          <w:szCs w:val="20"/>
          <w:color w:val="auto"/>
        </w:rPr>
      </w:pPr>
      <w:r>
        <w:rPr>
          <w:rFonts w:ascii="Times New Roman" w:cs="Times New Roman" w:eastAsia="Times New Roman" w:hAnsi="Times New Roman"/>
          <w:sz w:val="14"/>
          <w:szCs w:val="14"/>
          <w:color w:val="auto"/>
        </w:rPr>
        <w:t>Investor Relations</w:t>
      </w:r>
    </w:p>
    <w:p>
      <w:pPr>
        <w:ind w:left="1280"/>
        <w:spacing w:after="0"/>
        <w:rPr>
          <w:sz w:val="20"/>
          <w:szCs w:val="20"/>
          <w:color w:val="auto"/>
        </w:rPr>
      </w:pPr>
      <w:r>
        <w:rPr>
          <w:rFonts w:ascii="Times New Roman" w:cs="Times New Roman" w:eastAsia="Times New Roman" w:hAnsi="Times New Roman"/>
          <w:sz w:val="14"/>
          <w:szCs w:val="14"/>
          <w:color w:val="auto"/>
        </w:rPr>
        <w:t>779-231-0017</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EXELON REPORTS FOURTH QUARTER AND FULL YEAR 2025 RESULTS AND INITIATES 2026 FINANCIAL OUTLOOK</w:t>
      </w:r>
    </w:p>
    <w:p>
      <w:pPr>
        <w:sectPr>
          <w:pgSz w:w="11900" w:h="16838" w:orient="portrait"/>
          <w:cols w:equalWidth="0" w:num="1">
            <w:col w:w="11300"/>
          </w:cols>
          <w:pgMar w:left="300" w:top="668" w:right="299" w:bottom="1440" w:gutter="0" w:footer="0" w:header="0"/>
          <w:type w:val="continuous"/>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Earnings Release Highlights</w:t>
      </w:r>
    </w:p>
    <w:p>
      <w:pPr>
        <w:spacing w:after="0" w:line="111" w:lineRule="exact"/>
        <w:rPr>
          <w:sz w:val="20"/>
          <w:szCs w:val="20"/>
          <w:color w:val="auto"/>
        </w:rPr>
      </w:pPr>
    </w:p>
    <w:p>
      <w:pPr>
        <w:ind w:left="420" w:hanging="212"/>
        <w:spacing w:after="0" w:line="253" w:lineRule="auto"/>
        <w:tabs>
          <w:tab w:leader="none" w:pos="403" w:val="left"/>
        </w:tabs>
        <w:numPr>
          <w:ilvl w:val="0"/>
          <w:numId w:val="3"/>
        </w:numPr>
        <w:rPr>
          <w:rFonts w:ascii="Arial" w:cs="Arial" w:eastAsia="Arial" w:hAnsi="Arial"/>
          <w:sz w:val="13"/>
          <w:szCs w:val="13"/>
          <w:color w:val="auto"/>
        </w:rPr>
      </w:pPr>
      <w:r>
        <w:rPr>
          <w:rFonts w:ascii="Times New Roman" w:cs="Times New Roman" w:eastAsia="Times New Roman" w:hAnsi="Times New Roman"/>
          <w:sz w:val="14"/>
          <w:szCs w:val="14"/>
          <w:color w:val="auto"/>
        </w:rPr>
        <w:t>Executed Adjusted (non-GAAP) operating earnings per share above expectations, with GAAP net income of $0.58 per share and Adjusted (non-GAAP) operating earnings of $0.59 per share for the fourth quarter of 2025, resulting in full-year GAAP net income of $2.73 per share and Adjusted (non-GAAP) operating earnings of $2.77 per share</w:t>
      </w: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Introducing full year 2026 Adjusted (non-GAAP) operating earnings guidance range of $2.81-$2.91 per share, representing over 6% growth from 2025 guidance</w:t>
      </w:r>
    </w:p>
    <w:p>
      <w:pPr>
        <w:spacing w:after="0" w:line="1" w:lineRule="exact"/>
        <w:rPr>
          <w:rFonts w:ascii="Times New Roman" w:cs="Times New Roman" w:eastAsia="Times New Roman" w:hAnsi="Times New Roman"/>
          <w:sz w:val="14"/>
          <w:szCs w:val="14"/>
          <w:color w:val="auto"/>
        </w:rPr>
      </w:pPr>
    </w:p>
    <w:p>
      <w:pPr>
        <w:ind w:left="420" w:right="20" w:hanging="212"/>
        <w:spacing w:after="0" w:line="241" w:lineRule="auto"/>
        <w:tabs>
          <w:tab w:leader="none" w:pos="4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Projecting $41.3 billion of capital expenditures over the next four years to support customer needs and grid reliability, resulting in expected rate base growth of 7.9% and operating EPS compounded annual growth near the top end of 5-7% from 2025-2029</w:t>
      </w:r>
    </w:p>
    <w:p>
      <w:pPr>
        <w:ind w:left="420" w:right="20" w:hanging="212"/>
        <w:spacing w:after="0" w:line="241" w:lineRule="auto"/>
        <w:tabs>
          <w:tab w:leader="none" w:pos="4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Updating 4-year financing plan to include $3.4 billion of equity to fund capital expenditures, in line with a balanced funding strategy of funding incremental capital with approximately 40% equity, implying $850 million in annualized equity needs per year, with 82% of 2026 needs priced under forwards</w:t>
      </w:r>
    </w:p>
    <w:p>
      <w:pPr>
        <w:ind w:left="420" w:hanging="212"/>
        <w:spacing w:after="0" w:line="234" w:lineRule="auto"/>
        <w:tabs>
          <w:tab w:leader="none" w:pos="4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utilities achieved first quartile performance in System Average Interruption Duration Index (SAIDI), with ComEd landing in top decile for both SAIDI and System Average Interruption Frequency Index</w:t>
      </w:r>
    </w:p>
    <w:p>
      <w:pPr>
        <w:spacing w:after="0" w:line="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affordability is paramount to Exelon’s strategy, with $60 million provided in direct assistance through the company’s Customer Relief Fund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CHICAGO (Feb. 12, 2026) </w:t>
      </w:r>
      <w:r>
        <w:rPr>
          <w:rFonts w:ascii="Times New Roman" w:cs="Times New Roman" w:eastAsia="Times New Roman" w:hAnsi="Times New Roman"/>
          <w:sz w:val="14"/>
          <w:szCs w:val="14"/>
          <w:color w:val="auto"/>
        </w:rPr>
        <w:t>— Exelon Corporation (Nasdaq: EXC) today reported its financial results for the fourth quarter and full year 2025.</w:t>
      </w:r>
    </w:p>
    <w:p>
      <w:pPr>
        <w:spacing w:after="0" w:line="16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4"/>
          <w:szCs w:val="14"/>
          <w:color w:val="auto"/>
        </w:rPr>
        <w:t>“As we close out our 25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anniversary year, I am pleased to report that Exelon delivered strong operational and financial performance in 2025,” said Exelon President and Chief Executive Officer Calvin Butler. “We remain committed to balancing the investments needed to meet tomorrow’s energy demands while keeping our customers at the center of every decision. Through our customer programs and disciplined focus on cost and operational excellence, we continued to maintain customer bills below the national average. We look forward to building on this momentum in 2026 – delivering and advocating for safe, reliable and affordable energy solutions while strengthening the communities we proudly serve.”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68" w:right="299" w:bottom="1440" w:gutter="0" w:footer="0" w:header="0"/>
          <w:type w:val="continuous"/>
        </w:sectPr>
      </w:pPr>
    </w:p>
    <w:bookmarkStart w:id="8" w:name="page9"/>
    <w:bookmarkEnd w:id="8"/>
    <w:p>
      <w:pPr>
        <w:jc w:val="both"/>
        <w:spacing w:after="0" w:line="255" w:lineRule="auto"/>
        <w:rPr>
          <w:sz w:val="20"/>
          <w:szCs w:val="20"/>
          <w:color w:val="auto"/>
        </w:rPr>
      </w:pPr>
      <w:r>
        <w:rPr>
          <w:rFonts w:ascii="Times New Roman" w:cs="Times New Roman" w:eastAsia="Times New Roman" w:hAnsi="Times New Roman"/>
          <w:sz w:val="14"/>
          <w:szCs w:val="14"/>
          <w:color w:val="auto"/>
        </w:rPr>
        <w:t>“Exelon's financial performance in 2025 exceeded expectations, with full-year adjusted operating earnings of $2.77 per share, sustaining a 100% track record of annual outperformance as a standalone utility,” said Exelon Chief Financial Officer Jeanne Jones. “With a $41.3 billion four-year capital plan and 7.9% rate base growth, we are well-positioned to deliver annualized earnings growth near the top end of 5% to 7% through 2029. As we continue to make the critical investments needed to modernize our energy infrastructure, we remain focused on supporting our customers by providing reliable and resilient service, maintaining a sharp focus on cost management, and advocating for policies that advance customer equity and energy supply solutions.”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Fourth Quarter 2025</w:t>
      </w:r>
    </w:p>
    <w:p>
      <w:pPr>
        <w:spacing w:after="0" w:line="1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Exelon's GAAP net income for the fourth quarter of 2025 decreased to $0.58 per share from $0.64 per share in the fourth quarter of 2024. Adjusted (non-GAAP) operating earnings for the fourth quarter of 2025 decreased to $0.59 per share from $0.64 per share in the fourth quarter of 2024. For the reconciliations of GAAP net income to Adjusted (non-GAAP) operating earnings, refer to the tables beginning on page 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GAAP net income and Adjusted (non-GAAP) operating earnings in the fourth quarter of 2025 primarily reflect:</w:t>
      </w:r>
    </w:p>
    <w:p>
      <w:pPr>
        <w:spacing w:after="0" w:line="127" w:lineRule="exact"/>
        <w:rPr>
          <w:sz w:val="20"/>
          <w:szCs w:val="20"/>
          <w:color w:val="auto"/>
        </w:rPr>
      </w:pPr>
    </w:p>
    <w:p>
      <w:pPr>
        <w:jc w:val="both"/>
        <w:ind w:left="420" w:hanging="212"/>
        <w:spacing w:after="0" w:line="275" w:lineRule="auto"/>
        <w:tabs>
          <w:tab w:leader="none" w:pos="4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utility earnings primarily due to distribution and transmission rates at ComEd and PHI, distribution rates at PECO and BGE, higher AFUDC at ComEd, favorable weather at PECO, and impacts of the multi-year plan reconciliation at BGE. This was partially offset by higher income taxes, contracting costs, depreciation expense, and an absence of the storm cost deferral at PECO, higher contracting costs at PHI, higher interest expense at PECO and BGE, and timing of distribution earnings at ComEd.</w:t>
      </w:r>
    </w:p>
    <w:p>
      <w:pPr>
        <w:spacing w:after="0" w:line="67" w:lineRule="exact"/>
        <w:rPr>
          <w:rFonts w:ascii="Times New Roman" w:cs="Times New Roman" w:eastAsia="Times New Roman" w:hAnsi="Times New Roman"/>
          <w:sz w:val="14"/>
          <w:szCs w:val="14"/>
          <w:color w:val="auto"/>
        </w:rPr>
      </w:pPr>
    </w:p>
    <w:p>
      <w:pPr>
        <w:ind w:left="420" w:hanging="212"/>
        <w:spacing w:after="0" w:line="295" w:lineRule="auto"/>
        <w:tabs>
          <w:tab w:leader="none" w:pos="4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costs at the Exelon holding company primarily due to higher interest expense, charitable contributions, and the Customer Relief Fund contribution. This was partially offset by lower income taxes.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Full Year 2025</w:t>
      </w:r>
    </w:p>
    <w:p>
      <w:pPr>
        <w:spacing w:after="0" w:line="174"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4"/>
          <w:szCs w:val="14"/>
          <w:color w:val="auto"/>
        </w:rPr>
        <w:t>Exelon's GAAP net income for 2025 increased to $2.73 per share from $2.45 per share in 2024. Adjusted (non-GAAP) operating earnings for 2025 increased to $2.77 per share from $2.50 per share in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GAAP net income and Adjusted (non-GAAP) operating earnings for the full year 2025 primarily reflect:</w:t>
      </w:r>
    </w:p>
    <w:p>
      <w:pPr>
        <w:spacing w:after="0" w:line="118" w:lineRule="exact"/>
        <w:rPr>
          <w:sz w:val="20"/>
          <w:szCs w:val="20"/>
          <w:color w:val="auto"/>
        </w:rPr>
      </w:pPr>
    </w:p>
    <w:p>
      <w:pPr>
        <w:jc w:val="both"/>
        <w:ind w:left="420" w:hanging="212"/>
        <w:spacing w:after="0" w:line="272" w:lineRule="auto"/>
        <w:tabs>
          <w:tab w:leader="none" w:pos="41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utility earnings primarily due to distribution rates at PECO and BGE, distribution and transmission rates at ComEd and PHI, favorable weather at PECO, a higher return on regulatory assets primarily due to an increase in asset balances and higher AFUDC at ComEd, lower income taxes at PECO, and lower storm costs and impacts of the multi-year plan reconciliation at BGE. This was partially offset by higher interest expense at PECO, BGE, and PHI; higher depreciation expense at PECO and PHI; higher contracting costs at PECO and PHI; lower transmission peak load at ComEd; absence of the Pepco multi-year plan reconciliations; and lower AFUDC at PHI.</w:t>
      </w:r>
    </w:p>
    <w:p>
      <w:pPr>
        <w:spacing w:after="0" w:line="7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Higher costs at the Exelon holding company primarily due to the Customer Relief Fund contribution, higher interest expense, charitable contributions, and higher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661"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color w:val="auto"/>
        </w:rPr>
        <w:t>Operating Company Results</w:t>
      </w:r>
      <w:r>
        <w:rPr>
          <w:rFonts w:ascii="Times New Roman" w:cs="Times New Roman" w:eastAsia="Times New Roman" w:hAnsi="Times New Roman"/>
          <w:sz w:val="18"/>
          <w:szCs w:val="18"/>
          <w:b w:val="1"/>
          <w:bCs w:val="1"/>
          <w:color w:val="auto"/>
          <w:vertAlign w:val="superscript"/>
        </w:rPr>
        <w:t>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ComEd</w:t>
      </w:r>
    </w:p>
    <w:p>
      <w:pPr>
        <w:spacing w:after="0" w:line="1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ComEd's fourth quarter of 2025 GAAP net income increased to $244 million from $243 million in the fourth quarter of 2024. ComEd's Adjusted (non-GAAP) operating earnings for the fourth quarter of 2025 increased to $252 million from $243 million in the fourth quarter of 2024, primarily due to an increase in distribution and transmission rate base driven by incremental investments to serve customers and an increase in allowance for funds used during construction (AFUDC), partially offset by the timing of distribution earnings. Due to revenue decoupling, ComEd's distribution earnings are not intended to be affected by actual weather or customer usage patterns.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PECO</w:t>
      </w:r>
    </w:p>
    <w:p>
      <w:pPr>
        <w:spacing w:after="0" w:line="11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PECO’s fourth quarter of 2025 GAAP net income decreased to $162 million from $195 million in the fourth quarter of 2024. PECO's Adjusted (non-GAAP) operating earnings for the fourth quarter of 2025 decreased to $162 million from $196 million in the fourth quarter of 2024, primarily due to an increase in income taxes due to tax repairs, an absence of the storm cost deferral, an increase in contracting costs, and an increase in depreciation and interest expense, partially offset by electric and gas distribution rates associated with updated recovery of investments to serve customers and favorable weather.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BGE</w:t>
      </w:r>
    </w:p>
    <w:p>
      <w:pPr>
        <w:spacing w:after="0" w:line="11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BGE’s fourth quarter of 2025 GAAP net income increased to $180 million from $175 million in the fourth quarter of 2024. BGE's Adjusted (non-GAAP) operating earnings for the fourth quarter of 2025 increased to $181 million from $175 million in the fourth quarter of 2024, primarily due to distribution rates associated with updated recovery of investments to serve customers and impacts of the multi-year plan reconciliation, partially offset by an increase in interest expense. Due to revenue decoupling, BGE's distribution earnings are not intended to be affected by actual weather or customer usage patterns.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PHI</w:t>
      </w:r>
    </w:p>
    <w:p>
      <w:pPr>
        <w:spacing w:after="0" w:line="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PHI’s fourth quarter of 2025 GAAP net income increased to $171 million from $138 million in the fourth quarter of 2024. PHI’s Adjusted (non-GAAP) operating earnings for the fourth quarter of 2025 increased to $171 million from $132 million in the fourth quarter of 2024, primarily due to distribution and transmission rates driven by updated recovery of investments to serve customers. Due to revenue decoupling, PHI's distribution earnings related to Pepco Maryland, DPL Maryland, Pepco District of Columbia, and ACE are not intended to be affected by actual weather or customer usage patterns.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w:t>
      </w:r>
    </w:p>
    <w:p>
      <w:pPr>
        <w:spacing w:after="0" w:line="1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2"/>
          <w:szCs w:val="12"/>
          <w:color w:val="auto"/>
          <w:vertAlign w:val="superscript"/>
        </w:rPr>
        <w:t>1</w:t>
      </w:r>
      <w:r>
        <w:rPr>
          <w:rFonts w:ascii="Times New Roman" w:cs="Times New Roman" w:eastAsia="Times New Roman" w:hAnsi="Times New Roman"/>
          <w:sz w:val="10"/>
          <w:szCs w:val="10"/>
          <w:color w:val="auto"/>
        </w:rPr>
        <w:t>Exelon’s four business units include ComEd, which consists of electricity transmission and distribution operations in northern Illinois; PECO, which consists of electricity transmission and distribution operations and retail natural gas distribution operations in southeastern Pennsylvania; BGE, which consists of electricity transmission and distribution operations and retail natural gas distribution operations in central Maryland; and PHI, which consists of electricity transmission and distribution operations in the District of Columbia and portions of Maryland, Delaware, and New Jersey and retail natural gas distribution operations in northern Delaware.</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665"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color w:val="auto"/>
        </w:rPr>
        <w:t>Initiates Annual Guidance for 2026</w:t>
      </w:r>
    </w:p>
    <w:p>
      <w:pPr>
        <w:spacing w:after="0" w:line="120"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4"/>
          <w:szCs w:val="14"/>
          <w:color w:val="auto"/>
        </w:rPr>
        <w:t>Exelon introduced a guidance range for 2026 Adjusted (non-GAAP) operating earnings of $2.81-$2.91 per share. There are no adjustments between 2026 projected GAAP earnings and Adjusted (non-GAAP) operating earnings currently.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 and Fourth Quarter Highlights</w:t>
      </w:r>
    </w:p>
    <w:p>
      <w:pPr>
        <w:spacing w:after="0" w:line="118" w:lineRule="exact"/>
        <w:rPr>
          <w:sz w:val="20"/>
          <w:szCs w:val="20"/>
          <w:color w:val="auto"/>
        </w:rPr>
      </w:pPr>
    </w:p>
    <w:p>
      <w:pPr>
        <w:ind w:left="420" w:hanging="212"/>
        <w:spacing w:after="0" w:line="298" w:lineRule="auto"/>
        <w:tabs>
          <w:tab w:leader="none" w:pos="416"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Dividend: </w:t>
      </w:r>
      <w:r>
        <w:rPr>
          <w:rFonts w:ascii="Times New Roman" w:cs="Times New Roman" w:eastAsia="Times New Roman" w:hAnsi="Times New Roman"/>
          <w:sz w:val="14"/>
          <w:szCs w:val="14"/>
          <w:color w:val="auto"/>
        </w:rPr>
        <w:t>On February 12, 2026, Exelon's Board of Directors declared a regular quarterly dividend of $0.42 per share on Exelon's common stock. The dividend is payable on March 13,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2026, to Exelon shareholders of record as of the close of business on March 2, 2026.</w:t>
      </w:r>
    </w:p>
    <w:p>
      <w:pPr>
        <w:spacing w:after="0" w:line="50" w:lineRule="exact"/>
        <w:rPr>
          <w:rFonts w:ascii="Times New Roman" w:cs="Times New Roman" w:eastAsia="Times New Roman" w:hAnsi="Times New Roman"/>
          <w:sz w:val="14"/>
          <w:szCs w:val="14"/>
          <w:b w:val="1"/>
          <w:bCs w:val="1"/>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Rate Case Developments:</w:t>
      </w:r>
    </w:p>
    <w:p>
      <w:pPr>
        <w:spacing w:after="0" w:line="118" w:lineRule="exact"/>
        <w:rPr>
          <w:rFonts w:ascii="Times New Roman" w:cs="Times New Roman" w:eastAsia="Times New Roman" w:hAnsi="Times New Roman"/>
          <w:sz w:val="14"/>
          <w:szCs w:val="14"/>
          <w:b w:val="1"/>
          <w:bCs w:val="1"/>
          <w:color w:val="auto"/>
        </w:rPr>
      </w:pPr>
    </w:p>
    <w:p>
      <w:pPr>
        <w:ind w:left="860" w:right="20" w:hanging="220"/>
        <w:spacing w:after="0" w:line="312" w:lineRule="auto"/>
        <w:tabs>
          <w:tab w:leader="none" w:pos="857"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ComEd Multi-Year Rate Plan Reconciliation: </w:t>
      </w:r>
      <w:r>
        <w:rPr>
          <w:rFonts w:ascii="Times New Roman" w:cs="Times New Roman" w:eastAsia="Times New Roman" w:hAnsi="Times New Roman"/>
          <w:sz w:val="14"/>
          <w:szCs w:val="14"/>
          <w:color w:val="auto"/>
        </w:rPr>
        <w:t>On December 18, 2025, the Illinois Commerce Commission (ICC) issued a final order on the ComEd 2024 Multi-Year Rate Plan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Reconciliation. The ICC approved a total requested revenue requirement increase of $243 million, with rates effective on January 1, 2026.</w:t>
      </w:r>
    </w:p>
    <w:p>
      <w:pPr>
        <w:spacing w:after="0" w:line="40" w:lineRule="exact"/>
        <w:rPr>
          <w:rFonts w:ascii="Times New Roman" w:cs="Times New Roman" w:eastAsia="Times New Roman" w:hAnsi="Times New Roman"/>
          <w:sz w:val="14"/>
          <w:szCs w:val="14"/>
          <w:color w:val="auto"/>
        </w:rPr>
      </w:pPr>
    </w:p>
    <w:p>
      <w:pPr>
        <w:ind w:left="860" w:right="20" w:hanging="220"/>
        <w:spacing w:after="0" w:line="298" w:lineRule="auto"/>
        <w:tabs>
          <w:tab w:leader="none" w:pos="875"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BGE Multi-Year Plan Reconciliation: </w:t>
      </w:r>
      <w:r>
        <w:rPr>
          <w:rFonts w:ascii="Times New Roman" w:cs="Times New Roman" w:eastAsia="Times New Roman" w:hAnsi="Times New Roman"/>
          <w:sz w:val="14"/>
          <w:szCs w:val="14"/>
          <w:color w:val="auto"/>
        </w:rPr>
        <w:t>The Maryland Public Service Commission (MDPSC) approved BGE to recover $77 million of under-collections related to its 2023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reconciliation request, with rates effective February 1, 2026. The MDPSC also provided for $28 million of additional regulatory assets.</w:t>
      </w:r>
    </w:p>
    <w:p>
      <w:pPr>
        <w:spacing w:after="0" w:line="50" w:lineRule="exact"/>
        <w:rPr>
          <w:rFonts w:ascii="Times New Roman" w:cs="Times New Roman" w:eastAsia="Times New Roman" w:hAnsi="Times New Roman"/>
          <w:sz w:val="14"/>
          <w:szCs w:val="14"/>
          <w:color w:val="auto"/>
        </w:rPr>
      </w:pPr>
    </w:p>
    <w:p>
      <w:pPr>
        <w:jc w:val="both"/>
        <w:ind w:left="860" w:hanging="220"/>
        <w:spacing w:after="0" w:line="276" w:lineRule="auto"/>
        <w:tabs>
          <w:tab w:leader="none" w:pos="857"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DPL Delaware Electric Distribution Base Rate Case: </w:t>
      </w:r>
      <w:r>
        <w:rPr>
          <w:rFonts w:ascii="Times New Roman" w:cs="Times New Roman" w:eastAsia="Times New Roman" w:hAnsi="Times New Roman"/>
          <w:sz w:val="14"/>
          <w:szCs w:val="14"/>
          <w:color w:val="auto"/>
        </w:rPr>
        <w:t>On December 9, 2025, DPL Delaware filed an application the Delaware Public Service Commission (DEPSC) to increase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its annual electric distribution rates by $45 million, reflecting an ROE of 10.50%. DPL currently expects a decision in the third quarter of 2027 but cannot predict if the DEPSC will approve the application as filed. DPL can implement interim rates on July 9, 2026, subject to refund.</w:t>
      </w:r>
    </w:p>
    <w:p>
      <w:pPr>
        <w:spacing w:after="0" w:line="74" w:lineRule="exact"/>
        <w:rPr>
          <w:rFonts w:ascii="Times New Roman" w:cs="Times New Roman" w:eastAsia="Times New Roman" w:hAnsi="Times New Roman"/>
          <w:sz w:val="14"/>
          <w:szCs w:val="14"/>
          <w:color w:val="auto"/>
        </w:rPr>
      </w:pPr>
    </w:p>
    <w:p>
      <w:pPr>
        <w:jc w:val="both"/>
        <w:ind w:left="860" w:right="20" w:hanging="220"/>
        <w:spacing w:after="0" w:line="276" w:lineRule="auto"/>
        <w:tabs>
          <w:tab w:leader="none" w:pos="857"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DPL Delaware Natural Gas Distribution Base Rate Case: </w:t>
      </w:r>
      <w:r>
        <w:rPr>
          <w:rFonts w:ascii="Times New Roman" w:cs="Times New Roman" w:eastAsia="Times New Roman" w:hAnsi="Times New Roman"/>
          <w:sz w:val="14"/>
          <w:szCs w:val="14"/>
          <w:color w:val="auto"/>
        </w:rPr>
        <w:t>On December 17, 2025, the Delaware Public Service Commission approved an increase in DPL's annual natural gas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base rates of $22 million, reflecting an ROE of 9.60%. Interim rates went into effect on April 20, 2025, subject to refund. Rates associated with the approved order were effective on January 1, 2026.</w:t>
      </w:r>
    </w:p>
    <w:p>
      <w:pPr>
        <w:spacing w:after="0" w:line="65" w:lineRule="exact"/>
        <w:rPr>
          <w:rFonts w:ascii="Times New Roman" w:cs="Times New Roman" w:eastAsia="Times New Roman" w:hAnsi="Times New Roman"/>
          <w:sz w:val="14"/>
          <w:szCs w:val="14"/>
          <w:color w:val="auto"/>
        </w:rPr>
      </w:pPr>
    </w:p>
    <w:p>
      <w:pPr>
        <w:ind w:left="860" w:hanging="220"/>
        <w:spacing w:after="0" w:line="298" w:lineRule="auto"/>
        <w:tabs>
          <w:tab w:leader="none" w:pos="866"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ACE Electric Base Rate Case: </w:t>
      </w:r>
      <w:r>
        <w:rPr>
          <w:rFonts w:ascii="Times New Roman" w:cs="Times New Roman" w:eastAsia="Times New Roman" w:hAnsi="Times New Roman"/>
          <w:sz w:val="14"/>
          <w:szCs w:val="14"/>
          <w:color w:val="auto"/>
        </w:rPr>
        <w:t>On November 21, 2025, the New Jersey Board of Public Utilities approved an increase in ACE's annual electric distribution base rates of $54</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million (before New Jersey sales and uses tax), reflecting an ROE of 9.60%, with rates effective on December 1, 2025.</w:t>
      </w:r>
    </w:p>
    <w:p>
      <w:pPr>
        <w:spacing w:after="0" w:line="59"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Financing Activities:</w:t>
      </w:r>
    </w:p>
    <w:p>
      <w:pPr>
        <w:spacing w:after="0" w:line="120" w:lineRule="exact"/>
        <w:rPr>
          <w:rFonts w:ascii="Times New Roman" w:cs="Times New Roman" w:eastAsia="Times New Roman" w:hAnsi="Times New Roman"/>
          <w:sz w:val="14"/>
          <w:szCs w:val="14"/>
          <w:color w:val="auto"/>
        </w:rPr>
      </w:pPr>
    </w:p>
    <w:p>
      <w:pPr>
        <w:ind w:left="860" w:hanging="220"/>
        <w:spacing w:after="0"/>
        <w:tabs>
          <w:tab w:leader="none" w:pos="8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4, 2025, Exelon issued $1 billion of its 3.25% Convertible Senior Notes. Exelon used the proceeds to repay or refinance debt and for general corporate purposes.</w:t>
      </w:r>
    </w:p>
    <w:p>
      <w:pPr>
        <w:spacing w:after="0" w:line="118" w:lineRule="exact"/>
        <w:rPr>
          <w:rFonts w:ascii="Times New Roman" w:cs="Times New Roman" w:eastAsia="Times New Roman" w:hAnsi="Times New Roman"/>
          <w:sz w:val="14"/>
          <w:szCs w:val="14"/>
          <w:color w:val="auto"/>
        </w:rPr>
      </w:pPr>
    </w:p>
    <w:p>
      <w:pPr>
        <w:ind w:left="860" w:hanging="220"/>
        <w:spacing w:after="0" w:line="295" w:lineRule="auto"/>
        <w:tabs>
          <w:tab w:leader="none" w:pos="857"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19, 2025, ACE issued First Mortgage Bonds of $75 million and $75 million at 5.54% and 5.81% due on September 19, 2040 and September 19, 2055, respectively. The proceeds were used to repay existing indebtedness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668"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Adjusted (non-GAAP) Operating Earnings Reconciliation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(non-GAAP) operating earnings for the fourth quarter of 2025 do not include the following items (after tax) that were included in reported GAAP net income: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9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Exelon</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96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3"/>
                <w:szCs w:val="13"/>
                <w:b w:val="1"/>
                <w:bCs w:val="1"/>
                <w:color w:val="auto"/>
              </w:rPr>
              <w:t>Earnings per</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0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1540" w:type="dxa"/>
            <w:vAlign w:val="bottom"/>
          </w:tcPr>
          <w:p>
            <w:pPr>
              <w:spacing w:after="0"/>
              <w:rPr>
                <w:sz w:val="11"/>
                <w:szCs w:val="11"/>
                <w:color w:val="auto"/>
              </w:rPr>
            </w:pPr>
          </w:p>
        </w:tc>
        <w:tc>
          <w:tcPr>
            <w:tcW w:w="960" w:type="dxa"/>
            <w:vAlign w:val="bottom"/>
          </w:tcPr>
          <w:p>
            <w:pPr>
              <w:jc w:val="center"/>
              <w:ind w:right="34"/>
              <w:spacing w:after="0" w:line="134" w:lineRule="exact"/>
              <w:rPr>
                <w:sz w:val="20"/>
                <w:szCs w:val="20"/>
                <w:color w:val="auto"/>
              </w:rPr>
            </w:pPr>
            <w:r>
              <w:rPr>
                <w:rFonts w:ascii="Times New Roman" w:cs="Times New Roman" w:eastAsia="Times New Roman" w:hAnsi="Times New Roman"/>
                <w:sz w:val="13"/>
                <w:szCs w:val="13"/>
                <w:b w:val="1"/>
                <w:bCs w:val="1"/>
                <w:color w:val="auto"/>
              </w:rPr>
              <w:t>Diluted</w:t>
            </w:r>
          </w:p>
        </w:tc>
        <w:tc>
          <w:tcPr>
            <w:tcW w:w="200" w:type="dxa"/>
            <w:vAlign w:val="bottom"/>
          </w:tcPr>
          <w:p>
            <w:pPr>
              <w:spacing w:after="0"/>
              <w:rPr>
                <w:sz w:val="11"/>
                <w:szCs w:val="11"/>
                <w:color w:val="auto"/>
              </w:rPr>
            </w:pPr>
          </w:p>
        </w:tc>
        <w:tc>
          <w:tcPr>
            <w:tcW w:w="74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Exelon</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ComEd</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PECO</w:t>
            </w:r>
          </w:p>
        </w:tc>
        <w:tc>
          <w:tcPr>
            <w:tcW w:w="220" w:type="dxa"/>
            <w:vAlign w:val="bottom"/>
          </w:tcPr>
          <w:p>
            <w:pPr>
              <w:spacing w:after="0"/>
              <w:rPr>
                <w:sz w:val="11"/>
                <w:szCs w:val="11"/>
                <w:color w:val="auto"/>
              </w:rPr>
            </w:pPr>
          </w:p>
        </w:tc>
        <w:tc>
          <w:tcPr>
            <w:tcW w:w="720" w:type="dxa"/>
            <w:vAlign w:val="bottom"/>
            <w:vMerge w:val="restart"/>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BGE</w:t>
            </w:r>
          </w:p>
        </w:tc>
        <w:tc>
          <w:tcPr>
            <w:tcW w:w="240" w:type="dxa"/>
            <w:vAlign w:val="bottom"/>
          </w:tcPr>
          <w:p>
            <w:pPr>
              <w:spacing w:after="0"/>
              <w:rPr>
                <w:sz w:val="11"/>
                <w:szCs w:val="11"/>
                <w:color w:val="auto"/>
              </w:rPr>
            </w:pPr>
          </w:p>
        </w:tc>
        <w:tc>
          <w:tcPr>
            <w:tcW w:w="740" w:type="dxa"/>
            <w:vAlign w:val="bottom"/>
            <w:vMerge w:val="restart"/>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PHI</w:t>
            </w:r>
          </w:p>
        </w:tc>
        <w:tc>
          <w:tcPr>
            <w:tcW w:w="0" w:type="dxa"/>
            <w:vAlign w:val="bottom"/>
          </w:tcPr>
          <w:p>
            <w:pPr>
              <w:spacing w:after="0"/>
              <w:rPr>
                <w:sz w:val="1"/>
                <w:szCs w:val="1"/>
                <w:color w:val="auto"/>
              </w:rPr>
            </w:pPr>
          </w:p>
        </w:tc>
      </w:tr>
      <w:tr>
        <w:trPr>
          <w:trHeight w:val="171"/>
        </w:trPr>
        <w:tc>
          <w:tcPr>
            <w:tcW w:w="4060" w:type="dxa"/>
            <w:vAlign w:val="bottom"/>
            <w:tcBorders>
              <w:bottom w:val="single" w:sz="8" w:color="auto"/>
            </w:tcBorders>
            <w:vMerge w:val="continue"/>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Share</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2025 GAAP net income</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0.58</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593</w:t>
            </w:r>
          </w:p>
        </w:tc>
        <w:tc>
          <w:tcPr>
            <w:tcW w:w="720" w:type="dxa"/>
            <w:vAlign w:val="bottom"/>
            <w:shd w:val="clear" w:color="auto" w:fill="CCEEFF"/>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244</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162</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180</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171</w:t>
            </w:r>
          </w:p>
        </w:tc>
        <w:tc>
          <w:tcPr>
            <w:tcW w:w="0" w:type="dxa"/>
            <w:vAlign w:val="bottom"/>
          </w:tcPr>
          <w:p>
            <w:pPr>
              <w:spacing w:after="0"/>
              <w:rPr>
                <w:sz w:val="1"/>
                <w:szCs w:val="1"/>
                <w:color w:val="auto"/>
              </w:rPr>
            </w:pPr>
          </w:p>
        </w:tc>
      </w:tr>
      <w:tr>
        <w:trPr>
          <w:trHeight w:val="171"/>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Regulatory matters (net of taxes of $3)</w:t>
            </w:r>
          </w:p>
        </w:tc>
        <w:tc>
          <w:tcPr>
            <w:tcW w:w="15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2025 Adjusted (non-GAAP) operating earnings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0.59</w:t>
            </w: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602</w:t>
            </w:r>
          </w:p>
        </w:tc>
        <w:tc>
          <w:tcPr>
            <w:tcW w:w="7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2"/>
              </w:rPr>
              <w:t>252</w:t>
            </w: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162</w:t>
            </w: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181</w:t>
            </w: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171</w:t>
            </w:r>
          </w:p>
        </w:tc>
        <w:tc>
          <w:tcPr>
            <w:tcW w:w="0" w:type="dxa"/>
            <w:vAlign w:val="bottom"/>
          </w:tcPr>
          <w:p>
            <w:pPr>
              <w:spacing w:after="0"/>
              <w:rPr>
                <w:sz w:val="1"/>
                <w:szCs w:val="1"/>
                <w:color w:val="auto"/>
              </w:rPr>
            </w:pPr>
          </w:p>
        </w:tc>
      </w:tr>
      <w:tr>
        <w:trPr>
          <w:trHeight w:val="20"/>
        </w:trPr>
        <w:tc>
          <w:tcPr>
            <w:tcW w:w="40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(non-GAAP) operating earnings for the fourth quarter of 2024 do not include the following items (after tax) that were included in reported GAAP net income: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9"/>
              </w:rPr>
              <w:t>Exelon</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6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jc w:val="center"/>
              <w:ind w:right="74"/>
              <w:spacing w:after="0" w:line="135" w:lineRule="exact"/>
              <w:rPr>
                <w:sz w:val="20"/>
                <w:szCs w:val="20"/>
                <w:color w:val="auto"/>
              </w:rPr>
            </w:pPr>
            <w:r>
              <w:rPr>
                <w:rFonts w:ascii="Times New Roman" w:cs="Times New Roman" w:eastAsia="Times New Roman" w:hAnsi="Times New Roman"/>
                <w:sz w:val="13"/>
                <w:szCs w:val="13"/>
                <w:b w:val="1"/>
                <w:bCs w:val="1"/>
                <w:color w:val="auto"/>
              </w:rPr>
              <w:t>Earnings per</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6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1000" w:type="dxa"/>
            <w:vAlign w:val="bottom"/>
          </w:tcPr>
          <w:p>
            <w:pPr>
              <w:spacing w:after="0"/>
              <w:rPr>
                <w:sz w:val="11"/>
                <w:szCs w:val="11"/>
                <w:color w:val="auto"/>
              </w:rPr>
            </w:pPr>
          </w:p>
        </w:tc>
        <w:tc>
          <w:tcPr>
            <w:tcW w:w="960" w:type="dxa"/>
            <w:vAlign w:val="bottom"/>
          </w:tcPr>
          <w:p>
            <w:pPr>
              <w:jc w:val="center"/>
              <w:ind w:right="74"/>
              <w:spacing w:after="0" w:line="134" w:lineRule="exact"/>
              <w:rPr>
                <w:sz w:val="20"/>
                <w:szCs w:val="20"/>
                <w:color w:val="auto"/>
              </w:rPr>
            </w:pPr>
            <w:r>
              <w:rPr>
                <w:rFonts w:ascii="Times New Roman" w:cs="Times New Roman" w:eastAsia="Times New Roman" w:hAnsi="Times New Roman"/>
                <w:sz w:val="13"/>
                <w:szCs w:val="13"/>
                <w:b w:val="1"/>
                <w:bCs w:val="1"/>
                <w:color w:val="auto"/>
              </w:rPr>
              <w:t>Diluted</w:t>
            </w:r>
          </w:p>
        </w:tc>
        <w:tc>
          <w:tcPr>
            <w:tcW w:w="180" w:type="dxa"/>
            <w:vAlign w:val="bottom"/>
          </w:tcPr>
          <w:p>
            <w:pPr>
              <w:spacing w:after="0"/>
              <w:rPr>
                <w:sz w:val="11"/>
                <w:szCs w:val="11"/>
                <w:color w:val="auto"/>
              </w:rPr>
            </w:pPr>
          </w:p>
        </w:tc>
        <w:tc>
          <w:tcPr>
            <w:tcW w:w="760" w:type="dxa"/>
            <w:vAlign w:val="bottom"/>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Exelon</w:t>
            </w:r>
          </w:p>
        </w:tc>
        <w:tc>
          <w:tcPr>
            <w:tcW w:w="160" w:type="dxa"/>
            <w:vAlign w:val="bottom"/>
          </w:tcPr>
          <w:p>
            <w:pPr>
              <w:spacing w:after="0"/>
              <w:rPr>
                <w:sz w:val="11"/>
                <w:szCs w:val="11"/>
                <w:color w:val="auto"/>
              </w:rPr>
            </w:pPr>
          </w:p>
        </w:tc>
        <w:tc>
          <w:tcPr>
            <w:tcW w:w="76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ComEd</w:t>
            </w:r>
          </w:p>
        </w:tc>
        <w:tc>
          <w:tcPr>
            <w:tcW w:w="200" w:type="dxa"/>
            <w:vAlign w:val="bottom"/>
          </w:tcPr>
          <w:p>
            <w:pPr>
              <w:spacing w:after="0"/>
              <w:rPr>
                <w:sz w:val="11"/>
                <w:szCs w:val="11"/>
                <w:color w:val="auto"/>
              </w:rPr>
            </w:pP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PECO</w:t>
            </w:r>
          </w:p>
        </w:tc>
        <w:tc>
          <w:tcPr>
            <w:tcW w:w="220" w:type="dxa"/>
            <w:vAlign w:val="bottom"/>
          </w:tcPr>
          <w:p>
            <w:pPr>
              <w:spacing w:after="0"/>
              <w:rPr>
                <w:sz w:val="11"/>
                <w:szCs w:val="11"/>
                <w:color w:val="auto"/>
              </w:rPr>
            </w:pPr>
          </w:p>
        </w:tc>
        <w:tc>
          <w:tcPr>
            <w:tcW w:w="720" w:type="dxa"/>
            <w:vAlign w:val="bottom"/>
            <w:vMerge w:val="restart"/>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BGE</w:t>
            </w:r>
          </w:p>
        </w:tc>
        <w:tc>
          <w:tcPr>
            <w:tcW w:w="240" w:type="dxa"/>
            <w:vAlign w:val="bottom"/>
          </w:tcPr>
          <w:p>
            <w:pPr>
              <w:spacing w:after="0"/>
              <w:rPr>
                <w:sz w:val="11"/>
                <w:szCs w:val="11"/>
                <w:color w:val="auto"/>
              </w:rPr>
            </w:pPr>
          </w:p>
        </w:tc>
        <w:tc>
          <w:tcPr>
            <w:tcW w:w="740" w:type="dxa"/>
            <w:vAlign w:val="bottom"/>
            <w:vMerge w:val="restart"/>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PHI</w:t>
            </w:r>
          </w:p>
        </w:tc>
        <w:tc>
          <w:tcPr>
            <w:tcW w:w="0" w:type="dxa"/>
            <w:vAlign w:val="bottom"/>
          </w:tcPr>
          <w:p>
            <w:pPr>
              <w:spacing w:after="0"/>
              <w:rPr>
                <w:sz w:val="1"/>
                <w:szCs w:val="1"/>
                <w:color w:val="auto"/>
              </w:rPr>
            </w:pPr>
          </w:p>
        </w:tc>
      </w:tr>
      <w:tr>
        <w:trPr>
          <w:trHeight w:val="171"/>
        </w:trPr>
        <w:tc>
          <w:tcPr>
            <w:tcW w:w="462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2024 GAAP net income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0.64</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647</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243</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195</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175</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Asset retirement obligation (net of taxes of $3)</w:t>
            </w:r>
          </w:p>
        </w:tc>
        <w:tc>
          <w:tcPr>
            <w:tcW w:w="10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1"/>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management charge (net of taxes of $1, $0, $1, respectively)</w:t>
            </w:r>
          </w:p>
        </w:tc>
        <w:tc>
          <w:tcPr>
            <w:tcW w:w="10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Environmental costs (net of taxes of $5)</w:t>
            </w:r>
          </w:p>
        </w:tc>
        <w:tc>
          <w:tcPr>
            <w:tcW w:w="10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71"/>
        </w:trPr>
        <w:tc>
          <w:tcPr>
            <w:tcW w:w="46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tax-related adjustments (entire amount represents tax expense)</w:t>
            </w:r>
          </w:p>
        </w:tc>
        <w:tc>
          <w:tcPr>
            <w:tcW w:w="10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0"/>
        </w:trPr>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2024 Adjusted (non-GAAP) operating earnings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0.64</w:t>
            </w:r>
          </w:p>
        </w:tc>
        <w:tc>
          <w:tcPr>
            <w:tcW w:w="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642</w:t>
            </w: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243</w:t>
            </w: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196</w:t>
            </w: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175</w:t>
            </w: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132</w:t>
            </w:r>
          </w:p>
        </w:tc>
        <w:tc>
          <w:tcPr>
            <w:tcW w:w="0" w:type="dxa"/>
            <w:vAlign w:val="bottom"/>
          </w:tcPr>
          <w:p>
            <w:pPr>
              <w:spacing w:after="0"/>
              <w:rPr>
                <w:sz w:val="1"/>
                <w:szCs w:val="1"/>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(non-GAAP) operating earnings for the full year of 2025 do not include the following items (after tax) that were included in reported GAAP net income:</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60" w:type="dxa"/>
            <w:vAlign w:val="bottom"/>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w w:val="99"/>
              </w:rPr>
              <w:t>Exelon</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60" w:type="dxa"/>
            <w:vAlign w:val="bottom"/>
          </w:tcPr>
          <w:p>
            <w:pPr>
              <w:jc w:val="center"/>
              <w:ind w:right="34"/>
              <w:spacing w:after="0" w:line="134" w:lineRule="exact"/>
              <w:rPr>
                <w:sz w:val="20"/>
                <w:szCs w:val="20"/>
                <w:color w:val="auto"/>
              </w:rPr>
            </w:pPr>
            <w:r>
              <w:rPr>
                <w:rFonts w:ascii="Times New Roman" w:cs="Times New Roman" w:eastAsia="Times New Roman" w:hAnsi="Times New Roman"/>
                <w:sz w:val="13"/>
                <w:szCs w:val="13"/>
                <w:b w:val="1"/>
                <w:bCs w:val="1"/>
                <w:color w:val="auto"/>
              </w:rPr>
              <w:t>Earnings per</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1000" w:type="dxa"/>
            <w:vAlign w:val="bottom"/>
          </w:tcPr>
          <w:p>
            <w:pPr>
              <w:spacing w:after="0"/>
              <w:rPr>
                <w:sz w:val="11"/>
                <w:szCs w:val="11"/>
                <w:color w:val="auto"/>
              </w:rPr>
            </w:pPr>
          </w:p>
        </w:tc>
        <w:tc>
          <w:tcPr>
            <w:tcW w:w="960" w:type="dxa"/>
            <w:vAlign w:val="bottom"/>
          </w:tcPr>
          <w:p>
            <w:pPr>
              <w:jc w:val="center"/>
              <w:ind w:right="34"/>
              <w:spacing w:after="0" w:line="128" w:lineRule="exact"/>
              <w:rPr>
                <w:sz w:val="20"/>
                <w:szCs w:val="20"/>
                <w:color w:val="auto"/>
              </w:rPr>
            </w:pPr>
            <w:r>
              <w:rPr>
                <w:rFonts w:ascii="Times New Roman" w:cs="Times New Roman" w:eastAsia="Times New Roman" w:hAnsi="Times New Roman"/>
                <w:sz w:val="13"/>
                <w:szCs w:val="13"/>
                <w:b w:val="1"/>
                <w:bCs w:val="1"/>
                <w:color w:val="auto"/>
              </w:rPr>
              <w:t>Diluted</w:t>
            </w:r>
          </w:p>
        </w:tc>
        <w:tc>
          <w:tcPr>
            <w:tcW w:w="200" w:type="dxa"/>
            <w:vAlign w:val="bottom"/>
          </w:tcPr>
          <w:p>
            <w:pPr>
              <w:spacing w:after="0"/>
              <w:rPr>
                <w:sz w:val="11"/>
                <w:szCs w:val="11"/>
                <w:color w:val="auto"/>
              </w:rPr>
            </w:pPr>
          </w:p>
        </w:tc>
        <w:tc>
          <w:tcPr>
            <w:tcW w:w="760" w:type="dxa"/>
            <w:vAlign w:val="bottom"/>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Exelon</w:t>
            </w:r>
          </w:p>
        </w:tc>
        <w:tc>
          <w:tcPr>
            <w:tcW w:w="160" w:type="dxa"/>
            <w:vAlign w:val="bottom"/>
          </w:tcPr>
          <w:p>
            <w:pPr>
              <w:spacing w:after="0"/>
              <w:rPr>
                <w:sz w:val="11"/>
                <w:szCs w:val="11"/>
                <w:color w:val="auto"/>
              </w:rPr>
            </w:pPr>
          </w:p>
        </w:tc>
        <w:tc>
          <w:tcPr>
            <w:tcW w:w="76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ComEd</w:t>
            </w:r>
          </w:p>
        </w:tc>
        <w:tc>
          <w:tcPr>
            <w:tcW w:w="200" w:type="dxa"/>
            <w:vAlign w:val="bottom"/>
          </w:tcPr>
          <w:p>
            <w:pPr>
              <w:spacing w:after="0"/>
              <w:rPr>
                <w:sz w:val="11"/>
                <w:szCs w:val="11"/>
                <w:color w:val="auto"/>
              </w:rPr>
            </w:pP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PECO</w:t>
            </w:r>
          </w:p>
        </w:tc>
        <w:tc>
          <w:tcPr>
            <w:tcW w:w="220" w:type="dxa"/>
            <w:vAlign w:val="bottom"/>
          </w:tcPr>
          <w:p>
            <w:pPr>
              <w:spacing w:after="0"/>
              <w:rPr>
                <w:sz w:val="11"/>
                <w:szCs w:val="11"/>
                <w:color w:val="auto"/>
              </w:rPr>
            </w:pPr>
          </w:p>
        </w:tc>
        <w:tc>
          <w:tcPr>
            <w:tcW w:w="720" w:type="dxa"/>
            <w:vAlign w:val="bottom"/>
            <w:vMerge w:val="restart"/>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BGE</w:t>
            </w:r>
          </w:p>
        </w:tc>
        <w:tc>
          <w:tcPr>
            <w:tcW w:w="240" w:type="dxa"/>
            <w:vAlign w:val="bottom"/>
          </w:tcPr>
          <w:p>
            <w:pPr>
              <w:spacing w:after="0"/>
              <w:rPr>
                <w:sz w:val="11"/>
                <w:szCs w:val="11"/>
                <w:color w:val="auto"/>
              </w:rPr>
            </w:pPr>
          </w:p>
        </w:tc>
        <w:tc>
          <w:tcPr>
            <w:tcW w:w="740" w:type="dxa"/>
            <w:vAlign w:val="bottom"/>
            <w:vMerge w:val="restart"/>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PHI</w:t>
            </w:r>
          </w:p>
        </w:tc>
        <w:tc>
          <w:tcPr>
            <w:tcW w:w="0" w:type="dxa"/>
            <w:vAlign w:val="bottom"/>
          </w:tcPr>
          <w:p>
            <w:pPr>
              <w:spacing w:after="0"/>
              <w:rPr>
                <w:sz w:val="1"/>
                <w:szCs w:val="1"/>
                <w:color w:val="auto"/>
              </w:rPr>
            </w:pPr>
          </w:p>
        </w:tc>
      </w:tr>
      <w:tr>
        <w:trPr>
          <w:trHeight w:val="176"/>
        </w:trPr>
        <w:tc>
          <w:tcPr>
            <w:tcW w:w="460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Share</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2025 GAAP net income</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2.73</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2,768</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1,147</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814</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578</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799</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Asset retirement obligations (net of taxes of $0)</w:t>
            </w:r>
          </w:p>
        </w:tc>
        <w:tc>
          <w:tcPr>
            <w:tcW w:w="10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FERC audit liability (net of taxes of $1)</w:t>
            </w:r>
          </w:p>
        </w:tc>
        <w:tc>
          <w:tcPr>
            <w:tcW w:w="10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Cost management charge (net of taxes of $0)</w:t>
            </w:r>
          </w:p>
        </w:tc>
        <w:tc>
          <w:tcPr>
            <w:tcW w:w="10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Regulatory matters (net of taxes of $10)</w:t>
            </w:r>
          </w:p>
        </w:tc>
        <w:tc>
          <w:tcPr>
            <w:tcW w:w="10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0.03</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Income tax-related adjustments (entire amount represents tax expense)</w:t>
            </w:r>
          </w:p>
        </w:tc>
        <w:tc>
          <w:tcPr>
            <w:tcW w:w="10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0"/>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2025 Adjusted (non-GAAP) operating earnings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2.77</w:t>
            </w: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2,801</w:t>
            </w: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1,178</w:t>
            </w: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814</w:t>
            </w: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578</w:t>
            </w:r>
          </w:p>
        </w:tc>
        <w:tc>
          <w:tcPr>
            <w:tcW w:w="2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799</w:t>
            </w:r>
          </w:p>
        </w:tc>
        <w:tc>
          <w:tcPr>
            <w:tcW w:w="0" w:type="dxa"/>
            <w:vAlign w:val="bottom"/>
          </w:tcPr>
          <w:p>
            <w:pPr>
              <w:spacing w:after="0"/>
              <w:rPr>
                <w:sz w:val="1"/>
                <w:szCs w:val="1"/>
                <w:color w:val="auto"/>
              </w:rPr>
            </w:pP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776"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color w:val="auto"/>
        </w:rPr>
        <w:t>Adjusted (non-GAAP) operating earnings for the full year of 2024 do not include the following items (after tax) that were included in reported GAAP net income: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6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9"/>
              </w:rPr>
              <w:t>Exelon</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4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60" w:type="dxa"/>
            <w:vAlign w:val="bottom"/>
          </w:tcPr>
          <w:p>
            <w:pPr>
              <w:jc w:val="center"/>
              <w:ind w:right="74"/>
              <w:spacing w:after="0" w:line="134" w:lineRule="exact"/>
              <w:rPr>
                <w:sz w:val="20"/>
                <w:szCs w:val="20"/>
                <w:color w:val="auto"/>
              </w:rPr>
            </w:pPr>
            <w:r>
              <w:rPr>
                <w:rFonts w:ascii="Times New Roman" w:cs="Times New Roman" w:eastAsia="Times New Roman" w:hAnsi="Times New Roman"/>
                <w:sz w:val="13"/>
                <w:szCs w:val="13"/>
                <w:b w:val="1"/>
                <w:bCs w:val="1"/>
                <w:color w:val="auto"/>
              </w:rPr>
              <w:t>Earnings per</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6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tc>
        <w:tc>
          <w:tcPr>
            <w:tcW w:w="940" w:type="dxa"/>
            <w:vAlign w:val="bottom"/>
          </w:tcPr>
          <w:p>
            <w:pPr>
              <w:spacing w:after="0"/>
              <w:rPr>
                <w:sz w:val="11"/>
                <w:szCs w:val="11"/>
                <w:color w:val="auto"/>
              </w:rPr>
            </w:pPr>
          </w:p>
        </w:tc>
        <w:tc>
          <w:tcPr>
            <w:tcW w:w="960" w:type="dxa"/>
            <w:vAlign w:val="bottom"/>
          </w:tcPr>
          <w:p>
            <w:pPr>
              <w:jc w:val="center"/>
              <w:ind w:right="74"/>
              <w:spacing w:after="0" w:line="128" w:lineRule="exact"/>
              <w:rPr>
                <w:sz w:val="20"/>
                <w:szCs w:val="20"/>
                <w:color w:val="auto"/>
              </w:rPr>
            </w:pPr>
            <w:r>
              <w:rPr>
                <w:rFonts w:ascii="Times New Roman" w:cs="Times New Roman" w:eastAsia="Times New Roman" w:hAnsi="Times New Roman"/>
                <w:sz w:val="13"/>
                <w:szCs w:val="13"/>
                <w:b w:val="1"/>
                <w:bCs w:val="1"/>
                <w:color w:val="auto"/>
              </w:rPr>
              <w:t>Diluted</w:t>
            </w:r>
          </w:p>
        </w:tc>
        <w:tc>
          <w:tcPr>
            <w:tcW w:w="180" w:type="dxa"/>
            <w:vAlign w:val="bottom"/>
          </w:tcPr>
          <w:p>
            <w:pPr>
              <w:spacing w:after="0"/>
              <w:rPr>
                <w:sz w:val="11"/>
                <w:szCs w:val="11"/>
                <w:color w:val="auto"/>
              </w:rPr>
            </w:pPr>
          </w:p>
        </w:tc>
        <w:tc>
          <w:tcPr>
            <w:tcW w:w="760" w:type="dxa"/>
            <w:vAlign w:val="bottom"/>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Exelon</w:t>
            </w:r>
          </w:p>
        </w:tc>
        <w:tc>
          <w:tcPr>
            <w:tcW w:w="160" w:type="dxa"/>
            <w:vAlign w:val="bottom"/>
          </w:tcPr>
          <w:p>
            <w:pPr>
              <w:spacing w:after="0"/>
              <w:rPr>
                <w:sz w:val="11"/>
                <w:szCs w:val="11"/>
                <w:color w:val="auto"/>
              </w:rPr>
            </w:pPr>
          </w:p>
        </w:tc>
        <w:tc>
          <w:tcPr>
            <w:tcW w:w="76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ComEd</w:t>
            </w:r>
          </w:p>
        </w:tc>
        <w:tc>
          <w:tcPr>
            <w:tcW w:w="200" w:type="dxa"/>
            <w:vAlign w:val="bottom"/>
          </w:tcPr>
          <w:p>
            <w:pPr>
              <w:spacing w:after="0"/>
              <w:rPr>
                <w:sz w:val="11"/>
                <w:szCs w:val="11"/>
                <w:color w:val="auto"/>
              </w:rPr>
            </w:pP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PECO</w:t>
            </w:r>
          </w:p>
        </w:tc>
        <w:tc>
          <w:tcPr>
            <w:tcW w:w="220" w:type="dxa"/>
            <w:vAlign w:val="bottom"/>
          </w:tcPr>
          <w:p>
            <w:pPr>
              <w:spacing w:after="0"/>
              <w:rPr>
                <w:sz w:val="11"/>
                <w:szCs w:val="11"/>
                <w:color w:val="auto"/>
              </w:rPr>
            </w:pPr>
          </w:p>
        </w:tc>
        <w:tc>
          <w:tcPr>
            <w:tcW w:w="720" w:type="dxa"/>
            <w:vAlign w:val="bottom"/>
            <w:vMerge w:val="restart"/>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BGE</w:t>
            </w:r>
          </w:p>
        </w:tc>
        <w:tc>
          <w:tcPr>
            <w:tcW w:w="240" w:type="dxa"/>
            <w:vAlign w:val="bottom"/>
          </w:tcPr>
          <w:p>
            <w:pPr>
              <w:spacing w:after="0"/>
              <w:rPr>
                <w:sz w:val="11"/>
                <w:szCs w:val="11"/>
                <w:color w:val="auto"/>
              </w:rPr>
            </w:pPr>
          </w:p>
        </w:tc>
        <w:tc>
          <w:tcPr>
            <w:tcW w:w="740" w:type="dxa"/>
            <w:vAlign w:val="bottom"/>
            <w:vMerge w:val="restart"/>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PHI</w:t>
            </w:r>
          </w:p>
        </w:tc>
        <w:tc>
          <w:tcPr>
            <w:tcW w:w="0" w:type="dxa"/>
            <w:vAlign w:val="bottom"/>
          </w:tcPr>
          <w:p>
            <w:pPr>
              <w:spacing w:after="0"/>
              <w:rPr>
                <w:sz w:val="1"/>
                <w:szCs w:val="1"/>
                <w:color w:val="auto"/>
              </w:rPr>
            </w:pPr>
          </w:p>
        </w:tc>
      </w:tr>
      <w:tr>
        <w:trPr>
          <w:trHeight w:val="176"/>
        </w:trPr>
        <w:tc>
          <w:tcPr>
            <w:tcW w:w="468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2024 GAAP 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2.45</w:t>
            </w:r>
          </w:p>
        </w:tc>
        <w:tc>
          <w:tcPr>
            <w:tcW w:w="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2,460</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1,066</w:t>
            </w:r>
          </w:p>
        </w:tc>
        <w:tc>
          <w:tcPr>
            <w:tcW w:w="2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551</w:t>
            </w: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527</w:t>
            </w:r>
          </w:p>
        </w:tc>
        <w:tc>
          <w:tcPr>
            <w:tcW w:w="2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741</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Asset retirement obligations (net of taxes of $3)</w:t>
            </w:r>
          </w:p>
        </w:tc>
        <w:tc>
          <w:tcPr>
            <w:tcW w:w="9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71"/>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FERC audit liability (net of taxes of $13)</w:t>
            </w:r>
          </w:p>
        </w:tc>
        <w:tc>
          <w:tcPr>
            <w:tcW w:w="9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Cost management charge (net of taxes of $4, $0, $2, $0, $2, respectively)</w:t>
            </w:r>
          </w:p>
        </w:tc>
        <w:tc>
          <w:tcPr>
            <w:tcW w:w="9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171"/>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Environmental costs (net of taxes of $5)</w:t>
            </w:r>
          </w:p>
        </w:tc>
        <w:tc>
          <w:tcPr>
            <w:tcW w:w="94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(0.01)</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71"/>
        </w:trPr>
        <w:tc>
          <w:tcPr>
            <w:tcW w:w="4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Income tax-related adjustments (entire amount represents tax expense)</w:t>
            </w:r>
          </w:p>
        </w:tc>
        <w:tc>
          <w:tcPr>
            <w:tcW w:w="9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76"/>
        </w:trPr>
        <w:tc>
          <w:tcPr>
            <w:tcW w:w="4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2024 Adjusted (non-GAAP) operating earnings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2.50</w:t>
            </w:r>
          </w:p>
        </w:tc>
        <w:tc>
          <w:tcPr>
            <w:tcW w:w="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2,507</w:t>
            </w:r>
          </w:p>
        </w:tc>
        <w:tc>
          <w:tcPr>
            <w:tcW w:w="1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1,106</w:t>
            </w: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556</w:t>
            </w: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529</w:t>
            </w:r>
          </w:p>
        </w:tc>
        <w:tc>
          <w:tcPr>
            <w:tcW w:w="2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739</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Note:</w:t>
      </w:r>
    </w:p>
    <w:p>
      <w:pPr>
        <w:spacing w:after="0"/>
        <w:rPr>
          <w:sz w:val="20"/>
          <w:szCs w:val="20"/>
          <w:color w:val="auto"/>
        </w:rPr>
      </w:pPr>
      <w:r>
        <w:rPr>
          <w:rFonts w:ascii="Times New Roman" w:cs="Times New Roman" w:eastAsia="Times New Roman" w:hAnsi="Times New Roman"/>
          <w:sz w:val="10"/>
          <w:szCs w:val="10"/>
          <w:color w:val="auto"/>
        </w:rPr>
        <w:t>Amounts may not sum due to rounding.</w:t>
      </w:r>
    </w:p>
    <w:p>
      <w:pPr>
        <w:spacing w:after="0" w:line="2"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0"/>
          <w:szCs w:val="10"/>
          <w:color w:val="auto"/>
        </w:rPr>
        <w:t>Unless otherwise noted, the income tax impact of each reconciling item between GAAP net income and Adjusted (non-GAAP) operating earnings is based on the marginal statutory federal and state income tax rates for each Registrant, taking into account whether the income or expense item is taxable or deductible, respectively, in whole or in part. For all items, the marginal statutory income tax rates for 2025 and 2024 ranged from 24.0% to 29.0%.</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Webcast Information</w:t>
      </w:r>
    </w:p>
    <w:p>
      <w:pPr>
        <w:spacing w:after="0" w:line="12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Exelon will discuss fourth quarter 2025 earnings in a conference call scheduled for today at 9 a.m. Central Time (10 a.m. Eastern Time). The webcast and associated materials can be accessed at https://investors.exeloncorp.com/.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About Exelon</w:t>
      </w:r>
    </w:p>
    <w:p>
      <w:pPr>
        <w:spacing w:after="0" w:line="12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Exelon (Nasdaq: EXC) is a Fortune 200 company and one of the nation’s largest utility companies, serving more than 10.9 million customers through six fully regulated transmission and distribution utilities — Atlantic City Electric (ACE), Baltimore Gas and Electric (BGE), Commonwealth Edison (ComEd), Delmarva Power &amp; Light (DPL), PECO Energy Company (PECO), and Potomac Electric Power Company (Pepco). Exelon's more than 20,000 employees dedicate their time and expertise to supporting our communities through reliable, affordable and efficient energy delivery, workforce development, equity, economic development and volunteerism. Follow @Exelon on X and LinkedIn.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1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addition to net income as determined under generally accepted accounting principles in the United States (GAAP), Exelon evaluates its operating performance using the measure of Adjusted (non-GAAP) operating earnings because management believes it represents earnings directly related to the ongoing operations of the business. Adjusted (non-GAAP) operating earnings exclude certain costs, expenses, gains and losses, and other specified items. This measure is intended to enhance an investor’s overall understanding of period over period operating results and provide an indication of Exelon’s baseline operating performance excluding items that are considered by management to be not directly related to the ongoing operations of the business. In addition, this measure is among the primary indicators management uses as a basis for evaluating performance, allocating resources, setting incentive compensation targets, and planning and forecasting of future periods. Adjusted (non-GAAP) operating earnings is not a presentation defined under GAAP and may not be comparable to other companies’ presentation. Exelon has provided the non-GAAP financial measure as supplemental information and in addition to the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715" w:right="299" w:bottom="1440" w:gutter="0" w:footer="0" w:header="0"/>
        </w:sectPr>
      </w:pPr>
    </w:p>
    <w:bookmarkStart w:id="13" w:name="page14"/>
    <w:bookmarkEnd w:id="13"/>
    <w:p>
      <w:pPr>
        <w:jc w:val="both"/>
        <w:ind w:left="8"/>
        <w:spacing w:after="0" w:line="272" w:lineRule="auto"/>
        <w:rPr>
          <w:sz w:val="20"/>
          <w:szCs w:val="20"/>
          <w:color w:val="auto"/>
        </w:rPr>
      </w:pPr>
      <w:r>
        <w:rPr>
          <w:rFonts w:ascii="Times New Roman" w:cs="Times New Roman" w:eastAsia="Times New Roman" w:hAnsi="Times New Roman"/>
          <w:sz w:val="14"/>
          <w:szCs w:val="14"/>
          <w:color w:val="auto"/>
        </w:rPr>
        <w:t xml:space="preserve">financial measures that are calculated and presented in accordance with GAAP. Adjusted (non-GAAP) operating earnings should not be deemed more useful than, a substitute for, or an alternative to the most comparable GAAP net income measures provided in this earnings release and attachments. This press release and earnings release attachments provide reconciliations of Adjusted (non-GAAP) operating earnings to the most directly comparable financial measures calculated and presented in accordance with GAAP, are posted on Exelon’s website: </w:t>
      </w:r>
      <w:r>
        <w:rPr>
          <w:rFonts w:ascii="Times New Roman" w:cs="Times New Roman" w:eastAsia="Times New Roman" w:hAnsi="Times New Roman"/>
          <w:sz w:val="14"/>
          <w:szCs w:val="14"/>
          <w:u w:val="single" w:color="auto"/>
          <w:color w:val="auto"/>
        </w:rPr>
        <w:t>https://investors.exeloncorp.com</w:t>
      </w:r>
      <w:r>
        <w:rPr>
          <w:rFonts w:ascii="Times New Roman" w:cs="Times New Roman" w:eastAsia="Times New Roman" w:hAnsi="Times New Roman"/>
          <w:sz w:val="14"/>
          <w:szCs w:val="14"/>
          <w:color w:val="auto"/>
        </w:rPr>
        <w:t>, and have been furnished to the Securities and Exchange Commission on Form 8-K on Feb. 12, 2026.</w:t>
      </w:r>
    </w:p>
    <w:p>
      <w:pPr>
        <w:spacing w:after="0" w:line="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Cautionary Statements Regarding Forward-Looking Information</w:t>
      </w:r>
    </w:p>
    <w:p>
      <w:pPr>
        <w:spacing w:after="0" w:line="120"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4"/>
          <w:szCs w:val="14"/>
          <w:color w:val="auto"/>
        </w:rPr>
        <w:t>This press release contains certain forward-looking statements within the meaning of federal securities laws that are subject to risks and uncertainties. Words such as “could,” “may,” “expects,” “anticipates,” “will,” “targets,” “goals,” “projects,” “intends,” “plans,” “believes,” “seeks,” “estimates,” “predicts,” “should,” and variations on such words, and similar expressions that reflect our current views with respect to future events and operational, economic, and financial performance, are intended to identify such forward-looking statements. Accordingly, any such statements are qualified in their entirety by reference to, and are accompanied by, the following important factors that may cause our actual results or outcomes to differ materially from those contained in our forward-looking statements, including, but not limited to: unfavorable legislative and/or regulatory actions; uncertainty as to outcomes and timing of regulatory approval proceedings and/or negotiated settlements thereof; environmental liabilities and remediation costs; state and federal legislation requiring use of low-emission, renewable, and/or alternate fuel sources and/or mandating implementation of energy conservation programs requiring implementation of new technologies; challenges to tax positions taken, tax law changes, and difficulty in quantifying potential tax effects of business decisions; negative outcomes in legal proceedings; physical security and cybersecurity risks; extreme weather events, natural disasters, operational accidents such as wildfires or natural gas explosions, war, acts and threats of terrorism, public health crises, epidemics, pandemics, or other significant events; disruptions or cost increases in the supply chain, including shortages in labor, materials or parts, or significant increases in relevant tariffs; lack of sufficient power generation resources to meet actual or forecasted demand or disruptions at generation facilities owned by third parties; emerging technologies that could affect or transform the energy industry; instability in capital and credit markets; a downgrade of any Registrant’s credit ratings or other failure to satisfy the credit standards in the Registrants’ agreements or regulatory financial requirements; significant economic downturns or increases in customer rates; impacts of climate change and weather on energy usage and maintenance and capital costs; and impairment of long-lived assets, goodwill, and other assets.</w:t>
      </w:r>
    </w:p>
    <w:p>
      <w:pPr>
        <w:spacing w:after="0" w:line="82"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4"/>
          <w:szCs w:val="14"/>
          <w:color w:val="auto"/>
        </w:rPr>
        <w:t>New factors emerge from time to time, and it is impossible for us to predict all of such factors, nor can we assess the impact of each such factor on the business or the extent to which any factor, or combination of factors, may cause actual results to differ materially from those contained in any forward-looking statements. For more information, see those factors discussed with respect to Exelon Corporation, Commonwealth Edison Company, PECO Energy Company, Baltimore Gas and Electric Company, Pepco Holdings LLC, Potomac Electric Power Company, Delmarva Power</w:t>
      </w:r>
    </w:p>
    <w:p>
      <w:pPr>
        <w:spacing w:after="0" w:line="1" w:lineRule="exact"/>
        <w:rPr>
          <w:sz w:val="20"/>
          <w:szCs w:val="20"/>
          <w:color w:val="auto"/>
        </w:rPr>
      </w:pPr>
    </w:p>
    <w:p>
      <w:pPr>
        <w:ind w:left="8" w:right="20" w:hanging="8"/>
        <w:spacing w:after="0" w:line="271" w:lineRule="auto"/>
        <w:tabs>
          <w:tab w:leader="none" w:pos="15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Light Company, and Atlantic City Electric Company (Registrants) in the Registrants' most recent Annual Report on Form 10-K, including in Part I, ITEM 1A, any subsequent Quarterly Reports on Form 10-Q, and in other reports filed by the Registrants from time to time with the SEC.</w:t>
      </w:r>
    </w:p>
    <w:p>
      <w:pPr>
        <w:spacing w:after="0" w:line="70" w:lineRule="exact"/>
        <w:rPr>
          <w:sz w:val="20"/>
          <w:szCs w:val="20"/>
          <w:color w:val="auto"/>
        </w:rPr>
      </w:pPr>
    </w:p>
    <w:p>
      <w:pPr>
        <w:ind w:left="8" w:right="20"/>
        <w:spacing w:after="0" w:line="309" w:lineRule="auto"/>
        <w:rPr>
          <w:sz w:val="20"/>
          <w:szCs w:val="20"/>
          <w:color w:val="auto"/>
        </w:rPr>
      </w:pPr>
      <w:r>
        <w:rPr>
          <w:rFonts w:ascii="Times New Roman" w:cs="Times New Roman" w:eastAsia="Times New Roman" w:hAnsi="Times New Roman"/>
          <w:sz w:val="14"/>
          <w:szCs w:val="14"/>
          <w:color w:val="auto"/>
        </w:rPr>
        <w:t>Investors are cautioned not to place undue reliance on these forward-looking statements, whether written or oral, which apply only as of the date of this press release. None of the Registrants undertakes any obligation to publicly release any revision to its forward-looking statements to reflect events or circumstances after the date of this press release.</w:t>
      </w:r>
    </w:p>
    <w:p>
      <w:pPr>
        <w:spacing w:after="0" w:line="200" w:lineRule="exact"/>
        <w:rPr>
          <w:sz w:val="20"/>
          <w:szCs w:val="20"/>
          <w:color w:val="auto"/>
        </w:rPr>
      </w:pPr>
    </w:p>
    <w:p>
      <w:pPr>
        <w:spacing w:after="0" w:line="2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08"/>
          </w:cols>
          <w:pgMar w:left="292" w:top="778" w:right="299" w:bottom="1440" w:gutter="0" w:footer="0" w:header="0"/>
        </w:sectPr>
      </w:pPr>
    </w:p>
    <w:bookmarkStart w:id="14" w:name="page15"/>
    <w:bookmarkEnd w:id="14"/>
    <w:p>
      <w:pPr>
        <w:jc w:val="both"/>
        <w:spacing w:after="0" w:line="272" w:lineRule="auto"/>
        <w:rPr>
          <w:sz w:val="20"/>
          <w:szCs w:val="20"/>
          <w:color w:val="auto"/>
        </w:rPr>
      </w:pPr>
      <w:r>
        <w:rPr>
          <w:rFonts w:ascii="Times New Roman" w:cs="Times New Roman" w:eastAsia="Times New Roman" w:hAnsi="Times New Roman"/>
          <w:sz w:val="14"/>
          <w:szCs w:val="14"/>
          <w:color w:val="auto"/>
        </w:rPr>
        <w:t>Exelon uses its corporate website, www.exeloncorp.com, investor relations website, investors.exeloncorp.com, and social media channels to communicate with Exelon's investors and the public about the Registrants and other matters. Exelon's posts through these channels may be deemed material. Accordingly, Exelon encourages investors and others interested in the Registrants to routinely monitor these channels, in addition to following the Registrants' press releases, Securities and Exchange Commission filings and public conference calls and webcasts. The contents of Exelon's websites and social media channels are not, however, incorporated by reference into this press release.</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0"/>
          </w:cols>
          <w:pgMar w:left="300" w:top="778" w:right="29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38"/>
        </w:trPr>
        <w:tc>
          <w:tcPr>
            <w:tcW w:w="8780" w:type="dxa"/>
            <w:vAlign w:val="bottom"/>
            <w:gridSpan w:val="12"/>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2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667"/>
        </w:trPr>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40" w:type="dxa"/>
            <w:vAlign w:val="bottom"/>
            <w:gridSpan w:val="2"/>
          </w:tcPr>
          <w:p>
            <w:pPr>
              <w:jc w:val="center"/>
              <w:ind w:left="500"/>
              <w:spacing w:after="0"/>
              <w:rPr>
                <w:sz w:val="20"/>
                <w:szCs w:val="20"/>
                <w:color w:val="auto"/>
              </w:rPr>
            </w:pPr>
            <w:r>
              <w:rPr>
                <w:rFonts w:ascii="Times New Roman" w:cs="Times New Roman" w:eastAsia="Times New Roman" w:hAnsi="Times New Roman"/>
                <w:sz w:val="12"/>
                <w:szCs w:val="12"/>
                <w:b w:val="1"/>
                <w:bCs w:val="1"/>
                <w:color w:val="auto"/>
                <w:w w:val="99"/>
              </w:rPr>
              <w:t>Earnings Release Attachments</w:t>
            </w:r>
          </w:p>
        </w:tc>
        <w:tc>
          <w:tcPr>
            <w:tcW w:w="2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9"/>
        </w:trPr>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40" w:type="dxa"/>
            <w:vAlign w:val="bottom"/>
            <w:gridSpan w:val="2"/>
          </w:tcPr>
          <w:p>
            <w:pPr>
              <w:jc w:val="center"/>
              <w:ind w:left="520"/>
              <w:spacing w:after="0"/>
              <w:rPr>
                <w:sz w:val="20"/>
                <w:szCs w:val="20"/>
                <w:color w:val="auto"/>
              </w:rPr>
            </w:pPr>
            <w:r>
              <w:rPr>
                <w:rFonts w:ascii="Times New Roman" w:cs="Times New Roman" w:eastAsia="Times New Roman" w:hAnsi="Times New Roman"/>
                <w:sz w:val="12"/>
                <w:szCs w:val="12"/>
                <w:b w:val="1"/>
                <w:bCs w:val="1"/>
                <w:color w:val="auto"/>
                <w:w w:val="98"/>
              </w:rPr>
              <w:t>Table of Contents</w:t>
            </w:r>
          </w:p>
        </w:tc>
        <w:tc>
          <w:tcPr>
            <w:tcW w:w="2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1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2"/>
                <w:szCs w:val="12"/>
                <w:color w:val="0000FF"/>
                <w:w w:val="99"/>
              </w:rPr>
              <w:t>Consolidating Statement of Operations</w:t>
            </w:r>
          </w:p>
        </w:tc>
        <w:tc>
          <w:tcPr>
            <w:tcW w:w="6880" w:type="dxa"/>
            <w:vAlign w:val="bottom"/>
            <w:gridSpan w:val="3"/>
          </w:tcPr>
          <w:p>
            <w:pPr>
              <w:spacing w:after="0"/>
              <w:rPr>
                <w:sz w:val="12"/>
                <w:szCs w:val="12"/>
                <w:color w:val="auto"/>
              </w:rPr>
            </w:pP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2"/>
                <w:szCs w:val="12"/>
                <w:u w:val="single" w:color="auto"/>
                <w:color w:val="0000FF"/>
              </w:rPr>
              <w:t>1</w:t>
            </w:r>
          </w:p>
        </w:tc>
      </w:tr>
      <w:tr>
        <w:trPr>
          <w:trHeight w:val="196"/>
        </w:trPr>
        <w:tc>
          <w:tcPr>
            <w:tcW w:w="20" w:type="dxa"/>
            <w:vAlign w:val="bottom"/>
          </w:tcPr>
          <w:p>
            <w:pPr>
              <w:spacing w:after="0"/>
              <w:rPr>
                <w:sz w:val="17"/>
                <w:szCs w:val="17"/>
                <w:color w:val="auto"/>
              </w:rPr>
            </w:pPr>
          </w:p>
        </w:tc>
        <w:tc>
          <w:tcPr>
            <w:tcW w:w="14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2"/>
                <w:szCs w:val="12"/>
                <w:color w:val="0000FF"/>
                <w:w w:val="99"/>
              </w:rPr>
              <w:t>Consolidated Balance Sheets</w:t>
            </w:r>
          </w:p>
        </w:tc>
        <w:tc>
          <w:tcPr>
            <w:tcW w:w="7360" w:type="dxa"/>
            <w:vAlign w:val="bottom"/>
            <w:gridSpan w:val="4"/>
          </w:tcPr>
          <w:p>
            <w:pPr>
              <w:spacing w:after="0"/>
              <w:rPr>
                <w:sz w:val="17"/>
                <w:szCs w:val="17"/>
                <w:color w:val="auto"/>
              </w:rPr>
            </w:pP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2"/>
                <w:szCs w:val="12"/>
                <w:u w:val="single" w:color="auto"/>
                <w:color w:val="0000FF"/>
              </w:rPr>
              <w:t>3</w:t>
            </w:r>
          </w:p>
        </w:tc>
      </w:tr>
      <w:tr>
        <w:trPr>
          <w:trHeight w:val="196"/>
        </w:trPr>
        <w:tc>
          <w:tcPr>
            <w:tcW w:w="20" w:type="dxa"/>
            <w:vAlign w:val="bottom"/>
          </w:tcPr>
          <w:p>
            <w:pPr>
              <w:spacing w:after="0"/>
              <w:rPr>
                <w:sz w:val="17"/>
                <w:szCs w:val="17"/>
                <w:color w:val="auto"/>
              </w:rPr>
            </w:pPr>
          </w:p>
        </w:tc>
        <w:tc>
          <w:tcPr>
            <w:tcW w:w="19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2"/>
                <w:szCs w:val="12"/>
                <w:color w:val="0000FF"/>
                <w:w w:val="99"/>
              </w:rPr>
              <w:t>Consolidated Statements of Cash Flows</w:t>
            </w:r>
          </w:p>
        </w:tc>
        <w:tc>
          <w:tcPr>
            <w:tcW w:w="6840" w:type="dxa"/>
            <w:vAlign w:val="bottom"/>
            <w:gridSpan w:val="2"/>
          </w:tcPr>
          <w:p>
            <w:pPr>
              <w:spacing w:after="0"/>
              <w:rPr>
                <w:sz w:val="17"/>
                <w:szCs w:val="17"/>
                <w:color w:val="auto"/>
              </w:rPr>
            </w:pP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2"/>
                <w:szCs w:val="12"/>
                <w:u w:val="single" w:color="auto"/>
                <w:color w:val="0000FF"/>
              </w:rPr>
              <w:t>5</w:t>
            </w:r>
          </w:p>
        </w:tc>
      </w:tr>
      <w:tr>
        <w:trPr>
          <w:trHeight w:val="196"/>
        </w:trPr>
        <w:tc>
          <w:tcPr>
            <w:tcW w:w="20" w:type="dxa"/>
            <w:vAlign w:val="bottom"/>
          </w:tcPr>
          <w:p>
            <w:pPr>
              <w:spacing w:after="0"/>
              <w:rPr>
                <w:sz w:val="17"/>
                <w:szCs w:val="17"/>
                <w:color w:val="auto"/>
              </w:rPr>
            </w:pPr>
          </w:p>
        </w:tc>
        <w:tc>
          <w:tcPr>
            <w:tcW w:w="8760" w:type="dxa"/>
            <w:vAlign w:val="bottom"/>
            <w:gridSpan w:val="11"/>
          </w:tcPr>
          <w:p>
            <w:pPr>
              <w:spacing w:after="0"/>
              <w:rPr>
                <w:sz w:val="20"/>
                <w:szCs w:val="20"/>
                <w:color w:val="auto"/>
              </w:rPr>
            </w:pPr>
            <w:r>
              <w:rPr>
                <w:rFonts w:ascii="Times New Roman" w:cs="Times New Roman" w:eastAsia="Times New Roman" w:hAnsi="Times New Roman"/>
                <w:sz w:val="12"/>
                <w:szCs w:val="12"/>
                <w:color w:val="0000FF"/>
              </w:rPr>
              <w:t>Reconciliation of GAAP Net Income (Loss) to Adjusted (non-GAAP) Operating Earnings and Analysis of Earnings</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2"/>
                <w:szCs w:val="12"/>
                <w:u w:val="single" w:color="auto"/>
                <w:color w:val="0000FF"/>
              </w:rPr>
              <w:t>6</w:t>
            </w:r>
          </w:p>
        </w:tc>
      </w:tr>
      <w:tr>
        <w:trPr>
          <w:trHeight w:val="196"/>
        </w:trPr>
        <w:tc>
          <w:tcPr>
            <w:tcW w:w="20" w:type="dxa"/>
            <w:vAlign w:val="bottom"/>
          </w:tcPr>
          <w:p>
            <w:pPr>
              <w:spacing w:after="0"/>
              <w:rPr>
                <w:sz w:val="17"/>
                <w:szCs w:val="17"/>
                <w:color w:val="auto"/>
              </w:rPr>
            </w:pPr>
          </w:p>
        </w:tc>
        <w:tc>
          <w:tcPr>
            <w:tcW w:w="4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2"/>
                <w:szCs w:val="12"/>
                <w:color w:val="0000FF"/>
              </w:rPr>
              <w:t>Statistics</w:t>
            </w:r>
          </w:p>
        </w:tc>
        <w:tc>
          <w:tcPr>
            <w:tcW w:w="5100" w:type="dxa"/>
            <w:vAlign w:val="bottom"/>
            <w:tcBorders>
              <w:top w:val="single" w:sz="8" w:color="0000FF"/>
            </w:tcBorders>
            <w:gridSpan w:val="6"/>
          </w:tcPr>
          <w:p>
            <w:pPr>
              <w:spacing w:after="0"/>
              <w:rPr>
                <w:sz w:val="17"/>
                <w:szCs w:val="17"/>
                <w:color w:val="auto"/>
              </w:rPr>
            </w:pPr>
          </w:p>
        </w:tc>
        <w:tc>
          <w:tcPr>
            <w:tcW w:w="32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33"/>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20" w:type="dxa"/>
            <w:vAlign w:val="bottom"/>
            <w:gridSpan w:val="10"/>
          </w:tcPr>
          <w:p>
            <w:pPr>
              <w:spacing w:after="0" w:line="133" w:lineRule="exact"/>
              <w:rPr>
                <w:sz w:val="20"/>
                <w:szCs w:val="20"/>
                <w:color w:val="auto"/>
              </w:rPr>
            </w:pPr>
            <w:r>
              <w:rPr>
                <w:rFonts w:ascii="Times New Roman" w:cs="Times New Roman" w:eastAsia="Times New Roman" w:hAnsi="Times New Roman"/>
                <w:sz w:val="12"/>
                <w:szCs w:val="12"/>
                <w:color w:val="0000FF"/>
              </w:rPr>
              <w:t>ComEd</w:t>
            </w:r>
          </w:p>
        </w:tc>
        <w:tc>
          <w:tcPr>
            <w:tcW w:w="248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2"/>
                <w:szCs w:val="12"/>
                <w:u w:val="single" w:color="auto"/>
                <w:color w:val="0000FF"/>
              </w:rPr>
              <w:t>8</w:t>
            </w:r>
          </w:p>
        </w:tc>
      </w:tr>
      <w:tr>
        <w:trPr>
          <w:trHeight w:val="133"/>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Borders>
              <w:top w:val="single" w:sz="8" w:color="0000FF"/>
              <w:bottom w:val="single" w:sz="8" w:color="0000FF"/>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FF"/>
                <w:w w:val="97"/>
              </w:rPr>
              <w:t>PECO</w:t>
            </w:r>
          </w:p>
        </w:tc>
        <w:tc>
          <w:tcPr>
            <w:tcW w:w="40" w:type="dxa"/>
            <w:vAlign w:val="bottom"/>
            <w:tcBorders>
              <w:top w:val="single" w:sz="8" w:color="0000FF"/>
            </w:tcBorders>
          </w:tcPr>
          <w:p>
            <w:pPr>
              <w:spacing w:after="0"/>
              <w:rPr>
                <w:sz w:val="11"/>
                <w:szCs w:val="11"/>
                <w:color w:val="auto"/>
              </w:rPr>
            </w:pPr>
          </w:p>
        </w:tc>
        <w:tc>
          <w:tcPr>
            <w:tcW w:w="8260" w:type="dxa"/>
            <w:vAlign w:val="bottom"/>
            <w:gridSpan w:val="6"/>
          </w:tcPr>
          <w:p>
            <w:pPr>
              <w:spacing w:after="0"/>
              <w:rPr>
                <w:sz w:val="11"/>
                <w:szCs w:val="11"/>
                <w:color w:val="auto"/>
              </w:rPr>
            </w:pPr>
          </w:p>
        </w:tc>
        <w:tc>
          <w:tcPr>
            <w:tcW w:w="248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2"/>
                <w:szCs w:val="12"/>
                <w:u w:val="single" w:color="auto"/>
                <w:color w:val="0000FF"/>
              </w:rPr>
              <w:t>9</w:t>
            </w:r>
          </w:p>
        </w:tc>
      </w:tr>
      <w:tr>
        <w:trPr>
          <w:trHeight w:val="133"/>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0000FF"/>
                <w:w w:val="74"/>
              </w:rPr>
              <w:t>BGE</w:t>
            </w:r>
          </w:p>
        </w:tc>
        <w:tc>
          <w:tcPr>
            <w:tcW w:w="8400" w:type="dxa"/>
            <w:vAlign w:val="bottom"/>
            <w:gridSpan w:val="9"/>
          </w:tcPr>
          <w:p>
            <w:pPr>
              <w:spacing w:after="0"/>
              <w:rPr>
                <w:sz w:val="11"/>
                <w:szCs w:val="11"/>
                <w:color w:val="auto"/>
              </w:rPr>
            </w:pPr>
          </w:p>
        </w:tc>
        <w:tc>
          <w:tcPr>
            <w:tcW w:w="248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2"/>
                <w:szCs w:val="12"/>
                <w:color w:val="0000FF"/>
              </w:rPr>
              <w:t>11</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320" w:type="dxa"/>
            <w:vAlign w:val="bottom"/>
            <w:gridSpan w:val="8"/>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Borders>
              <w:bottom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FF"/>
                <w:w w:val="95"/>
              </w:rPr>
              <w:t>Pepco</w:t>
            </w:r>
          </w:p>
        </w:tc>
        <w:tc>
          <w:tcPr>
            <w:tcW w:w="8320" w:type="dxa"/>
            <w:vAlign w:val="bottom"/>
            <w:gridSpan w:val="8"/>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Borders>
              <w:bottom w:val="single" w:sz="8" w:color="0000FF"/>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13</w:t>
            </w:r>
          </w:p>
        </w:tc>
      </w:tr>
      <w:tr>
        <w:trPr>
          <w:trHeight w:val="133"/>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20" w:type="dxa"/>
            <w:vAlign w:val="bottom"/>
            <w:gridSpan w:val="10"/>
          </w:tcPr>
          <w:p>
            <w:pPr>
              <w:spacing w:after="0" w:line="133" w:lineRule="exact"/>
              <w:rPr>
                <w:sz w:val="20"/>
                <w:szCs w:val="20"/>
                <w:color w:val="auto"/>
              </w:rPr>
            </w:pPr>
            <w:r>
              <w:rPr>
                <w:rFonts w:ascii="Times New Roman" w:cs="Times New Roman" w:eastAsia="Times New Roman" w:hAnsi="Times New Roman"/>
                <w:sz w:val="12"/>
                <w:szCs w:val="12"/>
                <w:color w:val="0000FF"/>
              </w:rPr>
              <w:t>DPL</w:t>
            </w:r>
          </w:p>
        </w:tc>
        <w:tc>
          <w:tcPr>
            <w:tcW w:w="2480" w:type="dxa"/>
            <w:vAlign w:val="bottom"/>
            <w:gridSpan w:val="3"/>
          </w:tcPr>
          <w:p>
            <w:pPr>
              <w:jc w:val="right"/>
              <w:spacing w:after="0" w:line="133" w:lineRule="exact"/>
              <w:rPr>
                <w:sz w:val="20"/>
                <w:szCs w:val="20"/>
                <w:color w:val="auto"/>
              </w:rPr>
            </w:pPr>
            <w:r>
              <w:rPr>
                <w:rFonts w:ascii="Times New Roman" w:cs="Times New Roman" w:eastAsia="Times New Roman" w:hAnsi="Times New Roman"/>
                <w:sz w:val="12"/>
                <w:szCs w:val="12"/>
                <w:color w:val="0000FF"/>
              </w:rPr>
              <w:t>14</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0" w:type="dxa"/>
            <w:vAlign w:val="bottom"/>
            <w:gridSpan w:val="9"/>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Borders>
              <w:bottom w:val="single" w:sz="8" w:color="0000FF"/>
            </w:tcBorders>
          </w:tcPr>
          <w:p>
            <w:pPr>
              <w:spacing w:after="0" w:line="133" w:lineRule="exact"/>
              <w:rPr>
                <w:sz w:val="20"/>
                <w:szCs w:val="20"/>
                <w:color w:val="auto"/>
              </w:rPr>
            </w:pPr>
            <w:r>
              <w:rPr>
                <w:rFonts w:ascii="Times New Roman" w:cs="Times New Roman" w:eastAsia="Times New Roman" w:hAnsi="Times New Roman"/>
                <w:sz w:val="12"/>
                <w:szCs w:val="12"/>
                <w:color w:val="0000FF"/>
                <w:w w:val="74"/>
              </w:rPr>
              <w:t>ACE</w:t>
            </w:r>
          </w:p>
        </w:tc>
        <w:tc>
          <w:tcPr>
            <w:tcW w:w="8400" w:type="dxa"/>
            <w:vAlign w:val="bottom"/>
            <w:gridSpan w:val="9"/>
          </w:tcPr>
          <w:p>
            <w:pPr>
              <w:spacing w:after="0"/>
              <w:rPr>
                <w:sz w:val="11"/>
                <w:szCs w:val="11"/>
                <w:color w:val="auto"/>
              </w:rPr>
            </w:pPr>
          </w:p>
        </w:tc>
        <w:tc>
          <w:tcPr>
            <w:tcW w:w="2360" w:type="dxa"/>
            <w:vAlign w:val="bottom"/>
          </w:tcPr>
          <w:p>
            <w:pPr>
              <w:spacing w:after="0"/>
              <w:rPr>
                <w:sz w:val="11"/>
                <w:szCs w:val="11"/>
                <w:color w:val="auto"/>
              </w:rPr>
            </w:pPr>
          </w:p>
        </w:tc>
        <w:tc>
          <w:tcPr>
            <w:tcW w:w="120" w:type="dxa"/>
            <w:vAlign w:val="bottom"/>
            <w:tcBorders>
              <w:bottom w:val="single" w:sz="8" w:color="0000FF"/>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16</w:t>
            </w:r>
          </w:p>
        </w:tc>
      </w:tr>
    </w:tbl>
    <w:p>
      <w:pPr>
        <w:sectPr>
          <w:pgSz w:w="11900" w:h="16838" w:orient="portrait"/>
          <w:cols w:equalWidth="0" w:num="1">
            <w:col w:w="11260"/>
          </w:cols>
          <w:pgMar w:left="30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Consolidating Statements of Operations</w:t>
      </w:r>
    </w:p>
    <w:p>
      <w:pPr>
        <w:spacing w:after="0" w:line="2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color w:val="auto"/>
        </w:rPr>
        <w:t>(unaudited)</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color w:val="auto"/>
        </w:rPr>
        <w:t>(in millions)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0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ComEd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PECO</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BGE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PHI</w:t>
            </w:r>
          </w:p>
        </w:tc>
        <w:tc>
          <w:tcPr>
            <w:tcW w:w="180" w:type="dxa"/>
            <w:vAlign w:val="bottom"/>
          </w:tcPr>
          <w:p>
            <w:pPr>
              <w:spacing w:after="0"/>
              <w:rPr>
                <w:sz w:val="11"/>
                <w:szCs w:val="11"/>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Other (a)</w:t>
            </w:r>
          </w:p>
        </w:tc>
        <w:tc>
          <w:tcPr>
            <w:tcW w:w="240" w:type="dxa"/>
            <w:vAlign w:val="bottom"/>
          </w:tcPr>
          <w:p>
            <w:pPr>
              <w:spacing w:after="0"/>
              <w:rPr>
                <w:sz w:val="11"/>
                <w:szCs w:val="11"/>
                <w:color w:val="auto"/>
              </w:rPr>
            </w:pPr>
          </w:p>
        </w:tc>
        <w:tc>
          <w:tcPr>
            <w:tcW w:w="90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Exelon</w:t>
            </w:r>
          </w:p>
        </w:tc>
      </w:tr>
      <w:tr>
        <w:trPr>
          <w:trHeight w:val="114"/>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Three Months Ended December 31, 2025</w:t>
            </w:r>
          </w:p>
        </w:tc>
        <w:tc>
          <w:tcPr>
            <w:tcW w:w="64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r>
      <w:tr>
        <w:trPr>
          <w:trHeight w:val="129"/>
        </w:trPr>
        <w:tc>
          <w:tcPr>
            <w:tcW w:w="5080" w:type="dxa"/>
            <w:vAlign w:val="bottom"/>
          </w:tcPr>
          <w:p>
            <w:pPr>
              <w:ind w:left="80"/>
              <w:spacing w:after="0"/>
              <w:rPr>
                <w:sz w:val="20"/>
                <w:szCs w:val="20"/>
                <w:color w:val="auto"/>
              </w:rPr>
            </w:pPr>
            <w:r>
              <w:rPr>
                <w:rFonts w:ascii="Times New Roman" w:cs="Times New Roman" w:eastAsia="Times New Roman" w:hAnsi="Times New Roman"/>
                <w:sz w:val="9"/>
                <w:szCs w:val="9"/>
                <w:b w:val="1"/>
                <w:bCs w:val="1"/>
                <w:color w:val="auto"/>
              </w:rPr>
              <w:t>Operating revenues</w:t>
            </w:r>
          </w:p>
        </w:tc>
        <w:tc>
          <w:tcPr>
            <w:tcW w:w="640" w:type="dxa"/>
            <w:vAlign w:val="bottom"/>
          </w:tcPr>
          <w:p>
            <w:pPr>
              <w:jc w:val="right"/>
              <w:ind w:right="532"/>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1,091</w:t>
            </w:r>
          </w:p>
        </w:tc>
        <w:tc>
          <w:tcPr>
            <w:tcW w:w="100" w:type="dxa"/>
            <w:vAlign w:val="bottom"/>
          </w:tcPr>
          <w:p>
            <w:pPr>
              <w:spacing w:after="0"/>
              <w:rPr>
                <w:sz w:val="11"/>
                <w:szCs w:val="11"/>
                <w:color w:val="auto"/>
              </w:rPr>
            </w:pPr>
          </w:p>
        </w:tc>
        <w:tc>
          <w:tcPr>
            <w:tcW w:w="620" w:type="dxa"/>
            <w:vAlign w:val="bottom"/>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1,172</w:t>
            </w:r>
          </w:p>
        </w:tc>
        <w:tc>
          <w:tcPr>
            <w:tcW w:w="100" w:type="dxa"/>
            <w:vAlign w:val="bottom"/>
          </w:tcPr>
          <w:p>
            <w:pPr>
              <w:spacing w:after="0"/>
              <w:rPr>
                <w:sz w:val="11"/>
                <w:szCs w:val="11"/>
                <w:color w:val="auto"/>
              </w:rPr>
            </w:pPr>
          </w:p>
        </w:tc>
        <w:tc>
          <w:tcPr>
            <w:tcW w:w="600" w:type="dxa"/>
            <w:vAlign w:val="bottom"/>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1,432</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1,727</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5,412</w:t>
            </w:r>
          </w:p>
        </w:tc>
      </w:tr>
      <w:tr>
        <w:trPr>
          <w:trHeight w:val="132"/>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b w:val="1"/>
                <w:bCs w:val="1"/>
                <w:color w:val="auto"/>
              </w:rPr>
              <w:t>Operating expenses</w:t>
            </w: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29"/>
        </w:trPr>
        <w:tc>
          <w:tcPr>
            <w:tcW w:w="50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Purchased power and fuel</w:t>
            </w:r>
          </w:p>
        </w:tc>
        <w:tc>
          <w:tcPr>
            <w:tcW w:w="6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735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1,556</w:t>
            </w:r>
          </w:p>
        </w:tc>
      </w:tr>
      <w:tr>
        <w:trPr>
          <w:trHeight w:val="141"/>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Operating and maintenance</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456</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323</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1,337</w:t>
            </w:r>
          </w:p>
        </w:tc>
      </w:tr>
      <w:tr>
        <w:trPr>
          <w:trHeight w:val="129"/>
        </w:trPr>
        <w:tc>
          <w:tcPr>
            <w:tcW w:w="50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Depreciation and amortization</w:t>
            </w:r>
          </w:p>
        </w:tc>
        <w:tc>
          <w:tcPr>
            <w:tcW w:w="6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397</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119</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159</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923</w:t>
            </w:r>
          </w:p>
        </w:tc>
      </w:tr>
      <w:tr>
        <w:trPr>
          <w:trHeight w:val="141"/>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Taxes other than income taxes</w:t>
            </w:r>
          </w:p>
        </w:tc>
        <w:tc>
          <w:tcPr>
            <w:tcW w:w="6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106</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w:t>
            </w:r>
          </w:p>
        </w:tc>
        <w:tc>
          <w:tcPr>
            <w:tcW w:w="10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143</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413</w:t>
            </w:r>
          </w:p>
        </w:tc>
      </w:tr>
      <w:tr>
        <w:trPr>
          <w:trHeight w:val="118"/>
        </w:trPr>
        <w:tc>
          <w:tcPr>
            <w:tcW w:w="5080" w:type="dxa"/>
            <w:vAlign w:val="bottom"/>
            <w:tcBorders>
              <w:bottom w:val="single" w:sz="8" w:color="CCEEFF"/>
            </w:tcBorders>
          </w:tcPr>
          <w:p>
            <w:pPr>
              <w:ind w:left="300"/>
              <w:spacing w:after="0" w:line="98" w:lineRule="exact"/>
              <w:rPr>
                <w:sz w:val="20"/>
                <w:szCs w:val="20"/>
                <w:color w:val="auto"/>
              </w:rPr>
            </w:pPr>
            <w:r>
              <w:rPr>
                <w:rFonts w:ascii="Times New Roman" w:cs="Times New Roman" w:eastAsia="Times New Roman" w:hAnsi="Times New Roman"/>
                <w:sz w:val="9"/>
                <w:szCs w:val="9"/>
                <w:b w:val="1"/>
                <w:bCs w:val="1"/>
                <w:color w:val="auto"/>
              </w:rPr>
              <w:t>Total operating expenses</w:t>
            </w: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697</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943</w:t>
            </w: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1,154</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1,415</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4,229</w:t>
            </w:r>
          </w:p>
        </w:tc>
      </w:tr>
      <w:tr>
        <w:trPr>
          <w:trHeight w:val="130"/>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b w:val="1"/>
                <w:bCs w:val="1"/>
                <w:color w:val="auto"/>
              </w:rPr>
              <w:t>Gain on sale of assets</w:t>
            </w:r>
          </w:p>
        </w:tc>
        <w:tc>
          <w:tcPr>
            <w:tcW w:w="64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r>
      <w:tr>
        <w:trPr>
          <w:trHeight w:val="118"/>
        </w:trPr>
        <w:tc>
          <w:tcPr>
            <w:tcW w:w="5080" w:type="dxa"/>
            <w:vAlign w:val="bottom"/>
            <w:tcBorders>
              <w:bottom w:val="single" w:sz="8" w:color="CCEEFF"/>
            </w:tcBorders>
          </w:tcPr>
          <w:p>
            <w:pPr>
              <w:ind w:left="80"/>
              <w:spacing w:after="0" w:line="98" w:lineRule="exact"/>
              <w:rPr>
                <w:sz w:val="20"/>
                <w:szCs w:val="20"/>
                <w:color w:val="auto"/>
              </w:rPr>
            </w:pPr>
            <w:r>
              <w:rPr>
                <w:rFonts w:ascii="Times New Roman" w:cs="Times New Roman" w:eastAsia="Times New Roman" w:hAnsi="Times New Roman"/>
                <w:sz w:val="9"/>
                <w:szCs w:val="9"/>
                <w:b w:val="1"/>
                <w:bCs w:val="1"/>
                <w:color w:val="auto"/>
              </w:rPr>
              <w:t>Operating income (loss)</w:t>
            </w: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394</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229</w:t>
            </w: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278</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313</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1,185</w:t>
            </w:r>
          </w:p>
        </w:tc>
      </w:tr>
      <w:tr>
        <w:trPr>
          <w:trHeight w:val="112"/>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b w:val="1"/>
                <w:bCs w:val="1"/>
                <w:color w:val="auto"/>
              </w:rPr>
              <w:t>Other income and (deductions)</w:t>
            </w:r>
          </w:p>
        </w:tc>
        <w:tc>
          <w:tcPr>
            <w:tcW w:w="6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r>
      <w:tr>
        <w:trPr>
          <w:trHeight w:val="129"/>
        </w:trPr>
        <w:tc>
          <w:tcPr>
            <w:tcW w:w="50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Interest expense, net</w:t>
            </w:r>
          </w:p>
        </w:tc>
        <w:tc>
          <w:tcPr>
            <w:tcW w:w="6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(135)</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(550)</w:t>
            </w:r>
          </w:p>
        </w:tc>
      </w:tr>
      <w:tr>
        <w:trPr>
          <w:trHeight w:val="141"/>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Other, net</w:t>
            </w:r>
          </w:p>
        </w:tc>
        <w:tc>
          <w:tcPr>
            <w:tcW w:w="6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10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w:t>
            </w:r>
          </w:p>
        </w:tc>
      </w:tr>
      <w:tr>
        <w:trPr>
          <w:trHeight w:val="118"/>
        </w:trPr>
        <w:tc>
          <w:tcPr>
            <w:tcW w:w="5080" w:type="dxa"/>
            <w:vAlign w:val="bottom"/>
            <w:tcBorders>
              <w:bottom w:val="single" w:sz="8" w:color="CCEEFF"/>
            </w:tcBorders>
          </w:tcPr>
          <w:p>
            <w:pPr>
              <w:ind w:left="300"/>
              <w:spacing w:after="0" w:line="98" w:lineRule="exact"/>
              <w:rPr>
                <w:sz w:val="20"/>
                <w:szCs w:val="20"/>
                <w:color w:val="auto"/>
              </w:rPr>
            </w:pPr>
            <w:r>
              <w:rPr>
                <w:rFonts w:ascii="Times New Roman" w:cs="Times New Roman" w:eastAsia="Times New Roman" w:hAnsi="Times New Roman"/>
                <w:sz w:val="9"/>
                <w:szCs w:val="9"/>
                <w:b w:val="1"/>
                <w:bCs w:val="1"/>
                <w:color w:val="auto"/>
              </w:rPr>
              <w:t>Total other income and (deductions)</w:t>
            </w: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(90)</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(61)</w:t>
            </w: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(87)</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(465)</w:t>
            </w:r>
          </w:p>
        </w:tc>
      </w:tr>
      <w:tr>
        <w:trPr>
          <w:trHeight w:val="130"/>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b w:val="1"/>
                <w:bCs w:val="1"/>
                <w:color w:val="auto"/>
              </w:rPr>
              <w:t>Income (loss) before income taxes</w:t>
            </w: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231</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226</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(209)</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720</w:t>
            </w:r>
          </w:p>
        </w:tc>
      </w:tr>
      <w:tr>
        <w:trPr>
          <w:trHeight w:val="129"/>
        </w:trPr>
        <w:tc>
          <w:tcPr>
            <w:tcW w:w="5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9"/>
                <w:szCs w:val="9"/>
                <w:b w:val="1"/>
                <w:bCs w:val="1"/>
                <w:color w:val="auto"/>
              </w:rPr>
              <w:t>Income taxes</w:t>
            </w:r>
          </w:p>
        </w:tc>
        <w:tc>
          <w:tcPr>
            <w:tcW w:w="6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60</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0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(45)</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127</w:t>
            </w:r>
          </w:p>
        </w:tc>
      </w:tr>
      <w:tr>
        <w:trPr>
          <w:trHeight w:val="146"/>
        </w:trPr>
        <w:tc>
          <w:tcPr>
            <w:tcW w:w="5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9"/>
                <w:szCs w:val="9"/>
                <w:b w:val="1"/>
                <w:bCs w:val="1"/>
                <w:color w:val="auto"/>
              </w:rPr>
              <w:t>Net income (loss) attributable to common shareholders</w:t>
            </w:r>
          </w:p>
        </w:tc>
        <w:tc>
          <w:tcPr>
            <w:tcW w:w="64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244</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162</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171</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(164)</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593</w:t>
            </w:r>
          </w:p>
        </w:tc>
      </w:tr>
      <w:tr>
        <w:trPr>
          <w:trHeight w:val="126"/>
        </w:trPr>
        <w:tc>
          <w:tcPr>
            <w:tcW w:w="5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2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Three Months Ended December 31, 2024</w:t>
            </w: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29"/>
        </w:trPr>
        <w:tc>
          <w:tcPr>
            <w:tcW w:w="5080" w:type="dxa"/>
            <w:vAlign w:val="bottom"/>
          </w:tcPr>
          <w:p>
            <w:pPr>
              <w:ind w:left="80"/>
              <w:spacing w:after="0"/>
              <w:rPr>
                <w:sz w:val="20"/>
                <w:szCs w:val="20"/>
                <w:color w:val="auto"/>
              </w:rPr>
            </w:pPr>
            <w:r>
              <w:rPr>
                <w:rFonts w:ascii="Times New Roman" w:cs="Times New Roman" w:eastAsia="Times New Roman" w:hAnsi="Times New Roman"/>
                <w:sz w:val="9"/>
                <w:szCs w:val="9"/>
                <w:b w:val="1"/>
                <w:bCs w:val="1"/>
                <w:color w:val="auto"/>
              </w:rPr>
              <w:t>Operating revenues</w:t>
            </w:r>
          </w:p>
        </w:tc>
        <w:tc>
          <w:tcPr>
            <w:tcW w:w="640" w:type="dxa"/>
            <w:vAlign w:val="bottom"/>
          </w:tcPr>
          <w:p>
            <w:pPr>
              <w:jc w:val="right"/>
              <w:ind w:right="532"/>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1,816</w:t>
            </w:r>
          </w:p>
        </w:tc>
        <w:tc>
          <w:tcPr>
            <w:tcW w:w="100" w:type="dxa"/>
            <w:vAlign w:val="bottom"/>
          </w:tcPr>
          <w:p>
            <w:pPr>
              <w:spacing w:after="0"/>
              <w:rPr>
                <w:sz w:val="11"/>
                <w:szCs w:val="11"/>
                <w:color w:val="auto"/>
              </w:rPr>
            </w:pPr>
          </w:p>
        </w:tc>
        <w:tc>
          <w:tcPr>
            <w:tcW w:w="620" w:type="dxa"/>
            <w:vAlign w:val="bottom"/>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998</w:t>
            </w:r>
          </w:p>
        </w:tc>
        <w:tc>
          <w:tcPr>
            <w:tcW w:w="100" w:type="dxa"/>
            <w:vAlign w:val="bottom"/>
          </w:tcPr>
          <w:p>
            <w:pPr>
              <w:spacing w:after="0"/>
              <w:rPr>
                <w:sz w:val="11"/>
                <w:szCs w:val="11"/>
                <w:color w:val="auto"/>
              </w:rPr>
            </w:pPr>
          </w:p>
        </w:tc>
        <w:tc>
          <w:tcPr>
            <w:tcW w:w="600" w:type="dxa"/>
            <w:vAlign w:val="bottom"/>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1,157</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1,509</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5,471</w:t>
            </w:r>
          </w:p>
        </w:tc>
      </w:tr>
      <w:tr>
        <w:trPr>
          <w:trHeight w:val="132"/>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b w:val="1"/>
                <w:bCs w:val="1"/>
                <w:color w:val="auto"/>
              </w:rPr>
              <w:t>Operating expenses</w:t>
            </w: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29"/>
        </w:trPr>
        <w:tc>
          <w:tcPr>
            <w:tcW w:w="50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Purchased power and fuel</w:t>
            </w:r>
          </w:p>
        </w:tc>
        <w:tc>
          <w:tcPr>
            <w:tcW w:w="6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363</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1,899</w:t>
            </w:r>
          </w:p>
        </w:tc>
      </w:tr>
      <w:tr>
        <w:trPr>
          <w:trHeight w:val="141"/>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Operating and maintenance</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426</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245</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322</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1,184</w:t>
            </w:r>
          </w:p>
        </w:tc>
      </w:tr>
      <w:tr>
        <w:trPr>
          <w:trHeight w:val="129"/>
        </w:trPr>
        <w:tc>
          <w:tcPr>
            <w:tcW w:w="50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Depreciation and amortization</w:t>
            </w:r>
          </w:p>
        </w:tc>
        <w:tc>
          <w:tcPr>
            <w:tcW w:w="6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232</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913</w:t>
            </w:r>
          </w:p>
        </w:tc>
      </w:tr>
      <w:tr>
        <w:trPr>
          <w:trHeight w:val="141"/>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Taxes other than income taxes</w:t>
            </w:r>
          </w:p>
        </w:tc>
        <w:tc>
          <w:tcPr>
            <w:tcW w:w="64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w:t>
            </w:r>
          </w:p>
        </w:tc>
        <w:tc>
          <w:tcPr>
            <w:tcW w:w="1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100" w:type="dxa"/>
            <w:vAlign w:val="bottom"/>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91</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377</w:t>
            </w:r>
          </w:p>
        </w:tc>
      </w:tr>
      <w:tr>
        <w:trPr>
          <w:trHeight w:val="118"/>
        </w:trPr>
        <w:tc>
          <w:tcPr>
            <w:tcW w:w="5080" w:type="dxa"/>
            <w:vAlign w:val="bottom"/>
            <w:tcBorders>
              <w:bottom w:val="single" w:sz="8" w:color="CCEEFF"/>
            </w:tcBorders>
          </w:tcPr>
          <w:p>
            <w:pPr>
              <w:ind w:left="300"/>
              <w:spacing w:after="0" w:line="98" w:lineRule="exact"/>
              <w:rPr>
                <w:sz w:val="20"/>
                <w:szCs w:val="20"/>
                <w:color w:val="auto"/>
              </w:rPr>
            </w:pPr>
            <w:r>
              <w:rPr>
                <w:rFonts w:ascii="Times New Roman" w:cs="Times New Roman" w:eastAsia="Times New Roman" w:hAnsi="Times New Roman"/>
                <w:sz w:val="9"/>
                <w:szCs w:val="9"/>
                <w:b w:val="1"/>
                <w:bCs w:val="1"/>
                <w:color w:val="auto"/>
              </w:rPr>
              <w:t>Total operating expenses</w:t>
            </w: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7"/>
              </w:rPr>
              <w:t>1,443</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772</w:t>
            </w: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918</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1,261</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4,373</w:t>
            </w:r>
          </w:p>
        </w:tc>
      </w:tr>
      <w:tr>
        <w:trPr>
          <w:trHeight w:val="130"/>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b w:val="1"/>
                <w:bCs w:val="1"/>
                <w:color w:val="auto"/>
              </w:rPr>
              <w:t>Loss on sale of assets</w:t>
            </w:r>
          </w:p>
        </w:tc>
        <w:tc>
          <w:tcPr>
            <w:tcW w:w="64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r>
      <w:tr>
        <w:trPr>
          <w:trHeight w:val="118"/>
        </w:trPr>
        <w:tc>
          <w:tcPr>
            <w:tcW w:w="5080" w:type="dxa"/>
            <w:vAlign w:val="bottom"/>
            <w:tcBorders>
              <w:bottom w:val="single" w:sz="8" w:color="CCEEFF"/>
            </w:tcBorders>
          </w:tcPr>
          <w:p>
            <w:pPr>
              <w:ind w:left="80"/>
              <w:spacing w:after="0" w:line="98" w:lineRule="exact"/>
              <w:rPr>
                <w:sz w:val="20"/>
                <w:szCs w:val="20"/>
                <w:color w:val="auto"/>
              </w:rPr>
            </w:pPr>
            <w:r>
              <w:rPr>
                <w:rFonts w:ascii="Times New Roman" w:cs="Times New Roman" w:eastAsia="Times New Roman" w:hAnsi="Times New Roman"/>
                <w:sz w:val="9"/>
                <w:szCs w:val="9"/>
                <w:b w:val="1"/>
                <w:bCs w:val="1"/>
                <w:color w:val="auto"/>
              </w:rPr>
              <w:t>Operating income</w:t>
            </w: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373</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226</w:t>
            </w: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239</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247</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1,097</w:t>
            </w:r>
          </w:p>
        </w:tc>
      </w:tr>
      <w:tr>
        <w:trPr>
          <w:trHeight w:val="112"/>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b w:val="1"/>
                <w:bCs w:val="1"/>
                <w:color w:val="auto"/>
              </w:rPr>
              <w:t>Other income and (deductions)</w:t>
            </w:r>
          </w:p>
        </w:tc>
        <w:tc>
          <w:tcPr>
            <w:tcW w:w="6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r>
      <w:tr>
        <w:trPr>
          <w:trHeight w:val="129"/>
        </w:trPr>
        <w:tc>
          <w:tcPr>
            <w:tcW w:w="50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Interest expense, net</w:t>
            </w:r>
          </w:p>
        </w:tc>
        <w:tc>
          <w:tcPr>
            <w:tcW w:w="6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(467)</w:t>
            </w:r>
          </w:p>
        </w:tc>
      </w:tr>
      <w:tr>
        <w:trPr>
          <w:trHeight w:val="141"/>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Other, net</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66</w:t>
            </w:r>
          </w:p>
        </w:tc>
      </w:tr>
      <w:tr>
        <w:trPr>
          <w:trHeight w:val="118"/>
        </w:trPr>
        <w:tc>
          <w:tcPr>
            <w:tcW w:w="5080" w:type="dxa"/>
            <w:vAlign w:val="bottom"/>
            <w:tcBorders>
              <w:bottom w:val="single" w:sz="8" w:color="CCEEFF"/>
            </w:tcBorders>
          </w:tcPr>
          <w:p>
            <w:pPr>
              <w:ind w:left="300"/>
              <w:spacing w:after="0" w:line="98" w:lineRule="exact"/>
              <w:rPr>
                <w:sz w:val="20"/>
                <w:szCs w:val="20"/>
                <w:color w:val="auto"/>
              </w:rPr>
            </w:pPr>
            <w:r>
              <w:rPr>
                <w:rFonts w:ascii="Times New Roman" w:cs="Times New Roman" w:eastAsia="Times New Roman" w:hAnsi="Times New Roman"/>
                <w:sz w:val="9"/>
                <w:szCs w:val="9"/>
                <w:b w:val="1"/>
                <w:bCs w:val="1"/>
                <w:color w:val="auto"/>
              </w:rPr>
              <w:t>Total other income and (deductions)</w:t>
            </w:r>
          </w:p>
        </w:tc>
        <w:tc>
          <w:tcPr>
            <w:tcW w:w="640" w:type="dxa"/>
            <w:vAlign w:val="bottom"/>
            <w:tcBorders>
              <w:top w:val="single" w:sz="8" w:color="auto"/>
              <w:bottom w:val="single" w:sz="8" w:color="auto"/>
            </w:tcBorders>
          </w:tcPr>
          <w:p>
            <w:pPr>
              <w:spacing w:after="0"/>
              <w:rPr>
                <w:sz w:val="10"/>
                <w:szCs w:val="1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(99)</w:t>
            </w:r>
          </w:p>
        </w:tc>
        <w:tc>
          <w:tcPr>
            <w:tcW w:w="10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spacing w:after="0"/>
              <w:rPr>
                <w:sz w:val="10"/>
                <w:szCs w:val="10"/>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w:t>
            </w:r>
          </w:p>
        </w:tc>
        <w:tc>
          <w:tcPr>
            <w:tcW w:w="100" w:type="dxa"/>
            <w:vAlign w:val="bottom"/>
            <w:tcBorders>
              <w:bottom w:val="single" w:sz="8" w:color="CCEEFF"/>
            </w:tcBorders>
          </w:tcPr>
          <w:p>
            <w:pPr>
              <w:spacing w:after="0"/>
              <w:rPr>
                <w:sz w:val="10"/>
                <w:szCs w:val="10"/>
                <w:color w:val="auto"/>
              </w:rPr>
            </w:pPr>
          </w:p>
        </w:tc>
        <w:tc>
          <w:tcPr>
            <w:tcW w:w="600" w:type="dxa"/>
            <w:vAlign w:val="bottom"/>
            <w:tcBorders>
              <w:top w:val="single" w:sz="8" w:color="auto"/>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(46)</w:t>
            </w:r>
          </w:p>
        </w:tc>
        <w:tc>
          <w:tcPr>
            <w:tcW w:w="80" w:type="dxa"/>
            <w:vAlign w:val="bottom"/>
            <w:tcBorders>
              <w:bottom w:val="single" w:sz="8" w:color="CCEEFF"/>
            </w:tcBorders>
          </w:tcPr>
          <w:p>
            <w:pPr>
              <w:spacing w:after="0"/>
              <w:rPr>
                <w:sz w:val="10"/>
                <w:szCs w:val="10"/>
                <w:color w:val="auto"/>
              </w:rPr>
            </w:pPr>
          </w:p>
        </w:tc>
        <w:tc>
          <w:tcPr>
            <w:tcW w:w="220" w:type="dxa"/>
            <w:vAlign w:val="bottom"/>
            <w:tcBorders>
              <w:top w:val="single" w:sz="8" w:color="auto"/>
              <w:bottom w:val="single" w:sz="8" w:color="auto"/>
            </w:tcBorders>
          </w:tcPr>
          <w:p>
            <w:pPr>
              <w:spacing w:after="0"/>
              <w:rPr>
                <w:sz w:val="10"/>
                <w:szCs w:val="1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(78)</w:t>
            </w:r>
          </w:p>
        </w:tc>
        <w:tc>
          <w:tcPr>
            <w:tcW w:w="8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(126)</w:t>
            </w:r>
          </w:p>
        </w:tc>
        <w:tc>
          <w:tcPr>
            <w:tcW w:w="80" w:type="dxa"/>
            <w:vAlign w:val="bottom"/>
            <w:tcBorders>
              <w:bottom w:val="single" w:sz="8" w:color="CCEEFF"/>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(401)</w:t>
            </w:r>
          </w:p>
        </w:tc>
      </w:tr>
      <w:tr>
        <w:trPr>
          <w:trHeight w:val="130"/>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b w:val="1"/>
                <w:bCs w:val="1"/>
                <w:color w:val="auto"/>
              </w:rPr>
              <w:t>Income (loss) before income taxes</w:t>
            </w: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274</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174</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193</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696</w:t>
            </w:r>
          </w:p>
        </w:tc>
      </w:tr>
      <w:tr>
        <w:trPr>
          <w:trHeight w:val="129"/>
        </w:trPr>
        <w:tc>
          <w:tcPr>
            <w:tcW w:w="5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9"/>
                <w:szCs w:val="9"/>
                <w:b w:val="1"/>
                <w:bCs w:val="1"/>
                <w:color w:val="auto"/>
              </w:rPr>
              <w:t>Income taxes</w:t>
            </w:r>
          </w:p>
        </w:tc>
        <w:tc>
          <w:tcPr>
            <w:tcW w:w="6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10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w:t>
            </w:r>
          </w:p>
        </w:tc>
      </w:tr>
      <w:tr>
        <w:trPr>
          <w:trHeight w:val="146"/>
        </w:trPr>
        <w:tc>
          <w:tcPr>
            <w:tcW w:w="5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9"/>
                <w:szCs w:val="9"/>
                <w:b w:val="1"/>
                <w:bCs w:val="1"/>
                <w:color w:val="auto"/>
              </w:rPr>
              <w:t>Net income (loss) attributable to common shareholders</w:t>
            </w:r>
          </w:p>
        </w:tc>
        <w:tc>
          <w:tcPr>
            <w:tcW w:w="64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243</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195</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175</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138</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647</w:t>
            </w:r>
          </w:p>
        </w:tc>
      </w:tr>
      <w:tr>
        <w:trPr>
          <w:trHeight w:val="126"/>
        </w:trPr>
        <w:tc>
          <w:tcPr>
            <w:tcW w:w="508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r>
      <w:tr>
        <w:trPr>
          <w:trHeight w:val="140"/>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Change in net income (loss) from 2024 to 2025</w:t>
            </w:r>
          </w:p>
        </w:tc>
        <w:tc>
          <w:tcPr>
            <w:tcW w:w="64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w:t>
            </w:r>
          </w:p>
        </w:tc>
      </w:tr>
    </w:tbl>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129"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Consolidating Statements of Operations</w:t>
      </w:r>
    </w:p>
    <w:p>
      <w:pPr>
        <w:spacing w:after="0" w:line="2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color w:val="auto"/>
        </w:rPr>
        <w:t>(unaudited)</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color w:val="auto"/>
        </w:rPr>
        <w:t>(in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08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ComEd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PECO</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BGE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PHI</w:t>
            </w:r>
          </w:p>
        </w:tc>
        <w:tc>
          <w:tcPr>
            <w:tcW w:w="180" w:type="dxa"/>
            <w:vAlign w:val="bottom"/>
          </w:tcPr>
          <w:p>
            <w:pPr>
              <w:spacing w:after="0"/>
              <w:rPr>
                <w:sz w:val="11"/>
                <w:szCs w:val="11"/>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Other (a)</w:t>
            </w:r>
          </w:p>
        </w:tc>
        <w:tc>
          <w:tcPr>
            <w:tcW w:w="240" w:type="dxa"/>
            <w:vAlign w:val="bottom"/>
          </w:tcPr>
          <w:p>
            <w:pPr>
              <w:spacing w:after="0"/>
              <w:rPr>
                <w:sz w:val="11"/>
                <w:szCs w:val="11"/>
                <w:color w:val="auto"/>
              </w:rPr>
            </w:pPr>
          </w:p>
        </w:tc>
        <w:tc>
          <w:tcPr>
            <w:tcW w:w="900" w:type="dxa"/>
            <w:vAlign w:val="bottom"/>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Exelon</w:t>
            </w:r>
          </w:p>
        </w:tc>
      </w:tr>
      <w:tr>
        <w:trPr>
          <w:trHeight w:val="114"/>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Twelve Months Ended December 31, 2025</w:t>
            </w:r>
          </w:p>
        </w:tc>
        <w:tc>
          <w:tcPr>
            <w:tcW w:w="64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r>
      <w:tr>
        <w:trPr>
          <w:trHeight w:val="130"/>
        </w:trPr>
        <w:tc>
          <w:tcPr>
            <w:tcW w:w="5080" w:type="dxa"/>
            <w:vAlign w:val="bottom"/>
          </w:tcPr>
          <w:p>
            <w:pPr>
              <w:ind w:left="80"/>
              <w:spacing w:after="0"/>
              <w:rPr>
                <w:sz w:val="20"/>
                <w:szCs w:val="20"/>
                <w:color w:val="auto"/>
              </w:rPr>
            </w:pPr>
            <w:r>
              <w:rPr>
                <w:rFonts w:ascii="Times New Roman" w:cs="Times New Roman" w:eastAsia="Times New Roman" w:hAnsi="Times New Roman"/>
                <w:sz w:val="9"/>
                <w:szCs w:val="9"/>
                <w:b w:val="1"/>
                <w:bCs w:val="1"/>
                <w:color w:val="auto"/>
              </w:rPr>
              <w:t>Operating revenues</w:t>
            </w:r>
          </w:p>
        </w:tc>
        <w:tc>
          <w:tcPr>
            <w:tcW w:w="640" w:type="dxa"/>
            <w:vAlign w:val="bottom"/>
          </w:tcPr>
          <w:p>
            <w:pPr>
              <w:jc w:val="right"/>
              <w:ind w:right="532"/>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7,267</w:t>
            </w:r>
          </w:p>
        </w:tc>
        <w:tc>
          <w:tcPr>
            <w:tcW w:w="100" w:type="dxa"/>
            <w:vAlign w:val="bottom"/>
          </w:tcPr>
          <w:p>
            <w:pPr>
              <w:spacing w:after="0"/>
              <w:rPr>
                <w:sz w:val="11"/>
                <w:szCs w:val="11"/>
                <w:color w:val="auto"/>
              </w:rPr>
            </w:pPr>
          </w:p>
        </w:tc>
        <w:tc>
          <w:tcPr>
            <w:tcW w:w="620" w:type="dxa"/>
            <w:vAlign w:val="bottom"/>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4,684</w:t>
            </w:r>
          </w:p>
        </w:tc>
        <w:tc>
          <w:tcPr>
            <w:tcW w:w="100" w:type="dxa"/>
            <w:vAlign w:val="bottom"/>
          </w:tcPr>
          <w:p>
            <w:pPr>
              <w:spacing w:after="0"/>
              <w:rPr>
                <w:sz w:val="11"/>
                <w:szCs w:val="11"/>
                <w:color w:val="auto"/>
              </w:rPr>
            </w:pPr>
          </w:p>
        </w:tc>
        <w:tc>
          <w:tcPr>
            <w:tcW w:w="600" w:type="dxa"/>
            <w:vAlign w:val="bottom"/>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5,222</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7,135</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24,258</w:t>
            </w:r>
          </w:p>
        </w:tc>
      </w:tr>
      <w:tr>
        <w:trPr>
          <w:trHeight w:val="131"/>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b w:val="1"/>
                <w:bCs w:val="1"/>
                <w:color w:val="auto"/>
              </w:rPr>
              <w:t>Operating expenses</w:t>
            </w: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30"/>
        </w:trPr>
        <w:tc>
          <w:tcPr>
            <w:tcW w:w="50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Purchased power and fuel</w:t>
            </w:r>
          </w:p>
        </w:tc>
        <w:tc>
          <w:tcPr>
            <w:tcW w:w="6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1,782</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1,733</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2,221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2,931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8,667</w:t>
            </w:r>
          </w:p>
        </w:tc>
      </w:tr>
      <w:tr>
        <w:trPr>
          <w:trHeight w:val="140"/>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Operating and maintenance</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1,710</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1,195</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1,066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5,177</w:t>
            </w:r>
          </w:p>
        </w:tc>
      </w:tr>
      <w:tr>
        <w:trPr>
          <w:trHeight w:val="130"/>
        </w:trPr>
        <w:tc>
          <w:tcPr>
            <w:tcW w:w="50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Depreciation and amortization</w:t>
            </w:r>
          </w:p>
        </w:tc>
        <w:tc>
          <w:tcPr>
            <w:tcW w:w="6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1,560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935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3,640</w:t>
            </w:r>
          </w:p>
        </w:tc>
      </w:tr>
      <w:tr>
        <w:trPr>
          <w:trHeight w:val="135"/>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Taxes other than income taxes</w:t>
            </w:r>
          </w:p>
        </w:tc>
        <w:tc>
          <w:tcPr>
            <w:tcW w:w="64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409</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240</w:t>
            </w:r>
          </w:p>
        </w:tc>
        <w:tc>
          <w:tcPr>
            <w:tcW w:w="10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370</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568</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1,629</w:t>
            </w:r>
          </w:p>
        </w:tc>
      </w:tr>
      <w:tr>
        <w:trPr>
          <w:trHeight w:val="124"/>
        </w:trPr>
        <w:tc>
          <w:tcPr>
            <w:tcW w:w="50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9"/>
                <w:szCs w:val="9"/>
                <w:b w:val="1"/>
                <w:bCs w:val="1"/>
                <w:color w:val="auto"/>
              </w:rPr>
              <w:t>Total operating expenses</w:t>
            </w: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7"/>
              </w:rPr>
              <w:t>5,461</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3,622</w:t>
            </w: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4,289</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5,761</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19,113</w:t>
            </w:r>
          </w:p>
        </w:tc>
      </w:tr>
      <w:tr>
        <w:trPr>
          <w:trHeight w:val="124"/>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b w:val="1"/>
                <w:bCs w:val="1"/>
                <w:color w:val="auto"/>
              </w:rPr>
              <w:t>Gain on sale of assets</w:t>
            </w:r>
          </w:p>
        </w:tc>
        <w:tc>
          <w:tcPr>
            <w:tcW w:w="64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8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r>
      <w:tr>
        <w:trPr>
          <w:trHeight w:val="124"/>
        </w:trPr>
        <w:tc>
          <w:tcPr>
            <w:tcW w:w="5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9"/>
                <w:szCs w:val="9"/>
                <w:b w:val="1"/>
                <w:bCs w:val="1"/>
                <w:color w:val="auto"/>
              </w:rPr>
              <w:t>Operating income (loss)</w:t>
            </w: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7"/>
              </w:rPr>
              <w:t>1,806</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1,062</w:t>
            </w: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933</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1,377</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5,148</w:t>
            </w:r>
          </w:p>
        </w:tc>
      </w:tr>
      <w:tr>
        <w:trPr>
          <w:trHeight w:val="111"/>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b w:val="1"/>
                <w:bCs w:val="1"/>
                <w:color w:val="auto"/>
              </w:rPr>
              <w:t>Other income and (deductions)</w:t>
            </w:r>
          </w:p>
        </w:tc>
        <w:tc>
          <w:tcPr>
            <w:tcW w:w="6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r>
      <w:tr>
        <w:trPr>
          <w:trHeight w:val="130"/>
        </w:trPr>
        <w:tc>
          <w:tcPr>
            <w:tcW w:w="50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Interest expense, net</w:t>
            </w:r>
          </w:p>
        </w:tc>
        <w:tc>
          <w:tcPr>
            <w:tcW w:w="6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(260)</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(247)</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(2,127)</w:t>
            </w:r>
          </w:p>
        </w:tc>
      </w:tr>
      <w:tr>
        <w:trPr>
          <w:trHeight w:val="135"/>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Other, net</w:t>
            </w:r>
          </w:p>
        </w:tc>
        <w:tc>
          <w:tcPr>
            <w:tcW w:w="64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w:t>
            </w:r>
          </w:p>
        </w:tc>
        <w:tc>
          <w:tcPr>
            <w:tcW w:w="10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270</w:t>
            </w:r>
          </w:p>
        </w:tc>
      </w:tr>
      <w:tr>
        <w:trPr>
          <w:trHeight w:val="124"/>
        </w:trPr>
        <w:tc>
          <w:tcPr>
            <w:tcW w:w="50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9"/>
                <w:szCs w:val="9"/>
                <w:b w:val="1"/>
                <w:bCs w:val="1"/>
                <w:color w:val="auto"/>
              </w:rPr>
              <w:t>Total other income and (deductions)</w:t>
            </w: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(398)</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(219)</w:t>
            </w: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(196)</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(339)</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(705)</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(1,857)</w:t>
            </w:r>
          </w:p>
        </w:tc>
      </w:tr>
      <w:tr>
        <w:trPr>
          <w:trHeight w:val="129"/>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b w:val="1"/>
                <w:bCs w:val="1"/>
                <w:color w:val="auto"/>
              </w:rPr>
              <w:t>Income (loss) before income taxes</w:t>
            </w: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1,408</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843</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737</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(735)</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3,291</w:t>
            </w:r>
          </w:p>
        </w:tc>
      </w:tr>
      <w:tr>
        <w:trPr>
          <w:trHeight w:val="130"/>
        </w:trPr>
        <w:tc>
          <w:tcPr>
            <w:tcW w:w="5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9"/>
                <w:szCs w:val="9"/>
                <w:b w:val="1"/>
                <w:bCs w:val="1"/>
                <w:color w:val="auto"/>
              </w:rPr>
              <w:t>Income taxes</w:t>
            </w:r>
          </w:p>
        </w:tc>
        <w:tc>
          <w:tcPr>
            <w:tcW w:w="6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261</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w:t>
            </w:r>
          </w:p>
        </w:tc>
        <w:tc>
          <w:tcPr>
            <w:tcW w:w="10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159</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239</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523</w:t>
            </w:r>
          </w:p>
        </w:tc>
      </w:tr>
      <w:tr>
        <w:trPr>
          <w:trHeight w:val="145"/>
        </w:trPr>
        <w:tc>
          <w:tcPr>
            <w:tcW w:w="50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9"/>
                <w:szCs w:val="9"/>
                <w:b w:val="1"/>
                <w:bCs w:val="1"/>
                <w:color w:val="auto"/>
              </w:rPr>
              <w:t>Net income (loss) attributable to common shareholders</w:t>
            </w:r>
          </w:p>
        </w:tc>
        <w:tc>
          <w:tcPr>
            <w:tcW w:w="64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1,147</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814</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578</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799</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(570)</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2,768</w:t>
            </w:r>
          </w:p>
        </w:tc>
      </w:tr>
      <w:tr>
        <w:trPr>
          <w:trHeight w:val="126"/>
        </w:trPr>
        <w:tc>
          <w:tcPr>
            <w:tcW w:w="5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2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Twelve Months Ended December 31, 2024</w:t>
            </w:r>
          </w:p>
        </w:tc>
        <w:tc>
          <w:tcPr>
            <w:tcW w:w="6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r>
        <w:trPr>
          <w:trHeight w:val="130"/>
        </w:trPr>
        <w:tc>
          <w:tcPr>
            <w:tcW w:w="5080" w:type="dxa"/>
            <w:vAlign w:val="bottom"/>
          </w:tcPr>
          <w:p>
            <w:pPr>
              <w:ind w:left="80"/>
              <w:spacing w:after="0"/>
              <w:rPr>
                <w:sz w:val="20"/>
                <w:szCs w:val="20"/>
                <w:color w:val="auto"/>
              </w:rPr>
            </w:pPr>
            <w:r>
              <w:rPr>
                <w:rFonts w:ascii="Times New Roman" w:cs="Times New Roman" w:eastAsia="Times New Roman" w:hAnsi="Times New Roman"/>
                <w:sz w:val="9"/>
                <w:szCs w:val="9"/>
                <w:b w:val="1"/>
                <w:bCs w:val="1"/>
                <w:color w:val="auto"/>
              </w:rPr>
              <w:t>Operating revenues</w:t>
            </w:r>
          </w:p>
        </w:tc>
        <w:tc>
          <w:tcPr>
            <w:tcW w:w="640" w:type="dxa"/>
            <w:vAlign w:val="bottom"/>
          </w:tcPr>
          <w:p>
            <w:pPr>
              <w:jc w:val="right"/>
              <w:ind w:right="532"/>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8,219</w:t>
            </w:r>
          </w:p>
        </w:tc>
        <w:tc>
          <w:tcPr>
            <w:tcW w:w="100" w:type="dxa"/>
            <w:vAlign w:val="bottom"/>
          </w:tcPr>
          <w:p>
            <w:pPr>
              <w:spacing w:after="0"/>
              <w:rPr>
                <w:sz w:val="11"/>
                <w:szCs w:val="11"/>
                <w:color w:val="auto"/>
              </w:rPr>
            </w:pPr>
          </w:p>
        </w:tc>
        <w:tc>
          <w:tcPr>
            <w:tcW w:w="620" w:type="dxa"/>
            <w:vAlign w:val="bottom"/>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3,973</w:t>
            </w:r>
          </w:p>
        </w:tc>
        <w:tc>
          <w:tcPr>
            <w:tcW w:w="100" w:type="dxa"/>
            <w:vAlign w:val="bottom"/>
          </w:tcPr>
          <w:p>
            <w:pPr>
              <w:spacing w:after="0"/>
              <w:rPr>
                <w:sz w:val="11"/>
                <w:szCs w:val="11"/>
                <w:color w:val="auto"/>
              </w:rPr>
            </w:pPr>
          </w:p>
        </w:tc>
        <w:tc>
          <w:tcPr>
            <w:tcW w:w="600" w:type="dxa"/>
            <w:vAlign w:val="bottom"/>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4,426</w:t>
            </w:r>
          </w:p>
        </w:tc>
        <w:tc>
          <w:tcPr>
            <w:tcW w:w="80" w:type="dxa"/>
            <w:vAlign w:val="bottom"/>
          </w:tcPr>
          <w:p>
            <w:pPr>
              <w:spacing w:after="0"/>
              <w:rPr>
                <w:sz w:val="11"/>
                <w:szCs w:val="11"/>
                <w:color w:val="auto"/>
              </w:rPr>
            </w:pPr>
          </w:p>
        </w:tc>
        <w:tc>
          <w:tcPr>
            <w:tcW w:w="22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6,448</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80" w:type="dxa"/>
            <w:vAlign w:val="bottom"/>
          </w:tcPr>
          <w:p>
            <w:pPr>
              <w:spacing w:after="0"/>
              <w:rPr>
                <w:sz w:val="11"/>
                <w:szCs w:val="11"/>
                <w:color w:val="auto"/>
              </w:rPr>
            </w:pPr>
          </w:p>
        </w:tc>
        <w:tc>
          <w:tcPr>
            <w:tcW w:w="240" w:type="dxa"/>
            <w:vAlign w:val="bottom"/>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23,028</w:t>
            </w:r>
          </w:p>
        </w:tc>
      </w:tr>
      <w:tr>
        <w:trPr>
          <w:trHeight w:val="131"/>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b w:val="1"/>
                <w:bCs w:val="1"/>
                <w:color w:val="auto"/>
              </w:rPr>
              <w:t>Operating expenses</w:t>
            </w: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30"/>
        </w:trPr>
        <w:tc>
          <w:tcPr>
            <w:tcW w:w="50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Purchased power and fuel</w:t>
            </w:r>
          </w:p>
        </w:tc>
        <w:tc>
          <w:tcPr>
            <w:tcW w:w="6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3,042</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1,477</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1,651</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2,513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8,683</w:t>
            </w:r>
          </w:p>
        </w:tc>
      </w:tr>
      <w:tr>
        <w:trPr>
          <w:trHeight w:val="140"/>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Operating and maintenance</w:t>
            </w: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1,703</w:t>
            </w: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1,120</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1,250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4,940</w:t>
            </w:r>
          </w:p>
        </w:tc>
      </w:tr>
      <w:tr>
        <w:trPr>
          <w:trHeight w:val="130"/>
        </w:trPr>
        <w:tc>
          <w:tcPr>
            <w:tcW w:w="50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Depreciation and amortization</w:t>
            </w:r>
          </w:p>
        </w:tc>
        <w:tc>
          <w:tcPr>
            <w:tcW w:w="6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1,514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428</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638</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3,594</w:t>
            </w:r>
          </w:p>
        </w:tc>
      </w:tr>
      <w:tr>
        <w:trPr>
          <w:trHeight w:val="135"/>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Taxes other than income taxes</w:t>
            </w:r>
          </w:p>
        </w:tc>
        <w:tc>
          <w:tcPr>
            <w:tcW w:w="64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376</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218</w:t>
            </w:r>
          </w:p>
        </w:tc>
        <w:tc>
          <w:tcPr>
            <w:tcW w:w="10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345</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528</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1,504</w:t>
            </w:r>
          </w:p>
        </w:tc>
      </w:tr>
      <w:tr>
        <w:trPr>
          <w:trHeight w:val="124"/>
        </w:trPr>
        <w:tc>
          <w:tcPr>
            <w:tcW w:w="50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9"/>
                <w:szCs w:val="9"/>
                <w:b w:val="1"/>
                <w:bCs w:val="1"/>
                <w:color w:val="auto"/>
              </w:rPr>
              <w:t>Total operating expenses</w:t>
            </w: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7"/>
              </w:rPr>
              <w:t>6,635</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3,243</w:t>
            </w: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3,670</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5,238</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(65)</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18,721</w:t>
            </w:r>
          </w:p>
        </w:tc>
      </w:tr>
      <w:tr>
        <w:trPr>
          <w:trHeight w:val="124"/>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b w:val="1"/>
                <w:bCs w:val="1"/>
                <w:color w:val="auto"/>
              </w:rPr>
              <w:t>Gain (loss) on sale of assets</w:t>
            </w:r>
          </w:p>
        </w:tc>
        <w:tc>
          <w:tcPr>
            <w:tcW w:w="64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0"/>
                <w:szCs w:val="10"/>
                <w:color w:val="auto"/>
              </w:rPr>
            </w:pPr>
          </w:p>
        </w:tc>
        <w:tc>
          <w:tcPr>
            <w:tcW w:w="18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r>
      <w:tr>
        <w:trPr>
          <w:trHeight w:val="124"/>
        </w:trPr>
        <w:tc>
          <w:tcPr>
            <w:tcW w:w="50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9"/>
                <w:szCs w:val="9"/>
                <w:b w:val="1"/>
                <w:bCs w:val="1"/>
                <w:color w:val="auto"/>
              </w:rPr>
              <w:t>Operating income</w:t>
            </w: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7"/>
              </w:rPr>
              <w:t>1,589</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734</w:t>
            </w: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756</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1,209</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4,319</w:t>
            </w:r>
          </w:p>
        </w:tc>
      </w:tr>
      <w:tr>
        <w:trPr>
          <w:trHeight w:val="111"/>
        </w:trPr>
        <w:tc>
          <w:tcPr>
            <w:tcW w:w="50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b w:val="1"/>
                <w:bCs w:val="1"/>
                <w:color w:val="auto"/>
              </w:rPr>
              <w:t>Other income and (deductions)</w:t>
            </w:r>
          </w:p>
        </w:tc>
        <w:tc>
          <w:tcPr>
            <w:tcW w:w="64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r>
      <w:tr>
        <w:trPr>
          <w:trHeight w:val="130"/>
        </w:trPr>
        <w:tc>
          <w:tcPr>
            <w:tcW w:w="5080" w:type="dxa"/>
            <w:vAlign w:val="bottom"/>
          </w:tcPr>
          <w:p>
            <w:pPr>
              <w:ind w:left="160"/>
              <w:spacing w:after="0"/>
              <w:rPr>
                <w:sz w:val="20"/>
                <w:szCs w:val="20"/>
                <w:color w:val="auto"/>
              </w:rPr>
            </w:pPr>
            <w:r>
              <w:rPr>
                <w:rFonts w:ascii="Times New Roman" w:cs="Times New Roman" w:eastAsia="Times New Roman" w:hAnsi="Times New Roman"/>
                <w:sz w:val="9"/>
                <w:szCs w:val="9"/>
                <w:color w:val="auto"/>
              </w:rPr>
              <w:t>Interest expense, net</w:t>
            </w:r>
          </w:p>
        </w:tc>
        <w:tc>
          <w:tcPr>
            <w:tcW w:w="640" w:type="dxa"/>
            <w:vAlign w:val="bottom"/>
          </w:tcPr>
          <w:p>
            <w:pPr>
              <w:spacing w:after="0"/>
              <w:rPr>
                <w:sz w:val="11"/>
                <w:szCs w:val="1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(232)</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(589)</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(1,914)</w:t>
            </w:r>
          </w:p>
        </w:tc>
      </w:tr>
      <w:tr>
        <w:trPr>
          <w:trHeight w:val="135"/>
        </w:trPr>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9"/>
                <w:szCs w:val="9"/>
                <w:color w:val="auto"/>
              </w:rPr>
              <w:t>Other, net</w:t>
            </w:r>
          </w:p>
        </w:tc>
        <w:tc>
          <w:tcPr>
            <w:tcW w:w="64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w:t>
            </w:r>
          </w:p>
        </w:tc>
        <w:tc>
          <w:tcPr>
            <w:tcW w:w="100" w:type="dxa"/>
            <w:vAlign w:val="bottom"/>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w:t>
            </w:r>
          </w:p>
        </w:tc>
        <w:tc>
          <w:tcPr>
            <w:tcW w:w="100" w:type="dxa"/>
            <w:vAlign w:val="bottom"/>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w:t>
            </w: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262</w:t>
            </w:r>
          </w:p>
        </w:tc>
      </w:tr>
      <w:tr>
        <w:trPr>
          <w:trHeight w:val="124"/>
        </w:trPr>
        <w:tc>
          <w:tcPr>
            <w:tcW w:w="508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9"/>
                <w:szCs w:val="9"/>
                <w:b w:val="1"/>
                <w:bCs w:val="1"/>
                <w:color w:val="auto"/>
              </w:rPr>
              <w:t>Total other income and (deductions)</w:t>
            </w: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(407)</w:t>
            </w: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(195)</w:t>
            </w: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(279)</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(591)</w:t>
            </w: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(1,652)</w:t>
            </w:r>
          </w:p>
        </w:tc>
      </w:tr>
      <w:tr>
        <w:trPr>
          <w:trHeight w:val="1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Income (loss) before income taxes</w:t>
            </w: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1,182</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539</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576</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(560)</w:t>
            </w: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2,667</w:t>
            </w:r>
          </w:p>
        </w:tc>
      </w:tr>
      <w:tr>
        <w:trPr>
          <w:trHeight w:val="130"/>
        </w:trPr>
        <w:tc>
          <w:tcPr>
            <w:tcW w:w="5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9"/>
                <w:szCs w:val="9"/>
                <w:b w:val="1"/>
                <w:bCs w:val="1"/>
                <w:color w:val="auto"/>
              </w:rPr>
              <w:t>Income taxes</w:t>
            </w:r>
          </w:p>
        </w:tc>
        <w:tc>
          <w:tcPr>
            <w:tcW w:w="6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116</w:t>
            </w:r>
          </w:p>
        </w:tc>
        <w:tc>
          <w:tcPr>
            <w:tcW w:w="10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10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49</w:t>
            </w: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189</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(135)</w:t>
            </w:r>
          </w:p>
        </w:tc>
        <w:tc>
          <w:tcPr>
            <w:tcW w:w="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207</w:t>
            </w:r>
          </w:p>
        </w:tc>
      </w:tr>
      <w:tr>
        <w:trPr>
          <w:trHeight w:val="145"/>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Net income (loss) attributable to common shareholders</w:t>
            </w:r>
          </w:p>
        </w:tc>
        <w:tc>
          <w:tcPr>
            <w:tcW w:w="64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1,066</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551</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527</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741</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(425)</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2,460</w:t>
            </w:r>
          </w:p>
        </w:tc>
      </w:tr>
      <w:tr>
        <w:trPr>
          <w:trHeight w:val="117"/>
        </w:trPr>
        <w:tc>
          <w:tcPr>
            <w:tcW w:w="5080" w:type="dxa"/>
            <w:vAlign w:val="bottom"/>
            <w:tcBorders>
              <w:bottom w:val="single" w:sz="8" w:color="CCEEFF"/>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r>
      <w:tr>
        <w:trPr>
          <w:trHeight w:val="144"/>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Change in net income (loss) 2024 to 2025</w:t>
            </w:r>
          </w:p>
        </w:tc>
        <w:tc>
          <w:tcPr>
            <w:tcW w:w="640" w:type="dxa"/>
            <w:vAlign w:val="bottom"/>
            <w:tcBorders>
              <w:bottom w:val="single" w:sz="8" w:color="auto"/>
            </w:tcBorders>
            <w:shd w:val="clear" w:color="auto" w:fill="CCEEFF"/>
          </w:tcPr>
          <w:p>
            <w:pPr>
              <w:jc w:val="right"/>
              <w:ind w:right="532"/>
              <w:spacing w:after="0"/>
              <w:rPr>
                <w:sz w:val="20"/>
                <w:szCs w:val="20"/>
                <w:color w:val="auto"/>
              </w:rPr>
            </w:pPr>
            <w:r>
              <w:rPr>
                <w:rFonts w:ascii="Times New Roman" w:cs="Times New Roman" w:eastAsia="Times New Roman" w:hAnsi="Times New Roman"/>
                <w:sz w:val="10"/>
                <w:szCs w:val="10"/>
                <w:color w:val="auto"/>
                <w:w w:val="7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w:t>
            </w:r>
          </w:p>
        </w:tc>
        <w:tc>
          <w:tcPr>
            <w:tcW w:w="10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263</w:t>
            </w: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(145)</w:t>
            </w:r>
          </w:p>
        </w:tc>
        <w:tc>
          <w:tcPr>
            <w:tcW w:w="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308</w:t>
            </w:r>
          </w:p>
        </w:tc>
      </w:tr>
      <w:tr>
        <w:trPr>
          <w:trHeight w:val="159"/>
        </w:trPr>
        <w:tc>
          <w:tcPr>
            <w:tcW w:w="5080" w:type="dxa"/>
            <w:vAlign w:val="bottom"/>
          </w:tcPr>
          <w:p>
            <w:pPr>
              <w:spacing w:after="0"/>
              <w:rPr>
                <w:sz w:val="20"/>
                <w:szCs w:val="20"/>
                <w:color w:val="auto"/>
              </w:rPr>
            </w:pPr>
            <w:r>
              <w:rPr>
                <w:rFonts w:ascii="Times New Roman" w:cs="Times New Roman" w:eastAsia="Times New Roman" w:hAnsi="Times New Roman"/>
                <w:sz w:val="10"/>
                <w:szCs w:val="10"/>
                <w:color w:val="auto"/>
              </w:rPr>
              <w:t>__________</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ind w:left="420" w:hanging="212"/>
        <w:spacing w:after="0"/>
        <w:tabs>
          <w:tab w:leader="none" w:pos="420" w:val="left"/>
        </w:tabs>
        <w:numPr>
          <w:ilvl w:val="0"/>
          <w:numId w:val="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Other primarily includes eliminating and consolidating adjustments, Exelon’s corporate operations, shared service entities, and other financing and investment activities.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300"/>
          </w:cols>
          <w:pgMar w:left="300" w:top="129"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Exelon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color w:val="auto"/>
        </w:rPr>
        <w:t>(unaudited)</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color w:val="auto"/>
        </w:rPr>
        <w:t>(in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40" w:type="dxa"/>
            <w:vAlign w:val="bottom"/>
            <w:tcBorders>
              <w:bottom w:val="single" w:sz="8" w:color="CCEEFF"/>
            </w:tcBorders>
          </w:tcPr>
          <w:p>
            <w:pPr>
              <w:spacing w:after="0"/>
              <w:rPr>
                <w:sz w:val="11"/>
                <w:szCs w:val="11"/>
                <w:color w:val="auto"/>
              </w:rPr>
            </w:pPr>
          </w:p>
        </w:tc>
        <w:tc>
          <w:tcPr>
            <w:tcW w:w="730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December 31, 2024</w:t>
            </w:r>
          </w:p>
        </w:tc>
      </w:tr>
      <w:tr>
        <w:trPr>
          <w:trHeight w:val="88"/>
        </w:trPr>
        <w:tc>
          <w:tcPr>
            <w:tcW w:w="7540" w:type="dxa"/>
            <w:vAlign w:val="bottom"/>
            <w:gridSpan w:val="2"/>
            <w:shd w:val="clear" w:color="auto" w:fill="CCEEFF"/>
          </w:tcPr>
          <w:p>
            <w:pPr>
              <w:spacing w:after="0" w:line="88" w:lineRule="exact"/>
              <w:rPr>
                <w:sz w:val="20"/>
                <w:szCs w:val="20"/>
                <w:color w:val="auto"/>
              </w:rPr>
            </w:pPr>
            <w:r>
              <w:rPr>
                <w:rFonts w:ascii="Times New Roman" w:cs="Times New Roman" w:eastAsia="Times New Roman" w:hAnsi="Times New Roman"/>
                <w:sz w:val="9"/>
                <w:szCs w:val="9"/>
                <w:b w:val="1"/>
                <w:bCs w:val="1"/>
                <w:color w:val="auto"/>
              </w:rPr>
              <w:t>Assets</w:t>
            </w:r>
          </w:p>
        </w:tc>
        <w:tc>
          <w:tcPr>
            <w:tcW w:w="13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r>
      <w:tr>
        <w:trPr>
          <w:trHeight w:val="27"/>
        </w:trPr>
        <w:tc>
          <w:tcPr>
            <w:tcW w:w="240" w:type="dxa"/>
            <w:vAlign w:val="bottom"/>
            <w:shd w:val="clear" w:color="auto" w:fill="000000"/>
          </w:tcPr>
          <w:p>
            <w:pPr>
              <w:spacing w:after="0"/>
              <w:rPr>
                <w:sz w:val="2"/>
                <w:szCs w:val="2"/>
                <w:color w:val="auto"/>
              </w:rPr>
            </w:pPr>
          </w:p>
        </w:tc>
        <w:tc>
          <w:tcPr>
            <w:tcW w:w="73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r>
        <w:trPr>
          <w:trHeight w:val="122"/>
        </w:trPr>
        <w:tc>
          <w:tcPr>
            <w:tcW w:w="754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Current assets</w:t>
            </w: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139"/>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Cash and cash equivalents</w:t>
            </w: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626</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357</w:t>
            </w:r>
          </w:p>
        </w:tc>
      </w:tr>
      <w:tr>
        <w:trPr>
          <w:trHeight w:val="130"/>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Restricted cash and cash equivalents</w:t>
            </w:r>
          </w:p>
        </w:tc>
        <w:tc>
          <w:tcPr>
            <w:tcW w:w="13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525</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541</w:t>
            </w:r>
          </w:p>
        </w:tc>
      </w:tr>
      <w:tr>
        <w:trPr>
          <w:trHeight w:val="131"/>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Accounts receivable</w:t>
            </w:r>
          </w:p>
        </w:tc>
        <w:tc>
          <w:tcPr>
            <w:tcW w:w="1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r>
      <w:tr>
        <w:trPr>
          <w:trHeight w:val="130"/>
        </w:trPr>
        <w:tc>
          <w:tcPr>
            <w:tcW w:w="7540" w:type="dxa"/>
            <w:vAlign w:val="bottom"/>
            <w:gridSpan w:val="2"/>
          </w:tcPr>
          <w:p>
            <w:pPr>
              <w:ind w:left="220"/>
              <w:spacing w:after="0"/>
              <w:rPr>
                <w:sz w:val="20"/>
                <w:szCs w:val="20"/>
                <w:color w:val="auto"/>
              </w:rPr>
            </w:pPr>
            <w:r>
              <w:rPr>
                <w:rFonts w:ascii="Times New Roman" w:cs="Times New Roman" w:eastAsia="Times New Roman" w:hAnsi="Times New Roman"/>
                <w:sz w:val="9"/>
                <w:szCs w:val="9"/>
                <w:color w:val="auto"/>
              </w:rPr>
              <w:t>Customer accounts receivable</w:t>
            </w:r>
          </w:p>
        </w:tc>
        <w:tc>
          <w:tcPr>
            <w:tcW w:w="1380" w:type="dxa"/>
            <w:vAlign w:val="bottom"/>
          </w:tcPr>
          <w:p>
            <w:pPr>
              <w:spacing w:after="0"/>
              <w:rPr>
                <w:sz w:val="20"/>
                <w:szCs w:val="20"/>
                <w:color w:val="auto"/>
              </w:rPr>
            </w:pPr>
            <w:r>
              <w:rPr>
                <w:rFonts w:ascii="Times New Roman" w:cs="Times New Roman" w:eastAsia="Times New Roman" w:hAnsi="Times New Roman"/>
                <w:sz w:val="10"/>
                <w:szCs w:val="10"/>
                <w:color w:val="auto"/>
              </w:rPr>
              <w:t>3,732</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3,144</w:t>
            </w:r>
          </w:p>
        </w:tc>
        <w:tc>
          <w:tcPr>
            <w:tcW w:w="1460" w:type="dxa"/>
            <w:vAlign w:val="bottom"/>
          </w:tcPr>
          <w:p>
            <w:pPr>
              <w:spacing w:after="0"/>
              <w:rPr>
                <w:sz w:val="11"/>
                <w:szCs w:val="11"/>
                <w:color w:val="auto"/>
              </w:rPr>
            </w:pPr>
          </w:p>
        </w:tc>
      </w:tr>
      <w:tr>
        <w:trPr>
          <w:trHeight w:val="135"/>
        </w:trPr>
        <w:tc>
          <w:tcPr>
            <w:tcW w:w="7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9"/>
                <w:szCs w:val="9"/>
                <w:color w:val="auto"/>
              </w:rPr>
              <w:t>Customer allowance for credit losses</w:t>
            </w:r>
          </w:p>
        </w:tc>
        <w:tc>
          <w:tcPr>
            <w:tcW w:w="1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(435)</w:t>
            </w:r>
          </w:p>
        </w:tc>
        <w:tc>
          <w:tcPr>
            <w:tcW w:w="44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(406)</w:t>
            </w:r>
          </w:p>
        </w:tc>
        <w:tc>
          <w:tcPr>
            <w:tcW w:w="1460" w:type="dxa"/>
            <w:vAlign w:val="bottom"/>
            <w:tcBorders>
              <w:bottom w:val="single" w:sz="8" w:color="auto"/>
            </w:tcBorders>
            <w:shd w:val="clear" w:color="auto" w:fill="CCEEFF"/>
          </w:tcPr>
          <w:p>
            <w:pPr>
              <w:spacing w:after="0"/>
              <w:rPr>
                <w:sz w:val="11"/>
                <w:szCs w:val="11"/>
                <w:color w:val="auto"/>
              </w:rPr>
            </w:pPr>
          </w:p>
        </w:tc>
      </w:tr>
      <w:tr>
        <w:trPr>
          <w:trHeight w:val="124"/>
        </w:trPr>
        <w:tc>
          <w:tcPr>
            <w:tcW w:w="240" w:type="dxa"/>
            <w:vAlign w:val="bottom"/>
          </w:tcPr>
          <w:p>
            <w:pPr>
              <w:spacing w:after="0"/>
              <w:rPr>
                <w:sz w:val="10"/>
                <w:szCs w:val="10"/>
                <w:color w:val="auto"/>
              </w:rPr>
            </w:pPr>
          </w:p>
        </w:tc>
        <w:tc>
          <w:tcPr>
            <w:tcW w:w="7300" w:type="dxa"/>
            <w:vAlign w:val="bottom"/>
          </w:tcPr>
          <w:p>
            <w:pPr>
              <w:ind w:left="120"/>
              <w:spacing w:after="0"/>
              <w:rPr>
                <w:sz w:val="20"/>
                <w:szCs w:val="20"/>
                <w:color w:val="auto"/>
              </w:rPr>
            </w:pPr>
            <w:r>
              <w:rPr>
                <w:rFonts w:ascii="Times New Roman" w:cs="Times New Roman" w:eastAsia="Times New Roman" w:hAnsi="Times New Roman"/>
                <w:sz w:val="9"/>
                <w:szCs w:val="9"/>
                <w:color w:val="auto"/>
              </w:rPr>
              <w:t>Customer accounts receivable, net</w:t>
            </w:r>
          </w:p>
        </w:tc>
        <w:tc>
          <w:tcPr>
            <w:tcW w:w="13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3,297</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2,738</w:t>
            </w:r>
          </w:p>
        </w:tc>
      </w:tr>
      <w:tr>
        <w:trPr>
          <w:trHeight w:val="140"/>
        </w:trPr>
        <w:tc>
          <w:tcPr>
            <w:tcW w:w="7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9"/>
                <w:szCs w:val="9"/>
                <w:color w:val="auto"/>
              </w:rPr>
              <w:t>Other accounts receivable</w:t>
            </w: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1,879</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1,123</w:t>
            </w:r>
          </w:p>
        </w:tc>
        <w:tc>
          <w:tcPr>
            <w:tcW w:w="1460" w:type="dxa"/>
            <w:vAlign w:val="bottom"/>
            <w:shd w:val="clear" w:color="auto" w:fill="CCEEFF"/>
          </w:tcPr>
          <w:p>
            <w:pPr>
              <w:spacing w:after="0"/>
              <w:rPr>
                <w:sz w:val="12"/>
                <w:szCs w:val="12"/>
                <w:color w:val="auto"/>
              </w:rPr>
            </w:pPr>
          </w:p>
        </w:tc>
      </w:tr>
      <w:tr>
        <w:trPr>
          <w:trHeight w:val="130"/>
        </w:trPr>
        <w:tc>
          <w:tcPr>
            <w:tcW w:w="75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9"/>
                <w:szCs w:val="9"/>
                <w:color w:val="auto"/>
              </w:rPr>
              <w:t>Other allowance for credit losses</w:t>
            </w: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color w:val="auto"/>
              </w:rPr>
              <w:t>(94)</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rPr>
              <w:t>(107)</w:t>
            </w:r>
          </w:p>
        </w:tc>
        <w:tc>
          <w:tcPr>
            <w:tcW w:w="1460" w:type="dxa"/>
            <w:vAlign w:val="bottom"/>
            <w:tcBorders>
              <w:bottom w:val="single" w:sz="8" w:color="auto"/>
            </w:tcBorders>
          </w:tcPr>
          <w:p>
            <w:pPr>
              <w:spacing w:after="0"/>
              <w:rPr>
                <w:sz w:val="11"/>
                <w:szCs w:val="11"/>
                <w:color w:val="auto"/>
              </w:rPr>
            </w:pPr>
          </w:p>
        </w:tc>
      </w:tr>
      <w:tr>
        <w:trPr>
          <w:trHeight w:val="129"/>
        </w:trPr>
        <w:tc>
          <w:tcPr>
            <w:tcW w:w="240" w:type="dxa"/>
            <w:vAlign w:val="bottom"/>
            <w:shd w:val="clear" w:color="auto" w:fill="CCEEFF"/>
          </w:tcPr>
          <w:p>
            <w:pPr>
              <w:spacing w:after="0"/>
              <w:rPr>
                <w:sz w:val="11"/>
                <w:szCs w:val="11"/>
                <w:color w:val="auto"/>
              </w:rPr>
            </w:pPr>
          </w:p>
        </w:tc>
        <w:tc>
          <w:tcPr>
            <w:tcW w:w="7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9"/>
                <w:szCs w:val="9"/>
                <w:color w:val="auto"/>
              </w:rPr>
              <w:t>Other accounts receivable, net</w:t>
            </w:r>
          </w:p>
        </w:tc>
        <w:tc>
          <w:tcPr>
            <w:tcW w:w="13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1,785</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1,016</w:t>
            </w:r>
          </w:p>
        </w:tc>
      </w:tr>
      <w:tr>
        <w:trPr>
          <w:trHeight w:val="121"/>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Inventories, net</w:t>
            </w: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140"/>
        </w:trPr>
        <w:tc>
          <w:tcPr>
            <w:tcW w:w="7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9"/>
                <w:szCs w:val="9"/>
                <w:color w:val="auto"/>
              </w:rPr>
              <w:t>Fossil fuel</w:t>
            </w:r>
          </w:p>
        </w:tc>
        <w:tc>
          <w:tcPr>
            <w:tcW w:w="1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w:t>
            </w:r>
          </w:p>
        </w:tc>
      </w:tr>
      <w:tr>
        <w:trPr>
          <w:trHeight w:val="130"/>
        </w:trPr>
        <w:tc>
          <w:tcPr>
            <w:tcW w:w="7540" w:type="dxa"/>
            <w:vAlign w:val="bottom"/>
            <w:gridSpan w:val="2"/>
          </w:tcPr>
          <w:p>
            <w:pPr>
              <w:ind w:left="220"/>
              <w:spacing w:after="0"/>
              <w:rPr>
                <w:sz w:val="20"/>
                <w:szCs w:val="20"/>
                <w:color w:val="auto"/>
              </w:rPr>
            </w:pPr>
            <w:r>
              <w:rPr>
                <w:rFonts w:ascii="Times New Roman" w:cs="Times New Roman" w:eastAsia="Times New Roman" w:hAnsi="Times New Roman"/>
                <w:sz w:val="9"/>
                <w:szCs w:val="9"/>
                <w:color w:val="auto"/>
              </w:rPr>
              <w:t>Materials and supplies</w:t>
            </w:r>
          </w:p>
        </w:tc>
        <w:tc>
          <w:tcPr>
            <w:tcW w:w="13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780</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781</w:t>
            </w:r>
          </w:p>
        </w:tc>
      </w:tr>
      <w:tr>
        <w:trPr>
          <w:trHeight w:val="140"/>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Regulatory assets</w:t>
            </w:r>
          </w:p>
        </w:tc>
        <w:tc>
          <w:tcPr>
            <w:tcW w:w="1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1,359</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1,940</w:t>
            </w:r>
          </w:p>
        </w:tc>
      </w:tr>
      <w:tr>
        <w:trPr>
          <w:trHeight w:val="130"/>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Prepaid renewable energy credits</w:t>
            </w:r>
          </w:p>
        </w:tc>
        <w:tc>
          <w:tcPr>
            <w:tcW w:w="13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563</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494</w:t>
            </w:r>
          </w:p>
        </w:tc>
      </w:tr>
      <w:tr>
        <w:trPr>
          <w:trHeight w:val="135"/>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Other</w:t>
            </w:r>
          </w:p>
        </w:tc>
        <w:tc>
          <w:tcPr>
            <w:tcW w:w="13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523</w:t>
            </w: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445</w:t>
            </w:r>
          </w:p>
        </w:tc>
      </w:tr>
      <w:tr>
        <w:trPr>
          <w:trHeight w:val="124"/>
        </w:trPr>
        <w:tc>
          <w:tcPr>
            <w:tcW w:w="7540" w:type="dxa"/>
            <w:vAlign w:val="bottom"/>
            <w:gridSpan w:val="2"/>
          </w:tcPr>
          <w:p>
            <w:pPr>
              <w:ind w:left="220"/>
              <w:spacing w:after="0"/>
              <w:rPr>
                <w:sz w:val="20"/>
                <w:szCs w:val="20"/>
                <w:color w:val="auto"/>
              </w:rPr>
            </w:pPr>
            <w:r>
              <w:rPr>
                <w:rFonts w:ascii="Times New Roman" w:cs="Times New Roman" w:eastAsia="Times New Roman" w:hAnsi="Times New Roman"/>
                <w:sz w:val="9"/>
                <w:szCs w:val="9"/>
                <w:b w:val="1"/>
                <w:bCs w:val="1"/>
                <w:color w:val="auto"/>
              </w:rPr>
              <w:t>Total current assets</w:t>
            </w:r>
          </w:p>
        </w:tc>
        <w:tc>
          <w:tcPr>
            <w:tcW w:w="138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9,546</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8,384</w:t>
            </w:r>
          </w:p>
        </w:tc>
      </w:tr>
      <w:tr>
        <w:trPr>
          <w:trHeight w:val="140"/>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Property, plant, and equipment, net</w:t>
            </w:r>
          </w:p>
        </w:tc>
        <w:tc>
          <w:tcPr>
            <w:tcW w:w="1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84,318</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78,182</w:t>
            </w:r>
          </w:p>
        </w:tc>
      </w:tr>
      <w:tr>
        <w:trPr>
          <w:trHeight w:val="122"/>
        </w:trPr>
        <w:tc>
          <w:tcPr>
            <w:tcW w:w="754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Deferred debits and other assets</w:t>
            </w: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139"/>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Regulatory assets</w:t>
            </w:r>
          </w:p>
        </w:tc>
        <w:tc>
          <w:tcPr>
            <w:tcW w:w="1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9,214</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8,710</w:t>
            </w:r>
          </w:p>
        </w:tc>
      </w:tr>
      <w:tr>
        <w:trPr>
          <w:trHeight w:val="130"/>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Goodwill</w:t>
            </w:r>
          </w:p>
        </w:tc>
        <w:tc>
          <w:tcPr>
            <w:tcW w:w="13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6,630</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6,630</w:t>
            </w:r>
          </w:p>
        </w:tc>
      </w:tr>
      <w:tr>
        <w:trPr>
          <w:trHeight w:val="140"/>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Receivable related to Regulatory Agreement Units</w:t>
            </w:r>
          </w:p>
        </w:tc>
        <w:tc>
          <w:tcPr>
            <w:tcW w:w="1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4,755</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4,026</w:t>
            </w:r>
          </w:p>
        </w:tc>
      </w:tr>
      <w:tr>
        <w:trPr>
          <w:trHeight w:val="130"/>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Investments</w:t>
            </w:r>
          </w:p>
        </w:tc>
        <w:tc>
          <w:tcPr>
            <w:tcW w:w="13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312</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290</w:t>
            </w:r>
          </w:p>
        </w:tc>
      </w:tr>
      <w:tr>
        <w:trPr>
          <w:trHeight w:val="135"/>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Other</w:t>
            </w:r>
          </w:p>
        </w:tc>
        <w:tc>
          <w:tcPr>
            <w:tcW w:w="13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1,795</w:t>
            </w:r>
          </w:p>
        </w:tc>
        <w:tc>
          <w:tcPr>
            <w:tcW w:w="100" w:type="dxa"/>
            <w:vAlign w:val="bottom"/>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spacing w:after="0"/>
              <w:rPr>
                <w:sz w:val="11"/>
                <w:szCs w:val="1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1,562</w:t>
            </w:r>
          </w:p>
        </w:tc>
      </w:tr>
      <w:tr>
        <w:trPr>
          <w:trHeight w:val="124"/>
        </w:trPr>
        <w:tc>
          <w:tcPr>
            <w:tcW w:w="75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9"/>
                <w:szCs w:val="9"/>
                <w:b w:val="1"/>
                <w:bCs w:val="1"/>
                <w:color w:val="auto"/>
              </w:rPr>
              <w:t>Total deferred debits and other assets</w:t>
            </w:r>
          </w:p>
        </w:tc>
        <w:tc>
          <w:tcPr>
            <w:tcW w:w="13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22,706</w:t>
            </w:r>
          </w:p>
        </w:tc>
        <w:tc>
          <w:tcPr>
            <w:tcW w:w="100" w:type="dxa"/>
            <w:vAlign w:val="bottom"/>
            <w:tcBorders>
              <w:bottom w:val="single" w:sz="8" w:color="CCEEFF"/>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21,218</w:t>
            </w:r>
          </w:p>
        </w:tc>
      </w:tr>
      <w:tr>
        <w:trPr>
          <w:trHeight w:val="145"/>
        </w:trPr>
        <w:tc>
          <w:tcPr>
            <w:tcW w:w="7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Total assets</w:t>
            </w:r>
          </w:p>
        </w:tc>
        <w:tc>
          <w:tcPr>
            <w:tcW w:w="1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116,570</w:t>
            </w:r>
          </w:p>
        </w:tc>
        <w:tc>
          <w:tcPr>
            <w:tcW w:w="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107,784</w:t>
            </w:r>
          </w:p>
        </w:tc>
      </w:tr>
    </w:tbl>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300"/>
          </w:cols>
          <w:pgMar w:left="300" w:top="129"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400" w:type="dxa"/>
            <w:vAlign w:val="bottom"/>
            <w:tcBorders>
              <w:bottom w:val="single" w:sz="8" w:color="CCEEFF"/>
            </w:tcBorders>
          </w:tcPr>
          <w:p>
            <w:pPr>
              <w:spacing w:after="0"/>
              <w:rPr>
                <w:sz w:val="11"/>
                <w:szCs w:val="11"/>
                <w:color w:val="auto"/>
              </w:rPr>
            </w:pPr>
          </w:p>
        </w:tc>
        <w:tc>
          <w:tcPr>
            <w:tcW w:w="614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rPr>
              <w:t>December 31, 2025</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0"/>
                <w:szCs w:val="10"/>
                <w:b w:val="1"/>
                <w:bCs w:val="1"/>
                <w:color w:val="auto"/>
              </w:rPr>
              <w:t>December 31, 2024</w:t>
            </w:r>
          </w:p>
        </w:tc>
      </w:tr>
      <w:tr>
        <w:trPr>
          <w:trHeight w:val="94"/>
        </w:trPr>
        <w:tc>
          <w:tcPr>
            <w:tcW w:w="1400" w:type="dxa"/>
            <w:vAlign w:val="bottom"/>
            <w:tcBorders>
              <w:bottom w:val="single" w:sz="8" w:color="auto"/>
            </w:tcBorders>
            <w:shd w:val="clear" w:color="auto" w:fill="CCEEFF"/>
          </w:tcPr>
          <w:p>
            <w:pPr>
              <w:spacing w:after="0" w:line="88" w:lineRule="exact"/>
              <w:rPr>
                <w:sz w:val="20"/>
                <w:szCs w:val="20"/>
                <w:color w:val="auto"/>
              </w:rPr>
            </w:pPr>
            <w:r>
              <w:rPr>
                <w:rFonts w:ascii="Times New Roman" w:cs="Times New Roman" w:eastAsia="Times New Roman" w:hAnsi="Times New Roman"/>
                <w:sz w:val="9"/>
                <w:szCs w:val="9"/>
                <w:b w:val="1"/>
                <w:bCs w:val="1"/>
                <w:color w:val="auto"/>
                <w:w w:val="99"/>
              </w:rPr>
              <w:t>Liabilities and Shareholders' Equity</w:t>
            </w:r>
          </w:p>
        </w:tc>
        <w:tc>
          <w:tcPr>
            <w:tcW w:w="6140" w:type="dxa"/>
            <w:vAlign w:val="bottom"/>
            <w:tcBorders>
              <w:bottom w:val="single" w:sz="8" w:color="CCEEFF"/>
            </w:tcBorders>
            <w:shd w:val="clear" w:color="auto" w:fill="CCEEFF"/>
          </w:tcPr>
          <w:p>
            <w:pPr>
              <w:spacing w:after="0"/>
              <w:rPr>
                <w:sz w:val="8"/>
                <w:szCs w:val="8"/>
                <w:color w:val="auto"/>
              </w:rPr>
            </w:pPr>
          </w:p>
        </w:tc>
        <w:tc>
          <w:tcPr>
            <w:tcW w:w="138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00" w:type="dxa"/>
            <w:vAlign w:val="bottom"/>
            <w:tcBorders>
              <w:bottom w:val="single" w:sz="8" w:color="CCEEFF"/>
            </w:tcBorders>
            <w:shd w:val="clear" w:color="auto" w:fill="CCEEFF"/>
          </w:tcPr>
          <w:p>
            <w:pPr>
              <w:spacing w:after="0"/>
              <w:rPr>
                <w:sz w:val="8"/>
                <w:szCs w:val="8"/>
                <w:color w:val="auto"/>
              </w:rPr>
            </w:pPr>
          </w:p>
        </w:tc>
        <w:tc>
          <w:tcPr>
            <w:tcW w:w="1540" w:type="dxa"/>
            <w:vAlign w:val="bottom"/>
            <w:tcBorders>
              <w:bottom w:val="single" w:sz="8" w:color="CCEEFF"/>
            </w:tcBorders>
            <w:shd w:val="clear" w:color="auto" w:fill="CCEEFF"/>
          </w:tcPr>
          <w:p>
            <w:pPr>
              <w:spacing w:after="0"/>
              <w:rPr>
                <w:sz w:val="8"/>
                <w:szCs w:val="8"/>
                <w:color w:val="auto"/>
              </w:rPr>
            </w:pPr>
          </w:p>
        </w:tc>
      </w:tr>
      <w:tr>
        <w:trPr>
          <w:trHeight w:val="122"/>
        </w:trPr>
        <w:tc>
          <w:tcPr>
            <w:tcW w:w="754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Current liabilities</w:t>
            </w: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39"/>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Short-term borrowings</w:t>
            </w:r>
          </w:p>
        </w:tc>
        <w:tc>
          <w:tcPr>
            <w:tcW w:w="1380" w:type="dxa"/>
            <w:vAlign w:val="bottom"/>
            <w:shd w:val="clear" w:color="auto" w:fill="CCEEFF"/>
          </w:tcPr>
          <w:p>
            <w:pPr>
              <w:jc w:val="right"/>
              <w:ind w:right="127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612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1,859</w:t>
            </w:r>
          </w:p>
        </w:tc>
      </w:tr>
      <w:tr>
        <w:trPr>
          <w:trHeight w:val="130"/>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Long-term debt due within one year</w:t>
            </w:r>
          </w:p>
        </w:tc>
        <w:tc>
          <w:tcPr>
            <w:tcW w:w="13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1,665</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1,453</w:t>
            </w:r>
          </w:p>
        </w:tc>
      </w:tr>
      <w:tr>
        <w:trPr>
          <w:trHeight w:val="140"/>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Accounts payable</w:t>
            </w:r>
          </w:p>
        </w:tc>
        <w:tc>
          <w:tcPr>
            <w:tcW w:w="1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3,721</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2,994</w:t>
            </w:r>
          </w:p>
        </w:tc>
      </w:tr>
      <w:tr>
        <w:trPr>
          <w:trHeight w:val="130"/>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Accrued expenses</w:t>
            </w:r>
          </w:p>
        </w:tc>
        <w:tc>
          <w:tcPr>
            <w:tcW w:w="13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1,582</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1,468</w:t>
            </w:r>
          </w:p>
        </w:tc>
      </w:tr>
      <w:tr>
        <w:trPr>
          <w:trHeight w:val="140"/>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Payables to affiliates</w:t>
            </w:r>
          </w:p>
        </w:tc>
        <w:tc>
          <w:tcPr>
            <w:tcW w:w="1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r>
      <w:tr>
        <w:trPr>
          <w:trHeight w:val="130"/>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Customer deposits</w:t>
            </w:r>
          </w:p>
        </w:tc>
        <w:tc>
          <w:tcPr>
            <w:tcW w:w="13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446</w:t>
            </w:r>
          </w:p>
        </w:tc>
      </w:tr>
      <w:tr>
        <w:trPr>
          <w:trHeight w:val="140"/>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Regulatory liabilities</w:t>
            </w:r>
          </w:p>
        </w:tc>
        <w:tc>
          <w:tcPr>
            <w:tcW w:w="1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411</w:t>
            </w:r>
          </w:p>
        </w:tc>
      </w:tr>
      <w:tr>
        <w:trPr>
          <w:trHeight w:val="130"/>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Mark-to-market derivative liabilities</w:t>
            </w:r>
          </w:p>
        </w:tc>
        <w:tc>
          <w:tcPr>
            <w:tcW w:w="13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w:t>
            </w:r>
          </w:p>
        </w:tc>
      </w:tr>
      <w:tr>
        <w:trPr>
          <w:trHeight w:val="140"/>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Unamortized energy contract liabilities</w:t>
            </w:r>
          </w:p>
        </w:tc>
        <w:tc>
          <w:tcPr>
            <w:tcW w:w="1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r>
      <w:tr>
        <w:trPr>
          <w:trHeight w:val="129"/>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Renewable energy credit obligations</w:t>
            </w:r>
          </w:p>
        </w:tc>
        <w:tc>
          <w:tcPr>
            <w:tcW w:w="13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473</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429</w:t>
            </w:r>
          </w:p>
        </w:tc>
      </w:tr>
      <w:tr>
        <w:trPr>
          <w:trHeight w:val="136"/>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Other</w:t>
            </w:r>
          </w:p>
        </w:tc>
        <w:tc>
          <w:tcPr>
            <w:tcW w:w="13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577</w:t>
            </w:r>
          </w:p>
        </w:tc>
        <w:tc>
          <w:tcPr>
            <w:tcW w:w="10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512</w:t>
            </w:r>
          </w:p>
        </w:tc>
      </w:tr>
      <w:tr>
        <w:trPr>
          <w:trHeight w:val="124"/>
        </w:trPr>
        <w:tc>
          <w:tcPr>
            <w:tcW w:w="75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9"/>
                <w:szCs w:val="9"/>
                <w:b w:val="1"/>
                <w:bCs w:val="1"/>
                <w:color w:val="auto"/>
              </w:rPr>
              <w:t>Total current liabilities</w:t>
            </w:r>
          </w:p>
        </w:tc>
        <w:tc>
          <w:tcPr>
            <w:tcW w:w="13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10,331</w:t>
            </w: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9,611</w:t>
            </w:r>
          </w:p>
        </w:tc>
      </w:tr>
      <w:tr>
        <w:trPr>
          <w:trHeight w:val="129"/>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Long-term debt</w:t>
            </w:r>
          </w:p>
        </w:tc>
        <w:tc>
          <w:tcPr>
            <w:tcW w:w="13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47,413</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42,947</w:t>
            </w:r>
          </w:p>
        </w:tc>
      </w:tr>
      <w:tr>
        <w:trPr>
          <w:trHeight w:val="130"/>
        </w:trPr>
        <w:tc>
          <w:tcPr>
            <w:tcW w:w="754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Long-term debt to financing trusts</w:t>
            </w:r>
          </w:p>
        </w:tc>
        <w:tc>
          <w:tcPr>
            <w:tcW w:w="13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390</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390</w:t>
            </w:r>
          </w:p>
        </w:tc>
      </w:tr>
      <w:tr>
        <w:trPr>
          <w:trHeight w:val="131"/>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Deferred credits and other liabilities</w:t>
            </w:r>
          </w:p>
        </w:tc>
        <w:tc>
          <w:tcPr>
            <w:tcW w:w="1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r>
      <w:tr>
        <w:trPr>
          <w:trHeight w:val="130"/>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Deferred income taxes and unamortized investment tax credits</w:t>
            </w:r>
          </w:p>
        </w:tc>
        <w:tc>
          <w:tcPr>
            <w:tcW w:w="13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13,715</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12,793</w:t>
            </w:r>
          </w:p>
        </w:tc>
      </w:tr>
      <w:tr>
        <w:trPr>
          <w:trHeight w:val="140"/>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Regulatory liabilities</w:t>
            </w:r>
          </w:p>
        </w:tc>
        <w:tc>
          <w:tcPr>
            <w:tcW w:w="1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11,016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10,198</w:t>
            </w:r>
          </w:p>
        </w:tc>
      </w:tr>
      <w:tr>
        <w:trPr>
          <w:trHeight w:val="130"/>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Pension obligations</w:t>
            </w:r>
          </w:p>
        </w:tc>
        <w:tc>
          <w:tcPr>
            <w:tcW w:w="13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1,749</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1,745</w:t>
            </w:r>
          </w:p>
        </w:tc>
      </w:tr>
      <w:tr>
        <w:trPr>
          <w:trHeight w:val="140"/>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Non-pension postretirement benefit obligations</w:t>
            </w:r>
          </w:p>
        </w:tc>
        <w:tc>
          <w:tcPr>
            <w:tcW w:w="1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472</w:t>
            </w:r>
          </w:p>
        </w:tc>
      </w:tr>
      <w:tr>
        <w:trPr>
          <w:trHeight w:val="130"/>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Asset retirement obligations</w:t>
            </w:r>
          </w:p>
        </w:tc>
        <w:tc>
          <w:tcPr>
            <w:tcW w:w="13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321</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301</w:t>
            </w:r>
          </w:p>
        </w:tc>
      </w:tr>
      <w:tr>
        <w:trPr>
          <w:trHeight w:val="140"/>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Mark-to-market derivative liabilities</w:t>
            </w:r>
          </w:p>
        </w:tc>
        <w:tc>
          <w:tcPr>
            <w:tcW w:w="1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w:t>
            </w:r>
          </w:p>
        </w:tc>
      </w:tr>
      <w:tr>
        <w:trPr>
          <w:trHeight w:val="130"/>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Unamortized energy contract liabilities</w:t>
            </w:r>
          </w:p>
        </w:tc>
        <w:tc>
          <w:tcPr>
            <w:tcW w:w="13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w:t>
            </w:r>
          </w:p>
        </w:tc>
      </w:tr>
      <w:tr>
        <w:trPr>
          <w:trHeight w:val="135"/>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Other</w:t>
            </w:r>
          </w:p>
        </w:tc>
        <w:tc>
          <w:tcPr>
            <w:tcW w:w="13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2,169</w:t>
            </w:r>
          </w:p>
        </w:tc>
        <w:tc>
          <w:tcPr>
            <w:tcW w:w="10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2,282</w:t>
            </w:r>
          </w:p>
        </w:tc>
      </w:tr>
      <w:tr>
        <w:trPr>
          <w:trHeight w:val="124"/>
        </w:trPr>
        <w:tc>
          <w:tcPr>
            <w:tcW w:w="75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9"/>
                <w:szCs w:val="9"/>
                <w:b w:val="1"/>
                <w:bCs w:val="1"/>
                <w:color w:val="auto"/>
              </w:rPr>
              <w:t>Total deferred credits and other liabilities</w:t>
            </w:r>
          </w:p>
        </w:tc>
        <w:tc>
          <w:tcPr>
            <w:tcW w:w="13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29,638</w:t>
            </w: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27,915</w:t>
            </w:r>
          </w:p>
        </w:tc>
      </w:tr>
      <w:tr>
        <w:trPr>
          <w:trHeight w:val="129"/>
        </w:trPr>
        <w:tc>
          <w:tcPr>
            <w:tcW w:w="75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9"/>
                <w:szCs w:val="9"/>
                <w:b w:val="1"/>
                <w:bCs w:val="1"/>
                <w:color w:val="auto"/>
              </w:rPr>
              <w:t>Total liabilities</w:t>
            </w:r>
          </w:p>
        </w:tc>
        <w:tc>
          <w:tcPr>
            <w:tcW w:w="13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87,772</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80,863</w:t>
            </w:r>
          </w:p>
        </w:tc>
      </w:tr>
      <w:tr>
        <w:trPr>
          <w:trHeight w:val="122"/>
        </w:trPr>
        <w:tc>
          <w:tcPr>
            <w:tcW w:w="7540" w:type="dxa"/>
            <w:vAlign w:val="bottom"/>
            <w:gridSpan w:val="2"/>
          </w:tcPr>
          <w:p>
            <w:pPr>
              <w:spacing w:after="0"/>
              <w:rPr>
                <w:sz w:val="20"/>
                <w:szCs w:val="20"/>
                <w:color w:val="auto"/>
              </w:rPr>
            </w:pPr>
            <w:r>
              <w:rPr>
                <w:rFonts w:ascii="Times New Roman" w:cs="Times New Roman" w:eastAsia="Times New Roman" w:hAnsi="Times New Roman"/>
                <w:sz w:val="9"/>
                <w:szCs w:val="9"/>
                <w:b w:val="1"/>
                <w:bCs w:val="1"/>
                <w:color w:val="auto"/>
              </w:rPr>
              <w:t>Commitments and contingencies</w:t>
            </w:r>
          </w:p>
        </w:tc>
        <w:tc>
          <w:tcPr>
            <w:tcW w:w="1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30"/>
        </w:trPr>
        <w:tc>
          <w:tcPr>
            <w:tcW w:w="7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Shareholders’ equity</w:t>
            </w:r>
          </w:p>
        </w:tc>
        <w:tc>
          <w:tcPr>
            <w:tcW w:w="13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r>
      <w:tr>
        <w:trPr>
          <w:trHeight w:val="130"/>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Common stock</w:t>
            </w:r>
          </w:p>
        </w:tc>
        <w:tc>
          <w:tcPr>
            <w:tcW w:w="13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22,106</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21,338</w:t>
            </w:r>
          </w:p>
        </w:tc>
      </w:tr>
      <w:tr>
        <w:trPr>
          <w:trHeight w:val="140"/>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Treasury stock, at cost</w:t>
            </w:r>
          </w:p>
        </w:tc>
        <w:tc>
          <w:tcPr>
            <w:tcW w:w="1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w:t>
            </w:r>
          </w:p>
        </w:tc>
      </w:tr>
      <w:tr>
        <w:trPr>
          <w:trHeight w:val="130"/>
        </w:trPr>
        <w:tc>
          <w:tcPr>
            <w:tcW w:w="7540" w:type="dxa"/>
            <w:vAlign w:val="bottom"/>
            <w:gridSpan w:val="2"/>
          </w:tcPr>
          <w:p>
            <w:pPr>
              <w:ind w:left="80"/>
              <w:spacing w:after="0"/>
              <w:rPr>
                <w:sz w:val="20"/>
                <w:szCs w:val="20"/>
                <w:color w:val="auto"/>
              </w:rPr>
            </w:pPr>
            <w:r>
              <w:rPr>
                <w:rFonts w:ascii="Times New Roman" w:cs="Times New Roman" w:eastAsia="Times New Roman" w:hAnsi="Times New Roman"/>
                <w:sz w:val="9"/>
                <w:szCs w:val="9"/>
                <w:color w:val="auto"/>
              </w:rPr>
              <w:t>Retained earnings</w:t>
            </w:r>
          </w:p>
        </w:tc>
        <w:tc>
          <w:tcPr>
            <w:tcW w:w="138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7,577</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6,426</w:t>
            </w:r>
          </w:p>
        </w:tc>
      </w:tr>
      <w:tr>
        <w:trPr>
          <w:trHeight w:val="135"/>
        </w:trPr>
        <w:tc>
          <w:tcPr>
            <w:tcW w:w="7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Accumulated other comprehensive loss, net</w:t>
            </w:r>
          </w:p>
        </w:tc>
        <w:tc>
          <w:tcPr>
            <w:tcW w:w="138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(762)</w:t>
            </w:r>
          </w:p>
        </w:tc>
        <w:tc>
          <w:tcPr>
            <w:tcW w:w="10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(720)</w:t>
            </w:r>
          </w:p>
        </w:tc>
      </w:tr>
      <w:tr>
        <w:trPr>
          <w:trHeight w:val="124"/>
        </w:trPr>
        <w:tc>
          <w:tcPr>
            <w:tcW w:w="75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9"/>
                <w:szCs w:val="9"/>
                <w:b w:val="1"/>
                <w:bCs w:val="1"/>
                <w:color w:val="auto"/>
              </w:rPr>
              <w:t>Total shareholders’ equity</w:t>
            </w:r>
          </w:p>
        </w:tc>
        <w:tc>
          <w:tcPr>
            <w:tcW w:w="13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28,798</w:t>
            </w: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26,921</w:t>
            </w:r>
          </w:p>
        </w:tc>
      </w:tr>
      <w:tr>
        <w:trPr>
          <w:trHeight w:val="145"/>
        </w:trPr>
        <w:tc>
          <w:tcPr>
            <w:tcW w:w="7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Total liabilities and shareholders' equity</w:t>
            </w:r>
          </w:p>
        </w:tc>
        <w:tc>
          <w:tcPr>
            <w:tcW w:w="1380" w:type="dxa"/>
            <w:vAlign w:val="bottom"/>
            <w:tcBorders>
              <w:bottom w:val="single" w:sz="8" w:color="auto"/>
            </w:tcBorders>
            <w:shd w:val="clear" w:color="auto" w:fill="CCEEFF"/>
          </w:tcPr>
          <w:p>
            <w:pPr>
              <w:jc w:val="right"/>
              <w:ind w:right="1272"/>
              <w:spacing w:after="0"/>
              <w:rPr>
                <w:sz w:val="20"/>
                <w:szCs w:val="20"/>
                <w:color w:val="auto"/>
              </w:rPr>
            </w:pPr>
            <w:r>
              <w:rPr>
                <w:rFonts w:ascii="Times New Roman" w:cs="Times New Roman" w:eastAsia="Times New Roman" w:hAnsi="Times New Roman"/>
                <w:sz w:val="10"/>
                <w:szCs w:val="10"/>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116,570</w:t>
            </w:r>
          </w:p>
        </w:tc>
        <w:tc>
          <w:tcPr>
            <w:tcW w:w="10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0"/>
                <w:szCs w:val="10"/>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107,784</w:t>
            </w:r>
          </w:p>
        </w:tc>
      </w:tr>
    </w:tbl>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300"/>
          </w:cols>
          <w:pgMar w:left="300" w:top="129"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Exelon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6"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2"/>
          <w:szCs w:val="12"/>
          <w:color w:val="auto"/>
        </w:rPr>
        <w:t>(unaudited)</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2"/>
          <w:szCs w:val="12"/>
          <w:color w:val="auto"/>
        </w:rPr>
        <w:t>(in millions)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7540" w:type="dxa"/>
            <w:vAlign w:val="bottom"/>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w w:val="98"/>
              </w:rPr>
              <w:t>Twelve Months Ended December 31,</w:t>
            </w:r>
          </w:p>
        </w:tc>
        <w:tc>
          <w:tcPr>
            <w:tcW w:w="1080" w:type="dxa"/>
            <w:vAlign w:val="bottom"/>
            <w:tcBorders>
              <w:bottom w:val="single" w:sz="8" w:color="auto"/>
            </w:tcBorders>
          </w:tcPr>
          <w:p>
            <w:pPr>
              <w:spacing w:after="0"/>
              <w:rPr>
                <w:sz w:val="11"/>
                <w:szCs w:val="11"/>
                <w:color w:val="auto"/>
              </w:rPr>
            </w:pPr>
          </w:p>
        </w:tc>
      </w:tr>
      <w:tr>
        <w:trPr>
          <w:trHeight w:val="128"/>
        </w:trPr>
        <w:tc>
          <w:tcPr>
            <w:tcW w:w="7540" w:type="dxa"/>
            <w:vAlign w:val="bottom"/>
            <w:tcBorders>
              <w:bottom w:val="single" w:sz="8" w:color="CCEEFF"/>
            </w:tcBorders>
          </w:tcPr>
          <w:p>
            <w:pPr>
              <w:spacing w:after="0"/>
              <w:rPr>
                <w:sz w:val="11"/>
                <w:szCs w:val="11"/>
                <w:color w:val="auto"/>
              </w:rPr>
            </w:pPr>
          </w:p>
        </w:tc>
        <w:tc>
          <w:tcPr>
            <w:tcW w:w="10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2025</w:t>
            </w: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11"/>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Cash flows from operating activities</w:t>
            </w:r>
          </w:p>
        </w:tc>
        <w:tc>
          <w:tcPr>
            <w:tcW w:w="10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130"/>
        </w:trPr>
        <w:tc>
          <w:tcPr>
            <w:tcW w:w="7540" w:type="dxa"/>
            <w:vAlign w:val="bottom"/>
          </w:tcPr>
          <w:p>
            <w:pPr>
              <w:ind w:left="80"/>
              <w:spacing w:after="0"/>
              <w:rPr>
                <w:sz w:val="20"/>
                <w:szCs w:val="20"/>
                <w:color w:val="auto"/>
              </w:rPr>
            </w:pPr>
            <w:r>
              <w:rPr>
                <w:rFonts w:ascii="Times New Roman" w:cs="Times New Roman" w:eastAsia="Times New Roman" w:hAnsi="Times New Roman"/>
                <w:sz w:val="9"/>
                <w:szCs w:val="9"/>
                <w:color w:val="auto"/>
              </w:rPr>
              <w:t>Net income</w:t>
            </w:r>
          </w:p>
        </w:tc>
        <w:tc>
          <w:tcPr>
            <w:tcW w:w="1060" w:type="dxa"/>
            <w:vAlign w:val="bottom"/>
          </w:tcPr>
          <w:p>
            <w:pPr>
              <w:jc w:val="right"/>
              <w:ind w:right="95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2,768</w:t>
            </w:r>
          </w:p>
        </w:tc>
        <w:tc>
          <w:tcPr>
            <w:tcW w:w="100" w:type="dxa"/>
            <w:vAlign w:val="bottom"/>
          </w:tcPr>
          <w:p>
            <w:pPr>
              <w:spacing w:after="0"/>
              <w:rPr>
                <w:sz w:val="11"/>
                <w:szCs w:val="11"/>
                <w:color w:val="auto"/>
              </w:rPr>
            </w:pPr>
          </w:p>
        </w:tc>
        <w:tc>
          <w:tcPr>
            <w:tcW w:w="760" w:type="dxa"/>
            <w:vAlign w:val="bottom"/>
          </w:tcPr>
          <w:p>
            <w:pPr>
              <w:jc w:val="right"/>
              <w:ind w:right="652"/>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2,460</w:t>
            </w:r>
          </w:p>
        </w:tc>
      </w:tr>
      <w:tr>
        <w:trPr>
          <w:trHeight w:val="131"/>
        </w:trPr>
        <w:tc>
          <w:tcPr>
            <w:tcW w:w="7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Adjustments to reconcile net income to net cash flows provided by operating activities:</w:t>
            </w:r>
          </w:p>
        </w:tc>
        <w:tc>
          <w:tcPr>
            <w:tcW w:w="10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r>
      <w:tr>
        <w:trPr>
          <w:trHeight w:val="130"/>
        </w:trPr>
        <w:tc>
          <w:tcPr>
            <w:tcW w:w="75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Depreciation, amortization, and accretion</w:t>
            </w:r>
          </w:p>
        </w:tc>
        <w:tc>
          <w:tcPr>
            <w:tcW w:w="10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3,643</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3,596</w:t>
            </w:r>
          </w:p>
        </w:tc>
      </w:tr>
      <w:tr>
        <w:trPr>
          <w:trHeight w:val="14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9"/>
                <w:szCs w:val="9"/>
                <w:color w:val="auto"/>
              </w:rPr>
              <w:t>Gain on sales of assets</w:t>
            </w: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r>
      <w:tr>
        <w:trPr>
          <w:trHeight w:val="130"/>
        </w:trPr>
        <w:tc>
          <w:tcPr>
            <w:tcW w:w="75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Deferred income taxes and amortization of investment tax credits</w:t>
            </w:r>
          </w:p>
        </w:tc>
        <w:tc>
          <w:tcPr>
            <w:tcW w:w="10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391</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128</w:t>
            </w:r>
          </w:p>
        </w:tc>
      </w:tr>
      <w:tr>
        <w:trPr>
          <w:trHeight w:val="140"/>
        </w:trPr>
        <w:tc>
          <w:tcPr>
            <w:tcW w:w="7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9"/>
                <w:szCs w:val="9"/>
                <w:color w:val="auto"/>
              </w:rPr>
              <w:t>Other non-cash operating activities</w:t>
            </w: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1,331</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592</w:t>
            </w:r>
          </w:p>
        </w:tc>
      </w:tr>
      <w:tr>
        <w:trPr>
          <w:trHeight w:val="121"/>
        </w:trPr>
        <w:tc>
          <w:tcPr>
            <w:tcW w:w="7540" w:type="dxa"/>
            <w:vAlign w:val="bottom"/>
          </w:tcPr>
          <w:p>
            <w:pPr>
              <w:ind w:left="220"/>
              <w:spacing w:after="0"/>
              <w:rPr>
                <w:sz w:val="20"/>
                <w:szCs w:val="20"/>
                <w:color w:val="auto"/>
              </w:rPr>
            </w:pPr>
            <w:r>
              <w:rPr>
                <w:rFonts w:ascii="Times New Roman" w:cs="Times New Roman" w:eastAsia="Times New Roman" w:hAnsi="Times New Roman"/>
                <w:sz w:val="9"/>
                <w:szCs w:val="9"/>
                <w:color w:val="auto"/>
              </w:rPr>
              <w:t>Changes in assets and liabilities:</w:t>
            </w:r>
          </w:p>
        </w:tc>
        <w:tc>
          <w:tcPr>
            <w:tcW w:w="10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140"/>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9"/>
                <w:szCs w:val="9"/>
                <w:color w:val="auto"/>
              </w:rPr>
              <w:t>Accounts receivable</w:t>
            </w: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(1,691)</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(644)</w:t>
            </w:r>
          </w:p>
        </w:tc>
      </w:tr>
      <w:tr>
        <w:trPr>
          <w:trHeight w:val="130"/>
        </w:trPr>
        <w:tc>
          <w:tcPr>
            <w:tcW w:w="7540" w:type="dxa"/>
            <w:vAlign w:val="bottom"/>
          </w:tcPr>
          <w:p>
            <w:pPr>
              <w:ind w:left="360"/>
              <w:spacing w:after="0"/>
              <w:rPr>
                <w:sz w:val="20"/>
                <w:szCs w:val="20"/>
                <w:color w:val="auto"/>
              </w:rPr>
            </w:pPr>
            <w:r>
              <w:rPr>
                <w:rFonts w:ascii="Times New Roman" w:cs="Times New Roman" w:eastAsia="Times New Roman" w:hAnsi="Times New Roman"/>
                <w:sz w:val="9"/>
                <w:szCs w:val="9"/>
                <w:color w:val="auto"/>
              </w:rPr>
              <w:t>Inventories</w:t>
            </w:r>
          </w:p>
        </w:tc>
        <w:tc>
          <w:tcPr>
            <w:tcW w:w="10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w:t>
            </w:r>
          </w:p>
        </w:tc>
      </w:tr>
      <w:tr>
        <w:trPr>
          <w:trHeight w:val="140"/>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9"/>
                <w:szCs w:val="9"/>
                <w:color w:val="auto"/>
              </w:rPr>
              <w:t>Accounts payable and accrued expenses</w:t>
            </w: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260</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w:t>
            </w:r>
          </w:p>
        </w:tc>
      </w:tr>
      <w:tr>
        <w:trPr>
          <w:trHeight w:val="130"/>
        </w:trPr>
        <w:tc>
          <w:tcPr>
            <w:tcW w:w="7540" w:type="dxa"/>
            <w:vAlign w:val="bottom"/>
          </w:tcPr>
          <w:p>
            <w:pPr>
              <w:ind w:left="360"/>
              <w:spacing w:after="0"/>
              <w:rPr>
                <w:sz w:val="20"/>
                <w:szCs w:val="20"/>
                <w:color w:val="auto"/>
              </w:rPr>
            </w:pPr>
            <w:r>
              <w:rPr>
                <w:rFonts w:ascii="Times New Roman" w:cs="Times New Roman" w:eastAsia="Times New Roman" w:hAnsi="Times New Roman"/>
                <w:sz w:val="9"/>
                <w:szCs w:val="9"/>
                <w:color w:val="auto"/>
              </w:rPr>
              <w:t>Collateral (paid) received, net</w:t>
            </w:r>
          </w:p>
        </w:tc>
        <w:tc>
          <w:tcPr>
            <w:tcW w:w="10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w:t>
            </w:r>
          </w:p>
        </w:tc>
      </w:tr>
      <w:tr>
        <w:trPr>
          <w:trHeight w:val="140"/>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9"/>
                <w:szCs w:val="9"/>
                <w:color w:val="auto"/>
              </w:rPr>
              <w:t>Income taxes</w:t>
            </w: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r>
      <w:tr>
        <w:trPr>
          <w:trHeight w:val="130"/>
        </w:trPr>
        <w:tc>
          <w:tcPr>
            <w:tcW w:w="7540" w:type="dxa"/>
            <w:vAlign w:val="bottom"/>
          </w:tcPr>
          <w:p>
            <w:pPr>
              <w:ind w:left="360"/>
              <w:spacing w:after="0"/>
              <w:rPr>
                <w:sz w:val="20"/>
                <w:szCs w:val="20"/>
                <w:color w:val="auto"/>
              </w:rPr>
            </w:pPr>
            <w:r>
              <w:rPr>
                <w:rFonts w:ascii="Times New Roman" w:cs="Times New Roman" w:eastAsia="Times New Roman" w:hAnsi="Times New Roman"/>
                <w:sz w:val="9"/>
                <w:szCs w:val="9"/>
                <w:color w:val="auto"/>
              </w:rPr>
              <w:t>Regulatory assets and liabilities, net</w:t>
            </w:r>
          </w:p>
        </w:tc>
        <w:tc>
          <w:tcPr>
            <w:tcW w:w="10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w:t>
            </w:r>
          </w:p>
        </w:tc>
      </w:tr>
      <w:tr>
        <w:trPr>
          <w:trHeight w:val="140"/>
        </w:trPr>
        <w:tc>
          <w:tcPr>
            <w:tcW w:w="7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9"/>
                <w:szCs w:val="9"/>
                <w:color w:val="auto"/>
              </w:rPr>
              <w:t>Pension and non-pension postretirement benefit contributions</w:t>
            </w: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(342)</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w:t>
            </w:r>
          </w:p>
        </w:tc>
      </w:tr>
      <w:tr>
        <w:trPr>
          <w:trHeight w:val="130"/>
        </w:trPr>
        <w:tc>
          <w:tcPr>
            <w:tcW w:w="7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9"/>
                <w:szCs w:val="9"/>
                <w:color w:val="auto"/>
              </w:rPr>
              <w:t>Other assets and liabilities</w:t>
            </w:r>
          </w:p>
        </w:tc>
        <w:tc>
          <w:tcPr>
            <w:tcW w:w="10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(348)</w:t>
            </w:r>
          </w:p>
        </w:tc>
        <w:tc>
          <w:tcPr>
            <w:tcW w:w="1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(257)</w:t>
            </w:r>
          </w:p>
        </w:tc>
      </w:tr>
      <w:tr>
        <w:trPr>
          <w:trHeight w:val="129"/>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Net cash flows provided by operating activities</w:t>
            </w:r>
          </w:p>
        </w:tc>
        <w:tc>
          <w:tcPr>
            <w:tcW w:w="10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6,254</w:t>
            </w:r>
          </w:p>
        </w:tc>
        <w:tc>
          <w:tcPr>
            <w:tcW w:w="1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5,569</w:t>
            </w:r>
          </w:p>
        </w:tc>
      </w:tr>
      <w:tr>
        <w:trPr>
          <w:trHeight w:val="102"/>
        </w:trPr>
        <w:tc>
          <w:tcPr>
            <w:tcW w:w="7540" w:type="dxa"/>
            <w:vAlign w:val="bottom"/>
          </w:tcPr>
          <w:p>
            <w:pPr>
              <w:spacing w:after="0" w:line="98" w:lineRule="exact"/>
              <w:rPr>
                <w:sz w:val="20"/>
                <w:szCs w:val="20"/>
                <w:color w:val="auto"/>
              </w:rPr>
            </w:pPr>
            <w:r>
              <w:rPr>
                <w:rFonts w:ascii="Times New Roman" w:cs="Times New Roman" w:eastAsia="Times New Roman" w:hAnsi="Times New Roman"/>
                <w:sz w:val="9"/>
                <w:szCs w:val="9"/>
                <w:b w:val="1"/>
                <w:bCs w:val="1"/>
                <w:color w:val="auto"/>
              </w:rPr>
              <w:t>Cash flows from investing activities</w:t>
            </w: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r>
      <w:tr>
        <w:trPr>
          <w:trHeight w:val="139"/>
        </w:trPr>
        <w:tc>
          <w:tcPr>
            <w:tcW w:w="7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Capital expenditures</w:t>
            </w: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(8,529)</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(7,097)</w:t>
            </w:r>
          </w:p>
        </w:tc>
      </w:tr>
      <w:tr>
        <w:trPr>
          <w:trHeight w:val="130"/>
        </w:trPr>
        <w:tc>
          <w:tcPr>
            <w:tcW w:w="7540" w:type="dxa"/>
            <w:vAlign w:val="bottom"/>
          </w:tcPr>
          <w:p>
            <w:pPr>
              <w:ind w:left="80"/>
              <w:spacing w:after="0"/>
              <w:rPr>
                <w:sz w:val="20"/>
                <w:szCs w:val="20"/>
                <w:color w:val="auto"/>
              </w:rPr>
            </w:pPr>
            <w:r>
              <w:rPr>
                <w:rFonts w:ascii="Times New Roman" w:cs="Times New Roman" w:eastAsia="Times New Roman" w:hAnsi="Times New Roman"/>
                <w:sz w:val="9"/>
                <w:szCs w:val="9"/>
                <w:color w:val="auto"/>
              </w:rPr>
              <w:t>Proceeds from sales of assets</w:t>
            </w:r>
          </w:p>
        </w:tc>
        <w:tc>
          <w:tcPr>
            <w:tcW w:w="10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w:t>
            </w:r>
          </w:p>
        </w:tc>
      </w:tr>
      <w:tr>
        <w:trPr>
          <w:trHeight w:val="135"/>
        </w:trPr>
        <w:tc>
          <w:tcPr>
            <w:tcW w:w="7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Other investing activities</w:t>
            </w:r>
          </w:p>
        </w:tc>
        <w:tc>
          <w:tcPr>
            <w:tcW w:w="10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w:t>
            </w:r>
          </w:p>
        </w:tc>
      </w:tr>
      <w:tr>
        <w:trPr>
          <w:trHeight w:val="124"/>
        </w:trPr>
        <w:tc>
          <w:tcPr>
            <w:tcW w:w="7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9"/>
                <w:szCs w:val="9"/>
                <w:color w:val="auto"/>
              </w:rPr>
              <w:t>Net cash flows used in investing activities</w:t>
            </w:r>
          </w:p>
        </w:tc>
        <w:tc>
          <w:tcPr>
            <w:tcW w:w="1060" w:type="dxa"/>
            <w:vAlign w:val="bottom"/>
            <w:tcBorders>
              <w:top w:val="single" w:sz="8" w:color="auto"/>
              <w:bottom w:val="single" w:sz="8" w:color="auto"/>
            </w:tcBorders>
          </w:tcPr>
          <w:p>
            <w:pPr>
              <w:spacing w:after="0"/>
              <w:rPr>
                <w:sz w:val="10"/>
                <w:szCs w:val="1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(8,525)</w:t>
            </w:r>
          </w:p>
        </w:tc>
        <w:tc>
          <w:tcPr>
            <w:tcW w:w="100" w:type="dxa"/>
            <w:vAlign w:val="bottom"/>
            <w:tcBorders>
              <w:bottom w:val="single" w:sz="8" w:color="CCEEFF"/>
            </w:tcBorders>
          </w:tcPr>
          <w:p>
            <w:pPr>
              <w:spacing w:after="0"/>
              <w:rPr>
                <w:sz w:val="10"/>
                <w:szCs w:val="10"/>
                <w:color w:val="auto"/>
              </w:rPr>
            </w:pPr>
          </w:p>
        </w:tc>
        <w:tc>
          <w:tcPr>
            <w:tcW w:w="760" w:type="dxa"/>
            <w:vAlign w:val="bottom"/>
            <w:tcBorders>
              <w:top w:val="single" w:sz="8" w:color="auto"/>
              <w:bottom w:val="single" w:sz="8" w:color="auto"/>
            </w:tcBorders>
          </w:tcPr>
          <w:p>
            <w:pPr>
              <w:spacing w:after="0"/>
              <w:rPr>
                <w:sz w:val="10"/>
                <w:szCs w:val="1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(7,042)</w:t>
            </w:r>
          </w:p>
        </w:tc>
      </w:tr>
      <w:tr>
        <w:trPr>
          <w:trHeight w:val="111"/>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Cash flows from financing activities</w:t>
            </w:r>
          </w:p>
        </w:tc>
        <w:tc>
          <w:tcPr>
            <w:tcW w:w="10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r>
      <w:tr>
        <w:trPr>
          <w:trHeight w:val="130"/>
        </w:trPr>
        <w:tc>
          <w:tcPr>
            <w:tcW w:w="7540" w:type="dxa"/>
            <w:vAlign w:val="bottom"/>
          </w:tcPr>
          <w:p>
            <w:pPr>
              <w:ind w:left="80"/>
              <w:spacing w:after="0"/>
              <w:rPr>
                <w:sz w:val="20"/>
                <w:szCs w:val="20"/>
                <w:color w:val="auto"/>
              </w:rPr>
            </w:pPr>
            <w:r>
              <w:rPr>
                <w:rFonts w:ascii="Times New Roman" w:cs="Times New Roman" w:eastAsia="Times New Roman" w:hAnsi="Times New Roman"/>
                <w:sz w:val="9"/>
                <w:szCs w:val="9"/>
                <w:color w:val="auto"/>
              </w:rPr>
              <w:t>Changes in short-term borrowings</w:t>
            </w:r>
          </w:p>
        </w:tc>
        <w:tc>
          <w:tcPr>
            <w:tcW w:w="10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(747)</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(265)</w:t>
            </w:r>
          </w:p>
        </w:tc>
      </w:tr>
      <w:tr>
        <w:trPr>
          <w:trHeight w:val="140"/>
        </w:trPr>
        <w:tc>
          <w:tcPr>
            <w:tcW w:w="7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Proceeds from short-term borrowings with maturities greater than 90 days</w:t>
            </w:r>
          </w:p>
        </w:tc>
        <w:tc>
          <w:tcPr>
            <w:tcW w:w="10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w:t>
            </w:r>
          </w:p>
        </w:tc>
      </w:tr>
      <w:tr>
        <w:trPr>
          <w:trHeight w:val="130"/>
        </w:trPr>
        <w:tc>
          <w:tcPr>
            <w:tcW w:w="7540" w:type="dxa"/>
            <w:vAlign w:val="bottom"/>
          </w:tcPr>
          <w:p>
            <w:pPr>
              <w:ind w:left="80"/>
              <w:spacing w:after="0"/>
              <w:rPr>
                <w:sz w:val="20"/>
                <w:szCs w:val="20"/>
                <w:color w:val="auto"/>
              </w:rPr>
            </w:pPr>
            <w:r>
              <w:rPr>
                <w:rFonts w:ascii="Times New Roman" w:cs="Times New Roman" w:eastAsia="Times New Roman" w:hAnsi="Times New Roman"/>
                <w:sz w:val="9"/>
                <w:szCs w:val="9"/>
                <w:color w:val="auto"/>
              </w:rPr>
              <w:t>Repayments on short-term borrowings with maturities greater than 90 days</w:t>
            </w:r>
          </w:p>
        </w:tc>
        <w:tc>
          <w:tcPr>
            <w:tcW w:w="10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(549)</w:t>
            </w:r>
          </w:p>
        </w:tc>
      </w:tr>
      <w:tr>
        <w:trPr>
          <w:trHeight w:val="140"/>
        </w:trPr>
        <w:tc>
          <w:tcPr>
            <w:tcW w:w="7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Issuance of long-term debt</w:t>
            </w: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6,075</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4,974</w:t>
            </w:r>
          </w:p>
        </w:tc>
      </w:tr>
      <w:tr>
        <w:trPr>
          <w:trHeight w:val="130"/>
        </w:trPr>
        <w:tc>
          <w:tcPr>
            <w:tcW w:w="7540" w:type="dxa"/>
            <w:vAlign w:val="bottom"/>
          </w:tcPr>
          <w:p>
            <w:pPr>
              <w:ind w:left="80"/>
              <w:spacing w:after="0"/>
              <w:rPr>
                <w:sz w:val="20"/>
                <w:szCs w:val="20"/>
                <w:color w:val="auto"/>
              </w:rPr>
            </w:pPr>
            <w:r>
              <w:rPr>
                <w:rFonts w:ascii="Times New Roman" w:cs="Times New Roman" w:eastAsia="Times New Roman" w:hAnsi="Times New Roman"/>
                <w:sz w:val="9"/>
                <w:szCs w:val="9"/>
                <w:color w:val="auto"/>
              </w:rPr>
              <w:t>Retirement of long-term debt</w:t>
            </w:r>
          </w:p>
        </w:tc>
        <w:tc>
          <w:tcPr>
            <w:tcW w:w="10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(1,311)</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(1,557)</w:t>
            </w:r>
          </w:p>
        </w:tc>
      </w:tr>
      <w:tr>
        <w:trPr>
          <w:trHeight w:val="140"/>
        </w:trPr>
        <w:tc>
          <w:tcPr>
            <w:tcW w:w="7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Issuance of common stock</w:t>
            </w: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691</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148</w:t>
            </w:r>
          </w:p>
        </w:tc>
      </w:tr>
      <w:tr>
        <w:trPr>
          <w:trHeight w:val="130"/>
        </w:trPr>
        <w:tc>
          <w:tcPr>
            <w:tcW w:w="7540" w:type="dxa"/>
            <w:vAlign w:val="bottom"/>
          </w:tcPr>
          <w:p>
            <w:pPr>
              <w:ind w:left="80"/>
              <w:spacing w:after="0"/>
              <w:rPr>
                <w:sz w:val="20"/>
                <w:szCs w:val="20"/>
                <w:color w:val="auto"/>
              </w:rPr>
            </w:pPr>
            <w:r>
              <w:rPr>
                <w:rFonts w:ascii="Times New Roman" w:cs="Times New Roman" w:eastAsia="Times New Roman" w:hAnsi="Times New Roman"/>
                <w:sz w:val="9"/>
                <w:szCs w:val="9"/>
                <w:color w:val="auto"/>
              </w:rPr>
              <w:t>Dividends paid on common stock</w:t>
            </w:r>
          </w:p>
        </w:tc>
        <w:tc>
          <w:tcPr>
            <w:tcW w:w="106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(1,617)</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(1,524)</w:t>
            </w:r>
          </w:p>
        </w:tc>
      </w:tr>
      <w:tr>
        <w:trPr>
          <w:trHeight w:val="140"/>
        </w:trPr>
        <w:tc>
          <w:tcPr>
            <w:tcW w:w="75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9"/>
                <w:szCs w:val="9"/>
                <w:color w:val="auto"/>
              </w:rPr>
              <w:t>Proceeds from employee stock plans</w:t>
            </w:r>
          </w:p>
        </w:tc>
        <w:tc>
          <w:tcPr>
            <w:tcW w:w="10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w:t>
            </w:r>
          </w:p>
        </w:tc>
      </w:tr>
      <w:tr>
        <w:trPr>
          <w:trHeight w:val="130"/>
        </w:trPr>
        <w:tc>
          <w:tcPr>
            <w:tcW w:w="75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9"/>
                <w:szCs w:val="9"/>
                <w:color w:val="auto"/>
              </w:rPr>
              <w:t>Other financing activities</w:t>
            </w:r>
          </w:p>
        </w:tc>
        <w:tc>
          <w:tcPr>
            <w:tcW w:w="10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(94)</w:t>
            </w:r>
          </w:p>
        </w:tc>
        <w:tc>
          <w:tcPr>
            <w:tcW w:w="100" w:type="dxa"/>
            <w:vAlign w:val="bottom"/>
            <w:tcBorders>
              <w:bottom w:val="single" w:sz="8" w:color="CCEEFF"/>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(109)</w:t>
            </w:r>
          </w:p>
        </w:tc>
      </w:tr>
      <w:tr>
        <w:trPr>
          <w:trHeight w:val="124"/>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color w:val="auto"/>
              </w:rPr>
              <w:t>Net cash flows provided by financing activities</w:t>
            </w:r>
          </w:p>
        </w:tc>
        <w:tc>
          <w:tcPr>
            <w:tcW w:w="106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2,533</w:t>
            </w:r>
          </w:p>
        </w:tc>
        <w:tc>
          <w:tcPr>
            <w:tcW w:w="100" w:type="dxa"/>
            <w:vAlign w:val="bottom"/>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1,311</w:t>
            </w:r>
          </w:p>
        </w:tc>
      </w:tr>
      <w:tr>
        <w:trPr>
          <w:trHeight w:val="124"/>
        </w:trPr>
        <w:tc>
          <w:tcPr>
            <w:tcW w:w="75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Increase (decrease) in cash, restricted cash, and cash equivalents</w:t>
            </w:r>
          </w:p>
        </w:tc>
        <w:tc>
          <w:tcPr>
            <w:tcW w:w="106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262</w:t>
            </w: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(162)</w:t>
            </w:r>
          </w:p>
        </w:tc>
      </w:tr>
      <w:tr>
        <w:trPr>
          <w:trHeight w:val="135"/>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9"/>
                <w:szCs w:val="9"/>
                <w:b w:val="1"/>
                <w:bCs w:val="1"/>
                <w:color w:val="auto"/>
              </w:rPr>
              <w:t>Cash, restricted cash, and cash equivalents at beginning of period</w:t>
            </w:r>
          </w:p>
        </w:tc>
        <w:tc>
          <w:tcPr>
            <w:tcW w:w="10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939</w:t>
            </w:r>
          </w:p>
        </w:tc>
        <w:tc>
          <w:tcPr>
            <w:tcW w:w="10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1,101</w:t>
            </w:r>
          </w:p>
        </w:tc>
      </w:tr>
      <w:tr>
        <w:trPr>
          <w:trHeight w:val="129"/>
        </w:trPr>
        <w:tc>
          <w:tcPr>
            <w:tcW w:w="7540" w:type="dxa"/>
            <w:vAlign w:val="bottom"/>
          </w:tcPr>
          <w:p>
            <w:pPr>
              <w:spacing w:after="0"/>
              <w:rPr>
                <w:sz w:val="20"/>
                <w:szCs w:val="20"/>
                <w:color w:val="auto"/>
              </w:rPr>
            </w:pPr>
            <w:r>
              <w:rPr>
                <w:rFonts w:ascii="Times New Roman" w:cs="Times New Roman" w:eastAsia="Times New Roman" w:hAnsi="Times New Roman"/>
                <w:sz w:val="9"/>
                <w:szCs w:val="9"/>
                <w:b w:val="1"/>
                <w:bCs w:val="1"/>
                <w:color w:val="auto"/>
              </w:rPr>
              <w:t>Cash, restricted cash, and cash equivalents at end of period</w:t>
            </w:r>
          </w:p>
        </w:tc>
        <w:tc>
          <w:tcPr>
            <w:tcW w:w="106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0"/>
                <w:szCs w:val="10"/>
                <w:color w:val="auto"/>
                <w:w w:val="7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1,201</w:t>
            </w:r>
          </w:p>
        </w:tc>
        <w:tc>
          <w:tcPr>
            <w:tcW w:w="100" w:type="dxa"/>
            <w:vAlign w:val="bottom"/>
          </w:tcPr>
          <w:p>
            <w:pPr>
              <w:spacing w:after="0"/>
              <w:rPr>
                <w:sz w:val="11"/>
                <w:szCs w:val="11"/>
                <w:color w:val="auto"/>
              </w:rPr>
            </w:pPr>
          </w:p>
        </w:tc>
        <w:tc>
          <w:tcPr>
            <w:tcW w:w="76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0"/>
                <w:szCs w:val="10"/>
                <w:color w:val="auto"/>
                <w:w w:val="7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939</w:t>
            </w:r>
          </w:p>
        </w:tc>
      </w:tr>
      <w:tr>
        <w:trPr>
          <w:trHeight w:val="20"/>
        </w:trPr>
        <w:tc>
          <w:tcPr>
            <w:tcW w:w="7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300"/>
          </w:cols>
          <w:pgMar w:left="300" w:top="129"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Exelon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Reconciliation of GAAP Net Income (Loss) to Adjusted (non-GAAP) Operating Earnings and Analysis of Earnings</w:t>
      </w:r>
    </w:p>
    <w:p>
      <w:pPr>
        <w:jc w:val="center"/>
        <w:spacing w:after="0"/>
        <w:rPr>
          <w:sz w:val="20"/>
          <w:szCs w:val="20"/>
          <w:color w:val="auto"/>
        </w:rPr>
      </w:pPr>
      <w:r>
        <w:rPr>
          <w:rFonts w:ascii="Times New Roman" w:cs="Times New Roman" w:eastAsia="Times New Roman" w:hAnsi="Times New Roman"/>
          <w:sz w:val="10"/>
          <w:szCs w:val="10"/>
          <w:color w:val="auto"/>
        </w:rPr>
        <w:t>Three Months Ended December 31, 2025 and 2024</w:t>
      </w:r>
    </w:p>
    <w:p>
      <w:pPr>
        <w:jc w:val="center"/>
        <w:spacing w:after="0"/>
        <w:rPr>
          <w:sz w:val="20"/>
          <w:szCs w:val="20"/>
          <w:color w:val="auto"/>
        </w:rPr>
      </w:pPr>
      <w:r>
        <w:rPr>
          <w:rFonts w:ascii="Times New Roman" w:cs="Times New Roman" w:eastAsia="Times New Roman" w:hAnsi="Times New Roman"/>
          <w:sz w:val="10"/>
          <w:szCs w:val="10"/>
          <w:color w:val="auto"/>
        </w:rPr>
        <w:t>(unaudited)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(in millions, except per share data)</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4700" w:type="dxa"/>
            <w:vAlign w:val="bottom"/>
          </w:tcPr>
          <w:p>
            <w:pPr>
              <w:spacing w:after="0"/>
              <w:rPr>
                <w:sz w:val="7"/>
                <w:szCs w:val="7"/>
                <w:color w:val="auto"/>
              </w:rPr>
            </w:pPr>
          </w:p>
        </w:tc>
        <w:tc>
          <w:tcPr>
            <w:tcW w:w="700" w:type="dxa"/>
            <w:vAlign w:val="bottom"/>
          </w:tcPr>
          <w:p>
            <w:pPr>
              <w:jc w:val="center"/>
              <w:ind w:left="199"/>
              <w:spacing w:after="0"/>
              <w:rPr>
                <w:sz w:val="20"/>
                <w:szCs w:val="20"/>
                <w:color w:val="auto"/>
              </w:rPr>
            </w:pPr>
            <w:r>
              <w:rPr>
                <w:rFonts w:ascii="Times New Roman" w:cs="Times New Roman" w:eastAsia="Times New Roman" w:hAnsi="Times New Roman"/>
                <w:sz w:val="8"/>
                <w:szCs w:val="8"/>
                <w:b w:val="1"/>
                <w:bCs w:val="1"/>
                <w:color w:val="auto"/>
                <w:w w:val="93"/>
              </w:rPr>
              <w:t>Exelon</w:t>
            </w: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4700" w:type="dxa"/>
            <w:vAlign w:val="bottom"/>
          </w:tcPr>
          <w:p>
            <w:pPr>
              <w:spacing w:after="0"/>
              <w:rPr>
                <w:sz w:val="8"/>
                <w:szCs w:val="8"/>
                <w:color w:val="auto"/>
              </w:rPr>
            </w:pPr>
          </w:p>
        </w:tc>
        <w:tc>
          <w:tcPr>
            <w:tcW w:w="700" w:type="dxa"/>
            <w:vAlign w:val="bottom"/>
          </w:tcPr>
          <w:p>
            <w:pPr>
              <w:jc w:val="center"/>
              <w:ind w:left="179"/>
              <w:spacing w:after="0"/>
              <w:rPr>
                <w:sz w:val="20"/>
                <w:szCs w:val="20"/>
                <w:color w:val="auto"/>
              </w:rPr>
            </w:pPr>
            <w:r>
              <w:rPr>
                <w:rFonts w:ascii="Times New Roman" w:cs="Times New Roman" w:eastAsia="Times New Roman" w:hAnsi="Times New Roman"/>
                <w:sz w:val="8"/>
                <w:szCs w:val="8"/>
                <w:b w:val="1"/>
                <w:bCs w:val="1"/>
                <w:color w:val="auto"/>
                <w:w w:val="98"/>
              </w:rPr>
              <w:t>Earnings per</w:t>
            </w: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4700" w:type="dxa"/>
            <w:vAlign w:val="bottom"/>
          </w:tcPr>
          <w:p>
            <w:pPr>
              <w:spacing w:after="0"/>
              <w:rPr>
                <w:sz w:val="7"/>
                <w:szCs w:val="7"/>
                <w:color w:val="auto"/>
              </w:rPr>
            </w:pPr>
          </w:p>
        </w:tc>
        <w:tc>
          <w:tcPr>
            <w:tcW w:w="700" w:type="dxa"/>
            <w:vAlign w:val="bottom"/>
          </w:tcPr>
          <w:p>
            <w:pPr>
              <w:jc w:val="center"/>
              <w:ind w:left="199"/>
              <w:spacing w:after="0" w:line="90" w:lineRule="exact"/>
              <w:rPr>
                <w:sz w:val="20"/>
                <w:szCs w:val="20"/>
                <w:color w:val="auto"/>
              </w:rPr>
            </w:pPr>
            <w:r>
              <w:rPr>
                <w:rFonts w:ascii="Times New Roman" w:cs="Times New Roman" w:eastAsia="Times New Roman" w:hAnsi="Times New Roman"/>
                <w:sz w:val="8"/>
                <w:szCs w:val="8"/>
                <w:b w:val="1"/>
                <w:bCs w:val="1"/>
                <w:color w:val="auto"/>
              </w:rPr>
              <w:t>Diluted</w:t>
            </w: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ComEd</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PECO</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BGE</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PHI</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8"/>
                <w:szCs w:val="8"/>
                <w:b w:val="1"/>
                <w:bCs w:val="1"/>
                <w:color w:val="auto"/>
              </w:rPr>
              <w:t>Other (a)</w:t>
            </w:r>
          </w:p>
        </w:tc>
        <w:tc>
          <w:tcPr>
            <w:tcW w:w="120" w:type="dxa"/>
            <w:vAlign w:val="bottom"/>
          </w:tcPr>
          <w:p>
            <w:pPr>
              <w:spacing w:after="0"/>
              <w:rPr>
                <w:sz w:val="7"/>
                <w:szCs w:val="7"/>
                <w:color w:val="auto"/>
              </w:rPr>
            </w:pPr>
          </w:p>
        </w:tc>
        <w:tc>
          <w:tcPr>
            <w:tcW w:w="480" w:type="dxa"/>
            <w:vAlign w:val="bottom"/>
            <w:vMerge w:val="restart"/>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Exelon</w:t>
            </w:r>
          </w:p>
        </w:tc>
        <w:tc>
          <w:tcPr>
            <w:tcW w:w="0" w:type="dxa"/>
            <w:vAlign w:val="bottom"/>
          </w:tcPr>
          <w:p>
            <w:pPr>
              <w:spacing w:after="0"/>
              <w:rPr>
                <w:sz w:val="1"/>
                <w:szCs w:val="1"/>
                <w:color w:val="auto"/>
              </w:rPr>
            </w:pPr>
          </w:p>
        </w:tc>
      </w:tr>
      <w:tr>
        <w:trPr>
          <w:trHeight w:val="103"/>
        </w:trPr>
        <w:tc>
          <w:tcPr>
            <w:tcW w:w="4700" w:type="dxa"/>
            <w:vAlign w:val="bottom"/>
          </w:tcPr>
          <w:p>
            <w:pPr>
              <w:spacing w:after="0"/>
              <w:rPr>
                <w:sz w:val="8"/>
                <w:szCs w:val="8"/>
                <w:color w:val="auto"/>
              </w:rPr>
            </w:pPr>
          </w:p>
        </w:tc>
        <w:tc>
          <w:tcPr>
            <w:tcW w:w="700" w:type="dxa"/>
            <w:vAlign w:val="bottom"/>
          </w:tcPr>
          <w:p>
            <w:pPr>
              <w:jc w:val="center"/>
              <w:ind w:left="199"/>
              <w:spacing w:after="0"/>
              <w:rPr>
                <w:sz w:val="20"/>
                <w:szCs w:val="20"/>
                <w:color w:val="auto"/>
              </w:rPr>
            </w:pPr>
            <w:r>
              <w:rPr>
                <w:rFonts w:ascii="Times New Roman" w:cs="Times New Roman" w:eastAsia="Times New Roman" w:hAnsi="Times New Roman"/>
                <w:sz w:val="8"/>
                <w:szCs w:val="8"/>
                <w:b w:val="1"/>
                <w:bCs w:val="1"/>
                <w:color w:val="auto"/>
                <w:w w:val="89"/>
              </w:rPr>
              <w:t>Share</w:t>
            </w: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4"/>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2024 GAAP net income (loss)</w:t>
            </w:r>
          </w:p>
        </w:tc>
        <w:tc>
          <w:tcPr>
            <w:tcW w:w="7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0.64</w:t>
            </w:r>
          </w:p>
        </w:tc>
        <w:tc>
          <w:tcPr>
            <w:tcW w:w="340" w:type="dxa"/>
            <w:vAlign w:val="bottom"/>
            <w:shd w:val="clear" w:color="auto" w:fill="CCEEFF"/>
          </w:tcPr>
          <w:p>
            <w:pPr>
              <w:spacing w:after="0"/>
              <w:rPr>
                <w:sz w:val="10"/>
                <w:szCs w:val="10"/>
                <w:color w:val="auto"/>
              </w:rPr>
            </w:pPr>
          </w:p>
        </w:tc>
        <w:tc>
          <w:tcPr>
            <w:tcW w:w="46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243</w:t>
            </w: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195</w:t>
            </w:r>
          </w:p>
        </w:tc>
        <w:tc>
          <w:tcPr>
            <w:tcW w:w="740" w:type="dxa"/>
            <w:vAlign w:val="bottom"/>
            <w:gridSpan w:val="2"/>
            <w:shd w:val="clear" w:color="auto" w:fill="CCEEFF"/>
          </w:tcPr>
          <w:p>
            <w:pPr>
              <w:jc w:val="right"/>
              <w:ind w:right="326"/>
              <w:spacing w:after="0"/>
              <w:rPr>
                <w:sz w:val="20"/>
                <w:szCs w:val="20"/>
                <w:color w:val="auto"/>
              </w:rPr>
            </w:pPr>
            <w:r>
              <w:rPr>
                <w:rFonts w:ascii="Times New Roman" w:cs="Times New Roman" w:eastAsia="Times New Roman" w:hAnsi="Times New Roman"/>
                <w:sz w:val="8"/>
                <w:szCs w:val="8"/>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175</w:t>
            </w: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138</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(104)</w:t>
            </w: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647</w:t>
            </w:r>
          </w:p>
        </w:tc>
        <w:tc>
          <w:tcPr>
            <w:tcW w:w="0" w:type="dxa"/>
            <w:vAlign w:val="bottom"/>
          </w:tcPr>
          <w:p>
            <w:pPr>
              <w:spacing w:after="0"/>
              <w:rPr>
                <w:sz w:val="1"/>
                <w:szCs w:val="1"/>
                <w:color w:val="auto"/>
              </w:rPr>
            </w:pPr>
          </w:p>
        </w:tc>
      </w:tr>
      <w:tr>
        <w:trPr>
          <w:trHeight w:val="129"/>
        </w:trPr>
        <w:tc>
          <w:tcPr>
            <w:tcW w:w="4700" w:type="dxa"/>
            <w:vAlign w:val="bottom"/>
          </w:tcPr>
          <w:p>
            <w:pPr>
              <w:ind w:left="220"/>
              <w:spacing w:after="0"/>
              <w:rPr>
                <w:sz w:val="20"/>
                <w:szCs w:val="20"/>
                <w:color w:val="auto"/>
              </w:rPr>
            </w:pPr>
            <w:r>
              <w:rPr>
                <w:rFonts w:ascii="Times New Roman" w:cs="Times New Roman" w:eastAsia="Times New Roman" w:hAnsi="Times New Roman"/>
                <w:sz w:val="8"/>
                <w:szCs w:val="8"/>
                <w:color w:val="auto"/>
              </w:rPr>
              <w:t>Asset retirement obligation (net of taxes of $3)</w:t>
            </w:r>
          </w:p>
        </w:tc>
        <w:tc>
          <w:tcPr>
            <w:tcW w:w="70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0.01</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w:t>
            </w:r>
          </w:p>
        </w:tc>
        <w:tc>
          <w:tcPr>
            <w:tcW w:w="0" w:type="dxa"/>
            <w:vAlign w:val="bottom"/>
          </w:tcPr>
          <w:p>
            <w:pPr>
              <w:spacing w:after="0"/>
              <w:rPr>
                <w:sz w:val="1"/>
                <w:szCs w:val="1"/>
                <w:color w:val="auto"/>
              </w:rPr>
            </w:pPr>
          </w:p>
        </w:tc>
      </w:tr>
      <w:tr>
        <w:trPr>
          <w:trHeight w:val="141"/>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Cost management charge (net of taxes of $0, $1, $1, respectively) (1)</w:t>
            </w:r>
          </w:p>
        </w:tc>
        <w:tc>
          <w:tcPr>
            <w:tcW w:w="7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3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0" w:type="dxa"/>
            <w:vAlign w:val="bottom"/>
          </w:tcPr>
          <w:p>
            <w:pPr>
              <w:spacing w:after="0"/>
              <w:rPr>
                <w:sz w:val="1"/>
                <w:szCs w:val="1"/>
                <w:color w:val="auto"/>
              </w:rPr>
            </w:pPr>
          </w:p>
        </w:tc>
      </w:tr>
      <w:tr>
        <w:trPr>
          <w:trHeight w:val="129"/>
        </w:trPr>
        <w:tc>
          <w:tcPr>
            <w:tcW w:w="4700" w:type="dxa"/>
            <w:vAlign w:val="bottom"/>
          </w:tcPr>
          <w:p>
            <w:pPr>
              <w:ind w:left="220"/>
              <w:spacing w:after="0"/>
              <w:rPr>
                <w:sz w:val="20"/>
                <w:szCs w:val="20"/>
                <w:color w:val="auto"/>
              </w:rPr>
            </w:pPr>
            <w:r>
              <w:rPr>
                <w:rFonts w:ascii="Times New Roman" w:cs="Times New Roman" w:eastAsia="Times New Roman" w:hAnsi="Times New Roman"/>
                <w:sz w:val="8"/>
                <w:szCs w:val="8"/>
                <w:color w:val="auto"/>
              </w:rPr>
              <w:t>Environmental costs (net of taxes of $5)</w:t>
            </w:r>
          </w:p>
        </w:tc>
        <w:tc>
          <w:tcPr>
            <w:tcW w:w="700" w:type="dxa"/>
            <w:vAlign w:val="bottom"/>
          </w:tcPr>
          <w:p>
            <w:pPr>
              <w:spacing w:after="0"/>
              <w:rPr>
                <w:sz w:val="11"/>
                <w:szCs w:val="1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(0.01)</w:t>
            </w: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w:t>
            </w:r>
          </w:p>
        </w:tc>
        <w:tc>
          <w:tcPr>
            <w:tcW w:w="0" w:type="dxa"/>
            <w:vAlign w:val="bottom"/>
          </w:tcPr>
          <w:p>
            <w:pPr>
              <w:spacing w:after="0"/>
              <w:rPr>
                <w:sz w:val="1"/>
                <w:szCs w:val="1"/>
                <w:color w:val="auto"/>
              </w:rPr>
            </w:pPr>
          </w:p>
        </w:tc>
      </w:tr>
      <w:tr>
        <w:trPr>
          <w:trHeight w:val="135"/>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Income tax-related adjustments (entire amount represents tax (expense) (2)</w:t>
            </w:r>
          </w:p>
        </w:tc>
        <w:tc>
          <w:tcPr>
            <w:tcW w:w="70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3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0" w:type="dxa"/>
            <w:vAlign w:val="bottom"/>
          </w:tcPr>
          <w:p>
            <w:pPr>
              <w:spacing w:after="0"/>
              <w:rPr>
                <w:sz w:val="1"/>
                <w:szCs w:val="1"/>
                <w:color w:val="auto"/>
              </w:rPr>
            </w:pPr>
          </w:p>
        </w:tc>
      </w:tr>
      <w:tr>
        <w:trPr>
          <w:trHeight w:val="191"/>
        </w:trPr>
        <w:tc>
          <w:tcPr>
            <w:tcW w:w="470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2024 Adjusted (non-GAAP) operating earnings (loss)</w:t>
            </w:r>
          </w:p>
        </w:tc>
        <w:tc>
          <w:tcPr>
            <w:tcW w:w="700" w:type="dxa"/>
            <w:vAlign w:val="bottom"/>
          </w:tcPr>
          <w:p>
            <w:pPr>
              <w:jc w:val="right"/>
              <w:ind w:right="599"/>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0.64</w:t>
            </w:r>
          </w:p>
        </w:tc>
        <w:tc>
          <w:tcPr>
            <w:tcW w:w="340" w:type="dxa"/>
            <w:vAlign w:val="bottom"/>
          </w:tcPr>
          <w:p>
            <w:pPr>
              <w:spacing w:after="0"/>
              <w:rPr>
                <w:sz w:val="16"/>
                <w:szCs w:val="16"/>
                <w:color w:val="auto"/>
              </w:rPr>
            </w:pPr>
          </w:p>
        </w:tc>
        <w:tc>
          <w:tcPr>
            <w:tcW w:w="460" w:type="dxa"/>
            <w:vAlign w:val="bottom"/>
          </w:tcPr>
          <w:p>
            <w:pPr>
              <w:jc w:val="right"/>
              <w:ind w:right="3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243</w:t>
            </w:r>
          </w:p>
        </w:tc>
        <w:tc>
          <w:tcPr>
            <w:tcW w:w="340" w:type="dxa"/>
            <w:vAlign w:val="bottom"/>
          </w:tcPr>
          <w:p>
            <w:pPr>
              <w:spacing w:after="0"/>
              <w:rPr>
                <w:sz w:val="16"/>
                <w:szCs w:val="16"/>
                <w:color w:val="auto"/>
              </w:rPr>
            </w:pPr>
          </w:p>
        </w:tc>
        <w:tc>
          <w:tcPr>
            <w:tcW w:w="420" w:type="dxa"/>
            <w:vAlign w:val="bottom"/>
          </w:tcPr>
          <w:p>
            <w:pPr>
              <w:jc w:val="right"/>
              <w:ind w:right="3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196</w:t>
            </w:r>
          </w:p>
        </w:tc>
        <w:tc>
          <w:tcPr>
            <w:tcW w:w="740" w:type="dxa"/>
            <w:vAlign w:val="bottom"/>
            <w:gridSpan w:val="2"/>
          </w:tcPr>
          <w:p>
            <w:pPr>
              <w:jc w:val="right"/>
              <w:ind w:right="326"/>
              <w:spacing w:after="0"/>
              <w:rPr>
                <w:sz w:val="20"/>
                <w:szCs w:val="20"/>
                <w:color w:val="auto"/>
              </w:rPr>
            </w:pPr>
            <w:r>
              <w:rPr>
                <w:rFonts w:ascii="Times New Roman" w:cs="Times New Roman" w:eastAsia="Times New Roman" w:hAnsi="Times New Roman"/>
                <w:sz w:val="8"/>
                <w:szCs w:val="8"/>
                <w:b w:val="1"/>
                <w:bCs w:val="1"/>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175</w:t>
            </w:r>
          </w:p>
        </w:tc>
        <w:tc>
          <w:tcPr>
            <w:tcW w:w="340" w:type="dxa"/>
            <w:vAlign w:val="bottom"/>
          </w:tcPr>
          <w:p>
            <w:pPr>
              <w:spacing w:after="0"/>
              <w:rPr>
                <w:sz w:val="16"/>
                <w:szCs w:val="16"/>
                <w:color w:val="auto"/>
              </w:rPr>
            </w:pPr>
          </w:p>
        </w:tc>
        <w:tc>
          <w:tcPr>
            <w:tcW w:w="420" w:type="dxa"/>
            <w:vAlign w:val="bottom"/>
          </w:tcPr>
          <w:p>
            <w:pPr>
              <w:jc w:val="right"/>
              <w:ind w:right="3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132</w:t>
            </w:r>
          </w:p>
        </w:tc>
        <w:tc>
          <w:tcPr>
            <w:tcW w:w="3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(104)</w:t>
            </w:r>
          </w:p>
        </w:tc>
        <w:tc>
          <w:tcPr>
            <w:tcW w:w="340" w:type="dxa"/>
            <w:vAlign w:val="bottom"/>
          </w:tcPr>
          <w:p>
            <w:pPr>
              <w:spacing w:after="0"/>
              <w:rPr>
                <w:sz w:val="16"/>
                <w:szCs w:val="16"/>
                <w:color w:val="auto"/>
              </w:rPr>
            </w:pP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rPr>
              <w:t>642</w:t>
            </w:r>
          </w:p>
        </w:tc>
        <w:tc>
          <w:tcPr>
            <w:tcW w:w="0" w:type="dxa"/>
            <w:vAlign w:val="bottom"/>
          </w:tcPr>
          <w:p>
            <w:pPr>
              <w:spacing w:after="0"/>
              <w:rPr>
                <w:sz w:val="1"/>
                <w:szCs w:val="1"/>
                <w:color w:val="auto"/>
              </w:rPr>
            </w:pPr>
          </w:p>
        </w:tc>
      </w:tr>
      <w:tr>
        <w:trPr>
          <w:trHeight w:val="113"/>
        </w:trPr>
        <w:tc>
          <w:tcPr>
            <w:tcW w:w="47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8"/>
                <w:szCs w:val="8"/>
                <w:b w:val="1"/>
                <w:bCs w:val="1"/>
                <w:color w:val="auto"/>
              </w:rPr>
              <w:t>Year over year effects on Adjusted (non-GAAP) operating earnings:</w:t>
            </w:r>
          </w:p>
        </w:tc>
        <w:tc>
          <w:tcPr>
            <w:tcW w:w="7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40" w:type="dxa"/>
            <w:vAlign w:val="bottom"/>
            <w:tcBorders>
              <w:top w:val="single" w:sz="8" w:color="CCEEFF"/>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40" w:type="dxa"/>
            <w:vAlign w:val="bottom"/>
            <w:tcBorders>
              <w:top w:val="single" w:sz="8" w:color="CCEEFF"/>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40" w:type="dxa"/>
            <w:vAlign w:val="bottom"/>
            <w:tcBorders>
              <w:top w:val="single" w:sz="8" w:color="CCEEFF"/>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40" w:type="dxa"/>
            <w:vAlign w:val="bottom"/>
            <w:tcBorders>
              <w:top w:val="single" w:sz="8" w:color="CCEEFF"/>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4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40" w:type="dxa"/>
            <w:vAlign w:val="bottom"/>
            <w:tcBorders>
              <w:top w:val="single" w:sz="8" w:color="CCEEFF"/>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Weather</w:t>
            </w:r>
          </w:p>
        </w:tc>
        <w:tc>
          <w:tcPr>
            <w:tcW w:w="700" w:type="dxa"/>
            <w:vAlign w:val="bottom"/>
            <w:tcBorders>
              <w:bottom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8"/>
                <w:szCs w:val="8"/>
                <w:color w:val="auto"/>
                <w:w w:val="98"/>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0.02</w:t>
            </w:r>
          </w:p>
        </w:tc>
        <w:tc>
          <w:tcPr>
            <w:tcW w:w="34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jc w:val="right"/>
              <w:ind w:right="358"/>
              <w:spacing w:after="0"/>
              <w:rPr>
                <w:sz w:val="20"/>
                <w:szCs w:val="20"/>
                <w:color w:val="auto"/>
              </w:rPr>
            </w:pPr>
            <w:r>
              <w:rPr>
                <w:rFonts w:ascii="Times New Roman" w:cs="Times New Roman" w:eastAsia="Times New Roman" w:hAnsi="Times New Roman"/>
                <w:sz w:val="8"/>
                <w:szCs w:val="8"/>
                <w:color w:val="auto"/>
                <w:w w:val="98"/>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(b)</w:t>
            </w:r>
          </w:p>
        </w:tc>
        <w:tc>
          <w:tcPr>
            <w:tcW w:w="420" w:type="dxa"/>
            <w:vAlign w:val="bottom"/>
            <w:tcBorders>
              <w:bottom w:val="single" w:sz="8" w:color="CCEEFF"/>
            </w:tcBorders>
            <w:shd w:val="clear" w:color="auto" w:fill="CCEEFF"/>
          </w:tcPr>
          <w:p>
            <w:pPr>
              <w:jc w:val="right"/>
              <w:ind w:right="318"/>
              <w:spacing w:after="0"/>
              <w:rPr>
                <w:sz w:val="20"/>
                <w:szCs w:val="20"/>
                <w:color w:val="auto"/>
              </w:rPr>
            </w:pPr>
            <w:r>
              <w:rPr>
                <w:rFonts w:ascii="Times New Roman" w:cs="Times New Roman" w:eastAsia="Times New Roman" w:hAnsi="Times New Roman"/>
                <w:sz w:val="8"/>
                <w:szCs w:val="8"/>
                <w:color w:val="auto"/>
                <w:w w:val="98"/>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w:t>
            </w:r>
          </w:p>
        </w:tc>
        <w:tc>
          <w:tcPr>
            <w:tcW w:w="740" w:type="dxa"/>
            <w:vAlign w:val="bottom"/>
            <w:tcBorders>
              <w:bottom w:val="single" w:sz="8" w:color="CCEEFF"/>
            </w:tcBorders>
            <w:gridSpan w:val="2"/>
            <w:shd w:val="clear" w:color="auto" w:fill="CCEEFF"/>
          </w:tcPr>
          <w:p>
            <w:pPr>
              <w:jc w:val="right"/>
              <w:ind w:right="326"/>
              <w:spacing w:after="0"/>
              <w:rPr>
                <w:sz w:val="20"/>
                <w:szCs w:val="20"/>
                <w:color w:val="auto"/>
              </w:rPr>
            </w:pPr>
            <w:r>
              <w:rPr>
                <w:rFonts w:ascii="Times New Roman" w:cs="Times New Roman" w:eastAsia="Times New Roman" w:hAnsi="Times New Roman"/>
                <w:sz w:val="8"/>
                <w:szCs w:val="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(b)</w:t>
            </w:r>
          </w:p>
        </w:tc>
        <w:tc>
          <w:tcPr>
            <w:tcW w:w="420" w:type="dxa"/>
            <w:vAlign w:val="bottom"/>
            <w:tcBorders>
              <w:bottom w:val="single" w:sz="8" w:color="CCEEFF"/>
            </w:tcBorders>
            <w:shd w:val="clear" w:color="auto" w:fill="CCEEFF"/>
          </w:tcPr>
          <w:p>
            <w:pPr>
              <w:jc w:val="right"/>
              <w:ind w:right="318"/>
              <w:spacing w:after="0"/>
              <w:rPr>
                <w:sz w:val="20"/>
                <w:szCs w:val="20"/>
                <w:color w:val="auto"/>
              </w:rPr>
            </w:pPr>
            <w:r>
              <w:rPr>
                <w:rFonts w:ascii="Times New Roman" w:cs="Times New Roman" w:eastAsia="Times New Roman" w:hAnsi="Times New Roman"/>
                <w:sz w:val="8"/>
                <w:szCs w:val="8"/>
                <w:color w:val="auto"/>
                <w:w w:val="98"/>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(b)</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w:t>
            </w:r>
          </w:p>
        </w:tc>
        <w:tc>
          <w:tcPr>
            <w:tcW w:w="0" w:type="dxa"/>
            <w:vAlign w:val="bottom"/>
          </w:tcPr>
          <w:p>
            <w:pPr>
              <w:spacing w:after="0"/>
              <w:rPr>
                <w:sz w:val="1"/>
                <w:szCs w:val="1"/>
                <w:color w:val="auto"/>
              </w:rPr>
            </w:pPr>
          </w:p>
        </w:tc>
      </w:tr>
      <w:tr>
        <w:trPr>
          <w:trHeight w:val="114"/>
        </w:trPr>
        <w:tc>
          <w:tcPr>
            <w:tcW w:w="4700" w:type="dxa"/>
            <w:vAlign w:val="bottom"/>
          </w:tcPr>
          <w:p>
            <w:pPr>
              <w:ind w:left="220"/>
              <w:spacing w:after="0"/>
              <w:rPr>
                <w:sz w:val="20"/>
                <w:szCs w:val="20"/>
                <w:color w:val="auto"/>
              </w:rPr>
            </w:pPr>
            <w:r>
              <w:rPr>
                <w:rFonts w:ascii="Times New Roman" w:cs="Times New Roman" w:eastAsia="Times New Roman" w:hAnsi="Times New Roman"/>
                <w:sz w:val="8"/>
                <w:szCs w:val="8"/>
                <w:color w:val="auto"/>
              </w:rPr>
              <w:t>Load</w:t>
            </w:r>
          </w:p>
        </w:tc>
        <w:tc>
          <w:tcPr>
            <w:tcW w:w="700" w:type="dxa"/>
            <w:vAlign w:val="bottom"/>
          </w:tcPr>
          <w:p>
            <w:pPr>
              <w:spacing w:after="0"/>
              <w:rPr>
                <w:sz w:val="9"/>
                <w:szCs w:val="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(0.01)</w:t>
            </w: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20"/>
                <w:szCs w:val="20"/>
                <w:color w:val="auto"/>
              </w:rPr>
            </w:pPr>
            <w:r>
              <w:rPr>
                <w:rFonts w:ascii="Times New Roman" w:cs="Times New Roman" w:eastAsia="Times New Roman" w:hAnsi="Times New Roman"/>
                <w:sz w:val="8"/>
                <w:szCs w:val="8"/>
                <w:color w:val="auto"/>
              </w:rPr>
              <w:t>(b)</w:t>
            </w:r>
          </w:p>
        </w:tc>
        <w:tc>
          <w:tcPr>
            <w:tcW w:w="420" w:type="dxa"/>
            <w:vAlign w:val="bottom"/>
          </w:tcPr>
          <w:p>
            <w:pPr>
              <w:spacing w:after="0"/>
              <w:rPr>
                <w:sz w:val="9"/>
                <w:szCs w:val="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w:t>
            </w: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(b)</w:t>
            </w:r>
          </w:p>
        </w:tc>
        <w:tc>
          <w:tcPr>
            <w:tcW w:w="420" w:type="dxa"/>
            <w:vAlign w:val="bottom"/>
          </w:tcPr>
          <w:p>
            <w:pPr>
              <w:spacing w:after="0"/>
              <w:rPr>
                <w:sz w:val="9"/>
                <w:szCs w:val="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(b)</w:t>
            </w:r>
          </w:p>
        </w:tc>
        <w:tc>
          <w:tcPr>
            <w:tcW w:w="100" w:type="dxa"/>
            <w:vAlign w:val="bottom"/>
          </w:tcPr>
          <w:p>
            <w:pPr>
              <w:spacing w:after="0"/>
              <w:rPr>
                <w:sz w:val="9"/>
                <w:szCs w:val="9"/>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Distribution and transmission rates (3)</w:t>
            </w:r>
          </w:p>
        </w:tc>
        <w:tc>
          <w:tcPr>
            <w:tcW w:w="7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0.11</w:t>
            </w:r>
          </w:p>
        </w:tc>
        <w:tc>
          <w:tcPr>
            <w:tcW w:w="34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w:t>
            </w: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color w:val="auto"/>
              </w:rPr>
              <w:t>(c)</w:t>
            </w:r>
          </w:p>
        </w:tc>
        <w:tc>
          <w:tcPr>
            <w:tcW w:w="4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64</w:t>
            </w:r>
          </w:p>
        </w:tc>
        <w:tc>
          <w:tcPr>
            <w:tcW w:w="740" w:type="dxa"/>
            <w:vAlign w:val="bottom"/>
            <w:tcBorders>
              <w:bottom w:val="single" w:sz="8" w:color="CCEEFF"/>
            </w:tcBorders>
            <w:gridSpan w:val="2"/>
            <w:shd w:val="clear" w:color="auto" w:fill="CCEEFF"/>
          </w:tcPr>
          <w:p>
            <w:pPr>
              <w:jc w:val="right"/>
              <w:ind w:right="606"/>
              <w:spacing w:after="0"/>
              <w:rPr>
                <w:sz w:val="20"/>
                <w:szCs w:val="20"/>
                <w:color w:val="auto"/>
              </w:rPr>
            </w:pPr>
            <w:r>
              <w:rPr>
                <w:rFonts w:ascii="Times New Roman" w:cs="Times New Roman" w:eastAsia="Times New Roman" w:hAnsi="Times New Roman"/>
                <w:sz w:val="8"/>
                <w:szCs w:val="8"/>
                <w:color w:val="auto"/>
                <w:w w:val="89"/>
              </w:rPr>
              <w:t>(c)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w:t>
            </w:r>
          </w:p>
        </w:tc>
        <w:tc>
          <w:tcPr>
            <w:tcW w:w="4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w:t>
            </w:r>
          </w:p>
        </w:tc>
        <w:tc>
          <w:tcPr>
            <w:tcW w:w="100" w:type="dxa"/>
            <w:vAlign w:val="bottom"/>
            <w:tcBorders>
              <w:bottom w:val="single" w:sz="8" w:color="CCEEFF"/>
            </w:tcBorders>
            <w:shd w:val="clear" w:color="auto" w:fill="CCEEFF"/>
          </w:tcPr>
          <w:p>
            <w:pPr>
              <w:spacing w:after="0"/>
              <w:rPr>
                <w:sz w:val="10"/>
                <w:szCs w:val="10"/>
                <w:color w:val="auto"/>
              </w:rPr>
            </w:pPr>
          </w:p>
        </w:tc>
        <w:tc>
          <w:tcPr>
            <w:tcW w:w="8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111</w:t>
            </w:r>
          </w:p>
        </w:tc>
        <w:tc>
          <w:tcPr>
            <w:tcW w:w="0" w:type="dxa"/>
            <w:vAlign w:val="bottom"/>
          </w:tcPr>
          <w:p>
            <w:pPr>
              <w:spacing w:after="0"/>
              <w:rPr>
                <w:sz w:val="1"/>
                <w:szCs w:val="1"/>
                <w:color w:val="auto"/>
              </w:rPr>
            </w:pPr>
          </w:p>
        </w:tc>
      </w:tr>
      <w:tr>
        <w:trPr>
          <w:trHeight w:val="114"/>
        </w:trPr>
        <w:tc>
          <w:tcPr>
            <w:tcW w:w="4700" w:type="dxa"/>
            <w:vAlign w:val="bottom"/>
          </w:tcPr>
          <w:p>
            <w:pPr>
              <w:ind w:left="220"/>
              <w:spacing w:after="0"/>
              <w:rPr>
                <w:sz w:val="20"/>
                <w:szCs w:val="20"/>
                <w:color w:val="auto"/>
              </w:rPr>
            </w:pPr>
            <w:r>
              <w:rPr>
                <w:rFonts w:ascii="Times New Roman" w:cs="Times New Roman" w:eastAsia="Times New Roman" w:hAnsi="Times New Roman"/>
                <w:sz w:val="8"/>
                <w:szCs w:val="8"/>
                <w:color w:val="auto"/>
              </w:rPr>
              <w:t>Other energy delivery (4)</w:t>
            </w:r>
          </w:p>
        </w:tc>
        <w:tc>
          <w:tcPr>
            <w:tcW w:w="700" w:type="dxa"/>
            <w:vAlign w:val="bottom"/>
          </w:tcPr>
          <w:p>
            <w:pPr>
              <w:spacing w:after="0"/>
              <w:rPr>
                <w:sz w:val="9"/>
                <w:szCs w:val="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0.03</w:t>
            </w: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w:t>
            </w:r>
          </w:p>
        </w:tc>
        <w:tc>
          <w:tcPr>
            <w:tcW w:w="340" w:type="dxa"/>
            <w:vAlign w:val="bottom"/>
          </w:tcPr>
          <w:p>
            <w:pPr>
              <w:spacing w:after="0"/>
              <w:rPr>
                <w:sz w:val="20"/>
                <w:szCs w:val="20"/>
                <w:color w:val="auto"/>
              </w:rPr>
            </w:pPr>
            <w:r>
              <w:rPr>
                <w:rFonts w:ascii="Times New Roman" w:cs="Times New Roman" w:eastAsia="Times New Roman" w:hAnsi="Times New Roman"/>
                <w:sz w:val="8"/>
                <w:szCs w:val="8"/>
                <w:color w:val="auto"/>
              </w:rPr>
              <w:t>(c)</w:t>
            </w:r>
          </w:p>
        </w:tc>
        <w:tc>
          <w:tcPr>
            <w:tcW w:w="420" w:type="dxa"/>
            <w:vAlign w:val="bottom"/>
          </w:tcPr>
          <w:p>
            <w:pPr>
              <w:spacing w:after="0"/>
              <w:rPr>
                <w:sz w:val="9"/>
                <w:szCs w:val="9"/>
                <w:color w:val="auto"/>
              </w:rPr>
            </w:pPr>
          </w:p>
        </w:tc>
        <w:tc>
          <w:tcPr>
            <w:tcW w:w="920" w:type="dxa"/>
            <w:vAlign w:val="bottom"/>
            <w:gridSpan w:val="3"/>
          </w:tcPr>
          <w:p>
            <w:pPr>
              <w:jc w:val="right"/>
              <w:ind w:right="606"/>
              <w:spacing w:after="0"/>
              <w:rPr>
                <w:sz w:val="20"/>
                <w:szCs w:val="20"/>
                <w:color w:val="auto"/>
              </w:rPr>
            </w:pPr>
            <w:r>
              <w:rPr>
                <w:rFonts w:ascii="Times New Roman" w:cs="Times New Roman" w:eastAsia="Times New Roman" w:hAnsi="Times New Roman"/>
                <w:sz w:val="8"/>
                <w:szCs w:val="8"/>
                <w:color w:val="auto"/>
              </w:rPr>
              <w:t>(3) (c)</w:t>
            </w: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(c)</w:t>
            </w:r>
          </w:p>
        </w:tc>
        <w:tc>
          <w:tcPr>
            <w:tcW w:w="420" w:type="dxa"/>
            <w:vAlign w:val="bottom"/>
          </w:tcPr>
          <w:p>
            <w:pPr>
              <w:spacing w:after="0"/>
              <w:rPr>
                <w:sz w:val="9"/>
                <w:szCs w:val="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w:t>
            </w:r>
          </w:p>
        </w:tc>
        <w:tc>
          <w:tcPr>
            <w:tcW w:w="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(c)</w:t>
            </w:r>
          </w:p>
        </w:tc>
        <w:tc>
          <w:tcPr>
            <w:tcW w:w="100" w:type="dxa"/>
            <w:vAlign w:val="bottom"/>
          </w:tcPr>
          <w:p>
            <w:pPr>
              <w:spacing w:after="0"/>
              <w:rPr>
                <w:sz w:val="9"/>
                <w:szCs w:val="9"/>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34</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Operating and maintenance expense (5)</w:t>
            </w:r>
          </w:p>
        </w:tc>
        <w:tc>
          <w:tcPr>
            <w:tcW w:w="7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(0.09)</w:t>
            </w:r>
          </w:p>
        </w:tc>
        <w:tc>
          <w:tcPr>
            <w:tcW w:w="34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w:t>
            </w:r>
          </w:p>
        </w:tc>
        <w:tc>
          <w:tcPr>
            <w:tcW w:w="34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(58)</w:t>
            </w:r>
          </w:p>
        </w:tc>
        <w:tc>
          <w:tcPr>
            <w:tcW w:w="34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34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18</w:t>
            </w:r>
          </w:p>
        </w:tc>
        <w:tc>
          <w:tcPr>
            <w:tcW w:w="3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(43)</w:t>
            </w:r>
          </w:p>
        </w:tc>
        <w:tc>
          <w:tcPr>
            <w:tcW w:w="3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(96)</w:t>
            </w:r>
          </w:p>
        </w:tc>
        <w:tc>
          <w:tcPr>
            <w:tcW w:w="0" w:type="dxa"/>
            <w:vAlign w:val="bottom"/>
          </w:tcPr>
          <w:p>
            <w:pPr>
              <w:spacing w:after="0"/>
              <w:rPr>
                <w:sz w:val="1"/>
                <w:szCs w:val="1"/>
                <w:color w:val="auto"/>
              </w:rPr>
            </w:pPr>
          </w:p>
        </w:tc>
      </w:tr>
      <w:tr>
        <w:trPr>
          <w:trHeight w:val="114"/>
        </w:trPr>
        <w:tc>
          <w:tcPr>
            <w:tcW w:w="4700" w:type="dxa"/>
            <w:vAlign w:val="bottom"/>
          </w:tcPr>
          <w:p>
            <w:pPr>
              <w:ind w:left="220"/>
              <w:spacing w:after="0"/>
              <w:rPr>
                <w:sz w:val="20"/>
                <w:szCs w:val="20"/>
                <w:color w:val="auto"/>
              </w:rPr>
            </w:pPr>
            <w:r>
              <w:rPr>
                <w:rFonts w:ascii="Times New Roman" w:cs="Times New Roman" w:eastAsia="Times New Roman" w:hAnsi="Times New Roman"/>
                <w:sz w:val="8"/>
                <w:szCs w:val="8"/>
                <w:color w:val="auto"/>
              </w:rPr>
              <w:t>Pension and non-pension postretirement benefits</w:t>
            </w:r>
          </w:p>
        </w:tc>
        <w:tc>
          <w:tcPr>
            <w:tcW w:w="700" w:type="dxa"/>
            <w:vAlign w:val="bottom"/>
          </w:tcPr>
          <w:p>
            <w:pPr>
              <w:spacing w:after="0"/>
              <w:rPr>
                <w:sz w:val="9"/>
                <w:szCs w:val="9"/>
                <w:color w:val="auto"/>
              </w:rPr>
            </w:pP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9"/>
                <w:szCs w:val="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Depreciation and amortization expense (6)</w:t>
            </w:r>
          </w:p>
        </w:tc>
        <w:tc>
          <w:tcPr>
            <w:tcW w:w="70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(0.01)</w:t>
            </w:r>
          </w:p>
        </w:tc>
        <w:tc>
          <w:tcPr>
            <w:tcW w:w="340" w:type="dxa"/>
            <w:vAlign w:val="bottom"/>
            <w:tcBorders>
              <w:bottom w:val="single" w:sz="8" w:color="CCEEFF"/>
            </w:tcBorders>
            <w:shd w:val="clear" w:color="auto" w:fill="CCEEFF"/>
          </w:tcPr>
          <w:p>
            <w:pPr>
              <w:spacing w:after="0"/>
              <w:rPr>
                <w:sz w:val="10"/>
                <w:szCs w:val="10"/>
                <w:color w:val="auto"/>
              </w:rPr>
            </w:pPr>
          </w:p>
        </w:tc>
        <w:tc>
          <w:tcPr>
            <w:tcW w:w="46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34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w:t>
            </w:r>
          </w:p>
        </w:tc>
        <w:tc>
          <w:tcPr>
            <w:tcW w:w="34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34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3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w:t>
            </w:r>
          </w:p>
        </w:tc>
        <w:tc>
          <w:tcPr>
            <w:tcW w:w="3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w:t>
            </w:r>
          </w:p>
        </w:tc>
        <w:tc>
          <w:tcPr>
            <w:tcW w:w="0" w:type="dxa"/>
            <w:vAlign w:val="bottom"/>
          </w:tcPr>
          <w:p>
            <w:pPr>
              <w:spacing w:after="0"/>
              <w:rPr>
                <w:sz w:val="1"/>
                <w:szCs w:val="1"/>
                <w:color w:val="auto"/>
              </w:rPr>
            </w:pPr>
          </w:p>
        </w:tc>
      </w:tr>
      <w:tr>
        <w:trPr>
          <w:trHeight w:val="114"/>
        </w:trPr>
        <w:tc>
          <w:tcPr>
            <w:tcW w:w="4700" w:type="dxa"/>
            <w:vAlign w:val="bottom"/>
          </w:tcPr>
          <w:p>
            <w:pPr>
              <w:ind w:left="220"/>
              <w:spacing w:after="0"/>
              <w:rPr>
                <w:sz w:val="20"/>
                <w:szCs w:val="20"/>
                <w:color w:val="auto"/>
              </w:rPr>
            </w:pPr>
            <w:r>
              <w:rPr>
                <w:rFonts w:ascii="Times New Roman" w:cs="Times New Roman" w:eastAsia="Times New Roman" w:hAnsi="Times New Roman"/>
                <w:sz w:val="8"/>
                <w:szCs w:val="8"/>
                <w:color w:val="auto"/>
              </w:rPr>
              <w:t>Interest expense and other (7)</w:t>
            </w:r>
          </w:p>
        </w:tc>
        <w:tc>
          <w:tcPr>
            <w:tcW w:w="700" w:type="dxa"/>
            <w:vAlign w:val="bottom"/>
          </w:tcPr>
          <w:p>
            <w:pPr>
              <w:spacing w:after="0"/>
              <w:rPr>
                <w:sz w:val="9"/>
                <w:szCs w:val="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(0.09)</w:t>
            </w: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w:t>
            </w: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(26)</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(91)</w:t>
            </w:r>
          </w:p>
        </w:tc>
        <w:tc>
          <w:tcPr>
            <w:tcW w:w="0" w:type="dxa"/>
            <w:vAlign w:val="bottom"/>
          </w:tcPr>
          <w:p>
            <w:pPr>
              <w:spacing w:after="0"/>
              <w:rPr>
                <w:sz w:val="1"/>
                <w:szCs w:val="1"/>
                <w:color w:val="auto"/>
              </w:rPr>
            </w:pPr>
          </w:p>
        </w:tc>
      </w:tr>
      <w:tr>
        <w:trPr>
          <w:trHeight w:val="21"/>
        </w:trPr>
        <w:tc>
          <w:tcPr>
            <w:tcW w:w="47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Total year over year effects on Adjusted (non-GAAP) operating earnings</w:t>
            </w:r>
          </w:p>
        </w:tc>
        <w:tc>
          <w:tcPr>
            <w:tcW w:w="7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(0.05)</w:t>
            </w:r>
          </w:p>
        </w:tc>
        <w:tc>
          <w:tcPr>
            <w:tcW w:w="34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9</w:t>
            </w: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(34)</w:t>
            </w:r>
          </w:p>
        </w:tc>
        <w:tc>
          <w:tcPr>
            <w:tcW w:w="740" w:type="dxa"/>
            <w:vAlign w:val="bottom"/>
            <w:gridSpan w:val="2"/>
            <w:shd w:val="clear" w:color="auto" w:fill="CCEEFF"/>
          </w:tcPr>
          <w:p>
            <w:pPr>
              <w:jc w:val="right"/>
              <w:ind w:right="326"/>
              <w:spacing w:after="0"/>
              <w:rPr>
                <w:sz w:val="20"/>
                <w:szCs w:val="20"/>
                <w:color w:val="auto"/>
              </w:rPr>
            </w:pPr>
            <w:r>
              <w:rPr>
                <w:rFonts w:ascii="Times New Roman" w:cs="Times New Roman" w:eastAsia="Times New Roman" w:hAnsi="Times New Roman"/>
                <w:sz w:val="8"/>
                <w:szCs w:val="8"/>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6</w:t>
            </w: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39</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(60)</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(40)</w:t>
            </w:r>
          </w:p>
        </w:tc>
        <w:tc>
          <w:tcPr>
            <w:tcW w:w="0" w:type="dxa"/>
            <w:vAlign w:val="bottom"/>
          </w:tcPr>
          <w:p>
            <w:pPr>
              <w:spacing w:after="0"/>
              <w:rPr>
                <w:sz w:val="1"/>
                <w:szCs w:val="1"/>
                <w:color w:val="auto"/>
              </w:rPr>
            </w:pPr>
          </w:p>
        </w:tc>
      </w:tr>
      <w:tr>
        <w:trPr>
          <w:trHeight w:val="45"/>
        </w:trPr>
        <w:tc>
          <w:tcPr>
            <w:tcW w:w="4700" w:type="dxa"/>
            <w:vAlign w:val="bottom"/>
            <w:tcBorders>
              <w:top w:val="single" w:sz="8" w:color="CCEEFF"/>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340" w:type="dxa"/>
            <w:vAlign w:val="bottom"/>
            <w:tcBorders>
              <w:top w:val="single" w:sz="8" w:color="CCEEFF"/>
            </w:tcBorders>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340" w:type="dxa"/>
            <w:vAlign w:val="bottom"/>
            <w:tcBorders>
              <w:top w:val="single" w:sz="8" w:color="CCEEFF"/>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340" w:type="dxa"/>
            <w:vAlign w:val="bottom"/>
            <w:tcBorders>
              <w:top w:val="single" w:sz="8" w:color="CCEEFF"/>
            </w:tcBorders>
          </w:tcPr>
          <w:p>
            <w:pPr>
              <w:spacing w:after="0"/>
              <w:rPr>
                <w:sz w:val="3"/>
                <w:szCs w:val="3"/>
                <w:color w:val="auto"/>
              </w:rPr>
            </w:pPr>
          </w:p>
        </w:tc>
        <w:tc>
          <w:tcPr>
            <w:tcW w:w="40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340" w:type="dxa"/>
            <w:vAlign w:val="bottom"/>
            <w:tcBorders>
              <w:top w:val="single" w:sz="8" w:color="CCEEFF"/>
            </w:tcBorders>
          </w:tcPr>
          <w:p>
            <w:pPr>
              <w:spacing w:after="0"/>
              <w:rPr>
                <w:sz w:val="3"/>
                <w:szCs w:val="3"/>
                <w:color w:val="auto"/>
              </w:rPr>
            </w:pPr>
          </w:p>
        </w:tc>
        <w:tc>
          <w:tcPr>
            <w:tcW w:w="42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340" w:type="dxa"/>
            <w:vAlign w:val="bottom"/>
            <w:tcBorders>
              <w:top w:val="single" w:sz="8" w:color="CCEEFF"/>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500" w:type="dxa"/>
            <w:vAlign w:val="bottom"/>
            <w:tcBorders>
              <w:top w:val="single" w:sz="8" w:color="auto"/>
            </w:tcBorders>
          </w:tcPr>
          <w:p>
            <w:pPr>
              <w:spacing w:after="0"/>
              <w:rPr>
                <w:sz w:val="3"/>
                <w:szCs w:val="3"/>
                <w:color w:val="auto"/>
              </w:rPr>
            </w:pPr>
          </w:p>
        </w:tc>
        <w:tc>
          <w:tcPr>
            <w:tcW w:w="340" w:type="dxa"/>
            <w:vAlign w:val="bottom"/>
            <w:tcBorders>
              <w:top w:val="single" w:sz="8" w:color="CCEEFF"/>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48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2025 GAAP net income (loss)</w:t>
            </w:r>
          </w:p>
        </w:tc>
        <w:tc>
          <w:tcPr>
            <w:tcW w:w="700" w:type="dxa"/>
            <w:vAlign w:val="bottom"/>
            <w:shd w:val="clear" w:color="auto" w:fill="CCEEFF"/>
          </w:tcPr>
          <w:p>
            <w:pPr>
              <w:jc w:val="right"/>
              <w:ind w:right="599"/>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0.58</w:t>
            </w:r>
          </w:p>
        </w:tc>
        <w:tc>
          <w:tcPr>
            <w:tcW w:w="3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244</w:t>
            </w: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162</w:t>
            </w:r>
          </w:p>
        </w:tc>
        <w:tc>
          <w:tcPr>
            <w:tcW w:w="740" w:type="dxa"/>
            <w:vAlign w:val="bottom"/>
            <w:gridSpan w:val="2"/>
            <w:shd w:val="clear" w:color="auto" w:fill="CCEEFF"/>
          </w:tcPr>
          <w:p>
            <w:pPr>
              <w:jc w:val="right"/>
              <w:ind w:right="326"/>
              <w:spacing w:after="0"/>
              <w:rPr>
                <w:sz w:val="20"/>
                <w:szCs w:val="20"/>
                <w:color w:val="auto"/>
              </w:rPr>
            </w:pPr>
            <w:r>
              <w:rPr>
                <w:rFonts w:ascii="Times New Roman" w:cs="Times New Roman" w:eastAsia="Times New Roman" w:hAnsi="Times New Roman"/>
                <w:sz w:val="8"/>
                <w:szCs w:val="8"/>
                <w:b w:val="1"/>
                <w:bCs w:val="1"/>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180</w:t>
            </w:r>
          </w:p>
        </w:tc>
        <w:tc>
          <w:tcPr>
            <w:tcW w:w="340" w:type="dxa"/>
            <w:vAlign w:val="bottom"/>
            <w:shd w:val="clear" w:color="auto" w:fill="CCEEFF"/>
          </w:tcPr>
          <w:p>
            <w:pPr>
              <w:spacing w:after="0"/>
              <w:rPr>
                <w:sz w:val="11"/>
                <w:szCs w:val="11"/>
                <w:color w:val="auto"/>
              </w:rPr>
            </w:pPr>
          </w:p>
        </w:tc>
        <w:tc>
          <w:tcPr>
            <w:tcW w:w="42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171</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(164)</w:t>
            </w: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593</w:t>
            </w:r>
          </w:p>
        </w:tc>
        <w:tc>
          <w:tcPr>
            <w:tcW w:w="0" w:type="dxa"/>
            <w:vAlign w:val="bottom"/>
          </w:tcPr>
          <w:p>
            <w:pPr>
              <w:spacing w:after="0"/>
              <w:rPr>
                <w:sz w:val="1"/>
                <w:szCs w:val="1"/>
                <w:color w:val="auto"/>
              </w:rPr>
            </w:pPr>
          </w:p>
        </w:tc>
      </w:tr>
      <w:tr>
        <w:trPr>
          <w:trHeight w:val="129"/>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8"/>
                <w:szCs w:val="8"/>
                <w:color w:val="auto"/>
              </w:rPr>
              <w:t>Regulatory matters (net of taxes of $3) (8)</w:t>
            </w:r>
          </w:p>
        </w:tc>
        <w:tc>
          <w:tcPr>
            <w:tcW w:w="7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0.01</w:t>
            </w:r>
          </w:p>
        </w:tc>
        <w:tc>
          <w:tcPr>
            <w:tcW w:w="34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8</w:t>
            </w:r>
          </w:p>
        </w:tc>
        <w:tc>
          <w:tcPr>
            <w:tcW w:w="34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color w:val="auto"/>
              </w:rPr>
              <w:t>8</w:t>
            </w:r>
          </w:p>
        </w:tc>
        <w:tc>
          <w:tcPr>
            <w:tcW w:w="0" w:type="dxa"/>
            <w:vAlign w:val="bottom"/>
          </w:tcPr>
          <w:p>
            <w:pPr>
              <w:spacing w:after="0"/>
              <w:rPr>
                <w:sz w:val="1"/>
                <w:szCs w:val="1"/>
                <w:color w:val="auto"/>
              </w:rPr>
            </w:pPr>
          </w:p>
        </w:tc>
      </w:tr>
      <w:tr>
        <w:trPr>
          <w:trHeight w:val="146"/>
        </w:trPr>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2025 Adjusted (non-GAAP) operating earnings (loss)</w:t>
            </w:r>
          </w:p>
        </w:tc>
        <w:tc>
          <w:tcPr>
            <w:tcW w:w="700" w:type="dxa"/>
            <w:vAlign w:val="bottom"/>
            <w:tcBorders>
              <w:bottom w:val="single" w:sz="8" w:color="auto"/>
            </w:tcBorders>
            <w:shd w:val="clear" w:color="auto" w:fill="CCEEFF"/>
          </w:tcPr>
          <w:p>
            <w:pPr>
              <w:jc w:val="right"/>
              <w:ind w:right="599"/>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0.59</w:t>
            </w:r>
          </w:p>
        </w:tc>
        <w:tc>
          <w:tcPr>
            <w:tcW w:w="34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5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252</w:t>
            </w:r>
          </w:p>
        </w:tc>
        <w:tc>
          <w:tcPr>
            <w:tcW w:w="3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3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162</w:t>
            </w:r>
          </w:p>
        </w:tc>
        <w:tc>
          <w:tcPr>
            <w:tcW w:w="34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326"/>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181</w:t>
            </w:r>
          </w:p>
        </w:tc>
        <w:tc>
          <w:tcPr>
            <w:tcW w:w="34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3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9"/>
              </w:rPr>
              <w:t>171</w:t>
            </w:r>
          </w:p>
        </w:tc>
        <w:tc>
          <w:tcPr>
            <w:tcW w:w="3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(164)</w:t>
            </w:r>
          </w:p>
        </w:tc>
        <w:tc>
          <w:tcPr>
            <w:tcW w:w="3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602</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Note: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Amounts may not sum due to rounding.</w:t>
      </w:r>
    </w:p>
    <w:p>
      <w:pPr>
        <w:spacing w:after="0" w:line="2"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0"/>
          <w:szCs w:val="10"/>
          <w:color w:val="auto"/>
        </w:rPr>
        <w:t>Unless otherwise noted, the income tax impact of each reconciling item between GAAP net income and Adjusted (non-GAAP) operating earnings is based on the marginal statutory federal and state income tax rates for each Registrant, taking into account whether the income or expense item is taxable or deductible, respectively, in whole or in part. For all items, the marginal statutory income tax rates for 2025 and 2024 ranged from 24.0% to 29.0%.</w:t>
      </w:r>
    </w:p>
    <w:p>
      <w:pPr>
        <w:spacing w:after="0" w:line="152" w:lineRule="exact"/>
        <w:rPr>
          <w:sz w:val="20"/>
          <w:szCs w:val="20"/>
          <w:color w:val="auto"/>
        </w:rPr>
      </w:pPr>
    </w:p>
    <w:p>
      <w:pPr>
        <w:ind w:left="360" w:hanging="206"/>
        <w:spacing w:after="0"/>
        <w:tabs>
          <w:tab w:leader="none" w:pos="360"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Other primarily includes eliminating and consolidating adjustments, Exelon’s corporate operations, shared service entities, and other financing and investment activities.</w:t>
      </w:r>
    </w:p>
    <w:p>
      <w:pPr>
        <w:spacing w:after="0" w:line="3" w:lineRule="exact"/>
        <w:rPr>
          <w:rFonts w:ascii="Times New Roman" w:cs="Times New Roman" w:eastAsia="Times New Roman" w:hAnsi="Times New Roman"/>
          <w:sz w:val="10"/>
          <w:szCs w:val="10"/>
          <w:color w:val="auto"/>
        </w:rPr>
      </w:pPr>
    </w:p>
    <w:p>
      <w:pPr>
        <w:ind w:left="360" w:hanging="206"/>
        <w:spacing w:after="0" w:line="236" w:lineRule="auto"/>
        <w:tabs>
          <w:tab w:leader="none" w:pos="360"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ComEd, BGE, Pepco, DPL Maryland, and ACE, customer rates are adjusted to eliminate the impacts of weather and customer usage on distribution volumes.</w:t>
      </w:r>
    </w:p>
    <w:p>
      <w:pPr>
        <w:ind w:left="360" w:hanging="206"/>
        <w:spacing w:after="0"/>
        <w:tabs>
          <w:tab w:leader="none" w:pos="360" w:val="left"/>
        </w:tabs>
        <w:numPr>
          <w:ilvl w:val="0"/>
          <w:numId w:val="9"/>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ComEd's distribution rate revenues increase or decrease as fully recoverable costs fluctuate. For regulatory recovery mechanisms across the utilities, including transmission formula rates and riders, revenues increase and decrease i) as fully recoverable costs fluctuate (with no impact</w:t>
      </w:r>
    </w:p>
    <w:p>
      <w:pPr>
        <w:spacing w:after="0" w:line="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0"/>
          <w:szCs w:val="10"/>
          <w:color w:val="auto"/>
        </w:rPr>
        <w:t>on net earnings), and ii) pursuant to changes in rate base, capital structure and ROE (which impact net earnings).</w:t>
      </w:r>
    </w:p>
    <w:p>
      <w:pPr>
        <w:spacing w:after="0" w:line="2" w:lineRule="exact"/>
        <w:rPr>
          <w:sz w:val="20"/>
          <w:szCs w:val="20"/>
          <w:color w:val="auto"/>
        </w:rPr>
      </w:pPr>
    </w:p>
    <w:p>
      <w:pPr>
        <w:ind w:left="360" w:hanging="206"/>
        <w:spacing w:after="0"/>
        <w:tabs>
          <w:tab w:leader="none" w:pos="360"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Primarily represents severance and reorganization costs related to cost management.</w:t>
      </w:r>
    </w:p>
    <w:p>
      <w:pPr>
        <w:spacing w:after="0" w:line="2" w:lineRule="exact"/>
        <w:rPr>
          <w:rFonts w:ascii="Times New Roman" w:cs="Times New Roman" w:eastAsia="Times New Roman" w:hAnsi="Times New Roman"/>
          <w:sz w:val="10"/>
          <w:szCs w:val="10"/>
          <w:color w:val="auto"/>
        </w:rPr>
      </w:pPr>
    </w:p>
    <w:p>
      <w:pPr>
        <w:ind w:left="360" w:hanging="206"/>
        <w:spacing w:after="0"/>
        <w:tabs>
          <w:tab w:leader="none" w:pos="360"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the adjustment to state deferred income taxes due to change in DPL's Delaware net operating loss valuation allowance.</w:t>
      </w:r>
    </w:p>
    <w:p>
      <w:pPr>
        <w:spacing w:after="0" w:line="2" w:lineRule="exact"/>
        <w:rPr>
          <w:rFonts w:ascii="Times New Roman" w:cs="Times New Roman" w:eastAsia="Times New Roman" w:hAnsi="Times New Roman"/>
          <w:sz w:val="10"/>
          <w:szCs w:val="10"/>
          <w:color w:val="auto"/>
        </w:rPr>
      </w:pPr>
    </w:p>
    <w:p>
      <w:pPr>
        <w:ind w:left="380" w:hanging="226"/>
        <w:spacing w:after="0" w:line="246" w:lineRule="auto"/>
        <w:tabs>
          <w:tab w:leader="none" w:pos="389" w:val="left"/>
        </w:tabs>
        <w:numPr>
          <w:ilvl w:val="0"/>
          <w:numId w:val="10"/>
        </w:numPr>
        <w:rPr>
          <w:rFonts w:ascii="Arial" w:cs="Arial" w:eastAsia="Arial" w:hAnsi="Arial"/>
          <w:sz w:val="10"/>
          <w:szCs w:val="10"/>
          <w:color w:val="auto"/>
        </w:rPr>
      </w:pPr>
      <w:r>
        <w:rPr>
          <w:rFonts w:ascii="Times New Roman" w:cs="Times New Roman" w:eastAsia="Times New Roman" w:hAnsi="Times New Roman"/>
          <w:sz w:val="10"/>
          <w:szCs w:val="10"/>
          <w:color w:val="auto"/>
        </w:rPr>
        <w:t>For ComEd, reflects increased distribution and transmission rate base. For PECO, reflects increased distribution revenue primarily due to electric and gas rates. For BGE, reflects increased distribution revenue due to rates. For PHI, reflects increased distribution and transmission revenue primarily due to rates.</w:t>
      </w:r>
    </w:p>
    <w:p>
      <w:pPr>
        <w:ind w:left="380" w:hanging="226"/>
        <w:spacing w:after="0" w:line="253" w:lineRule="auto"/>
        <w:tabs>
          <w:tab w:leader="none" w:pos="389" w:val="left"/>
        </w:tabs>
        <w:numPr>
          <w:ilvl w:val="0"/>
          <w:numId w:val="10"/>
        </w:numPr>
        <w:rPr>
          <w:rFonts w:ascii="Arial" w:cs="Arial" w:eastAsia="Arial" w:hAnsi="Arial"/>
          <w:sz w:val="10"/>
          <w:szCs w:val="10"/>
          <w:color w:val="auto"/>
        </w:rPr>
      </w:pPr>
      <w:r>
        <w:rPr>
          <w:rFonts w:ascii="Times New Roman" w:cs="Times New Roman" w:eastAsia="Times New Roman" w:hAnsi="Times New Roman"/>
          <w:sz w:val="10"/>
          <w:szCs w:val="10"/>
          <w:color w:val="auto"/>
        </w:rPr>
        <w:t>For ComEd, reflects an increase in electric distribution, energy efficiency, and transmission revenues due to increased fully recoverable costs and an increase in return on regulatory assets, partially offset by a decrease in electric distribution revenues due to timing of distribution earnings.</w:t>
      </w:r>
    </w:p>
    <w:p>
      <w:pPr>
        <w:ind w:left="380" w:hanging="226"/>
        <w:spacing w:after="0" w:line="242" w:lineRule="auto"/>
        <w:tabs>
          <w:tab w:leader="none" w:pos="389" w:val="left"/>
        </w:tabs>
        <w:numPr>
          <w:ilvl w:val="0"/>
          <w:numId w:val="10"/>
        </w:numPr>
        <w:rPr>
          <w:rFonts w:ascii="Arial" w:cs="Arial" w:eastAsia="Arial" w:hAnsi="Arial"/>
          <w:sz w:val="10"/>
          <w:szCs w:val="10"/>
          <w:color w:val="auto"/>
        </w:rPr>
      </w:pPr>
      <w:r>
        <w:rPr>
          <w:rFonts w:ascii="Times New Roman" w:cs="Times New Roman" w:eastAsia="Times New Roman" w:hAnsi="Times New Roman"/>
          <w:sz w:val="10"/>
          <w:szCs w:val="10"/>
          <w:color w:val="auto"/>
        </w:rPr>
        <w:t>Represents Operating and maintenance expense, excluding pension and non-pension postretirement benefits. For PECO, reflects the recognition of deferred storm regulatory asset in the fourth quarter of 2024 and contracting costs. For BGE, primarily reflects impacts from the multi-year plan reconciliation. For PHI, reflects the recognition of ACE's work stoppage regulatory asset. For Corporate, reflects charitable contributions and the Customer Relief Fund contribution.</w:t>
      </w:r>
    </w:p>
    <w:p>
      <w:pPr>
        <w:spacing w:after="0" w:line="1" w:lineRule="exact"/>
        <w:rPr>
          <w:rFonts w:ascii="Arial" w:cs="Arial" w:eastAsia="Arial" w:hAnsi="Arial"/>
          <w:sz w:val="10"/>
          <w:szCs w:val="10"/>
          <w:color w:val="auto"/>
        </w:rPr>
      </w:pPr>
    </w:p>
    <w:p>
      <w:pPr>
        <w:ind w:left="380" w:hanging="226"/>
        <w:spacing w:after="0"/>
        <w:tabs>
          <w:tab w:leader="none" w:pos="380" w:val="left"/>
        </w:tabs>
        <w:numPr>
          <w:ilvl w:val="0"/>
          <w:numId w:val="10"/>
        </w:numPr>
        <w:rPr>
          <w:rFonts w:ascii="Arial" w:cs="Arial" w:eastAsia="Arial" w:hAnsi="Arial"/>
          <w:sz w:val="10"/>
          <w:szCs w:val="10"/>
          <w:color w:val="auto"/>
        </w:rPr>
      </w:pPr>
      <w:r>
        <w:rPr>
          <w:rFonts w:ascii="Times New Roman" w:cs="Times New Roman" w:eastAsia="Times New Roman" w:hAnsi="Times New Roman"/>
          <w:sz w:val="10"/>
          <w:szCs w:val="10"/>
          <w:color w:val="auto"/>
        </w:rPr>
        <w:t>Across all utilities, reflects ongoing capital expenditures offset by regulatory asset amortization.</w:t>
      </w:r>
    </w:p>
    <w:p>
      <w:pPr>
        <w:spacing w:after="0" w:line="10" w:lineRule="exact"/>
        <w:rPr>
          <w:rFonts w:ascii="Arial" w:cs="Arial" w:eastAsia="Arial" w:hAnsi="Arial"/>
          <w:sz w:val="10"/>
          <w:szCs w:val="10"/>
          <w:color w:val="auto"/>
        </w:rPr>
      </w:pPr>
    </w:p>
    <w:p>
      <w:pPr>
        <w:ind w:left="380" w:right="20" w:hanging="226"/>
        <w:spacing w:after="0" w:line="250" w:lineRule="auto"/>
        <w:tabs>
          <w:tab w:leader="none" w:pos="389" w:val="left"/>
        </w:tabs>
        <w:numPr>
          <w:ilvl w:val="0"/>
          <w:numId w:val="10"/>
        </w:numPr>
        <w:rPr>
          <w:rFonts w:ascii="Arial" w:cs="Arial" w:eastAsia="Arial" w:hAnsi="Arial"/>
          <w:sz w:val="10"/>
          <w:szCs w:val="10"/>
          <w:color w:val="auto"/>
        </w:rPr>
      </w:pPr>
      <w:r>
        <w:rPr>
          <w:rFonts w:ascii="Times New Roman" w:cs="Times New Roman" w:eastAsia="Times New Roman" w:hAnsi="Times New Roman"/>
          <w:sz w:val="10"/>
          <w:szCs w:val="10"/>
          <w:color w:val="auto"/>
        </w:rPr>
        <w:t>For ComEd, reflects an increase in AFUDC, partially offset by an increase in interest expense. For PECO, primarily reflects an increase in income tax expense due to tax repairs, some of which is timing, and an increase in interest expense. For BGE and PHI, primarily reflects an increase in interest expense. For Corporate, primarily reflects an absence of a gain on open market repurchase of a portion of Exelon's Senior unsecured notes and an increase in interest expense, with a decrease in income tax expense due to timing.</w:t>
      </w:r>
    </w:p>
    <w:p>
      <w:pPr>
        <w:ind w:left="360" w:hanging="206"/>
        <w:spacing w:after="0"/>
        <w:tabs>
          <w:tab w:leader="none" w:pos="360"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the disallowance of certain capitalized costs.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300"/>
          </w:cols>
          <w:pgMar w:left="300" w:top="129" w:right="29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Exelon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Reconciliation of GAAP Net Income (Loss) to Adjusted (non-GAAP) Operating Earnings and Analysis of Earnings</w:t>
      </w:r>
    </w:p>
    <w:p>
      <w:pPr>
        <w:jc w:val="center"/>
        <w:spacing w:after="0"/>
        <w:rPr>
          <w:sz w:val="20"/>
          <w:szCs w:val="20"/>
          <w:color w:val="auto"/>
        </w:rPr>
      </w:pPr>
      <w:r>
        <w:rPr>
          <w:rFonts w:ascii="Times New Roman" w:cs="Times New Roman" w:eastAsia="Times New Roman" w:hAnsi="Times New Roman"/>
          <w:sz w:val="10"/>
          <w:szCs w:val="10"/>
          <w:color w:val="auto"/>
        </w:rPr>
        <w:t>Twelve Months Ended December 31, 2025 and 2024</w:t>
      </w:r>
    </w:p>
    <w:p>
      <w:pPr>
        <w:jc w:val="center"/>
        <w:spacing w:after="0"/>
        <w:rPr>
          <w:sz w:val="20"/>
          <w:szCs w:val="20"/>
          <w:color w:val="auto"/>
        </w:rPr>
      </w:pPr>
      <w:r>
        <w:rPr>
          <w:rFonts w:ascii="Times New Roman" w:cs="Times New Roman" w:eastAsia="Times New Roman" w:hAnsi="Times New Roman"/>
          <w:sz w:val="10"/>
          <w:szCs w:val="10"/>
          <w:color w:val="auto"/>
        </w:rPr>
        <w:t>(unaudited)</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(in millions, except per share data)</w:t>
      </w:r>
    </w:p>
    <w:p>
      <w:pPr>
        <w:spacing w:after="0" w:line="8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8"/>
          <w:szCs w:val="8"/>
          <w:b w:val="1"/>
          <w:bCs w:val="1"/>
          <w:color w:val="auto"/>
        </w:rPr>
        <w:t>Exelon</w:t>
      </w:r>
    </w:p>
    <w:p>
      <w:pPr>
        <w:ind w:left="5060"/>
        <w:spacing w:after="0" w:line="211" w:lineRule="auto"/>
        <w:rPr>
          <w:sz w:val="20"/>
          <w:szCs w:val="20"/>
          <w:color w:val="auto"/>
        </w:rPr>
      </w:pPr>
      <w:r>
        <w:rPr>
          <w:rFonts w:ascii="Times New Roman" w:cs="Times New Roman" w:eastAsia="Times New Roman" w:hAnsi="Times New Roman"/>
          <w:sz w:val="8"/>
          <w:szCs w:val="8"/>
          <w:b w:val="1"/>
          <w:bCs w:val="1"/>
          <w:color w:val="auto"/>
        </w:rPr>
        <w:t>Earnings</w:t>
      </w:r>
    </w:p>
    <w:p>
      <w:pPr>
        <w:ind w:left="5040"/>
        <w:spacing w:after="0" w:line="197" w:lineRule="auto"/>
        <w:rPr>
          <w:sz w:val="20"/>
          <w:szCs w:val="20"/>
          <w:color w:val="auto"/>
        </w:rPr>
      </w:pPr>
      <w:r>
        <w:rPr>
          <w:rFonts w:ascii="Times New Roman" w:cs="Times New Roman" w:eastAsia="Times New Roman" w:hAnsi="Times New Roman"/>
          <w:sz w:val="8"/>
          <w:szCs w:val="8"/>
          <w:b w:val="1"/>
          <w:bCs w:val="1"/>
          <w:color w:val="auto"/>
        </w:rPr>
        <w:t>per Diluted</w:t>
      </w:r>
    </w:p>
    <w:tbl>
      <w:tblPr>
        <w:tblLayout w:type="fixed"/>
        <w:tblInd w:w="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4780" w:type="dxa"/>
            <w:vAlign w:val="bottom"/>
          </w:tcPr>
          <w:p>
            <w:pPr>
              <w:spacing w:after="0"/>
              <w:rPr>
                <w:sz w:val="9"/>
                <w:szCs w:val="9"/>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8"/>
                <w:szCs w:val="8"/>
                <w:b w:val="1"/>
                <w:bCs w:val="1"/>
                <w:color w:val="auto"/>
              </w:rPr>
              <w:t>Share</w:t>
            </w: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ComEd</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ind w:right="118"/>
              <w:spacing w:after="0"/>
              <w:rPr>
                <w:sz w:val="20"/>
                <w:szCs w:val="20"/>
                <w:color w:val="auto"/>
              </w:rPr>
            </w:pPr>
            <w:r>
              <w:rPr>
                <w:rFonts w:ascii="Times New Roman" w:cs="Times New Roman" w:eastAsia="Times New Roman" w:hAnsi="Times New Roman"/>
                <w:sz w:val="8"/>
                <w:szCs w:val="8"/>
                <w:b w:val="1"/>
                <w:bCs w:val="1"/>
                <w:color w:val="auto"/>
              </w:rPr>
              <w:t>PECO</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ind w:right="158"/>
              <w:spacing w:after="0"/>
              <w:rPr>
                <w:sz w:val="20"/>
                <w:szCs w:val="20"/>
                <w:color w:val="auto"/>
              </w:rPr>
            </w:pPr>
            <w:r>
              <w:rPr>
                <w:rFonts w:ascii="Times New Roman" w:cs="Times New Roman" w:eastAsia="Times New Roman" w:hAnsi="Times New Roman"/>
                <w:sz w:val="8"/>
                <w:szCs w:val="8"/>
                <w:b w:val="1"/>
                <w:bCs w:val="1"/>
                <w:color w:val="auto"/>
              </w:rPr>
              <w:t>BGE</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ind w:right="178"/>
              <w:spacing w:after="0"/>
              <w:rPr>
                <w:sz w:val="20"/>
                <w:szCs w:val="20"/>
                <w:color w:val="auto"/>
              </w:rPr>
            </w:pPr>
            <w:r>
              <w:rPr>
                <w:rFonts w:ascii="Times New Roman" w:cs="Times New Roman" w:eastAsia="Times New Roman" w:hAnsi="Times New Roman"/>
                <w:sz w:val="8"/>
                <w:szCs w:val="8"/>
                <w:b w:val="1"/>
                <w:bCs w:val="1"/>
                <w:color w:val="auto"/>
              </w:rPr>
              <w:t>PHI</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8"/>
                <w:szCs w:val="8"/>
                <w:b w:val="1"/>
                <w:bCs w:val="1"/>
                <w:color w:val="auto"/>
              </w:rPr>
              <w:t>Other (a)</w:t>
            </w:r>
          </w:p>
        </w:tc>
        <w:tc>
          <w:tcPr>
            <w:tcW w:w="120" w:type="dxa"/>
            <w:vAlign w:val="bottom"/>
          </w:tcPr>
          <w:p>
            <w:pPr>
              <w:spacing w:after="0"/>
              <w:rPr>
                <w:sz w:val="9"/>
                <w:szCs w:val="9"/>
                <w:color w:val="auto"/>
              </w:rPr>
            </w:pPr>
          </w:p>
        </w:tc>
        <w:tc>
          <w:tcPr>
            <w:tcW w:w="520" w:type="dxa"/>
            <w:vAlign w:val="bottom"/>
          </w:tcPr>
          <w:p>
            <w:pPr>
              <w:jc w:val="right"/>
              <w:ind w:right="158"/>
              <w:spacing w:after="0"/>
              <w:rPr>
                <w:sz w:val="20"/>
                <w:szCs w:val="20"/>
                <w:color w:val="auto"/>
              </w:rPr>
            </w:pPr>
            <w:r>
              <w:rPr>
                <w:rFonts w:ascii="Times New Roman" w:cs="Times New Roman" w:eastAsia="Times New Roman" w:hAnsi="Times New Roman"/>
                <w:sz w:val="8"/>
                <w:szCs w:val="8"/>
                <w:b w:val="1"/>
                <w:bCs w:val="1"/>
                <w:color w:val="auto"/>
              </w:rPr>
              <w:t>Exelon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2024 GAAP net income (loss)</w:t>
            </w:r>
          </w:p>
        </w:tc>
        <w:tc>
          <w:tcPr>
            <w:tcW w:w="580" w:type="dxa"/>
            <w:vAlign w:val="bottom"/>
            <w:tcBorders>
              <w:top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2.45</w:t>
            </w:r>
          </w:p>
        </w:tc>
        <w:tc>
          <w:tcPr>
            <w:tcW w:w="3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1,066</w:t>
            </w:r>
          </w:p>
        </w:tc>
        <w:tc>
          <w:tcPr>
            <w:tcW w:w="3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551</w:t>
            </w:r>
          </w:p>
        </w:tc>
        <w:tc>
          <w:tcPr>
            <w:tcW w:w="3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527</w:t>
            </w:r>
          </w:p>
        </w:tc>
        <w:tc>
          <w:tcPr>
            <w:tcW w:w="3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741</w:t>
            </w:r>
          </w:p>
        </w:tc>
        <w:tc>
          <w:tcPr>
            <w:tcW w:w="3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(425)</w:t>
            </w:r>
          </w:p>
        </w:tc>
        <w:tc>
          <w:tcPr>
            <w:tcW w:w="3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2,460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80" w:type="dxa"/>
            <w:vAlign w:val="bottom"/>
          </w:tcPr>
          <w:p>
            <w:pPr>
              <w:ind w:left="220"/>
              <w:spacing w:after="0"/>
              <w:rPr>
                <w:sz w:val="20"/>
                <w:szCs w:val="20"/>
                <w:color w:val="auto"/>
              </w:rPr>
            </w:pPr>
            <w:r>
              <w:rPr>
                <w:rFonts w:ascii="Times New Roman" w:cs="Times New Roman" w:eastAsia="Times New Roman" w:hAnsi="Times New Roman"/>
                <w:sz w:val="8"/>
                <w:szCs w:val="8"/>
                <w:color w:val="auto"/>
              </w:rPr>
              <w:t>Asset retirement obligations (net of taxes of $3)</w:t>
            </w:r>
          </w:p>
        </w:tc>
        <w:tc>
          <w:tcPr>
            <w:tcW w:w="58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0.01</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Change in FERC audit liability (net of taxes of $13)</w:t>
            </w: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0.04</w:t>
            </w: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40</w:t>
            </w: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80" w:type="dxa"/>
            <w:vAlign w:val="bottom"/>
          </w:tcPr>
          <w:p>
            <w:pPr>
              <w:ind w:left="220"/>
              <w:spacing w:after="0"/>
              <w:rPr>
                <w:sz w:val="20"/>
                <w:szCs w:val="20"/>
                <w:color w:val="auto"/>
              </w:rPr>
            </w:pPr>
            <w:r>
              <w:rPr>
                <w:rFonts w:ascii="Times New Roman" w:cs="Times New Roman" w:eastAsia="Times New Roman" w:hAnsi="Times New Roman"/>
                <w:sz w:val="8"/>
                <w:szCs w:val="8"/>
                <w:color w:val="auto"/>
              </w:rPr>
              <w:t>Cost management charge (net of taxes of $2, $0, $2, $0, $4, respectively) (1)</w:t>
            </w:r>
          </w:p>
        </w:tc>
        <w:tc>
          <w:tcPr>
            <w:tcW w:w="58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0.01</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Environmental costs (net of taxes of $5)</w:t>
            </w: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(0.01)</w:t>
            </w: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80" w:type="dxa"/>
            <w:vAlign w:val="bottom"/>
          </w:tcPr>
          <w:p>
            <w:pPr>
              <w:ind w:left="220"/>
              <w:spacing w:after="0"/>
              <w:rPr>
                <w:sz w:val="20"/>
                <w:szCs w:val="20"/>
                <w:color w:val="auto"/>
              </w:rPr>
            </w:pPr>
            <w:r>
              <w:rPr>
                <w:rFonts w:ascii="Times New Roman" w:cs="Times New Roman" w:eastAsia="Times New Roman" w:hAnsi="Times New Roman"/>
                <w:sz w:val="8"/>
                <w:szCs w:val="8"/>
                <w:color w:val="auto"/>
              </w:rPr>
              <w:t>Income tax-related adjustments (entire amount represents tax expense) (2)</w:t>
            </w:r>
          </w:p>
        </w:tc>
        <w:tc>
          <w:tcPr>
            <w:tcW w:w="580" w:type="dxa"/>
            <w:vAlign w:val="bottom"/>
          </w:tcPr>
          <w:p>
            <w:pPr>
              <w:spacing w:after="0"/>
              <w:rPr>
                <w:sz w:val="9"/>
                <w:szCs w:val="9"/>
                <w:color w:val="auto"/>
              </w:rPr>
            </w:pP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2024 Adjusted (non-GAAP) operating earnings (loss)</w:t>
            </w:r>
          </w:p>
        </w:tc>
        <w:tc>
          <w:tcPr>
            <w:tcW w:w="580" w:type="dxa"/>
            <w:vAlign w:val="bottom"/>
            <w:tcBorders>
              <w:top w:val="single" w:sz="8" w:color="auto"/>
              <w:bottom w:val="single" w:sz="8" w:color="auto"/>
            </w:tcBorders>
            <w:shd w:val="clear" w:color="auto" w:fill="CCEEFF"/>
          </w:tcPr>
          <w:p>
            <w:pPr>
              <w:jc w:val="right"/>
              <w:ind w:right="51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2.50</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1,106</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556</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529</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739</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(423)</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rPr>
              <w:t>2,507</w:t>
            </w: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4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b w:val="1"/>
                <w:bCs w:val="1"/>
                <w:color w:val="auto"/>
              </w:rPr>
              <w:t>Year over year effects on Adjusted (non-GAAP) operating earnings:</w:t>
            </w: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80" w:type="dxa"/>
            <w:vAlign w:val="bottom"/>
          </w:tcPr>
          <w:p>
            <w:pPr>
              <w:ind w:left="220"/>
              <w:spacing w:after="0"/>
              <w:rPr>
                <w:sz w:val="20"/>
                <w:szCs w:val="20"/>
                <w:color w:val="auto"/>
              </w:rPr>
            </w:pPr>
            <w:r>
              <w:rPr>
                <w:rFonts w:ascii="Times New Roman" w:cs="Times New Roman" w:eastAsia="Times New Roman" w:hAnsi="Times New Roman"/>
                <w:sz w:val="8"/>
                <w:szCs w:val="8"/>
                <w:color w:val="auto"/>
              </w:rPr>
              <w:t>Weather</w:t>
            </w:r>
          </w:p>
        </w:tc>
        <w:tc>
          <w:tcPr>
            <w:tcW w:w="580" w:type="dxa"/>
            <w:vAlign w:val="bottom"/>
          </w:tcPr>
          <w:p>
            <w:pPr>
              <w:jc w:val="right"/>
              <w:ind w:right="512"/>
              <w:spacing w:after="0"/>
              <w:rPr>
                <w:sz w:val="20"/>
                <w:szCs w:val="20"/>
                <w:color w:val="auto"/>
              </w:rPr>
            </w:pPr>
            <w:r>
              <w:rPr>
                <w:rFonts w:ascii="Times New Roman" w:cs="Times New Roman" w:eastAsia="Times New Roman" w:hAnsi="Times New Roman"/>
                <w:sz w:val="5"/>
                <w:szCs w:val="5"/>
                <w:color w:val="auto"/>
                <w:w w:val="7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0.05</w:t>
            </w:r>
          </w:p>
        </w:tc>
        <w:tc>
          <w:tcPr>
            <w:tcW w:w="340" w:type="dxa"/>
            <w:vAlign w:val="bottom"/>
          </w:tcPr>
          <w:p>
            <w:pPr>
              <w:spacing w:after="0"/>
              <w:rPr>
                <w:sz w:val="9"/>
                <w:szCs w:val="9"/>
                <w:color w:val="auto"/>
              </w:rPr>
            </w:pP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(b)</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44</w:t>
            </w:r>
          </w:p>
        </w:tc>
        <w:tc>
          <w:tcPr>
            <w:tcW w:w="340" w:type="dxa"/>
            <w:vAlign w:val="bottom"/>
          </w:tcPr>
          <w:p>
            <w:pPr>
              <w:spacing w:after="0"/>
              <w:rPr>
                <w:sz w:val="9"/>
                <w:szCs w:val="9"/>
                <w:color w:val="auto"/>
              </w:rPr>
            </w:pP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(b)</w:t>
            </w:r>
          </w:p>
        </w:tc>
        <w:tc>
          <w:tcPr>
            <w:tcW w:w="14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9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w:t>
            </w:r>
          </w:p>
        </w:tc>
        <w:tc>
          <w:tcPr>
            <w:tcW w:w="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(b)</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Load</w:t>
            </w: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(0.02)</w:t>
            </w: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(b)</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(b)</w:t>
            </w: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(b)</w:t>
            </w: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80" w:type="dxa"/>
            <w:vAlign w:val="bottom"/>
          </w:tcPr>
          <w:p>
            <w:pPr>
              <w:ind w:left="220"/>
              <w:spacing w:after="0"/>
              <w:rPr>
                <w:sz w:val="20"/>
                <w:szCs w:val="20"/>
                <w:color w:val="auto"/>
              </w:rPr>
            </w:pPr>
            <w:r>
              <w:rPr>
                <w:rFonts w:ascii="Times New Roman" w:cs="Times New Roman" w:eastAsia="Times New Roman" w:hAnsi="Times New Roman"/>
                <w:sz w:val="8"/>
                <w:szCs w:val="8"/>
                <w:color w:val="auto"/>
              </w:rPr>
              <w:t>Distribution and transmission rates (3)</w:t>
            </w:r>
          </w:p>
        </w:tc>
        <w:tc>
          <w:tcPr>
            <w:tcW w:w="58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0.55</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50</w:t>
            </w:r>
          </w:p>
        </w:tc>
        <w:tc>
          <w:tcPr>
            <w:tcW w:w="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(c)</w:t>
            </w: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309</w:t>
            </w:r>
          </w:p>
        </w:tc>
        <w:tc>
          <w:tcPr>
            <w:tcW w:w="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(c)</w:t>
            </w:r>
          </w:p>
        </w:tc>
        <w:tc>
          <w:tcPr>
            <w:tcW w:w="1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65</w:t>
            </w:r>
          </w:p>
        </w:tc>
        <w:tc>
          <w:tcPr>
            <w:tcW w:w="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(c)</w:t>
            </w:r>
          </w:p>
        </w:tc>
        <w:tc>
          <w:tcPr>
            <w:tcW w:w="1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130</w:t>
            </w:r>
          </w:p>
        </w:tc>
        <w:tc>
          <w:tcPr>
            <w:tcW w:w="340" w:type="dxa"/>
            <w:vAlign w:val="bottom"/>
          </w:tcPr>
          <w:p>
            <w:pPr>
              <w:ind w:left="20"/>
              <w:spacing w:after="0"/>
              <w:rPr>
                <w:sz w:val="20"/>
                <w:szCs w:val="20"/>
                <w:color w:val="auto"/>
              </w:rPr>
            </w:pPr>
            <w:r>
              <w:rPr>
                <w:rFonts w:ascii="Times New Roman" w:cs="Times New Roman" w:eastAsia="Times New Roman" w:hAnsi="Times New Roman"/>
                <w:sz w:val="8"/>
                <w:szCs w:val="8"/>
                <w:color w:val="auto"/>
              </w:rPr>
              <w:t>(c)</w:t>
            </w:r>
          </w:p>
        </w:tc>
        <w:tc>
          <w:tcPr>
            <w:tcW w:w="100" w:type="dxa"/>
            <w:vAlign w:val="bottom"/>
          </w:tcPr>
          <w:p>
            <w:pPr>
              <w:spacing w:after="0"/>
              <w:rPr>
                <w:sz w:val="9"/>
                <w:szCs w:val="9"/>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Other energy delivery (4)</w:t>
            </w:r>
          </w:p>
        </w:tc>
        <w:tc>
          <w:tcPr>
            <w:tcW w:w="580" w:type="dxa"/>
            <w:vAlign w:val="bottom"/>
            <w:shd w:val="clear" w:color="auto" w:fill="CCEEFF"/>
          </w:tcPr>
          <w:p>
            <w:pPr>
              <w:spacing w:after="0"/>
              <w:rPr>
                <w:sz w:val="10"/>
                <w:szCs w:val="1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0.17</w:t>
            </w: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93</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w:t>
            </w: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w:t>
            </w: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54</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(c)</w:t>
            </w: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80" w:type="dxa"/>
            <w:vAlign w:val="bottom"/>
          </w:tcPr>
          <w:p>
            <w:pPr>
              <w:ind w:left="220"/>
              <w:spacing w:after="0"/>
              <w:rPr>
                <w:sz w:val="20"/>
                <w:szCs w:val="20"/>
                <w:color w:val="auto"/>
              </w:rPr>
            </w:pPr>
            <w:r>
              <w:rPr>
                <w:rFonts w:ascii="Times New Roman" w:cs="Times New Roman" w:eastAsia="Times New Roman" w:hAnsi="Times New Roman"/>
                <w:sz w:val="8"/>
                <w:szCs w:val="8"/>
                <w:color w:val="auto"/>
              </w:rPr>
              <w:t>Operating and maintenance expense (5)</w:t>
            </w:r>
          </w:p>
        </w:tc>
        <w:tc>
          <w:tcPr>
            <w:tcW w:w="58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(0.18)</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(59)</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(58)</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(62)</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Pension and non-pension postretirement benefits</w:t>
            </w:r>
          </w:p>
        </w:tc>
        <w:tc>
          <w:tcPr>
            <w:tcW w:w="5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80" w:type="dxa"/>
            <w:vAlign w:val="bottom"/>
          </w:tcPr>
          <w:p>
            <w:pPr>
              <w:ind w:left="220"/>
              <w:spacing w:after="0"/>
              <w:rPr>
                <w:sz w:val="20"/>
                <w:szCs w:val="20"/>
                <w:color w:val="auto"/>
              </w:rPr>
            </w:pPr>
            <w:r>
              <w:rPr>
                <w:rFonts w:ascii="Times New Roman" w:cs="Times New Roman" w:eastAsia="Times New Roman" w:hAnsi="Times New Roman"/>
                <w:sz w:val="8"/>
                <w:szCs w:val="8"/>
                <w:color w:val="auto"/>
              </w:rPr>
              <w:t>Depreciation and amortization expense (6)</w:t>
            </w:r>
          </w:p>
        </w:tc>
        <w:tc>
          <w:tcPr>
            <w:tcW w:w="58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(0.04)</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(20)</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Interest expense and other (7)</w:t>
            </w:r>
          </w:p>
        </w:tc>
        <w:tc>
          <w:tcPr>
            <w:tcW w:w="58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(0.24)</w:t>
            </w:r>
          </w:p>
        </w:tc>
        <w:tc>
          <w:tcPr>
            <w:tcW w:w="34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(24)</w:t>
            </w:r>
          </w:p>
        </w:tc>
        <w:tc>
          <w:tcPr>
            <w:tcW w:w="34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w:t>
            </w:r>
          </w:p>
        </w:tc>
        <w:tc>
          <w:tcPr>
            <w:tcW w:w="3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(27)</w:t>
            </w:r>
          </w:p>
        </w:tc>
        <w:tc>
          <w:tcPr>
            <w:tcW w:w="34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(85)</w:t>
            </w:r>
          </w:p>
        </w:tc>
        <w:tc>
          <w:tcPr>
            <w:tcW w:w="34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(92)</w:t>
            </w:r>
          </w:p>
        </w:tc>
        <w:tc>
          <w:tcPr>
            <w:tcW w:w="34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(238)</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4"/>
                <w:szCs w:val="14"/>
                <w:color w:val="auto"/>
              </w:rPr>
            </w:pPr>
          </w:p>
        </w:tc>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8"/>
                <w:szCs w:val="8"/>
                <w:b w:val="1"/>
                <w:bCs w:val="1"/>
                <w:color w:val="auto"/>
              </w:rPr>
              <w:t>Total year over year effects on Adjusted (non-GAAP) operating earnings</w:t>
            </w:r>
          </w:p>
        </w:tc>
        <w:tc>
          <w:tcPr>
            <w:tcW w:w="5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0.27</w:t>
            </w: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72</w:t>
            </w: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258</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49</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60</w:t>
            </w: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(145)</w:t>
            </w: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294</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7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8"/>
                <w:szCs w:val="8"/>
                <w:b w:val="1"/>
                <w:bCs w:val="1"/>
                <w:color w:val="auto"/>
              </w:rPr>
              <w:t>2025 GAAP net income (loss)</w:t>
            </w:r>
          </w:p>
        </w:tc>
        <w:tc>
          <w:tcPr>
            <w:tcW w:w="580" w:type="dxa"/>
            <w:vAlign w:val="bottom"/>
            <w:tcBorders>
              <w:top w:val="single" w:sz="8" w:color="CCEEFF"/>
            </w:tcBorders>
          </w:tcPr>
          <w:p>
            <w:pPr>
              <w:jc w:val="right"/>
              <w:ind w:right="51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2.73</w:t>
            </w:r>
          </w:p>
        </w:tc>
        <w:tc>
          <w:tcPr>
            <w:tcW w:w="34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1,147</w:t>
            </w:r>
          </w:p>
        </w:tc>
        <w:tc>
          <w:tcPr>
            <w:tcW w:w="34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814</w:t>
            </w:r>
          </w:p>
        </w:tc>
        <w:tc>
          <w:tcPr>
            <w:tcW w:w="34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578</w:t>
            </w:r>
          </w:p>
        </w:tc>
        <w:tc>
          <w:tcPr>
            <w:tcW w:w="340" w:type="dxa"/>
            <w:vAlign w:val="bottom"/>
            <w:tcBorders>
              <w:top w:val="single" w:sz="8" w:color="CCEEFF"/>
            </w:tcBorders>
          </w:tcPr>
          <w:p>
            <w:pPr>
              <w:spacing w:after="0"/>
              <w:rPr>
                <w:sz w:val="9"/>
                <w:szCs w:val="9"/>
                <w:color w:val="auto"/>
              </w:rPr>
            </w:pPr>
          </w:p>
        </w:tc>
        <w:tc>
          <w:tcPr>
            <w:tcW w:w="140" w:type="dxa"/>
            <w:vAlign w:val="bottom"/>
            <w:tcBorders>
              <w:top w:val="single" w:sz="8" w:color="CCEEFF"/>
            </w:tcBorders>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799</w:t>
            </w:r>
          </w:p>
        </w:tc>
        <w:tc>
          <w:tcPr>
            <w:tcW w:w="34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(570)</w:t>
            </w:r>
          </w:p>
        </w:tc>
        <w:tc>
          <w:tcPr>
            <w:tcW w:w="340" w:type="dxa"/>
            <w:vAlign w:val="bottom"/>
            <w:tcBorders>
              <w:top w:val="single" w:sz="8" w:color="CCEEFF"/>
            </w:tcBorders>
          </w:tcPr>
          <w:p>
            <w:pPr>
              <w:spacing w:after="0"/>
              <w:rPr>
                <w:sz w:val="9"/>
                <w:szCs w:val="9"/>
                <w:color w:val="auto"/>
              </w:rPr>
            </w:pPr>
          </w:p>
        </w:tc>
        <w:tc>
          <w:tcPr>
            <w:tcW w:w="120" w:type="dxa"/>
            <w:vAlign w:val="bottom"/>
            <w:tcBorders>
              <w:top w:val="single" w:sz="8" w:color="CCEEFF"/>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2,768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Asset retirement obligations (net of taxes of $0)</w:t>
            </w:r>
          </w:p>
        </w:tc>
        <w:tc>
          <w:tcPr>
            <w:tcW w:w="5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80" w:type="dxa"/>
            <w:vAlign w:val="bottom"/>
          </w:tcPr>
          <w:p>
            <w:pPr>
              <w:ind w:left="220"/>
              <w:spacing w:after="0"/>
              <w:rPr>
                <w:sz w:val="20"/>
                <w:szCs w:val="20"/>
                <w:color w:val="auto"/>
              </w:rPr>
            </w:pPr>
            <w:r>
              <w:rPr>
                <w:rFonts w:ascii="Times New Roman" w:cs="Times New Roman" w:eastAsia="Times New Roman" w:hAnsi="Times New Roman"/>
                <w:sz w:val="8"/>
                <w:szCs w:val="8"/>
                <w:color w:val="auto"/>
              </w:rPr>
              <w:t>Change in FERC audit liability (net of taxes of $1)</w:t>
            </w:r>
          </w:p>
        </w:tc>
        <w:tc>
          <w:tcPr>
            <w:tcW w:w="580" w:type="dxa"/>
            <w:vAlign w:val="bottom"/>
          </w:tcPr>
          <w:p>
            <w:pPr>
              <w:spacing w:after="0"/>
              <w:rPr>
                <w:sz w:val="9"/>
                <w:szCs w:val="9"/>
                <w:color w:val="auto"/>
              </w:rPr>
            </w:pPr>
          </w:p>
        </w:tc>
        <w:tc>
          <w:tcPr>
            <w:tcW w:w="62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Cost management charge (net of taxes of $0) (1)</w:t>
            </w:r>
          </w:p>
        </w:tc>
        <w:tc>
          <w:tcPr>
            <w:tcW w:w="5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80" w:type="dxa"/>
            <w:vAlign w:val="bottom"/>
          </w:tcPr>
          <w:p>
            <w:pPr>
              <w:ind w:left="220"/>
              <w:spacing w:after="0"/>
              <w:rPr>
                <w:sz w:val="20"/>
                <w:szCs w:val="20"/>
                <w:color w:val="auto"/>
              </w:rPr>
            </w:pPr>
            <w:r>
              <w:rPr>
                <w:rFonts w:ascii="Times New Roman" w:cs="Times New Roman" w:eastAsia="Times New Roman" w:hAnsi="Times New Roman"/>
                <w:sz w:val="8"/>
                <w:szCs w:val="8"/>
                <w:color w:val="auto"/>
              </w:rPr>
              <w:t>Regulatory matters (net of taxes $10) (8)</w:t>
            </w:r>
          </w:p>
        </w:tc>
        <w:tc>
          <w:tcPr>
            <w:tcW w:w="580" w:type="dxa"/>
            <w:vAlign w:val="bottom"/>
          </w:tcPr>
          <w:p>
            <w:pPr>
              <w:spacing w:after="0"/>
              <w:rPr>
                <w:sz w:val="9"/>
                <w:szCs w:val="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0.03</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29</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8"/>
                <w:szCs w:val="8"/>
                <w:color w:val="auto"/>
              </w:rPr>
              <w:t>Income tax-related adjustments (entire amount represents tax expense) (2)</w:t>
            </w:r>
          </w:p>
        </w:tc>
        <w:tc>
          <w:tcPr>
            <w:tcW w:w="580" w:type="dxa"/>
            <w:vAlign w:val="bottom"/>
            <w:shd w:val="clear" w:color="auto" w:fill="CCEEFF"/>
          </w:tcPr>
          <w:p>
            <w:pPr>
              <w:spacing w:after="0"/>
              <w:rPr>
                <w:sz w:val="10"/>
                <w:szCs w:val="10"/>
                <w:color w:val="auto"/>
              </w:rPr>
            </w:pPr>
          </w:p>
        </w:tc>
        <w:tc>
          <w:tcPr>
            <w:tcW w:w="6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8"/>
                <w:szCs w:val="8"/>
                <w:b w:val="1"/>
                <w:bCs w:val="1"/>
                <w:color w:val="auto"/>
              </w:rPr>
              <w:t>2025 Adjusted (non-GAAP) operating earnings (loss)</w:t>
            </w:r>
          </w:p>
        </w:tc>
        <w:tc>
          <w:tcPr>
            <w:tcW w:w="5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2.77</w:t>
            </w:r>
          </w:p>
        </w:tc>
        <w:tc>
          <w:tcPr>
            <w:tcW w:w="34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1,178</w:t>
            </w:r>
          </w:p>
        </w:tc>
        <w:tc>
          <w:tcPr>
            <w:tcW w:w="34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814</w:t>
            </w:r>
          </w:p>
        </w:tc>
        <w:tc>
          <w:tcPr>
            <w:tcW w:w="340" w:type="dxa"/>
            <w:vAlign w:val="bottom"/>
          </w:tcPr>
          <w:p>
            <w:pPr>
              <w:spacing w:after="0"/>
              <w:rPr>
                <w:sz w:val="9"/>
                <w:szCs w:val="9"/>
                <w:color w:val="auto"/>
              </w:rPr>
            </w:pPr>
          </w:p>
        </w:tc>
        <w:tc>
          <w:tcPr>
            <w:tcW w:w="1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578</w:t>
            </w:r>
          </w:p>
        </w:tc>
        <w:tc>
          <w:tcPr>
            <w:tcW w:w="340" w:type="dxa"/>
            <w:vAlign w:val="bottom"/>
          </w:tcPr>
          <w:p>
            <w:pPr>
              <w:spacing w:after="0"/>
              <w:rPr>
                <w:sz w:val="9"/>
                <w:szCs w:val="9"/>
                <w:color w:val="auto"/>
              </w:rPr>
            </w:pPr>
          </w:p>
        </w:tc>
        <w:tc>
          <w:tcPr>
            <w:tcW w:w="14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799</w:t>
            </w:r>
          </w:p>
        </w:tc>
        <w:tc>
          <w:tcPr>
            <w:tcW w:w="340" w:type="dxa"/>
            <w:vAlign w:val="bottom"/>
          </w:tcPr>
          <w:p>
            <w:pPr>
              <w:spacing w:after="0"/>
              <w:rPr>
                <w:sz w:val="9"/>
                <w:szCs w:val="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(568)</w:t>
            </w:r>
          </w:p>
        </w:tc>
        <w:tc>
          <w:tcPr>
            <w:tcW w:w="340" w:type="dxa"/>
            <w:vAlign w:val="bottom"/>
          </w:tcPr>
          <w:p>
            <w:pPr>
              <w:spacing w:after="0"/>
              <w:rPr>
                <w:sz w:val="9"/>
                <w:szCs w:val="9"/>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Times New Roman" w:cs="Times New Roman" w:eastAsia="Times New Roman" w:hAnsi="Times New Roman"/>
                <w:sz w:val="8"/>
                <w:szCs w:val="8"/>
                <w:b w:val="1"/>
                <w:bCs w:val="1"/>
                <w:color w:val="auto"/>
                <w:w w:val="9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8"/>
                <w:szCs w:val="8"/>
                <w:b w:val="1"/>
                <w:bCs w:val="1"/>
                <w:color w:val="auto"/>
              </w:rPr>
              <w:t>2,801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Note:</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Amounts may not sum due to rounding.</w:t>
      </w:r>
    </w:p>
    <w:p>
      <w:pPr>
        <w:spacing w:after="0" w:line="2" w:lineRule="exact"/>
        <w:rPr>
          <w:sz w:val="20"/>
          <w:szCs w:val="20"/>
          <w:color w:val="auto"/>
        </w:rPr>
      </w:pPr>
    </w:p>
    <w:p>
      <w:pPr>
        <w:ind w:left="20" w:right="20"/>
        <w:spacing w:after="0" w:line="248" w:lineRule="auto"/>
        <w:rPr>
          <w:sz w:val="20"/>
          <w:szCs w:val="20"/>
          <w:color w:val="auto"/>
        </w:rPr>
      </w:pPr>
      <w:r>
        <w:rPr>
          <w:rFonts w:ascii="Times New Roman" w:cs="Times New Roman" w:eastAsia="Times New Roman" w:hAnsi="Times New Roman"/>
          <w:sz w:val="10"/>
          <w:szCs w:val="10"/>
          <w:color w:val="auto"/>
        </w:rPr>
        <w:t>Unless otherwise noted, the income tax impact of each reconciling item between GAAP net income and Adjusted (non-GAAP) operating earnings is based on the marginal statutory federal and state income tax rates for each Registrant, taking into account whether the income or expense item is taxable or deductible, respectively, in whole or in part. For all items, the marginal statutory income tax rates for 2025 and 2024 ranged from 24.0% to 29.0%.</w:t>
      </w:r>
    </w:p>
    <w:p>
      <w:pPr>
        <w:spacing w:after="0" w:line="98" w:lineRule="exact"/>
        <w:rPr>
          <w:sz w:val="20"/>
          <w:szCs w:val="20"/>
          <w:color w:val="auto"/>
        </w:rPr>
      </w:pPr>
    </w:p>
    <w:p>
      <w:pPr>
        <w:ind w:left="380" w:hanging="206"/>
        <w:spacing w:after="0"/>
        <w:tabs>
          <w:tab w:leader="none" w:pos="380"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Other primarily includes eliminating and consolidating adjustments, Exelon’s corporate operations, shared service entities, and other financing and investment activities.</w:t>
      </w:r>
    </w:p>
    <w:p>
      <w:pPr>
        <w:spacing w:after="0" w:line="3" w:lineRule="exact"/>
        <w:rPr>
          <w:rFonts w:ascii="Times New Roman" w:cs="Times New Roman" w:eastAsia="Times New Roman" w:hAnsi="Times New Roman"/>
          <w:sz w:val="10"/>
          <w:szCs w:val="10"/>
          <w:color w:val="auto"/>
        </w:rPr>
      </w:pPr>
    </w:p>
    <w:p>
      <w:pPr>
        <w:ind w:left="380" w:hanging="206"/>
        <w:spacing w:after="0" w:line="236" w:lineRule="auto"/>
        <w:tabs>
          <w:tab w:leader="none" w:pos="380"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ComEd, BGE, Pepco, DPL Maryland, and ACE, customer rates are adjusted to eliminate the impacts of weather and customer usage on distribution volumes.</w:t>
      </w:r>
    </w:p>
    <w:p>
      <w:pPr>
        <w:ind w:left="400" w:right="20" w:hanging="226"/>
        <w:spacing w:after="0" w:line="244" w:lineRule="auto"/>
        <w:tabs>
          <w:tab w:leader="none" w:pos="398"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ComEd's distribution rate revenues increase or decrease as fully recoverable costs fluctuate. For regulatory recovery mechanisms across the utilities, including transmission formula rates and riders, revenues increase and decrease i) as fully recoverable costs fluctuate (with no impact on net earnings), and ii) pursuant to changes in rate base, capital structure and ROE (which impact net earnings).</w:t>
      </w:r>
    </w:p>
    <w:p>
      <w:pPr>
        <w:ind w:left="380" w:hanging="206"/>
        <w:spacing w:after="0"/>
        <w:tabs>
          <w:tab w:leader="none" w:pos="38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Primarily represents severance and reorganization costs related to cost management.</w:t>
      </w:r>
    </w:p>
    <w:p>
      <w:pPr>
        <w:spacing w:after="0" w:line="2" w:lineRule="exact"/>
        <w:rPr>
          <w:rFonts w:ascii="Times New Roman" w:cs="Times New Roman" w:eastAsia="Times New Roman" w:hAnsi="Times New Roman"/>
          <w:sz w:val="10"/>
          <w:szCs w:val="10"/>
          <w:color w:val="auto"/>
        </w:rPr>
      </w:pPr>
    </w:p>
    <w:p>
      <w:pPr>
        <w:ind w:left="380" w:hanging="206"/>
        <w:spacing w:after="0"/>
        <w:tabs>
          <w:tab w:leader="none" w:pos="38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2024, reflects the adjustment to state deferred income taxes due to change in DPL's Delaware net operating loss valuation allowance. In 2025, reflects the adjustment to state deferred income taxes due to changes in forecasted apportionment.</w:t>
      </w:r>
    </w:p>
    <w:p>
      <w:pPr>
        <w:spacing w:after="0" w:line="2" w:lineRule="exact"/>
        <w:rPr>
          <w:rFonts w:ascii="Times New Roman" w:cs="Times New Roman" w:eastAsia="Times New Roman" w:hAnsi="Times New Roman"/>
          <w:sz w:val="10"/>
          <w:szCs w:val="10"/>
          <w:color w:val="auto"/>
        </w:rPr>
      </w:pPr>
    </w:p>
    <w:p>
      <w:pPr>
        <w:ind w:left="400" w:right="240" w:hanging="226"/>
        <w:spacing w:after="0" w:line="246" w:lineRule="auto"/>
        <w:tabs>
          <w:tab w:leader="none" w:pos="409" w:val="left"/>
        </w:tabs>
        <w:numPr>
          <w:ilvl w:val="0"/>
          <w:numId w:val="12"/>
        </w:numPr>
        <w:rPr>
          <w:rFonts w:ascii="Arial" w:cs="Arial" w:eastAsia="Arial" w:hAnsi="Arial"/>
          <w:sz w:val="10"/>
          <w:szCs w:val="10"/>
          <w:color w:val="auto"/>
        </w:rPr>
      </w:pPr>
      <w:r>
        <w:rPr>
          <w:rFonts w:ascii="Times New Roman" w:cs="Times New Roman" w:eastAsia="Times New Roman" w:hAnsi="Times New Roman"/>
          <w:sz w:val="10"/>
          <w:szCs w:val="10"/>
          <w:color w:val="auto"/>
        </w:rPr>
        <w:t>For ComEd, reflects increased distribution and transmission rate base. For PECO, reflects increased distribution revenue primarily due to electric and gas rates. For BGE, reflects increased distribution revenue due to rates. For PHI, reflects increased distribution and transmission revenue due to rates.</w:t>
      </w:r>
    </w:p>
    <w:p>
      <w:pPr>
        <w:ind w:left="400" w:right="60" w:hanging="226"/>
        <w:spacing w:after="0" w:line="253" w:lineRule="auto"/>
        <w:tabs>
          <w:tab w:leader="none" w:pos="409" w:val="left"/>
        </w:tabs>
        <w:numPr>
          <w:ilvl w:val="0"/>
          <w:numId w:val="12"/>
        </w:numPr>
        <w:rPr>
          <w:rFonts w:ascii="Arial" w:cs="Arial" w:eastAsia="Arial" w:hAnsi="Arial"/>
          <w:sz w:val="10"/>
          <w:szCs w:val="10"/>
          <w:color w:val="auto"/>
        </w:rPr>
      </w:pPr>
      <w:r>
        <w:rPr>
          <w:rFonts w:ascii="Times New Roman" w:cs="Times New Roman" w:eastAsia="Times New Roman" w:hAnsi="Times New Roman"/>
          <w:sz w:val="10"/>
          <w:szCs w:val="10"/>
          <w:color w:val="auto"/>
        </w:rPr>
        <w:t>For ComEd, reflects an increase in electric distribution, energy efficiency, and transmission revenues due to increased fully recoverable costs and an increase in return on regulatory assets, partially offset by a decrease in transmission peak load. For PHI, reflects increased distribution and transmission revenues due to increased fully recoverable costs.</w:t>
      </w:r>
    </w:p>
    <w:p>
      <w:pPr>
        <w:jc w:val="both"/>
        <w:ind w:left="400" w:right="40" w:hanging="226"/>
        <w:spacing w:after="0" w:line="243" w:lineRule="auto"/>
        <w:tabs>
          <w:tab w:leader="none" w:pos="409" w:val="left"/>
        </w:tabs>
        <w:numPr>
          <w:ilvl w:val="0"/>
          <w:numId w:val="12"/>
        </w:numPr>
        <w:rPr>
          <w:rFonts w:ascii="Arial" w:cs="Arial" w:eastAsia="Arial" w:hAnsi="Arial"/>
          <w:sz w:val="10"/>
          <w:szCs w:val="10"/>
          <w:color w:val="auto"/>
        </w:rPr>
      </w:pPr>
      <w:r>
        <w:rPr>
          <w:rFonts w:ascii="Times New Roman" w:cs="Times New Roman" w:eastAsia="Times New Roman" w:hAnsi="Times New Roman"/>
          <w:sz w:val="10"/>
          <w:szCs w:val="10"/>
          <w:color w:val="auto"/>
        </w:rPr>
        <w:t>Represents Operating and maintenance expense, excluding pension and non-pension postretirement benefits. For PECO, reflects increased contracting costs. For BGE, reflects impacts of the multi-year plan reconciliation and decreased storm costs. For PHI, reflects the absence of the Maryland multi-year plan reconciliations and increased contracting costs, partially offset by the recognition of ACE's work stoppage regulatory asset. For Corporate, reflects charitable contributions and the Customer Relief Fund contribution, partially offset by a decrease in Operating and maintenance expense with an offsetting decrease in other income due to the expiration of the TSA with Constellation.</w:t>
      </w:r>
    </w:p>
    <w:p>
      <w:pPr>
        <w:spacing w:after="0" w:line="1" w:lineRule="exact"/>
        <w:rPr>
          <w:rFonts w:ascii="Arial" w:cs="Arial" w:eastAsia="Arial" w:hAnsi="Arial"/>
          <w:sz w:val="10"/>
          <w:szCs w:val="10"/>
          <w:color w:val="auto"/>
        </w:rPr>
      </w:pPr>
    </w:p>
    <w:p>
      <w:pPr>
        <w:ind w:left="400" w:hanging="226"/>
        <w:spacing w:after="0"/>
        <w:tabs>
          <w:tab w:leader="none" w:pos="400" w:val="left"/>
        </w:tabs>
        <w:numPr>
          <w:ilvl w:val="0"/>
          <w:numId w:val="12"/>
        </w:numPr>
        <w:rPr>
          <w:rFonts w:ascii="Arial" w:cs="Arial" w:eastAsia="Arial" w:hAnsi="Arial"/>
          <w:sz w:val="10"/>
          <w:szCs w:val="10"/>
          <w:color w:val="auto"/>
        </w:rPr>
      </w:pPr>
      <w:r>
        <w:rPr>
          <w:rFonts w:ascii="Times New Roman" w:cs="Times New Roman" w:eastAsia="Times New Roman" w:hAnsi="Times New Roman"/>
          <w:sz w:val="10"/>
          <w:szCs w:val="10"/>
          <w:color w:val="auto"/>
        </w:rPr>
        <w:t>Across all utilities, reflects ongoing capital expenditures offset by regulatory asset amortization.</w:t>
      </w:r>
    </w:p>
    <w:p>
      <w:pPr>
        <w:spacing w:after="0" w:line="10" w:lineRule="exact"/>
        <w:rPr>
          <w:rFonts w:ascii="Arial" w:cs="Arial" w:eastAsia="Arial" w:hAnsi="Arial"/>
          <w:sz w:val="10"/>
          <w:szCs w:val="10"/>
          <w:color w:val="auto"/>
        </w:rPr>
      </w:pPr>
    </w:p>
    <w:p>
      <w:pPr>
        <w:ind w:left="400" w:hanging="226"/>
        <w:spacing w:after="0" w:line="242" w:lineRule="auto"/>
        <w:tabs>
          <w:tab w:leader="none" w:pos="409" w:val="left"/>
        </w:tabs>
        <w:numPr>
          <w:ilvl w:val="0"/>
          <w:numId w:val="12"/>
        </w:numPr>
        <w:rPr>
          <w:rFonts w:ascii="Arial" w:cs="Arial" w:eastAsia="Arial" w:hAnsi="Arial"/>
          <w:sz w:val="10"/>
          <w:szCs w:val="10"/>
          <w:color w:val="auto"/>
        </w:rPr>
      </w:pPr>
      <w:r>
        <w:rPr>
          <w:rFonts w:ascii="Times New Roman" w:cs="Times New Roman" w:eastAsia="Times New Roman" w:hAnsi="Times New Roman"/>
          <w:sz w:val="10"/>
          <w:szCs w:val="10"/>
          <w:color w:val="auto"/>
        </w:rPr>
        <w:t>For ComEd, reflects an increase in interest expense offset by an increase in AFUDC. For PECO, primarily reflects a decrease in income tax expense due to tax repairs, offset by an increase in interest expense. For BGE, primarily reflects an increase in interest expense. For PHI, reflects an increase in interest expense and a decrease in AFUDC. For Corporate, reflects an absence of a gain on open market repurchase of a portion of Exelon's Senior unsecured notes, an increase in interest expense, an increase in income tax expense, and a decrease in other income with an offsetting decrease in Operating and maintenance expense due to the expiration of the TSA with Constellation.</w:t>
      </w:r>
    </w:p>
    <w:p>
      <w:pPr>
        <w:ind w:left="380" w:hanging="206"/>
        <w:spacing w:after="0"/>
        <w:tabs>
          <w:tab w:leader="none" w:pos="380" w:val="left"/>
        </w:tabs>
        <w:numPr>
          <w:ilvl w:val="0"/>
          <w:numId w:val="1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the disallowance of certain capitalized costs.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320"/>
          </w:cols>
          <w:pgMar w:left="280" w:top="129"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ComEd Statistics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u w:val="single" w:color="auto"/>
          <w:color w:val="auto"/>
        </w:rPr>
        <w:t>Three Months Ended December 31, 2025 and 2024</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0"/>
                <w:szCs w:val="10"/>
                <w:b w:val="1"/>
                <w:bCs w:val="1"/>
                <w:color w:val="auto"/>
              </w:rPr>
              <w:t>Electric Deliveries (in GWhs)</w:t>
            </w: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Revenue (in millions)</w:t>
            </w: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4320" w:type="dxa"/>
            <w:vAlign w:val="bottom"/>
            <w:gridSpan w:val="2"/>
            <w:vMerge w:val="restart"/>
          </w:tcPr>
          <w:p>
            <w:pPr>
              <w:ind w:left="4080"/>
              <w:spacing w:after="0"/>
              <w:rPr>
                <w:sz w:val="20"/>
                <w:szCs w:val="20"/>
                <w:color w:val="auto"/>
              </w:rPr>
            </w:pPr>
            <w:r>
              <w:rPr>
                <w:rFonts w:ascii="Times New Roman" w:cs="Times New Roman" w:eastAsia="Times New Roman" w:hAnsi="Times New Roman"/>
                <w:sz w:val="10"/>
                <w:szCs w:val="10"/>
                <w:b w:val="1"/>
                <w:bCs w:val="1"/>
                <w:color w:val="auto"/>
              </w:rPr>
              <w:t>2025</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7"/>
                <w:szCs w:val="7"/>
                <w:color w:val="auto"/>
              </w:rPr>
            </w:pPr>
          </w:p>
        </w:tc>
        <w:tc>
          <w:tcPr>
            <w:tcW w:w="11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060" w:type="dxa"/>
            <w:vAlign w:val="bottom"/>
          </w:tcPr>
          <w:p>
            <w:pPr>
              <w:jc w:val="right"/>
              <w:ind w:right="52"/>
              <w:spacing w:after="0" w:line="88" w:lineRule="exact"/>
              <w:rPr>
                <w:sz w:val="20"/>
                <w:szCs w:val="20"/>
                <w:color w:val="auto"/>
              </w:rPr>
            </w:pPr>
            <w:r>
              <w:rPr>
                <w:rFonts w:ascii="Times New Roman" w:cs="Times New Roman" w:eastAsia="Times New Roman" w:hAnsi="Times New Roman"/>
                <w:sz w:val="10"/>
                <w:szCs w:val="10"/>
                <w:b w:val="1"/>
                <w:bCs w:val="1"/>
                <w:color w:val="auto"/>
              </w:rPr>
              <w:t>Weather - Normal %</w:t>
            </w: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7"/>
                <w:szCs w:val="7"/>
                <w:color w:val="auto"/>
              </w:rPr>
            </w:pPr>
          </w:p>
        </w:tc>
        <w:tc>
          <w:tcPr>
            <w:tcW w:w="1060" w:type="dxa"/>
            <w:vAlign w:val="bottom"/>
            <w:vMerge w:val="restart"/>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30"/>
        </w:trPr>
        <w:tc>
          <w:tcPr>
            <w:tcW w:w="43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380" w:type="dxa"/>
            <w:vAlign w:val="bottom"/>
            <w:gridSpan w:val="3"/>
          </w:tcPr>
          <w:p>
            <w:pPr>
              <w:jc w:val="right"/>
              <w:ind w:right="632"/>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700" w:type="dxa"/>
            <w:vAlign w:val="bottom"/>
            <w:tcBorders>
              <w:top w:val="single" w:sz="8" w:color="CCEEFF"/>
            </w:tcBorders>
            <w:shd w:val="clear" w:color="auto" w:fill="CCEEFF"/>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Electric Deliveries and Revenues</w:t>
            </w:r>
            <w:r>
              <w:rPr>
                <w:rFonts w:ascii="Times New Roman" w:cs="Times New Roman" w:eastAsia="Times New Roman" w:hAnsi="Times New Roman"/>
                <w:sz w:val="12"/>
                <w:szCs w:val="12"/>
                <w:b w:val="1"/>
                <w:bCs w:val="1"/>
                <w:color w:val="auto"/>
                <w:vertAlign w:val="superscript"/>
              </w:rPr>
              <w:t>(a)</w:t>
            </w:r>
          </w:p>
        </w:tc>
        <w:tc>
          <w:tcPr>
            <w:tcW w:w="6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0"/>
                <w:szCs w:val="10"/>
                <w:color w:val="auto"/>
              </w:rPr>
              <w:t>Residential</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6,130</w:t>
            </w: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5,656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8.4 %</w:t>
            </w:r>
          </w:p>
        </w:tc>
        <w:tc>
          <w:tcPr>
            <w:tcW w:w="80" w:type="dxa"/>
            <w:vAlign w:val="bottom"/>
          </w:tcPr>
          <w:p>
            <w:pPr>
              <w:spacing w:after="0"/>
              <w:rPr>
                <w:sz w:val="11"/>
                <w:szCs w:val="11"/>
                <w:color w:val="auto"/>
              </w:rPr>
            </w:pPr>
          </w:p>
        </w:tc>
        <w:tc>
          <w:tcPr>
            <w:tcW w:w="1380" w:type="dxa"/>
            <w:vAlign w:val="bottom"/>
            <w:gridSpan w:val="3"/>
          </w:tcPr>
          <w:p>
            <w:pPr>
              <w:jc w:val="right"/>
              <w:ind w:right="112"/>
              <w:spacing w:after="0"/>
              <w:rPr>
                <w:sz w:val="20"/>
                <w:szCs w:val="20"/>
                <w:color w:val="auto"/>
              </w:rPr>
            </w:pPr>
            <w:r>
              <w:rPr>
                <w:rFonts w:ascii="Times New Roman" w:cs="Times New Roman" w:eastAsia="Times New Roman" w:hAnsi="Times New Roman"/>
                <w:sz w:val="10"/>
                <w:szCs w:val="10"/>
                <w:color w:val="auto"/>
              </w:rPr>
              <w:t>5.1 %   $</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750</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0" w:type="dxa"/>
            <w:vAlign w:val="bottom"/>
          </w:tcPr>
          <w:p>
            <w:pPr>
              <w:spacing w:after="0"/>
              <w:rPr>
                <w:sz w:val="1"/>
                <w:szCs w:val="1"/>
                <w:color w:val="auto"/>
              </w:rPr>
            </w:pPr>
          </w:p>
        </w:tc>
      </w:tr>
      <w:tr>
        <w:trPr>
          <w:trHeight w:val="141"/>
        </w:trPr>
        <w:tc>
          <w:tcPr>
            <w:tcW w:w="4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7,049</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6,780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4.0 %</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3.1 %</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(46.0)%</w:t>
            </w:r>
          </w:p>
        </w:tc>
        <w:tc>
          <w:tcPr>
            <w:tcW w:w="0" w:type="dxa"/>
            <w:vAlign w:val="bottom"/>
          </w:tcPr>
          <w:p>
            <w:pPr>
              <w:spacing w:after="0"/>
              <w:rPr>
                <w:sz w:val="1"/>
                <w:szCs w:val="1"/>
                <w:color w:val="auto"/>
              </w:rPr>
            </w:pPr>
          </w:p>
        </w:tc>
      </w:tr>
      <w:tr>
        <w:trPr>
          <w:trHeight w:val="135"/>
        </w:trPr>
        <w:tc>
          <w:tcPr>
            <w:tcW w:w="43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0"/>
                <w:szCs w:val="10"/>
                <w:color w:val="auto"/>
              </w:rPr>
              <w:t>Large commercial &amp; industrial</w:t>
            </w:r>
            <w:r>
              <w:rPr>
                <w:rFonts w:ascii="Times New Roman" w:cs="Times New Roman" w:eastAsia="Times New Roman" w:hAnsi="Times New Roman"/>
                <w:sz w:val="12"/>
                <w:szCs w:val="12"/>
                <w:color w:val="auto"/>
                <w:vertAlign w:val="superscript"/>
              </w:rPr>
              <w:t>(b)</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6,898</w:t>
            </w: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7,293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(5.3)%</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(135.6)%</w:t>
            </w:r>
          </w:p>
        </w:tc>
        <w:tc>
          <w:tcPr>
            <w:tcW w:w="0" w:type="dxa"/>
            <w:vAlign w:val="bottom"/>
          </w:tcPr>
          <w:p>
            <w:pPr>
              <w:spacing w:after="0"/>
              <w:rPr>
                <w:sz w:val="1"/>
                <w:szCs w:val="1"/>
                <w:color w:val="auto"/>
              </w:rPr>
            </w:pPr>
          </w:p>
        </w:tc>
      </w:tr>
      <w:tr>
        <w:trPr>
          <w:trHeight w:val="135"/>
        </w:trPr>
        <w:tc>
          <w:tcPr>
            <w:tcW w:w="4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236</w:t>
            </w: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1.3 %</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7.2 %</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(62.5)%</w:t>
            </w:r>
          </w:p>
        </w:tc>
        <w:tc>
          <w:tcPr>
            <w:tcW w:w="0" w:type="dxa"/>
            <w:vAlign w:val="bottom"/>
          </w:tcPr>
          <w:p>
            <w:pPr>
              <w:spacing w:after="0"/>
              <w:rPr>
                <w:sz w:val="1"/>
                <w:szCs w:val="1"/>
                <w:color w:val="auto"/>
              </w:rPr>
            </w:pPr>
          </w:p>
        </w:tc>
      </w:tr>
      <w:tr>
        <w:trPr>
          <w:trHeight w:val="135"/>
        </w:trPr>
        <w:tc>
          <w:tcPr>
            <w:tcW w:w="4320" w:type="dxa"/>
            <w:vAlign w:val="bottom"/>
            <w:gridSpan w:val="2"/>
          </w:tcPr>
          <w:p>
            <w:pPr>
              <w:ind w:left="240"/>
              <w:spacing w:after="0" w:line="135" w:lineRule="exact"/>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(c)</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40" w:type="dxa"/>
            <w:vAlign w:val="bottom"/>
            <w:gridSpan w:val="2"/>
          </w:tcPr>
          <w:p>
            <w:pPr>
              <w:ind w:left="940"/>
              <w:spacing w:after="0"/>
              <w:rPr>
                <w:sz w:val="20"/>
                <w:szCs w:val="20"/>
                <w:color w:val="auto"/>
              </w:rPr>
            </w:pPr>
            <w:r>
              <w:rPr>
                <w:rFonts w:ascii="Times New Roman" w:cs="Times New Roman" w:eastAsia="Times New Roman" w:hAnsi="Times New Roman"/>
                <w:sz w:val="10"/>
                <w:szCs w:val="10"/>
                <w:color w:val="auto"/>
              </w:rPr>
              <w:t>n/a</w:t>
            </w:r>
          </w:p>
        </w:tc>
        <w:tc>
          <w:tcPr>
            <w:tcW w:w="1380" w:type="dxa"/>
            <w:vAlign w:val="bottom"/>
            <w:gridSpan w:val="3"/>
          </w:tcPr>
          <w:p>
            <w:pPr>
              <w:jc w:val="right"/>
              <w:ind w:right="272"/>
              <w:spacing w:after="0"/>
              <w:rPr>
                <w:sz w:val="20"/>
                <w:szCs w:val="20"/>
                <w:color w:val="auto"/>
              </w:rPr>
            </w:pPr>
            <w:r>
              <w:rPr>
                <w:rFonts w:ascii="Times New Roman" w:cs="Times New Roman" w:eastAsia="Times New Roman" w:hAnsi="Times New Roman"/>
                <w:sz w:val="10"/>
                <w:szCs w:val="10"/>
                <w:color w:val="auto"/>
              </w:rPr>
              <w:t>n/a</w:t>
            </w:r>
          </w:p>
        </w:tc>
        <w:tc>
          <w:tcPr>
            <w:tcW w:w="7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(20.6)%</w:t>
            </w:r>
          </w:p>
        </w:tc>
        <w:tc>
          <w:tcPr>
            <w:tcW w:w="0" w:type="dxa"/>
            <w:vAlign w:val="bottom"/>
          </w:tcPr>
          <w:p>
            <w:pPr>
              <w:spacing w:after="0"/>
              <w:rPr>
                <w:sz w:val="1"/>
                <w:szCs w:val="1"/>
                <w:color w:val="auto"/>
              </w:rPr>
            </w:pPr>
          </w:p>
        </w:tc>
      </w:tr>
      <w:tr>
        <w:trPr>
          <w:trHeight w:val="124"/>
        </w:trPr>
        <w:tc>
          <w:tcPr>
            <w:tcW w:w="3700" w:type="dxa"/>
            <w:vAlign w:val="bottom"/>
            <w:tcBorders>
              <w:top w:val="single" w:sz="8" w:color="CCEEFF"/>
            </w:tcBorders>
            <w:shd w:val="clear" w:color="auto" w:fill="CCEEFF"/>
          </w:tcPr>
          <w:p>
            <w:pPr>
              <w:ind w:left="460"/>
              <w:spacing w:after="0" w:line="124" w:lineRule="exact"/>
              <w:rPr>
                <w:sz w:val="20"/>
                <w:szCs w:val="20"/>
                <w:color w:val="auto"/>
              </w:rPr>
            </w:pPr>
            <w:r>
              <w:rPr>
                <w:rFonts w:ascii="Times New Roman" w:cs="Times New Roman" w:eastAsia="Times New Roman" w:hAnsi="Times New Roman"/>
                <w:sz w:val="10"/>
                <w:szCs w:val="10"/>
                <w:color w:val="auto"/>
              </w:rPr>
              <w:t>Total electric revenues</w:t>
            </w:r>
            <w:r>
              <w:rPr>
                <w:rFonts w:ascii="Times New Roman" w:cs="Times New Roman" w:eastAsia="Times New Roman" w:hAnsi="Times New Roman"/>
                <w:sz w:val="12"/>
                <w:szCs w:val="12"/>
                <w:color w:val="auto"/>
                <w:vertAlign w:val="superscript"/>
              </w:rPr>
              <w:t>(d)</w:t>
            </w:r>
          </w:p>
        </w:tc>
        <w:tc>
          <w:tcPr>
            <w:tcW w:w="620" w:type="dxa"/>
            <w:vAlign w:val="bottom"/>
            <w:tcBorders>
              <w:top w:val="single" w:sz="8" w:color="auto"/>
              <w:bottom w:val="single" w:sz="8" w:color="auto"/>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20,313</w:t>
            </w:r>
          </w:p>
        </w:tc>
        <w:tc>
          <w:tcPr>
            <w:tcW w:w="1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19,962</w:t>
            </w:r>
          </w:p>
        </w:tc>
        <w:tc>
          <w:tcPr>
            <w:tcW w:w="1140" w:type="dxa"/>
            <w:vAlign w:val="bottom"/>
            <w:tcBorders>
              <w:top w:val="single" w:sz="8" w:color="CCEEFF"/>
            </w:tcBorders>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1.8 %</w:t>
            </w:r>
          </w:p>
        </w:tc>
        <w:tc>
          <w:tcPr>
            <w:tcW w:w="8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0.7 %</w:t>
            </w:r>
          </w:p>
        </w:tc>
        <w:tc>
          <w:tcPr>
            <w:tcW w:w="10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bottom w:val="single" w:sz="8" w:color="auto"/>
            </w:tcBorders>
            <w:shd w:val="clear" w:color="auto" w:fill="CCEEFF"/>
          </w:tcPr>
          <w:p>
            <w:pPr>
              <w:spacing w:after="0"/>
              <w:rPr>
                <w:sz w:val="10"/>
                <w:szCs w:val="1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1,152</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1,860</w:t>
            </w:r>
          </w:p>
        </w:tc>
        <w:tc>
          <w:tcPr>
            <w:tcW w:w="1160" w:type="dxa"/>
            <w:vAlign w:val="bottom"/>
            <w:tcBorders>
              <w:top w:val="single" w:sz="8" w:color="CCEEFF"/>
            </w:tcBorders>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(38.1)%</w:t>
            </w:r>
          </w:p>
        </w:tc>
        <w:tc>
          <w:tcPr>
            <w:tcW w:w="0" w:type="dxa"/>
            <w:vAlign w:val="bottom"/>
          </w:tcPr>
          <w:p>
            <w:pPr>
              <w:spacing w:after="0"/>
              <w:rPr>
                <w:sz w:val="1"/>
                <w:szCs w:val="1"/>
                <w:color w:val="auto"/>
              </w:rPr>
            </w:pPr>
          </w:p>
        </w:tc>
      </w:tr>
      <w:tr>
        <w:trPr>
          <w:trHeight w:val="124"/>
        </w:trPr>
        <w:tc>
          <w:tcPr>
            <w:tcW w:w="3700" w:type="dxa"/>
            <w:vAlign w:val="bottom"/>
            <w:tcBorders>
              <w:bottom w:val="single" w:sz="8" w:color="CCEEFF"/>
            </w:tcBorders>
          </w:tcPr>
          <w:p>
            <w:pPr>
              <w:ind w:left="20"/>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(e)</w:t>
            </w:r>
          </w:p>
        </w:tc>
        <w:tc>
          <w:tcPr>
            <w:tcW w:w="62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(61)</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w:t>
            </w:r>
          </w:p>
        </w:tc>
        <w:tc>
          <w:tcPr>
            <w:tcW w:w="11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38.6 %</w:t>
            </w:r>
          </w:p>
        </w:tc>
        <w:tc>
          <w:tcPr>
            <w:tcW w:w="0" w:type="dxa"/>
            <w:vAlign w:val="bottom"/>
          </w:tcPr>
          <w:p>
            <w:pPr>
              <w:spacing w:after="0"/>
              <w:rPr>
                <w:sz w:val="1"/>
                <w:szCs w:val="1"/>
                <w:color w:val="auto"/>
              </w:rPr>
            </w:pPr>
          </w:p>
        </w:tc>
      </w:tr>
      <w:tr>
        <w:trPr>
          <w:trHeight w:val="144"/>
        </w:trPr>
        <w:tc>
          <w:tcPr>
            <w:tcW w:w="4320" w:type="dxa"/>
            <w:vAlign w:val="bottom"/>
            <w:tcBorders>
              <w:bottom w:val="single" w:sz="8" w:color="CCEEFF"/>
            </w:tcBorders>
            <w:gridSpan w:val="2"/>
            <w:shd w:val="clear" w:color="auto" w:fill="CCEEFF"/>
          </w:tcPr>
          <w:p>
            <w:pPr>
              <w:ind w:left="460"/>
              <w:spacing w:after="0" w:line="104" w:lineRule="exact"/>
              <w:rPr>
                <w:sz w:val="20"/>
                <w:szCs w:val="20"/>
                <w:color w:val="auto"/>
              </w:rPr>
            </w:pPr>
            <w:r>
              <w:rPr>
                <w:rFonts w:ascii="Times New Roman" w:cs="Times New Roman" w:eastAsia="Times New Roman" w:hAnsi="Times New Roman"/>
                <w:sz w:val="10"/>
                <w:szCs w:val="10"/>
                <w:color w:val="auto"/>
              </w:rPr>
              <w:t>Total Electric Revenues</w:t>
            </w:r>
          </w:p>
        </w:tc>
        <w:tc>
          <w:tcPr>
            <w:tcW w:w="3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1,091</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1,816</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(39.9)%</w:t>
            </w:r>
          </w:p>
        </w:tc>
        <w:tc>
          <w:tcPr>
            <w:tcW w:w="0" w:type="dxa"/>
            <w:vAlign w:val="bottom"/>
          </w:tcPr>
          <w:p>
            <w:pPr>
              <w:spacing w:after="0"/>
              <w:rPr>
                <w:sz w:val="1"/>
                <w:szCs w:val="1"/>
                <w:color w:val="auto"/>
              </w:rPr>
            </w:pPr>
          </w:p>
        </w:tc>
      </w:tr>
      <w:tr>
        <w:trPr>
          <w:trHeight w:val="131"/>
        </w:trPr>
        <w:tc>
          <w:tcPr>
            <w:tcW w:w="4320" w:type="dxa"/>
            <w:vAlign w:val="bottom"/>
            <w:gridSpan w:val="2"/>
          </w:tcPr>
          <w:p>
            <w:pPr>
              <w:ind w:left="20"/>
              <w:spacing w:after="0" w:line="106" w:lineRule="exact"/>
              <w:rPr>
                <w:sz w:val="20"/>
                <w:szCs w:val="20"/>
                <w:color w:val="auto"/>
              </w:rPr>
            </w:pPr>
            <w:r>
              <w:rPr>
                <w:rFonts w:ascii="Times New Roman" w:cs="Times New Roman" w:eastAsia="Times New Roman" w:hAnsi="Times New Roman"/>
                <w:sz w:val="10"/>
                <w:szCs w:val="10"/>
                <w:b w:val="1"/>
                <w:bCs w:val="1"/>
                <w:color w:val="auto"/>
              </w:rPr>
              <w:t>Purchased Power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0"/>
                <w:szCs w:val="10"/>
                <w:color w:val="auto"/>
                <w:w w:val="7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(262)</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538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(148.7)%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7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Borders>
              <w:bottom w:val="single" w:sz="8" w:color="auto"/>
            </w:tcBorders>
            <w:gridSpan w:val="3"/>
          </w:tcPr>
          <w:p>
            <w:pPr>
              <w:ind w:left="130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160" w:type="dxa"/>
            <w:vAlign w:val="bottom"/>
            <w:tcBorders>
              <w:bottom w:val="single" w:sz="8" w:color="auto"/>
            </w:tcBorders>
          </w:tcPr>
          <w:p>
            <w:pPr>
              <w:spacing w:after="0"/>
              <w:rPr>
                <w:sz w:val="11"/>
                <w:szCs w:val="11"/>
                <w:color w:val="auto"/>
              </w:rPr>
            </w:pPr>
          </w:p>
        </w:tc>
      </w:tr>
      <w:tr>
        <w:trPr>
          <w:trHeight w:val="130"/>
        </w:trPr>
        <w:tc>
          <w:tcPr>
            <w:tcW w:w="374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Heating and Cooling Degree-Days</w:t>
            </w:r>
          </w:p>
        </w:tc>
        <w:tc>
          <w:tcPr>
            <w:tcW w:w="1420" w:type="dxa"/>
            <w:vAlign w:val="bottom"/>
          </w:tcPr>
          <w:p>
            <w:pPr>
              <w:jc w:val="right"/>
              <w:ind w:right="57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1"/>
                <w:szCs w:val="11"/>
                <w:color w:val="auto"/>
              </w:rPr>
            </w:pPr>
          </w:p>
        </w:tc>
        <w:tc>
          <w:tcPr>
            <w:tcW w:w="1420" w:type="dxa"/>
            <w:vAlign w:val="bottom"/>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1"/>
                <w:szCs w:val="11"/>
                <w:color w:val="auto"/>
              </w:rPr>
            </w:pPr>
          </w:p>
        </w:tc>
        <w:tc>
          <w:tcPr>
            <w:tcW w:w="1500" w:type="dxa"/>
            <w:vAlign w:val="bottom"/>
            <w:gridSpan w:val="2"/>
          </w:tcPr>
          <w:p>
            <w:pPr>
              <w:ind w:left="540"/>
              <w:spacing w:after="0"/>
              <w:rPr>
                <w:sz w:val="20"/>
                <w:szCs w:val="20"/>
                <w:color w:val="auto"/>
              </w:rPr>
            </w:pPr>
            <w:r>
              <w:rPr>
                <w:rFonts w:ascii="Times New Roman" w:cs="Times New Roman" w:eastAsia="Times New Roman" w:hAnsi="Times New Roman"/>
                <w:sz w:val="10"/>
                <w:szCs w:val="10"/>
                <w:b w:val="1"/>
                <w:bCs w:val="1"/>
                <w:color w:val="auto"/>
              </w:rPr>
              <w:t>Normal</w:t>
            </w:r>
          </w:p>
        </w:tc>
        <w:tc>
          <w:tcPr>
            <w:tcW w:w="1860" w:type="dxa"/>
            <w:vAlign w:val="bottom"/>
            <w:gridSpan w:val="3"/>
          </w:tcPr>
          <w:p>
            <w:pPr>
              <w:ind w:left="500"/>
              <w:spacing w:after="0"/>
              <w:rPr>
                <w:sz w:val="20"/>
                <w:szCs w:val="20"/>
                <w:color w:val="auto"/>
              </w:rPr>
            </w:pPr>
            <w:r>
              <w:rPr>
                <w:rFonts w:ascii="Times New Roman" w:cs="Times New Roman" w:eastAsia="Times New Roman" w:hAnsi="Times New Roman"/>
                <w:sz w:val="10"/>
                <w:szCs w:val="10"/>
                <w:b w:val="1"/>
                <w:bCs w:val="1"/>
                <w:color w:val="auto"/>
              </w:rPr>
              <w:t>From 2024</w:t>
            </w:r>
          </w:p>
        </w:tc>
        <w:tc>
          <w:tcPr>
            <w:tcW w:w="116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From Normal</w:t>
            </w:r>
          </w:p>
        </w:tc>
      </w:tr>
      <w:tr>
        <w:trPr>
          <w:trHeight w:val="129"/>
        </w:trPr>
        <w:tc>
          <w:tcPr>
            <w:tcW w:w="3740" w:type="dxa"/>
            <w:vAlign w:val="bottom"/>
            <w:tcBorders>
              <w:top w:val="single" w:sz="8" w:color="CCEEFF"/>
            </w:tcBorders>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Heating Degree-Days</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2,104</w:t>
            </w:r>
          </w:p>
        </w:tc>
        <w:tc>
          <w:tcPr>
            <w:tcW w:w="8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1,767</w:t>
            </w:r>
          </w:p>
        </w:tc>
        <w:tc>
          <w:tcPr>
            <w:tcW w:w="10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2,139</w:t>
            </w:r>
          </w:p>
        </w:tc>
        <w:tc>
          <w:tcPr>
            <w:tcW w:w="10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19.1 %</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w:t>
            </w:r>
          </w:p>
        </w:tc>
      </w:tr>
      <w:tr>
        <w:trPr>
          <w:trHeight w:val="123"/>
        </w:trPr>
        <w:tc>
          <w:tcPr>
            <w:tcW w:w="374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Cooling Degree-Days</w:t>
            </w: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57</w:t>
            </w:r>
          </w:p>
        </w:tc>
        <w:tc>
          <w:tcPr>
            <w:tcW w:w="80" w:type="dxa"/>
            <w:vAlign w:val="bottom"/>
          </w:tcPr>
          <w:p>
            <w:pPr>
              <w:spacing w:after="0"/>
              <w:rPr>
                <w:sz w:val="10"/>
                <w:szCs w:val="1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w:t>
            </w:r>
          </w:p>
        </w:tc>
        <w:tc>
          <w:tcPr>
            <w:tcW w:w="100" w:type="dxa"/>
            <w:vAlign w:val="bottom"/>
          </w:tcPr>
          <w:p>
            <w:pPr>
              <w:spacing w:after="0"/>
              <w:rPr>
                <w:sz w:val="10"/>
                <w:szCs w:val="1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100" w:type="dxa"/>
            <w:vAlign w:val="bottom"/>
          </w:tcPr>
          <w:p>
            <w:pPr>
              <w:spacing w:after="0"/>
              <w:rPr>
                <w:sz w:val="10"/>
                <w:szCs w:val="1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46.2 %</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307.1 %</w:t>
            </w:r>
          </w:p>
        </w:tc>
      </w:tr>
    </w:tbl>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u w:val="single" w:color="auto"/>
          <w:color w:val="auto"/>
        </w:rPr>
        <w:t>Twelve Months Ended December 31, 2025 and 2024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6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0"/>
                <w:szCs w:val="10"/>
                <w:b w:val="1"/>
                <w:bCs w:val="1"/>
                <w:color w:val="auto"/>
              </w:rPr>
              <w:t>Electric Deliveries (in GWhs)</w:t>
            </w: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Revenue (in millions)</w:t>
            </w: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4300" w:type="dxa"/>
            <w:vAlign w:val="bottom"/>
            <w:gridSpan w:val="2"/>
            <w:vMerge w:val="restart"/>
          </w:tcPr>
          <w:p>
            <w:pPr>
              <w:ind w:left="4060"/>
              <w:spacing w:after="0"/>
              <w:rPr>
                <w:sz w:val="20"/>
                <w:szCs w:val="20"/>
                <w:color w:val="auto"/>
              </w:rPr>
            </w:pPr>
            <w:r>
              <w:rPr>
                <w:rFonts w:ascii="Times New Roman" w:cs="Times New Roman" w:eastAsia="Times New Roman" w:hAnsi="Times New Roman"/>
                <w:sz w:val="10"/>
                <w:szCs w:val="10"/>
                <w:b w:val="1"/>
                <w:bCs w:val="1"/>
                <w:color w:val="auto"/>
              </w:rPr>
              <w:t>2025</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7"/>
                <w:szCs w:val="7"/>
                <w:color w:val="auto"/>
              </w:rPr>
            </w:pPr>
          </w:p>
        </w:tc>
        <w:tc>
          <w:tcPr>
            <w:tcW w:w="11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04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6"/>
              </w:rPr>
              <w:t>Weather - Normal %</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7"/>
                <w:szCs w:val="7"/>
                <w:color w:val="auto"/>
              </w:rPr>
            </w:pPr>
          </w:p>
        </w:tc>
        <w:tc>
          <w:tcPr>
            <w:tcW w:w="1060" w:type="dxa"/>
            <w:vAlign w:val="bottom"/>
            <w:vMerge w:val="restart"/>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430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300" w:type="dxa"/>
            <w:vAlign w:val="bottom"/>
            <w:gridSpan w:val="3"/>
          </w:tcPr>
          <w:p>
            <w:pPr>
              <w:jc w:val="center"/>
              <w:ind w:right="212"/>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680" w:type="dxa"/>
            <w:vAlign w:val="bottom"/>
            <w:tcBorders>
              <w:top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0"/>
                <w:szCs w:val="10"/>
                <w:b w:val="1"/>
                <w:bCs w:val="1"/>
                <w:color w:val="auto"/>
              </w:rPr>
              <w:t>Electric Deliveries and Revenues</w:t>
            </w:r>
            <w:r>
              <w:rPr>
                <w:rFonts w:ascii="Times New Roman" w:cs="Times New Roman" w:eastAsia="Times New Roman" w:hAnsi="Times New Roman"/>
                <w:sz w:val="12"/>
                <w:szCs w:val="12"/>
                <w:b w:val="1"/>
                <w:bCs w:val="1"/>
                <w:color w:val="auto"/>
                <w:vertAlign w:val="superscript"/>
              </w:rPr>
              <w:t>(a)</w:t>
            </w:r>
          </w:p>
        </w:tc>
        <w:tc>
          <w:tcPr>
            <w:tcW w:w="6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Residential</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28,016</w:t>
            </w: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27,274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2.7 %</w:t>
            </w:r>
          </w:p>
        </w:tc>
        <w:tc>
          <w:tcPr>
            <w:tcW w:w="100" w:type="dxa"/>
            <w:vAlign w:val="bottom"/>
          </w:tcPr>
          <w:p>
            <w:pPr>
              <w:spacing w:after="0"/>
              <w:rPr>
                <w:sz w:val="11"/>
                <w:szCs w:val="11"/>
                <w:color w:val="auto"/>
              </w:rPr>
            </w:pPr>
          </w:p>
        </w:tc>
        <w:tc>
          <w:tcPr>
            <w:tcW w:w="1300" w:type="dxa"/>
            <w:vAlign w:val="bottom"/>
            <w:gridSpan w:val="3"/>
          </w:tcPr>
          <w:p>
            <w:pPr>
              <w:jc w:val="right"/>
              <w:ind w:right="52"/>
              <w:spacing w:after="0"/>
              <w:rPr>
                <w:sz w:val="20"/>
                <w:szCs w:val="20"/>
                <w:color w:val="auto"/>
              </w:rPr>
            </w:pPr>
            <w:r>
              <w:rPr>
                <w:rFonts w:ascii="Times New Roman" w:cs="Times New Roman" w:eastAsia="Times New Roman" w:hAnsi="Times New Roman"/>
                <w:sz w:val="10"/>
                <w:szCs w:val="10"/>
                <w:color w:val="auto"/>
              </w:rPr>
              <w:t>1.1 %   $</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4,203</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3,809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29,333</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28,367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3.4 %</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2,072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2,259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0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28,332</w:t>
            </w:r>
          </w:p>
        </w:tc>
        <w:tc>
          <w:tcPr>
            <w:tcW w:w="10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27,870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1.7 %</w:t>
            </w:r>
          </w:p>
        </w:tc>
        <w:tc>
          <w:tcPr>
            <w:tcW w:w="1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593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1,145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904</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10.0 %</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11.1 %</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0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(c)</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1160" w:type="dxa"/>
            <w:vAlign w:val="bottom"/>
            <w:gridSpan w:val="2"/>
          </w:tcPr>
          <w:p>
            <w:pPr>
              <w:ind w:left="940"/>
              <w:spacing w:after="0"/>
              <w:rPr>
                <w:sz w:val="20"/>
                <w:szCs w:val="20"/>
                <w:color w:val="auto"/>
              </w:rPr>
            </w:pPr>
            <w:r>
              <w:rPr>
                <w:rFonts w:ascii="Times New Roman" w:cs="Times New Roman" w:eastAsia="Times New Roman" w:hAnsi="Times New Roman"/>
                <w:sz w:val="10"/>
                <w:szCs w:val="10"/>
                <w:color w:val="auto"/>
              </w:rPr>
              <w:t>n/a</w:t>
            </w:r>
          </w:p>
        </w:tc>
        <w:tc>
          <w:tcPr>
            <w:tcW w:w="1300" w:type="dxa"/>
            <w:vAlign w:val="bottom"/>
            <w:gridSpan w:val="3"/>
          </w:tcPr>
          <w:p>
            <w:pPr>
              <w:jc w:val="right"/>
              <w:ind w:right="212"/>
              <w:spacing w:after="0"/>
              <w:rPr>
                <w:sz w:val="20"/>
                <w:szCs w:val="20"/>
                <w:color w:val="auto"/>
              </w:rPr>
            </w:pPr>
            <w:r>
              <w:rPr>
                <w:rFonts w:ascii="Times New Roman" w:cs="Times New Roman" w:eastAsia="Times New Roman" w:hAnsi="Times New Roman"/>
                <w:sz w:val="10"/>
                <w:szCs w:val="10"/>
                <w:color w:val="auto"/>
              </w:rPr>
              <w:t>n/a</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1,080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680" w:type="dxa"/>
            <w:vAlign w:val="bottom"/>
            <w:tcBorders>
              <w:top w:val="single" w:sz="8" w:color="CCEEFF"/>
            </w:tcBorders>
            <w:shd w:val="clear" w:color="auto" w:fill="CCEEFF"/>
          </w:tcPr>
          <w:p>
            <w:pPr>
              <w:ind w:left="440"/>
              <w:spacing w:after="0" w:line="124" w:lineRule="exact"/>
              <w:rPr>
                <w:sz w:val="20"/>
                <w:szCs w:val="20"/>
                <w:color w:val="auto"/>
              </w:rPr>
            </w:pPr>
            <w:r>
              <w:rPr>
                <w:rFonts w:ascii="Times New Roman" w:cs="Times New Roman" w:eastAsia="Times New Roman" w:hAnsi="Times New Roman"/>
                <w:sz w:val="10"/>
                <w:szCs w:val="10"/>
                <w:color w:val="auto"/>
              </w:rPr>
              <w:t>Total electric revenues</w:t>
            </w:r>
            <w:r>
              <w:rPr>
                <w:rFonts w:ascii="Times New Roman" w:cs="Times New Roman" w:eastAsia="Times New Roman" w:hAnsi="Times New Roman"/>
                <w:sz w:val="12"/>
                <w:szCs w:val="12"/>
                <w:color w:val="auto"/>
                <w:vertAlign w:val="superscript"/>
              </w:rPr>
              <w:t>(d)</w:t>
            </w:r>
          </w:p>
        </w:tc>
        <w:tc>
          <w:tcPr>
            <w:tcW w:w="620" w:type="dxa"/>
            <w:vAlign w:val="bottom"/>
            <w:tcBorders>
              <w:top w:val="single" w:sz="8" w:color="auto"/>
              <w:bottom w:val="single" w:sz="8" w:color="auto"/>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86,585</w:t>
            </w:r>
          </w:p>
        </w:tc>
        <w:tc>
          <w:tcPr>
            <w:tcW w:w="1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84,333</w:t>
            </w:r>
          </w:p>
        </w:tc>
        <w:tc>
          <w:tcPr>
            <w:tcW w:w="1140" w:type="dxa"/>
            <w:vAlign w:val="bottom"/>
            <w:tcBorders>
              <w:top w:val="single" w:sz="8" w:color="CCEEFF"/>
            </w:tcBorders>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2.7 %</w:t>
            </w:r>
          </w:p>
        </w:tc>
        <w:tc>
          <w:tcPr>
            <w:tcW w:w="10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1.3 %</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7,822</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8,353</w:t>
            </w:r>
          </w:p>
        </w:tc>
        <w:tc>
          <w:tcPr>
            <w:tcW w:w="1160" w:type="dxa"/>
            <w:vAlign w:val="bottom"/>
            <w:tcBorders>
              <w:top w:val="single" w:sz="8" w:color="CCEEFF"/>
            </w:tcBorders>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(6.4)%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680" w:type="dxa"/>
            <w:vAlign w:val="bottom"/>
            <w:tcBorders>
              <w:bottom w:val="single" w:sz="8" w:color="CCEEFF"/>
            </w:tcBorders>
          </w:tcPr>
          <w:p>
            <w:pPr>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(e)</w:t>
            </w:r>
          </w:p>
        </w:tc>
        <w:tc>
          <w:tcPr>
            <w:tcW w:w="62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(555)</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(134)</w:t>
            </w:r>
          </w:p>
        </w:tc>
        <w:tc>
          <w:tcPr>
            <w:tcW w:w="11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314.2 %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300" w:type="dxa"/>
            <w:vAlign w:val="bottom"/>
            <w:tcBorders>
              <w:bottom w:val="single" w:sz="8" w:color="CCEEFF"/>
            </w:tcBorders>
            <w:gridSpan w:val="2"/>
            <w:shd w:val="clear" w:color="auto" w:fill="CCEEFF"/>
          </w:tcPr>
          <w:p>
            <w:pPr>
              <w:ind w:left="440"/>
              <w:spacing w:after="0" w:line="104" w:lineRule="exact"/>
              <w:rPr>
                <w:sz w:val="20"/>
                <w:szCs w:val="20"/>
                <w:color w:val="auto"/>
              </w:rPr>
            </w:pPr>
            <w:r>
              <w:rPr>
                <w:rFonts w:ascii="Times New Roman" w:cs="Times New Roman" w:eastAsia="Times New Roman" w:hAnsi="Times New Roman"/>
                <w:sz w:val="10"/>
                <w:szCs w:val="10"/>
                <w:color w:val="auto"/>
              </w:rPr>
              <w:t>Total Electric Revenues</w:t>
            </w:r>
          </w:p>
        </w:tc>
        <w:tc>
          <w:tcPr>
            <w:tcW w:w="3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7,267</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8,219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30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b w:val="1"/>
                <w:bCs w:val="1"/>
                <w:color w:val="auto"/>
              </w:rPr>
              <w:t>Purchased Power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1,782</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3,042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43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Heating and Cooling Degree-Days</w:t>
            </w:r>
          </w:p>
        </w:tc>
        <w:tc>
          <w:tcPr>
            <w:tcW w:w="340" w:type="dxa"/>
            <w:vAlign w:val="bottom"/>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40" w:type="dxa"/>
            <w:vAlign w:val="bottom"/>
            <w:gridSpan w:val="2"/>
          </w:tcPr>
          <w:p>
            <w:pPr>
              <w:jc w:val="right"/>
              <w:ind w:right="75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0"/>
                <w:szCs w:val="10"/>
                <w:color w:val="auto"/>
              </w:rPr>
            </w:pPr>
          </w:p>
        </w:tc>
        <w:tc>
          <w:tcPr>
            <w:tcW w:w="1300" w:type="dxa"/>
            <w:vAlign w:val="bottom"/>
            <w:gridSpan w:val="3"/>
          </w:tcPr>
          <w:p>
            <w:pPr>
              <w:jc w:val="center"/>
              <w:ind w:right="232"/>
              <w:spacing w:after="0"/>
              <w:rPr>
                <w:sz w:val="20"/>
                <w:szCs w:val="20"/>
                <w:color w:val="auto"/>
              </w:rPr>
            </w:pPr>
            <w:r>
              <w:rPr>
                <w:rFonts w:ascii="Times New Roman" w:cs="Times New Roman" w:eastAsia="Times New Roman" w:hAnsi="Times New Roman"/>
                <w:sz w:val="10"/>
                <w:szCs w:val="10"/>
                <w:b w:val="1"/>
                <w:bCs w:val="1"/>
                <w:color w:val="auto"/>
                <w:w w:val="91"/>
              </w:rPr>
              <w:t>Normal</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From 2024</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From Normal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300"/>
          </w:cols>
          <w:pgMar w:left="300" w:top="129" w:right="299" w:bottom="1440" w:gutter="0" w:footer="0" w:header="0"/>
        </w:sectPr>
      </w:pPr>
    </w:p>
    <w:p>
      <w:pPr>
        <w:spacing w:after="0" w:line="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0"/>
          <w:szCs w:val="10"/>
          <w:color w:val="auto"/>
        </w:rPr>
        <w:t>Heating Degree-Days</w:t>
      </w:r>
    </w:p>
    <w:p>
      <w:pPr>
        <w:spacing w:after="0" w:line="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0"/>
          <w:szCs w:val="10"/>
          <w:color w:val="auto"/>
        </w:rPr>
        <w:t>Cooling Degree-Days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Number of Electric Customers</w:t>
      </w:r>
    </w:p>
    <w:p>
      <w:pPr>
        <w:spacing w:after="0" w:line="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0"/>
          <w:szCs w:val="10"/>
          <w:color w:val="auto"/>
        </w:rPr>
        <w:t>Residential</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0"/>
          <w:szCs w:val="10"/>
          <w:color w:val="auto"/>
        </w:rPr>
        <w:t>Small commercial &amp; industrial</w:t>
      </w:r>
    </w:p>
    <w:p>
      <w:pPr>
        <w:spacing w:after="0" w:line="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0"/>
          <w:szCs w:val="10"/>
          <w:color w:val="auto"/>
        </w:rPr>
        <w:t>Large commercial &amp; industrial</w:t>
      </w:r>
    </w:p>
    <w:p>
      <w:pPr>
        <w:spacing w:after="0" w:line="20" w:lineRule="exact"/>
        <w:rPr>
          <w:sz w:val="20"/>
          <w:szCs w:val="20"/>
          <w:color w:val="auto"/>
        </w:rPr>
      </w:pPr>
    </w:p>
    <w:p>
      <w:pPr>
        <w:jc w:val="right"/>
        <w:ind w:right="1360"/>
        <w:spacing w:after="0"/>
        <w:rPr>
          <w:sz w:val="20"/>
          <w:szCs w:val="20"/>
          <w:color w:val="auto"/>
        </w:rPr>
      </w:pPr>
      <w:r>
        <w:rPr>
          <w:rFonts w:ascii="Times New Roman" w:cs="Times New Roman" w:eastAsia="Times New Roman" w:hAnsi="Times New Roman"/>
          <w:sz w:val="10"/>
          <w:szCs w:val="10"/>
          <w:color w:val="auto"/>
        </w:rPr>
        <w:t>Public authorities &amp; electric railroads</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0"/>
          <w:szCs w:val="10"/>
          <w:color w:val="auto"/>
        </w:rPr>
        <w:t>Total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3"/>
        </w:trPr>
        <w:tc>
          <w:tcPr>
            <w:tcW w:w="2020" w:type="dxa"/>
            <w:vAlign w:val="bottom"/>
            <w:tcBorders>
              <w:top w:val="single" w:sz="8" w:color="auto"/>
            </w:tcBorders>
          </w:tcPr>
          <w:p>
            <w:pPr>
              <w:jc w:val="right"/>
              <w:ind w:right="612"/>
              <w:spacing w:after="0"/>
              <w:rPr>
                <w:sz w:val="20"/>
                <w:szCs w:val="20"/>
                <w:color w:val="auto"/>
              </w:rPr>
            </w:pPr>
            <w:r>
              <w:rPr>
                <w:rFonts w:ascii="Times New Roman" w:cs="Times New Roman" w:eastAsia="Times New Roman" w:hAnsi="Times New Roman"/>
                <w:sz w:val="10"/>
                <w:szCs w:val="10"/>
                <w:color w:val="auto"/>
              </w:rPr>
              <w:t>5,802</w:t>
            </w:r>
          </w:p>
        </w:tc>
        <w:tc>
          <w:tcPr>
            <w:tcW w:w="1500" w:type="dxa"/>
            <w:vAlign w:val="bottom"/>
            <w:tcBorders>
              <w:top w:val="single" w:sz="8" w:color="auto"/>
            </w:tcBorders>
          </w:tcPr>
          <w:p>
            <w:pPr>
              <w:jc w:val="right"/>
              <w:ind w:right="592"/>
              <w:spacing w:after="0"/>
              <w:rPr>
                <w:sz w:val="20"/>
                <w:szCs w:val="20"/>
                <w:color w:val="auto"/>
              </w:rPr>
            </w:pPr>
            <w:r>
              <w:rPr>
                <w:rFonts w:ascii="Times New Roman" w:cs="Times New Roman" w:eastAsia="Times New Roman" w:hAnsi="Times New Roman"/>
                <w:sz w:val="10"/>
                <w:szCs w:val="10"/>
                <w:color w:val="auto"/>
              </w:rPr>
              <w:t>4,795</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5,968</w:t>
            </w:r>
          </w:p>
        </w:tc>
        <w:tc>
          <w:tcPr>
            <w:tcW w:w="80" w:type="dxa"/>
            <w:vAlign w:val="bottom"/>
          </w:tcPr>
          <w:p>
            <w:pPr>
              <w:spacing w:after="0"/>
              <w:rPr>
                <w:sz w:val="10"/>
                <w:szCs w:val="10"/>
                <w:color w:val="auto"/>
              </w:rPr>
            </w:pP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21.0 %</w:t>
            </w:r>
          </w:p>
        </w:tc>
        <w:tc>
          <w:tcPr>
            <w:tcW w:w="80" w:type="dxa"/>
            <w:vAlign w:val="bottom"/>
          </w:tcPr>
          <w:p>
            <w:pPr>
              <w:spacing w:after="0"/>
              <w:rPr>
                <w:sz w:val="10"/>
                <w:szCs w:val="10"/>
                <w:color w:val="auto"/>
              </w:rPr>
            </w:pPr>
          </w:p>
        </w:tc>
        <w:tc>
          <w:tcPr>
            <w:tcW w:w="148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20" w:type="dxa"/>
            <w:vAlign w:val="bottom"/>
          </w:tcPr>
          <w:p>
            <w:pPr>
              <w:spacing w:after="0"/>
              <w:rPr>
                <w:sz w:val="10"/>
                <w:szCs w:val="10"/>
                <w:color w:val="auto"/>
              </w:rPr>
            </w:pPr>
          </w:p>
        </w:tc>
      </w:tr>
      <w:tr>
        <w:trPr>
          <w:trHeight w:val="128"/>
        </w:trPr>
        <w:tc>
          <w:tcPr>
            <w:tcW w:w="2020" w:type="dxa"/>
            <w:vAlign w:val="bottom"/>
          </w:tcPr>
          <w:p>
            <w:pPr>
              <w:jc w:val="right"/>
              <w:ind w:right="612"/>
              <w:spacing w:after="0"/>
              <w:rPr>
                <w:sz w:val="20"/>
                <w:szCs w:val="20"/>
                <w:color w:val="auto"/>
              </w:rPr>
            </w:pPr>
            <w:r>
              <w:rPr>
                <w:rFonts w:ascii="Times New Roman" w:cs="Times New Roman" w:eastAsia="Times New Roman" w:hAnsi="Times New Roman"/>
                <w:sz w:val="10"/>
                <w:szCs w:val="10"/>
                <w:color w:val="auto"/>
              </w:rPr>
              <w:t>1,215</w:t>
            </w:r>
          </w:p>
        </w:tc>
        <w:tc>
          <w:tcPr>
            <w:tcW w:w="1500" w:type="dxa"/>
            <w:vAlign w:val="bottom"/>
          </w:tcPr>
          <w:p>
            <w:pPr>
              <w:jc w:val="right"/>
              <w:ind w:right="592"/>
              <w:spacing w:after="0"/>
              <w:rPr>
                <w:sz w:val="20"/>
                <w:szCs w:val="20"/>
                <w:color w:val="auto"/>
              </w:rPr>
            </w:pPr>
            <w:r>
              <w:rPr>
                <w:rFonts w:ascii="Times New Roman" w:cs="Times New Roman" w:eastAsia="Times New Roman" w:hAnsi="Times New Roman"/>
                <w:sz w:val="10"/>
                <w:szCs w:val="10"/>
                <w:color w:val="auto"/>
              </w:rPr>
              <w:t>1,215</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1,002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 %</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21.3 %</w:t>
            </w:r>
          </w:p>
        </w:tc>
        <w:tc>
          <w:tcPr>
            <w:tcW w:w="20" w:type="dxa"/>
            <w:vAlign w:val="bottom"/>
          </w:tcPr>
          <w:p>
            <w:pPr>
              <w:spacing w:after="0"/>
              <w:rPr>
                <w:sz w:val="11"/>
                <w:szCs w:val="11"/>
                <w:color w:val="auto"/>
              </w:rPr>
            </w:pPr>
          </w:p>
        </w:tc>
      </w:tr>
      <w:tr>
        <w:trPr>
          <w:trHeight w:val="377"/>
        </w:trPr>
        <w:tc>
          <w:tcPr>
            <w:tcW w:w="2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gridSpan w:val="2"/>
          </w:tcPr>
          <w:p>
            <w:pPr>
              <w:jc w:val="right"/>
              <w:ind w:right="47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24"/>
                <w:szCs w:val="24"/>
                <w:color w:val="auto"/>
              </w:rPr>
            </w:pPr>
          </w:p>
        </w:tc>
        <w:tc>
          <w:tcPr>
            <w:tcW w:w="1480" w:type="dxa"/>
            <w:vAlign w:val="bottom"/>
            <w:gridSpan w:val="3"/>
          </w:tcPr>
          <w:p>
            <w:pPr>
              <w:jc w:val="right"/>
              <w:ind w:right="5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Pr>
          <w:p>
            <w:pPr>
              <w:spacing w:after="0"/>
              <w:rPr>
                <w:sz w:val="24"/>
                <w:szCs w:val="24"/>
                <w:color w:val="auto"/>
              </w:rPr>
            </w:pPr>
          </w:p>
        </w:tc>
      </w:tr>
      <w:tr>
        <w:trPr>
          <w:trHeight w:val="121"/>
        </w:trPr>
        <w:tc>
          <w:tcPr>
            <w:tcW w:w="20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3,776,590</w:t>
            </w:r>
          </w:p>
        </w:tc>
        <w:tc>
          <w:tcPr>
            <w:tcW w:w="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3,727,097</w:t>
            </w:r>
          </w:p>
        </w:tc>
        <w:tc>
          <w:tcPr>
            <w:tcW w:w="20" w:type="dxa"/>
            <w:vAlign w:val="bottom"/>
            <w:tcBorders>
              <w:top w:val="single" w:sz="8" w:color="auto"/>
            </w:tcBorders>
          </w:tcPr>
          <w:p>
            <w:pPr>
              <w:spacing w:after="0"/>
              <w:rPr>
                <w:sz w:val="10"/>
                <w:szCs w:val="10"/>
                <w:color w:val="auto"/>
              </w:rPr>
            </w:pPr>
          </w:p>
        </w:tc>
      </w:tr>
      <w:tr>
        <w:trPr>
          <w:trHeight w:val="130"/>
        </w:trPr>
        <w:tc>
          <w:tcPr>
            <w:tcW w:w="20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398,746</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396,797</w:t>
            </w:r>
          </w:p>
        </w:tc>
        <w:tc>
          <w:tcPr>
            <w:tcW w:w="20" w:type="dxa"/>
            <w:vAlign w:val="bottom"/>
          </w:tcPr>
          <w:p>
            <w:pPr>
              <w:spacing w:after="0"/>
              <w:rPr>
                <w:sz w:val="11"/>
                <w:szCs w:val="11"/>
                <w:color w:val="auto"/>
              </w:rPr>
            </w:pPr>
          </w:p>
        </w:tc>
      </w:tr>
      <w:tr>
        <w:trPr>
          <w:trHeight w:val="135"/>
        </w:trPr>
        <w:tc>
          <w:tcPr>
            <w:tcW w:w="20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1,988</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2,283</w:t>
            </w:r>
          </w:p>
        </w:tc>
        <w:tc>
          <w:tcPr>
            <w:tcW w:w="20" w:type="dxa"/>
            <w:vAlign w:val="bottom"/>
          </w:tcPr>
          <w:p>
            <w:pPr>
              <w:spacing w:after="0"/>
              <w:rPr>
                <w:sz w:val="11"/>
                <w:szCs w:val="11"/>
                <w:color w:val="auto"/>
              </w:rPr>
            </w:pPr>
          </w:p>
        </w:tc>
      </w:tr>
      <w:tr>
        <w:trPr>
          <w:trHeight w:val="143"/>
        </w:trPr>
        <w:tc>
          <w:tcPr>
            <w:tcW w:w="20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5,814</w:t>
            </w: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5,775</w:t>
            </w:r>
          </w:p>
        </w:tc>
        <w:tc>
          <w:tcPr>
            <w:tcW w:w="20" w:type="dxa"/>
            <w:vAlign w:val="bottom"/>
          </w:tcPr>
          <w:p>
            <w:pPr>
              <w:spacing w:after="0"/>
              <w:rPr>
                <w:sz w:val="12"/>
                <w:szCs w:val="12"/>
                <w:color w:val="auto"/>
              </w:rPr>
            </w:pPr>
          </w:p>
        </w:tc>
      </w:tr>
      <w:tr>
        <w:trPr>
          <w:trHeight w:val="127"/>
        </w:trPr>
        <w:tc>
          <w:tcPr>
            <w:tcW w:w="20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4,183,138</w:t>
            </w:r>
          </w:p>
        </w:tc>
        <w:tc>
          <w:tcPr>
            <w:tcW w:w="20" w:type="dxa"/>
            <w:vAlign w:val="bottom"/>
            <w:tcBorders>
              <w:top w:val="single" w:sz="8" w:color="auto"/>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4,131,952</w:t>
            </w:r>
          </w:p>
        </w:tc>
        <w:tc>
          <w:tcPr>
            <w:tcW w:w="20" w:type="dxa"/>
            <w:vAlign w:val="bottom"/>
            <w:tcBorders>
              <w:top w:val="single" w:sz="8" w:color="auto"/>
              <w:bottom w:val="single" w:sz="8" w:color="auto"/>
            </w:tcBorders>
          </w:tcPr>
          <w:p>
            <w:pPr>
              <w:spacing w:after="0"/>
              <w:rPr>
                <w:sz w:val="11"/>
                <w:szCs w:val="11"/>
                <w:color w:val="auto"/>
              </w:rPr>
            </w:pPr>
          </w:p>
        </w:tc>
      </w:tr>
      <w:tr>
        <w:trPr>
          <w:trHeight w:val="20"/>
        </w:trPr>
        <w:tc>
          <w:tcPr>
            <w:tcW w:w="2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-873760</wp:posOffset>
            </wp:positionV>
            <wp:extent cx="7166610" cy="91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6610" cy="9144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-462280</wp:posOffset>
            </wp:positionV>
            <wp:extent cx="7178040" cy="914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-285115</wp:posOffset>
            </wp:positionV>
            <wp:extent cx="7178040"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8572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-113665</wp:posOffset>
            </wp:positionV>
            <wp:extent cx="717804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3020" w:space="720"/>
            <w:col w:w="7560"/>
          </w:cols>
          <w:pgMar w:left="300" w:top="129" w:right="299" w:bottom="1440" w:gutter="0" w:footer="0" w:header="0"/>
          <w:type w:val="continuous"/>
        </w:sectPr>
      </w:pPr>
    </w:p>
    <w:p>
      <w:pPr>
        <w:ind w:left="420" w:right="20" w:hanging="212"/>
        <w:spacing w:after="0" w:line="238" w:lineRule="auto"/>
        <w:tabs>
          <w:tab w:leader="none" w:pos="418"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revenues from customers purchasing electricity directly from ComEd and customers purchasing electricity from a competitive electric generation supplier, as all customers are assessed delivery charges. For customers purchasing electricity from ComEd, revenues also reflect the cost of energy and transmission.</w:t>
      </w:r>
    </w:p>
    <w:p>
      <w:pPr>
        <w:ind w:left="420" w:hanging="212"/>
        <w:spacing w:after="0" w:line="236" w:lineRule="auto"/>
        <w:tabs>
          <w:tab w:leader="none" w:pos="420"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Decrease is due to the timing of billings in 2024.</w:t>
      </w:r>
    </w:p>
    <w:p>
      <w:pPr>
        <w:ind w:left="420" w:hanging="212"/>
        <w:spacing w:after="0"/>
        <w:tabs>
          <w:tab w:leader="none" w:pos="420"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transmission revenue from PJM, wholesale electric revenue, and mutual assistance revenue.</w:t>
      </w:r>
    </w:p>
    <w:p>
      <w:pPr>
        <w:spacing w:after="0" w:line="2" w:lineRule="exact"/>
        <w:rPr>
          <w:rFonts w:ascii="Times New Roman" w:cs="Times New Roman" w:eastAsia="Times New Roman" w:hAnsi="Times New Roman"/>
          <w:sz w:val="10"/>
          <w:szCs w:val="10"/>
          <w:color w:val="auto"/>
        </w:rPr>
      </w:pPr>
    </w:p>
    <w:p>
      <w:pPr>
        <w:ind w:left="420" w:hanging="212"/>
        <w:spacing w:after="0"/>
        <w:tabs>
          <w:tab w:leader="none" w:pos="420"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operating revenues from affiliates totaling $2 million for both the three months ended December 31, 2025 and 2024, respectively, and $21 million and $8 million for the twelve months ended December 31, 2025 and 2024, respectively.</w:t>
      </w:r>
    </w:p>
    <w:p>
      <w:pPr>
        <w:spacing w:after="0" w:line="2" w:lineRule="exact"/>
        <w:rPr>
          <w:rFonts w:ascii="Times New Roman" w:cs="Times New Roman" w:eastAsia="Times New Roman" w:hAnsi="Times New Roman"/>
          <w:sz w:val="10"/>
          <w:szCs w:val="10"/>
          <w:color w:val="auto"/>
        </w:rPr>
      </w:pPr>
    </w:p>
    <w:p>
      <w:pPr>
        <w:ind w:left="420" w:hanging="212"/>
        <w:spacing w:after="0"/>
        <w:tabs>
          <w:tab w:leader="none" w:pos="420" w:val="left"/>
        </w:tabs>
        <w:numPr>
          <w:ilvl w:val="0"/>
          <w:numId w:val="1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alternative revenue programs and late payment charges.</w:t>
      </w: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300"/>
          </w:cols>
          <w:pgMar w:left="300" w:top="129" w:right="2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PECO Statistics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Three Months Ended December 31, 2025 and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8"/>
          </w:tcPr>
          <w:p>
            <w:pPr>
              <w:ind w:left="360"/>
              <w:spacing w:after="0"/>
              <w:rPr>
                <w:sz w:val="20"/>
                <w:szCs w:val="20"/>
                <w:color w:val="auto"/>
              </w:rPr>
            </w:pPr>
            <w:r>
              <w:rPr>
                <w:rFonts w:ascii="Times New Roman" w:cs="Times New Roman" w:eastAsia="Times New Roman" w:hAnsi="Times New Roman"/>
                <w:sz w:val="10"/>
                <w:szCs w:val="10"/>
                <w:b w:val="1"/>
                <w:bCs w:val="1"/>
                <w:color w:val="auto"/>
              </w:rPr>
              <w:t>Electric and Natural Gas Deliveries</w:t>
            </w: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Revenue (in millions)</w:t>
            </w: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3"/>
              </w:rPr>
              <w:t>Weather-</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4320" w:type="dxa"/>
            <w:vAlign w:val="bottom"/>
            <w:gridSpan w:val="3"/>
            <w:vMerge w:val="restart"/>
          </w:tcPr>
          <w:p>
            <w:pPr>
              <w:ind w:left="4080"/>
              <w:spacing w:after="0"/>
              <w:rPr>
                <w:sz w:val="20"/>
                <w:szCs w:val="20"/>
                <w:color w:val="auto"/>
              </w:rPr>
            </w:pPr>
            <w:r>
              <w:rPr>
                <w:rFonts w:ascii="Times New Roman" w:cs="Times New Roman" w:eastAsia="Times New Roman" w:hAnsi="Times New Roman"/>
                <w:sz w:val="10"/>
                <w:szCs w:val="10"/>
                <w:b w:val="1"/>
                <w:bCs w:val="1"/>
                <w:color w:val="auto"/>
              </w:rPr>
              <w:t>2025</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3"/>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8"/>
                <w:szCs w:val="8"/>
                <w:color w:val="auto"/>
              </w:rPr>
            </w:pPr>
          </w:p>
        </w:tc>
        <w:tc>
          <w:tcPr>
            <w:tcW w:w="1140" w:type="dxa"/>
            <w:vAlign w:val="bottom"/>
            <w:gridSpan w:val="4"/>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060" w:type="dxa"/>
            <w:vAlign w:val="bottom"/>
          </w:tcPr>
          <w:p>
            <w:pPr>
              <w:jc w:val="center"/>
              <w:spacing w:after="0" w:line="98" w:lineRule="exact"/>
              <w:rPr>
                <w:sz w:val="20"/>
                <w:szCs w:val="20"/>
                <w:color w:val="auto"/>
              </w:rPr>
            </w:pPr>
            <w:r>
              <w:rPr>
                <w:rFonts w:ascii="Times New Roman" w:cs="Times New Roman" w:eastAsia="Times New Roman" w:hAnsi="Times New Roman"/>
                <w:sz w:val="10"/>
                <w:szCs w:val="10"/>
                <w:b w:val="1"/>
                <w:bCs w:val="1"/>
                <w:color w:val="auto"/>
                <w:w w:val="97"/>
              </w:rPr>
              <w:t>Normal</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2024</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restart"/>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30"/>
        </w:trPr>
        <w:tc>
          <w:tcPr>
            <w:tcW w:w="432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700" w:type="dxa"/>
            <w:vAlign w:val="bottom"/>
            <w:tcBorders>
              <w:top w:val="single" w:sz="8" w:color="CCEEFF"/>
            </w:tcBorders>
            <w:shd w:val="clear" w:color="auto" w:fill="CCEEFF"/>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Electric (in GWhs)</w:t>
            </w:r>
          </w:p>
        </w:tc>
        <w:tc>
          <w:tcPr>
            <w:tcW w:w="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3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0"/>
                <w:szCs w:val="10"/>
                <w:b w:val="1"/>
                <w:bCs w:val="1"/>
                <w:color w:val="auto"/>
              </w:rPr>
              <w:t>Electric Deliveries and Revenues</w:t>
            </w:r>
            <w:r>
              <w:rPr>
                <w:rFonts w:ascii="Times New Roman" w:cs="Times New Roman" w:eastAsia="Times New Roman" w:hAnsi="Times New Roman"/>
                <w:sz w:val="12"/>
                <w:szCs w:val="12"/>
                <w:b w:val="1"/>
                <w:bCs w:val="1"/>
                <w:color w:val="auto"/>
                <w:vertAlign w:val="superscript"/>
              </w:rPr>
              <w:t>(a)</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Residential</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3,126</w:t>
            </w:r>
          </w:p>
        </w:tc>
        <w:tc>
          <w:tcPr>
            <w:tcW w:w="10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3,066</w:t>
            </w:r>
          </w:p>
        </w:tc>
        <w:tc>
          <w:tcPr>
            <w:tcW w:w="11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2.0 %</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18.1 %</w:t>
            </w:r>
          </w:p>
        </w:tc>
        <w:tc>
          <w:tcPr>
            <w:tcW w:w="0" w:type="dxa"/>
            <w:vAlign w:val="bottom"/>
          </w:tcPr>
          <w:p>
            <w:pPr>
              <w:spacing w:after="0"/>
              <w:rPr>
                <w:sz w:val="1"/>
                <w:szCs w:val="1"/>
                <w:color w:val="auto"/>
              </w:rPr>
            </w:pPr>
          </w:p>
        </w:tc>
      </w:tr>
      <w:tr>
        <w:trPr>
          <w:trHeight w:val="129"/>
        </w:trPr>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1,702</w:t>
            </w:r>
          </w:p>
        </w:tc>
        <w:tc>
          <w:tcPr>
            <w:tcW w:w="10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1,807</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color w:val="auto"/>
              </w:rPr>
              <w:t>(5.8)%</w:t>
            </w:r>
          </w:p>
        </w:tc>
        <w:tc>
          <w:tcPr>
            <w:tcW w:w="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140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2.1 %</w:t>
            </w: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3,213</w:t>
            </w: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3,358</w:t>
            </w:r>
          </w:p>
        </w:tc>
        <w:tc>
          <w:tcPr>
            <w:tcW w:w="11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(4.3)%</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12.9 %</w:t>
            </w:r>
          </w:p>
        </w:tc>
        <w:tc>
          <w:tcPr>
            <w:tcW w:w="0" w:type="dxa"/>
            <w:vAlign w:val="bottom"/>
          </w:tcPr>
          <w:p>
            <w:pPr>
              <w:spacing w:after="0"/>
              <w:rPr>
                <w:sz w:val="1"/>
                <w:szCs w:val="1"/>
                <w:color w:val="auto"/>
              </w:rPr>
            </w:pPr>
          </w:p>
        </w:tc>
      </w:tr>
      <w:tr>
        <w:trPr>
          <w:trHeight w:val="129"/>
        </w:trPr>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167</w:t>
            </w:r>
          </w:p>
        </w:tc>
        <w:tc>
          <w:tcPr>
            <w:tcW w:w="10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143</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color w:val="auto"/>
              </w:rPr>
              <w:t>16.8 %</w:t>
            </w:r>
          </w:p>
        </w:tc>
        <w:tc>
          <w:tcPr>
            <w:tcW w:w="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18.8 %</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(b)</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n/a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n/a</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8.0 %</w:t>
            </w:r>
          </w:p>
        </w:tc>
        <w:tc>
          <w:tcPr>
            <w:tcW w:w="0" w:type="dxa"/>
            <w:vAlign w:val="bottom"/>
          </w:tcPr>
          <w:p>
            <w:pPr>
              <w:spacing w:after="0"/>
              <w:rPr>
                <w:sz w:val="1"/>
                <w:szCs w:val="1"/>
                <w:color w:val="auto"/>
              </w:rPr>
            </w:pPr>
          </w:p>
        </w:tc>
      </w:tr>
      <w:tr>
        <w:trPr>
          <w:trHeight w:val="124"/>
        </w:trPr>
        <w:tc>
          <w:tcPr>
            <w:tcW w:w="3700" w:type="dxa"/>
            <w:vAlign w:val="bottom"/>
            <w:tcBorders>
              <w:bottom w:val="single" w:sz="8" w:color="CCEEFF"/>
            </w:tcBorders>
          </w:tcPr>
          <w:p>
            <w:pPr>
              <w:ind w:left="460"/>
              <w:spacing w:after="0" w:line="124" w:lineRule="exact"/>
              <w:rPr>
                <w:sz w:val="20"/>
                <w:szCs w:val="20"/>
                <w:color w:val="auto"/>
              </w:rPr>
            </w:pPr>
            <w:r>
              <w:rPr>
                <w:rFonts w:ascii="Times New Roman" w:cs="Times New Roman" w:eastAsia="Times New Roman" w:hAnsi="Times New Roman"/>
                <w:sz w:val="10"/>
                <w:szCs w:val="10"/>
                <w:color w:val="auto"/>
              </w:rPr>
              <w:t>Total electric revenues</w:t>
            </w:r>
            <w:r>
              <w:rPr>
                <w:rFonts w:ascii="Times New Roman" w:cs="Times New Roman" w:eastAsia="Times New Roman" w:hAnsi="Times New Roman"/>
                <w:sz w:val="12"/>
                <w:szCs w:val="12"/>
                <w:color w:val="auto"/>
                <w:vertAlign w:val="superscript"/>
              </w:rPr>
              <w:t>(c)(d)</w:t>
            </w:r>
          </w:p>
        </w:tc>
        <w:tc>
          <w:tcPr>
            <w:tcW w:w="4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8,208</w:t>
            </w:r>
          </w:p>
        </w:tc>
        <w:tc>
          <w:tcPr>
            <w:tcW w:w="100" w:type="dxa"/>
            <w:vAlign w:val="bottom"/>
            <w:tcBorders>
              <w:bottom w:val="single" w:sz="8" w:color="CCEEFF"/>
            </w:tcBorders>
          </w:tcPr>
          <w:p>
            <w:pPr>
              <w:spacing w:after="0"/>
              <w:rPr>
                <w:sz w:val="10"/>
                <w:szCs w:val="10"/>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8,374</w:t>
            </w:r>
          </w:p>
        </w:tc>
        <w:tc>
          <w:tcPr>
            <w:tcW w:w="1140" w:type="dxa"/>
            <w:vAlign w:val="bottom"/>
            <w:tcBorders>
              <w:bottom w:val="single" w:sz="8" w:color="CCEEFF"/>
            </w:tcBorders>
            <w:gridSpan w:val="4"/>
          </w:tcPr>
          <w:p>
            <w:pPr>
              <w:jc w:val="right"/>
              <w:ind w:right="20"/>
              <w:spacing w:after="0" w:line="107" w:lineRule="exact"/>
              <w:rPr>
                <w:sz w:val="20"/>
                <w:szCs w:val="20"/>
                <w:color w:val="auto"/>
              </w:rPr>
            </w:pPr>
            <w:r>
              <w:rPr>
                <w:rFonts w:ascii="Times New Roman" w:cs="Times New Roman" w:eastAsia="Times New Roman" w:hAnsi="Times New Roman"/>
                <w:sz w:val="10"/>
                <w:szCs w:val="10"/>
                <w:color w:val="auto"/>
              </w:rPr>
              <w:t>(2.0)%</w:t>
            </w: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(4.7)%</w:t>
            </w:r>
          </w:p>
        </w:tc>
        <w:tc>
          <w:tcPr>
            <w:tcW w:w="10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885</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779</w:t>
            </w:r>
          </w:p>
        </w:tc>
        <w:tc>
          <w:tcPr>
            <w:tcW w:w="11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13.6 %</w:t>
            </w:r>
          </w:p>
        </w:tc>
        <w:tc>
          <w:tcPr>
            <w:tcW w:w="0" w:type="dxa"/>
            <w:vAlign w:val="bottom"/>
          </w:tcPr>
          <w:p>
            <w:pPr>
              <w:spacing w:after="0"/>
              <w:rPr>
                <w:sz w:val="1"/>
                <w:szCs w:val="1"/>
                <w:color w:val="auto"/>
              </w:rPr>
            </w:pPr>
          </w:p>
        </w:tc>
      </w:tr>
      <w:tr>
        <w:trPr>
          <w:trHeight w:val="124"/>
        </w:trPr>
        <w:tc>
          <w:tcPr>
            <w:tcW w:w="37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(e)</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11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11.1 %</w:t>
            </w:r>
          </w:p>
        </w:tc>
        <w:tc>
          <w:tcPr>
            <w:tcW w:w="0" w:type="dxa"/>
            <w:vAlign w:val="bottom"/>
          </w:tcPr>
          <w:p>
            <w:pPr>
              <w:spacing w:after="0"/>
              <w:rPr>
                <w:sz w:val="1"/>
                <w:szCs w:val="1"/>
                <w:color w:val="auto"/>
              </w:rPr>
            </w:pPr>
          </w:p>
        </w:tc>
      </w:tr>
      <w:tr>
        <w:trPr>
          <w:trHeight w:val="118"/>
        </w:trPr>
        <w:tc>
          <w:tcPr>
            <w:tcW w:w="4320" w:type="dxa"/>
            <w:vAlign w:val="bottom"/>
            <w:tcBorders>
              <w:bottom w:val="single" w:sz="8" w:color="CCEEFF"/>
            </w:tcBorders>
            <w:gridSpan w:val="3"/>
          </w:tcPr>
          <w:p>
            <w:pPr>
              <w:ind w:left="460"/>
              <w:spacing w:after="0" w:line="107" w:lineRule="exact"/>
              <w:rPr>
                <w:sz w:val="20"/>
                <w:szCs w:val="20"/>
                <w:color w:val="auto"/>
              </w:rPr>
            </w:pPr>
            <w:r>
              <w:rPr>
                <w:rFonts w:ascii="Times New Roman" w:cs="Times New Roman" w:eastAsia="Times New Roman" w:hAnsi="Times New Roman"/>
                <w:sz w:val="10"/>
                <w:szCs w:val="10"/>
                <w:color w:val="auto"/>
              </w:rPr>
              <w:t>Total Electric Revenues</w:t>
            </w:r>
          </w:p>
        </w:tc>
        <w:tc>
          <w:tcPr>
            <w:tcW w:w="3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895</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788</w:t>
            </w:r>
          </w:p>
        </w:tc>
        <w:tc>
          <w:tcPr>
            <w:tcW w:w="11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13.6 %</w:t>
            </w:r>
          </w:p>
        </w:tc>
        <w:tc>
          <w:tcPr>
            <w:tcW w:w="0" w:type="dxa"/>
            <w:vAlign w:val="bottom"/>
          </w:tcPr>
          <w:p>
            <w:pPr>
              <w:spacing w:after="0"/>
              <w:rPr>
                <w:sz w:val="1"/>
                <w:szCs w:val="1"/>
                <w:color w:val="auto"/>
              </w:rPr>
            </w:pPr>
          </w:p>
        </w:tc>
      </w:tr>
      <w:tr>
        <w:trPr>
          <w:trHeight w:val="121"/>
        </w:trPr>
        <w:tc>
          <w:tcPr>
            <w:tcW w:w="4320" w:type="dxa"/>
            <w:vAlign w:val="bottom"/>
            <w:gridSpan w:val="3"/>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Natural Gas (in mmcfs)</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3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0"/>
                <w:szCs w:val="10"/>
                <w:b w:val="1"/>
                <w:bCs w:val="1"/>
                <w:color w:val="auto"/>
              </w:rPr>
              <w:t>Natural Gas Deliveries and Revenues</w:t>
            </w:r>
            <w:r>
              <w:rPr>
                <w:rFonts w:ascii="Times New Roman" w:cs="Times New Roman" w:eastAsia="Times New Roman" w:hAnsi="Times New Roman"/>
                <w:sz w:val="12"/>
                <w:szCs w:val="12"/>
                <w:b w:val="1"/>
                <w:bCs w:val="1"/>
                <w:color w:val="auto"/>
                <w:vertAlign w:val="superscript"/>
              </w:rPr>
              <w:t>(f)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Residential</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14,720</w:t>
            </w:r>
          </w:p>
        </w:tc>
        <w:tc>
          <w:tcPr>
            <w:tcW w:w="10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12,549</w:t>
            </w:r>
          </w:p>
        </w:tc>
        <w:tc>
          <w:tcPr>
            <w:tcW w:w="11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17.3 %</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6.3 %</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197</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35.9 %</w:t>
            </w:r>
          </w:p>
        </w:tc>
        <w:tc>
          <w:tcPr>
            <w:tcW w:w="0" w:type="dxa"/>
            <w:vAlign w:val="bottom"/>
          </w:tcPr>
          <w:p>
            <w:pPr>
              <w:spacing w:after="0"/>
              <w:rPr>
                <w:sz w:val="1"/>
                <w:szCs w:val="1"/>
                <w:color w:val="auto"/>
              </w:rPr>
            </w:pPr>
          </w:p>
        </w:tc>
      </w:tr>
      <w:tr>
        <w:trPr>
          <w:trHeight w:val="129"/>
        </w:trPr>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7,663</w:t>
            </w:r>
          </w:p>
        </w:tc>
        <w:tc>
          <w:tcPr>
            <w:tcW w:w="10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7,164</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color w:val="auto"/>
              </w:rPr>
              <w:t>7.0 %</w:t>
            </w:r>
          </w:p>
        </w:tc>
        <w:tc>
          <w:tcPr>
            <w:tcW w:w="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51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29.4 %</w:t>
            </w: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n/a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2.4 %</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n/a</w:t>
            </w:r>
          </w:p>
        </w:tc>
        <w:tc>
          <w:tcPr>
            <w:tcW w:w="0" w:type="dxa"/>
            <w:vAlign w:val="bottom"/>
          </w:tcPr>
          <w:p>
            <w:pPr>
              <w:spacing w:after="0"/>
              <w:rPr>
                <w:sz w:val="1"/>
                <w:szCs w:val="1"/>
                <w:color w:val="auto"/>
              </w:rPr>
            </w:pPr>
          </w:p>
        </w:tc>
      </w:tr>
      <w:tr>
        <w:trPr>
          <w:trHeight w:val="129"/>
        </w:trPr>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Transportation</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6,445</w:t>
            </w:r>
          </w:p>
        </w:tc>
        <w:tc>
          <w:tcPr>
            <w:tcW w:w="10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6,109</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color w:val="auto"/>
              </w:rPr>
              <w:t>5.5 %</w:t>
            </w:r>
          </w:p>
        </w:tc>
        <w:tc>
          <w:tcPr>
            <w:tcW w:w="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1.5 %</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12.5 %</w:t>
            </w: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(g)</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n/a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n/a</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20.0 %</w:t>
            </w:r>
          </w:p>
        </w:tc>
        <w:tc>
          <w:tcPr>
            <w:tcW w:w="0" w:type="dxa"/>
            <w:vAlign w:val="bottom"/>
          </w:tcPr>
          <w:p>
            <w:pPr>
              <w:spacing w:after="0"/>
              <w:rPr>
                <w:sz w:val="1"/>
                <w:szCs w:val="1"/>
                <w:color w:val="auto"/>
              </w:rPr>
            </w:pPr>
          </w:p>
        </w:tc>
      </w:tr>
      <w:tr>
        <w:trPr>
          <w:trHeight w:val="124"/>
        </w:trPr>
        <w:tc>
          <w:tcPr>
            <w:tcW w:w="3700" w:type="dxa"/>
            <w:vAlign w:val="bottom"/>
            <w:tcBorders>
              <w:bottom w:val="single" w:sz="8" w:color="CCEEFF"/>
            </w:tcBorders>
          </w:tcPr>
          <w:p>
            <w:pPr>
              <w:ind w:left="460"/>
              <w:spacing w:after="0" w:line="124" w:lineRule="exact"/>
              <w:rPr>
                <w:sz w:val="20"/>
                <w:szCs w:val="20"/>
                <w:color w:val="auto"/>
              </w:rPr>
            </w:pPr>
            <w:r>
              <w:rPr>
                <w:rFonts w:ascii="Times New Roman" w:cs="Times New Roman" w:eastAsia="Times New Roman" w:hAnsi="Times New Roman"/>
                <w:sz w:val="10"/>
                <w:szCs w:val="10"/>
                <w:color w:val="auto"/>
              </w:rPr>
              <w:t>Total natural gas revenues</w:t>
            </w:r>
            <w:r>
              <w:rPr>
                <w:rFonts w:ascii="Times New Roman" w:cs="Times New Roman" w:eastAsia="Times New Roman" w:hAnsi="Times New Roman"/>
                <w:sz w:val="12"/>
                <w:szCs w:val="12"/>
                <w:color w:val="auto"/>
                <w:vertAlign w:val="superscript"/>
              </w:rPr>
              <w:t>(h)</w:t>
            </w:r>
          </w:p>
        </w:tc>
        <w:tc>
          <w:tcPr>
            <w:tcW w:w="4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28,829</w:t>
            </w:r>
          </w:p>
        </w:tc>
        <w:tc>
          <w:tcPr>
            <w:tcW w:w="100" w:type="dxa"/>
            <w:vAlign w:val="bottom"/>
            <w:tcBorders>
              <w:bottom w:val="single" w:sz="8" w:color="CCEEFF"/>
            </w:tcBorders>
          </w:tcPr>
          <w:p>
            <w:pPr>
              <w:spacing w:after="0"/>
              <w:rPr>
                <w:sz w:val="10"/>
                <w:szCs w:val="10"/>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25,822</w:t>
            </w:r>
          </w:p>
        </w:tc>
        <w:tc>
          <w:tcPr>
            <w:tcW w:w="1140" w:type="dxa"/>
            <w:vAlign w:val="bottom"/>
            <w:tcBorders>
              <w:bottom w:val="single" w:sz="8" w:color="CCEEFF"/>
            </w:tcBorders>
            <w:gridSpan w:val="4"/>
          </w:tcPr>
          <w:p>
            <w:pPr>
              <w:jc w:val="right"/>
              <w:ind w:right="20"/>
              <w:spacing w:after="0" w:line="107" w:lineRule="exact"/>
              <w:rPr>
                <w:sz w:val="20"/>
                <w:szCs w:val="20"/>
                <w:color w:val="auto"/>
              </w:rPr>
            </w:pPr>
            <w:r>
              <w:rPr>
                <w:rFonts w:ascii="Times New Roman" w:cs="Times New Roman" w:eastAsia="Times New Roman" w:hAnsi="Times New Roman"/>
                <w:sz w:val="10"/>
                <w:szCs w:val="10"/>
                <w:color w:val="auto"/>
              </w:rPr>
              <w:t>11.6 %</w:t>
            </w: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2.9 %</w:t>
            </w:r>
          </w:p>
        </w:tc>
        <w:tc>
          <w:tcPr>
            <w:tcW w:w="10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277</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209</w:t>
            </w:r>
          </w:p>
        </w:tc>
        <w:tc>
          <w:tcPr>
            <w:tcW w:w="11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32.5 %</w:t>
            </w:r>
          </w:p>
        </w:tc>
        <w:tc>
          <w:tcPr>
            <w:tcW w:w="0" w:type="dxa"/>
            <w:vAlign w:val="bottom"/>
          </w:tcPr>
          <w:p>
            <w:pPr>
              <w:spacing w:after="0"/>
              <w:rPr>
                <w:sz w:val="1"/>
                <w:szCs w:val="1"/>
                <w:color w:val="auto"/>
              </w:rPr>
            </w:pPr>
          </w:p>
        </w:tc>
      </w:tr>
      <w:tr>
        <w:trPr>
          <w:trHeight w:val="124"/>
        </w:trPr>
        <w:tc>
          <w:tcPr>
            <w:tcW w:w="37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(e)</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1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(100.0)%</w:t>
            </w:r>
          </w:p>
        </w:tc>
        <w:tc>
          <w:tcPr>
            <w:tcW w:w="0" w:type="dxa"/>
            <w:vAlign w:val="bottom"/>
          </w:tcPr>
          <w:p>
            <w:pPr>
              <w:spacing w:after="0"/>
              <w:rPr>
                <w:sz w:val="1"/>
                <w:szCs w:val="1"/>
                <w:color w:val="auto"/>
              </w:rPr>
            </w:pPr>
          </w:p>
        </w:tc>
      </w:tr>
      <w:tr>
        <w:trPr>
          <w:trHeight w:val="118"/>
        </w:trPr>
        <w:tc>
          <w:tcPr>
            <w:tcW w:w="4320" w:type="dxa"/>
            <w:vAlign w:val="bottom"/>
            <w:tcBorders>
              <w:bottom w:val="single" w:sz="8" w:color="CCEEFF"/>
            </w:tcBorders>
            <w:gridSpan w:val="3"/>
          </w:tcPr>
          <w:p>
            <w:pPr>
              <w:ind w:left="460"/>
              <w:spacing w:after="0" w:line="107" w:lineRule="exact"/>
              <w:rPr>
                <w:sz w:val="20"/>
                <w:szCs w:val="20"/>
                <w:color w:val="auto"/>
              </w:rPr>
            </w:pPr>
            <w:r>
              <w:rPr>
                <w:rFonts w:ascii="Times New Roman" w:cs="Times New Roman" w:eastAsia="Times New Roman" w:hAnsi="Times New Roman"/>
                <w:sz w:val="10"/>
                <w:szCs w:val="10"/>
                <w:color w:val="auto"/>
              </w:rPr>
              <w:t>Total Natural Gas Revenues</w:t>
            </w:r>
          </w:p>
        </w:tc>
        <w:tc>
          <w:tcPr>
            <w:tcW w:w="3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277</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210</w:t>
            </w:r>
          </w:p>
        </w:tc>
        <w:tc>
          <w:tcPr>
            <w:tcW w:w="11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31.9 %</w:t>
            </w:r>
          </w:p>
        </w:tc>
        <w:tc>
          <w:tcPr>
            <w:tcW w:w="0" w:type="dxa"/>
            <w:vAlign w:val="bottom"/>
          </w:tcPr>
          <w:p>
            <w:pPr>
              <w:spacing w:after="0"/>
              <w:rPr>
                <w:sz w:val="1"/>
                <w:szCs w:val="1"/>
                <w:color w:val="auto"/>
              </w:rPr>
            </w:pPr>
          </w:p>
        </w:tc>
      </w:tr>
      <w:tr>
        <w:trPr>
          <w:trHeight w:val="157"/>
        </w:trPr>
        <w:tc>
          <w:tcPr>
            <w:tcW w:w="432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Total Electric and Natural Gas Revenues</w:t>
            </w:r>
          </w:p>
        </w:tc>
        <w:tc>
          <w:tcPr>
            <w:tcW w:w="3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1,172</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17.4 %</w:t>
            </w:r>
          </w:p>
        </w:tc>
        <w:tc>
          <w:tcPr>
            <w:tcW w:w="0" w:type="dxa"/>
            <w:vAlign w:val="bottom"/>
          </w:tcPr>
          <w:p>
            <w:pPr>
              <w:spacing w:after="0"/>
              <w:rPr>
                <w:sz w:val="1"/>
                <w:szCs w:val="1"/>
                <w:color w:val="auto"/>
              </w:rPr>
            </w:pPr>
          </w:p>
        </w:tc>
      </w:tr>
      <w:tr>
        <w:trPr>
          <w:trHeight w:val="124"/>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Purchased Power and Fuel</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445</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363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22.6 %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Heating and Cooling Degree-Days</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Normal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From 2024</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From Normal</w:t>
            </w:r>
          </w:p>
        </w:tc>
        <w:tc>
          <w:tcPr>
            <w:tcW w:w="0" w:type="dxa"/>
            <w:vAlign w:val="bottom"/>
          </w:tcPr>
          <w:p>
            <w:pPr>
              <w:spacing w:after="0"/>
              <w:rPr>
                <w:sz w:val="1"/>
                <w:szCs w:val="1"/>
                <w:color w:val="auto"/>
              </w:rPr>
            </w:pPr>
          </w:p>
        </w:tc>
      </w:tr>
      <w:tr>
        <w:trPr>
          <w:trHeight w:val="129"/>
        </w:trPr>
        <w:tc>
          <w:tcPr>
            <w:tcW w:w="3740" w:type="dxa"/>
            <w:vAlign w:val="bottom"/>
            <w:tcBorders>
              <w:top w:val="single" w:sz="8" w:color="CCEEFF"/>
            </w:tcBorders>
            <w:gridSpan w:val="2"/>
            <w:shd w:val="clear" w:color="auto" w:fill="CCEEFF"/>
          </w:tcPr>
          <w:p>
            <w:pPr>
              <w:ind w:left="220"/>
              <w:spacing w:after="0" w:line="112" w:lineRule="exact"/>
              <w:rPr>
                <w:sz w:val="20"/>
                <w:szCs w:val="20"/>
                <w:color w:val="auto"/>
              </w:rPr>
            </w:pPr>
            <w:r>
              <w:rPr>
                <w:rFonts w:ascii="Times New Roman" w:cs="Times New Roman" w:eastAsia="Times New Roman" w:hAnsi="Times New Roman"/>
                <w:sz w:val="10"/>
                <w:szCs w:val="10"/>
                <w:color w:val="auto"/>
              </w:rPr>
              <w:t>Heating Degree-Days</w:t>
            </w:r>
          </w:p>
        </w:tc>
        <w:tc>
          <w:tcPr>
            <w:tcW w:w="5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1,590</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1,345</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1,521</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18.2 %</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4.5 %</w:t>
            </w:r>
          </w:p>
        </w:tc>
        <w:tc>
          <w:tcPr>
            <w:tcW w:w="0" w:type="dxa"/>
            <w:vAlign w:val="bottom"/>
          </w:tcPr>
          <w:p>
            <w:pPr>
              <w:spacing w:after="0"/>
              <w:rPr>
                <w:sz w:val="1"/>
                <w:szCs w:val="1"/>
                <w:color w:val="auto"/>
              </w:rPr>
            </w:pPr>
          </w:p>
        </w:tc>
      </w:tr>
      <w:tr>
        <w:trPr>
          <w:trHeight w:val="123"/>
        </w:trPr>
        <w:tc>
          <w:tcPr>
            <w:tcW w:w="4320" w:type="dxa"/>
            <w:vAlign w:val="bottom"/>
            <w:gridSpan w:val="3"/>
          </w:tcPr>
          <w:p>
            <w:pPr>
              <w:ind w:left="220"/>
              <w:spacing w:after="0"/>
              <w:rPr>
                <w:sz w:val="20"/>
                <w:szCs w:val="20"/>
                <w:color w:val="auto"/>
              </w:rPr>
            </w:pPr>
            <w:r>
              <w:rPr>
                <w:rFonts w:ascii="Times New Roman" w:cs="Times New Roman" w:eastAsia="Times New Roman" w:hAnsi="Times New Roman"/>
                <w:sz w:val="10"/>
                <w:szCs w:val="10"/>
                <w:color w:val="auto"/>
              </w:rPr>
              <w:t>Cooling Degree-Days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99"/>
              </w:rPr>
              <w:t>33</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(50.9)%</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280"/>
          </w:cols>
          <w:pgMar w:left="300" w:top="129"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Twelve Months Ended December 31, 2025 and 2024</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10"/>
          </w:tcPr>
          <w:p>
            <w:pPr>
              <w:ind w:left="220"/>
              <w:spacing w:after="0"/>
              <w:rPr>
                <w:sz w:val="20"/>
                <w:szCs w:val="20"/>
                <w:color w:val="auto"/>
              </w:rPr>
            </w:pPr>
            <w:r>
              <w:rPr>
                <w:rFonts w:ascii="Times New Roman" w:cs="Times New Roman" w:eastAsia="Times New Roman" w:hAnsi="Times New Roman"/>
                <w:sz w:val="10"/>
                <w:szCs w:val="10"/>
                <w:b w:val="1"/>
                <w:bCs w:val="1"/>
                <w:color w:val="auto"/>
              </w:rPr>
              <w:t>Electric and Natural Gas Deliveries</w:t>
            </w:r>
          </w:p>
        </w:tc>
        <w:tc>
          <w:tcPr>
            <w:tcW w:w="7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0"/>
                <w:szCs w:val="10"/>
                <w:b w:val="1"/>
                <w:bCs w:val="1"/>
                <w:color w:val="auto"/>
              </w:rPr>
              <w:t>Revenue (in millions)</w:t>
            </w:r>
          </w:p>
        </w:tc>
        <w:tc>
          <w:tcPr>
            <w:tcW w:w="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7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jc w:val="center"/>
              <w:ind w:left="252"/>
              <w:spacing w:after="0" w:line="88" w:lineRule="exact"/>
              <w:rPr>
                <w:sz w:val="20"/>
                <w:szCs w:val="20"/>
                <w:color w:val="auto"/>
              </w:rPr>
            </w:pPr>
            <w:r>
              <w:rPr>
                <w:rFonts w:ascii="Times New Roman" w:cs="Times New Roman" w:eastAsia="Times New Roman" w:hAnsi="Times New Roman"/>
                <w:sz w:val="10"/>
                <w:szCs w:val="10"/>
                <w:b w:val="1"/>
                <w:bCs w:val="1"/>
                <w:color w:val="auto"/>
                <w:w w:val="93"/>
              </w:rPr>
              <w:t>Weather-</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700" w:type="dxa"/>
            <w:vAlign w:val="bottom"/>
          </w:tcPr>
          <w:p>
            <w:pPr>
              <w:spacing w:after="0"/>
              <w:rPr>
                <w:sz w:val="7"/>
                <w:szCs w:val="7"/>
                <w:color w:val="auto"/>
              </w:rPr>
            </w:pPr>
          </w:p>
        </w:tc>
        <w:tc>
          <w:tcPr>
            <w:tcW w:w="960" w:type="dxa"/>
            <w:vAlign w:val="bottom"/>
            <w:gridSpan w:val="3"/>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gridSpan w:val="3"/>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gridSpan w:val="4"/>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760" w:type="dxa"/>
            <w:vAlign w:val="bottom"/>
          </w:tcPr>
          <w:p>
            <w:pPr>
              <w:jc w:val="center"/>
              <w:ind w:left="272"/>
              <w:spacing w:after="0" w:line="92" w:lineRule="exact"/>
              <w:rPr>
                <w:sz w:val="20"/>
                <w:szCs w:val="20"/>
                <w:color w:val="auto"/>
              </w:rPr>
            </w:pPr>
            <w:r>
              <w:rPr>
                <w:rFonts w:ascii="Times New Roman" w:cs="Times New Roman" w:eastAsia="Times New Roman" w:hAnsi="Times New Roman"/>
                <w:sz w:val="10"/>
                <w:szCs w:val="10"/>
                <w:b w:val="1"/>
                <w:bCs w:val="1"/>
                <w:color w:val="auto"/>
                <w:w w:val="97"/>
              </w:rPr>
              <w:t>Normal</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2024</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vMerge w:val="restart"/>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34"/>
        </w:trPr>
        <w:tc>
          <w:tcPr>
            <w:tcW w:w="370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4"/>
            <w:vMerge w:val="continue"/>
          </w:tcPr>
          <w:p>
            <w:pPr>
              <w:spacing w:after="0"/>
              <w:rPr>
                <w:sz w:val="11"/>
                <w:szCs w:val="11"/>
                <w:color w:val="auto"/>
              </w:rPr>
            </w:pPr>
          </w:p>
        </w:tc>
        <w:tc>
          <w:tcPr>
            <w:tcW w:w="760" w:type="dxa"/>
            <w:vAlign w:val="bottom"/>
          </w:tcPr>
          <w:p>
            <w:pPr>
              <w:jc w:val="center"/>
              <w:ind w:left="272"/>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700" w:type="dxa"/>
            <w:vAlign w:val="bottom"/>
            <w:tcBorders>
              <w:top w:val="single" w:sz="8" w:color="CCEEFF"/>
            </w:tcBorders>
            <w:shd w:val="clear" w:color="auto" w:fill="CCEEFF"/>
          </w:tcPr>
          <w:p>
            <w:pPr>
              <w:ind w:left="20"/>
              <w:spacing w:after="0" w:line="114" w:lineRule="exact"/>
              <w:rPr>
                <w:sz w:val="20"/>
                <w:szCs w:val="20"/>
                <w:color w:val="auto"/>
              </w:rPr>
            </w:pPr>
            <w:r>
              <w:rPr>
                <w:rFonts w:ascii="Times New Roman" w:cs="Times New Roman" w:eastAsia="Times New Roman" w:hAnsi="Times New Roman"/>
                <w:sz w:val="10"/>
                <w:szCs w:val="10"/>
                <w:b w:val="1"/>
                <w:bCs w:val="1"/>
                <w:color w:val="auto"/>
              </w:rPr>
              <w:t>Electric (in GWhs)</w:t>
            </w: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00" w:type="dxa"/>
            <w:vAlign w:val="bottom"/>
          </w:tcPr>
          <w:p>
            <w:pPr>
              <w:ind w:left="20"/>
              <w:spacing w:after="0" w:line="135" w:lineRule="exact"/>
              <w:rPr>
                <w:sz w:val="20"/>
                <w:szCs w:val="20"/>
                <w:color w:val="auto"/>
              </w:rPr>
            </w:pPr>
            <w:r>
              <w:rPr>
                <w:rFonts w:ascii="Times New Roman" w:cs="Times New Roman" w:eastAsia="Times New Roman" w:hAnsi="Times New Roman"/>
                <w:sz w:val="10"/>
                <w:szCs w:val="10"/>
                <w:b w:val="1"/>
                <w:bCs w:val="1"/>
                <w:color w:val="auto"/>
              </w:rPr>
              <w:t>Electric Deliveries and Revenues</w:t>
            </w:r>
            <w:r>
              <w:rPr>
                <w:rFonts w:ascii="Times New Roman" w:cs="Times New Roman" w:eastAsia="Times New Roman" w:hAnsi="Times New Roman"/>
                <w:sz w:val="12"/>
                <w:szCs w:val="12"/>
                <w:b w:val="1"/>
                <w:bCs w:val="1"/>
                <w:color w:val="auto"/>
                <w:vertAlign w:val="superscript"/>
              </w:rPr>
              <w:t>(a)</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Residential</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14,078</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13,963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0.8 %</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2,494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2,169</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15.0 %</w:t>
            </w:r>
          </w:p>
        </w:tc>
        <w:tc>
          <w:tcPr>
            <w:tcW w:w="0" w:type="dxa"/>
            <w:vAlign w:val="bottom"/>
          </w:tcPr>
          <w:p>
            <w:pPr>
              <w:spacing w:after="0"/>
              <w:rPr>
                <w:sz w:val="1"/>
                <w:szCs w:val="1"/>
                <w:color w:val="auto"/>
              </w:rPr>
            </w:pPr>
          </w:p>
        </w:tc>
      </w:tr>
      <w:tr>
        <w:trPr>
          <w:trHeight w:val="129"/>
        </w:trPr>
        <w:tc>
          <w:tcPr>
            <w:tcW w:w="370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7,537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7,683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color w:val="auto"/>
              </w:rPr>
              <w:t>(1.9)%</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627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547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14.6 %</w:t>
            </w:r>
          </w:p>
        </w:tc>
        <w:tc>
          <w:tcPr>
            <w:tcW w:w="0" w:type="dxa"/>
            <w:vAlign w:val="bottom"/>
          </w:tcPr>
          <w:p>
            <w:pPr>
              <w:spacing w:after="0"/>
              <w:rPr>
                <w:sz w:val="1"/>
                <w:szCs w:val="1"/>
                <w:color w:val="auto"/>
              </w:rPr>
            </w:pPr>
          </w:p>
        </w:tc>
      </w:tr>
      <w:tr>
        <w:trPr>
          <w:trHeight w:val="141"/>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13,683</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13,889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(1.5)%</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29.9 %</w:t>
            </w:r>
          </w:p>
        </w:tc>
        <w:tc>
          <w:tcPr>
            <w:tcW w:w="0" w:type="dxa"/>
            <w:vAlign w:val="bottom"/>
          </w:tcPr>
          <w:p>
            <w:pPr>
              <w:spacing w:after="0"/>
              <w:rPr>
                <w:sz w:val="1"/>
                <w:szCs w:val="1"/>
                <w:color w:val="auto"/>
              </w:rPr>
            </w:pPr>
          </w:p>
        </w:tc>
      </w:tr>
      <w:tr>
        <w:trPr>
          <w:trHeight w:val="129"/>
        </w:trPr>
        <w:tc>
          <w:tcPr>
            <w:tcW w:w="370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678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613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color w:val="auto"/>
              </w:rPr>
              <w:t>10.6 %</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8"/>
              </w:rPr>
              <w:t>11.0 %</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29</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17.2 %</w:t>
            </w:r>
          </w:p>
        </w:tc>
        <w:tc>
          <w:tcPr>
            <w:tcW w:w="0" w:type="dxa"/>
            <w:vAlign w:val="bottom"/>
          </w:tcPr>
          <w:p>
            <w:pPr>
              <w:spacing w:after="0"/>
              <w:rPr>
                <w:sz w:val="1"/>
                <w:szCs w:val="1"/>
                <w:color w:val="auto"/>
              </w:rPr>
            </w:pPr>
          </w:p>
        </w:tc>
      </w:tr>
      <w:tr>
        <w:trPr>
          <w:trHeight w:val="141"/>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(b)</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n/a</w:t>
            </w:r>
          </w:p>
        </w:tc>
        <w:tc>
          <w:tcPr>
            <w:tcW w:w="7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n/a</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5.4 %</w:t>
            </w:r>
          </w:p>
        </w:tc>
        <w:tc>
          <w:tcPr>
            <w:tcW w:w="0" w:type="dxa"/>
            <w:vAlign w:val="bottom"/>
          </w:tcPr>
          <w:p>
            <w:pPr>
              <w:spacing w:after="0"/>
              <w:rPr>
                <w:sz w:val="1"/>
                <w:szCs w:val="1"/>
                <w:color w:val="auto"/>
              </w:rPr>
            </w:pPr>
          </w:p>
        </w:tc>
      </w:tr>
      <w:tr>
        <w:trPr>
          <w:trHeight w:val="124"/>
        </w:trPr>
        <w:tc>
          <w:tcPr>
            <w:tcW w:w="3700" w:type="dxa"/>
            <w:vAlign w:val="bottom"/>
            <w:tcBorders>
              <w:bottom w:val="single" w:sz="8" w:color="CCEEFF"/>
            </w:tcBorders>
          </w:tcPr>
          <w:p>
            <w:pPr>
              <w:ind w:left="460"/>
              <w:spacing w:after="0" w:line="124" w:lineRule="exact"/>
              <w:rPr>
                <w:sz w:val="20"/>
                <w:szCs w:val="20"/>
                <w:color w:val="auto"/>
              </w:rPr>
            </w:pPr>
            <w:r>
              <w:rPr>
                <w:rFonts w:ascii="Times New Roman" w:cs="Times New Roman" w:eastAsia="Times New Roman" w:hAnsi="Times New Roman"/>
                <w:sz w:val="10"/>
                <w:szCs w:val="10"/>
                <w:color w:val="auto"/>
              </w:rPr>
              <w:t>Total electric revenues</w:t>
            </w:r>
            <w:r>
              <w:rPr>
                <w:rFonts w:ascii="Times New Roman" w:cs="Times New Roman" w:eastAsia="Times New Roman" w:hAnsi="Times New Roman"/>
                <w:sz w:val="12"/>
                <w:szCs w:val="12"/>
                <w:color w:val="auto"/>
                <w:vertAlign w:val="superscript"/>
              </w:rPr>
              <w:t>(c)</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35,976</w:t>
            </w:r>
          </w:p>
        </w:tc>
        <w:tc>
          <w:tcPr>
            <w:tcW w:w="100" w:type="dxa"/>
            <w:vAlign w:val="bottom"/>
            <w:tcBorders>
              <w:bottom w:val="single" w:sz="8" w:color="CCEEFF"/>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36,148</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0" w:type="dxa"/>
            <w:vAlign w:val="bottom"/>
            <w:tcBorders>
              <w:bottom w:val="single" w:sz="8" w:color="CCEEFF"/>
            </w:tcBorders>
            <w:gridSpan w:val="4"/>
          </w:tcPr>
          <w:p>
            <w:pPr>
              <w:jc w:val="right"/>
              <w:ind w:right="20"/>
              <w:spacing w:after="0" w:line="107" w:lineRule="exact"/>
              <w:rPr>
                <w:sz w:val="20"/>
                <w:szCs w:val="20"/>
                <w:color w:val="auto"/>
              </w:rPr>
            </w:pPr>
            <w:r>
              <w:rPr>
                <w:rFonts w:ascii="Times New Roman" w:cs="Times New Roman" w:eastAsia="Times New Roman" w:hAnsi="Times New Roman"/>
                <w:sz w:val="10"/>
                <w:szCs w:val="10"/>
                <w:color w:val="auto"/>
              </w:rPr>
              <w:t>(0.5)%</w:t>
            </w:r>
          </w:p>
        </w:tc>
        <w:tc>
          <w:tcPr>
            <w:tcW w:w="8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(1.9)%</w:t>
            </w:r>
          </w:p>
        </w:tc>
        <w:tc>
          <w:tcPr>
            <w:tcW w:w="10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3,806</w:t>
            </w:r>
          </w:p>
        </w:tc>
        <w:tc>
          <w:tcPr>
            <w:tcW w:w="10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3,302</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15.3 %</w:t>
            </w:r>
          </w:p>
        </w:tc>
        <w:tc>
          <w:tcPr>
            <w:tcW w:w="0" w:type="dxa"/>
            <w:vAlign w:val="bottom"/>
          </w:tcPr>
          <w:p>
            <w:pPr>
              <w:spacing w:after="0"/>
              <w:rPr>
                <w:sz w:val="1"/>
                <w:szCs w:val="1"/>
                <w:color w:val="auto"/>
              </w:rPr>
            </w:pPr>
          </w:p>
        </w:tc>
      </w:tr>
      <w:tr>
        <w:trPr>
          <w:trHeight w:val="124"/>
        </w:trPr>
        <w:tc>
          <w:tcPr>
            <w:tcW w:w="37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(e)</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w:t>
            </w: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(8.7)%</w:t>
            </w:r>
          </w:p>
        </w:tc>
        <w:tc>
          <w:tcPr>
            <w:tcW w:w="0" w:type="dxa"/>
            <w:vAlign w:val="bottom"/>
          </w:tcPr>
          <w:p>
            <w:pPr>
              <w:spacing w:after="0"/>
              <w:rPr>
                <w:sz w:val="1"/>
                <w:szCs w:val="1"/>
                <w:color w:val="auto"/>
              </w:rPr>
            </w:pPr>
          </w:p>
        </w:tc>
      </w:tr>
      <w:tr>
        <w:trPr>
          <w:trHeight w:val="118"/>
        </w:trPr>
        <w:tc>
          <w:tcPr>
            <w:tcW w:w="3700" w:type="dxa"/>
            <w:vAlign w:val="bottom"/>
            <w:tcBorders>
              <w:bottom w:val="single" w:sz="8" w:color="CCEEFF"/>
            </w:tcBorders>
          </w:tcPr>
          <w:p>
            <w:pPr>
              <w:ind w:left="460"/>
              <w:spacing w:after="0" w:line="107" w:lineRule="exact"/>
              <w:rPr>
                <w:sz w:val="20"/>
                <w:szCs w:val="20"/>
                <w:color w:val="auto"/>
              </w:rPr>
            </w:pPr>
            <w:r>
              <w:rPr>
                <w:rFonts w:ascii="Times New Roman" w:cs="Times New Roman" w:eastAsia="Times New Roman" w:hAnsi="Times New Roman"/>
                <w:sz w:val="10"/>
                <w:szCs w:val="10"/>
                <w:color w:val="auto"/>
              </w:rPr>
              <w:t>Total Electric Revenues</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3,827</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3,325</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15.1 %</w:t>
            </w:r>
          </w:p>
        </w:tc>
        <w:tc>
          <w:tcPr>
            <w:tcW w:w="0" w:type="dxa"/>
            <w:vAlign w:val="bottom"/>
          </w:tcPr>
          <w:p>
            <w:pPr>
              <w:spacing w:after="0"/>
              <w:rPr>
                <w:sz w:val="1"/>
                <w:szCs w:val="1"/>
                <w:color w:val="auto"/>
              </w:rPr>
            </w:pPr>
          </w:p>
        </w:tc>
      </w:tr>
      <w:tr>
        <w:trPr>
          <w:trHeight w:val="121"/>
        </w:trPr>
        <w:tc>
          <w:tcPr>
            <w:tcW w:w="3700" w:type="dxa"/>
            <w:vAlign w:val="bottom"/>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Natural Gas (in mmcfs)</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00" w:type="dxa"/>
            <w:vAlign w:val="bottom"/>
          </w:tcPr>
          <w:p>
            <w:pPr>
              <w:ind w:left="20"/>
              <w:spacing w:after="0" w:line="135" w:lineRule="exact"/>
              <w:rPr>
                <w:sz w:val="20"/>
                <w:szCs w:val="20"/>
                <w:color w:val="auto"/>
              </w:rPr>
            </w:pPr>
            <w:r>
              <w:rPr>
                <w:rFonts w:ascii="Times New Roman" w:cs="Times New Roman" w:eastAsia="Times New Roman" w:hAnsi="Times New Roman"/>
                <w:sz w:val="10"/>
                <w:szCs w:val="10"/>
                <w:b w:val="1"/>
                <w:bCs w:val="1"/>
                <w:color w:val="auto"/>
              </w:rPr>
              <w:t>Natural Gas Deliveries and Revenues</w:t>
            </w:r>
            <w:r>
              <w:rPr>
                <w:rFonts w:ascii="Times New Roman" w:cs="Times New Roman" w:eastAsia="Times New Roman" w:hAnsi="Times New Roman"/>
                <w:sz w:val="12"/>
                <w:szCs w:val="12"/>
                <w:b w:val="1"/>
                <w:bCs w:val="1"/>
                <w:color w:val="auto"/>
                <w:vertAlign w:val="superscript"/>
              </w:rPr>
              <w:t>(f)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Residential</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43,189</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38,328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12.7 %</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1.6 %</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445</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33.3 %</w:t>
            </w:r>
          </w:p>
        </w:tc>
        <w:tc>
          <w:tcPr>
            <w:tcW w:w="0" w:type="dxa"/>
            <w:vAlign w:val="bottom"/>
          </w:tcPr>
          <w:p>
            <w:pPr>
              <w:spacing w:after="0"/>
              <w:rPr>
                <w:sz w:val="1"/>
                <w:szCs w:val="1"/>
                <w:color w:val="auto"/>
              </w:rPr>
            </w:pPr>
          </w:p>
        </w:tc>
      </w:tr>
      <w:tr>
        <w:trPr>
          <w:trHeight w:val="129"/>
        </w:trPr>
        <w:tc>
          <w:tcPr>
            <w:tcW w:w="370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23,709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21,906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color w:val="auto"/>
              </w:rPr>
              <w:t>8.2 %</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0.6 %</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157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31.2 %</w:t>
            </w:r>
          </w:p>
        </w:tc>
        <w:tc>
          <w:tcPr>
            <w:tcW w:w="0" w:type="dxa"/>
            <w:vAlign w:val="bottom"/>
          </w:tcPr>
          <w:p>
            <w:pPr>
              <w:spacing w:after="0"/>
              <w:rPr>
                <w:sz w:val="1"/>
                <w:szCs w:val="1"/>
                <w:color w:val="auto"/>
              </w:rPr>
            </w:pPr>
          </w:p>
        </w:tc>
      </w:tr>
      <w:tr>
        <w:trPr>
          <w:trHeight w:val="141"/>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(11.8)%</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n/a</w:t>
            </w:r>
          </w:p>
        </w:tc>
        <w:tc>
          <w:tcPr>
            <w:tcW w:w="0" w:type="dxa"/>
            <w:vAlign w:val="bottom"/>
          </w:tcPr>
          <w:p>
            <w:pPr>
              <w:spacing w:after="0"/>
              <w:rPr>
                <w:sz w:val="1"/>
                <w:szCs w:val="1"/>
                <w:color w:val="auto"/>
              </w:rPr>
            </w:pPr>
          </w:p>
        </w:tc>
      </w:tr>
      <w:tr>
        <w:trPr>
          <w:trHeight w:val="129"/>
        </w:trPr>
        <w:tc>
          <w:tcPr>
            <w:tcW w:w="370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Transportation</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24,204</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23,357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color w:val="auto"/>
              </w:rPr>
              <w:t>3.6 %</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0.7 %</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32.1 %</w:t>
            </w:r>
          </w:p>
        </w:tc>
        <w:tc>
          <w:tcPr>
            <w:tcW w:w="0" w:type="dxa"/>
            <w:vAlign w:val="bottom"/>
          </w:tcPr>
          <w:p>
            <w:pPr>
              <w:spacing w:after="0"/>
              <w:rPr>
                <w:sz w:val="1"/>
                <w:szCs w:val="1"/>
                <w:color w:val="auto"/>
              </w:rPr>
            </w:pPr>
          </w:p>
        </w:tc>
      </w:tr>
      <w:tr>
        <w:trPr>
          <w:trHeight w:val="141"/>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(g)</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n/a</w:t>
            </w:r>
          </w:p>
        </w:tc>
        <w:tc>
          <w:tcPr>
            <w:tcW w:w="7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0"/>
                <w:szCs w:val="10"/>
                <w:color w:val="auto"/>
              </w:rPr>
              <w:t>n/a</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18.8 %</w:t>
            </w:r>
          </w:p>
        </w:tc>
        <w:tc>
          <w:tcPr>
            <w:tcW w:w="0" w:type="dxa"/>
            <w:vAlign w:val="bottom"/>
          </w:tcPr>
          <w:p>
            <w:pPr>
              <w:spacing w:after="0"/>
              <w:rPr>
                <w:sz w:val="1"/>
                <w:szCs w:val="1"/>
                <w:color w:val="auto"/>
              </w:rPr>
            </w:pPr>
          </w:p>
        </w:tc>
      </w:tr>
      <w:tr>
        <w:trPr>
          <w:trHeight w:val="124"/>
        </w:trPr>
        <w:tc>
          <w:tcPr>
            <w:tcW w:w="3700" w:type="dxa"/>
            <w:vAlign w:val="bottom"/>
            <w:tcBorders>
              <w:bottom w:val="single" w:sz="8" w:color="CCEEFF"/>
            </w:tcBorders>
          </w:tcPr>
          <w:p>
            <w:pPr>
              <w:ind w:left="460"/>
              <w:spacing w:after="0" w:line="124" w:lineRule="exact"/>
              <w:rPr>
                <w:sz w:val="20"/>
                <w:szCs w:val="20"/>
                <w:color w:val="auto"/>
              </w:rPr>
            </w:pPr>
            <w:r>
              <w:rPr>
                <w:rFonts w:ascii="Times New Roman" w:cs="Times New Roman" w:eastAsia="Times New Roman" w:hAnsi="Times New Roman"/>
                <w:sz w:val="10"/>
                <w:szCs w:val="10"/>
                <w:color w:val="auto"/>
              </w:rPr>
              <w:t>Total natural gas revenues</w:t>
            </w:r>
            <w:r>
              <w:rPr>
                <w:rFonts w:ascii="Times New Roman" w:cs="Times New Roman" w:eastAsia="Times New Roman" w:hAnsi="Times New Roman"/>
                <w:sz w:val="12"/>
                <w:szCs w:val="12"/>
                <w:color w:val="auto"/>
                <w:vertAlign w:val="superscript"/>
              </w:rPr>
              <w:t>(h)</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91,117</w:t>
            </w:r>
          </w:p>
        </w:tc>
        <w:tc>
          <w:tcPr>
            <w:tcW w:w="100" w:type="dxa"/>
            <w:vAlign w:val="bottom"/>
            <w:tcBorders>
              <w:bottom w:val="single" w:sz="8" w:color="CCEEFF"/>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83,608</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1000" w:type="dxa"/>
            <w:vAlign w:val="bottom"/>
            <w:tcBorders>
              <w:bottom w:val="single" w:sz="8" w:color="CCEEFF"/>
            </w:tcBorders>
            <w:gridSpan w:val="4"/>
          </w:tcPr>
          <w:p>
            <w:pPr>
              <w:jc w:val="right"/>
              <w:ind w:right="20"/>
              <w:spacing w:after="0" w:line="107" w:lineRule="exact"/>
              <w:rPr>
                <w:sz w:val="20"/>
                <w:szCs w:val="20"/>
                <w:color w:val="auto"/>
              </w:rPr>
            </w:pPr>
            <w:r>
              <w:rPr>
                <w:rFonts w:ascii="Times New Roman" w:cs="Times New Roman" w:eastAsia="Times New Roman" w:hAnsi="Times New Roman"/>
                <w:sz w:val="10"/>
                <w:szCs w:val="10"/>
                <w:color w:val="auto"/>
              </w:rPr>
              <w:t>9.0 %</w:t>
            </w:r>
          </w:p>
        </w:tc>
        <w:tc>
          <w:tcPr>
            <w:tcW w:w="8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1.1 %</w:t>
            </w:r>
          </w:p>
        </w:tc>
        <w:tc>
          <w:tcPr>
            <w:tcW w:w="10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855</w:t>
            </w:r>
          </w:p>
        </w:tc>
        <w:tc>
          <w:tcPr>
            <w:tcW w:w="10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646</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32.4 %</w:t>
            </w:r>
          </w:p>
        </w:tc>
        <w:tc>
          <w:tcPr>
            <w:tcW w:w="0" w:type="dxa"/>
            <w:vAlign w:val="bottom"/>
          </w:tcPr>
          <w:p>
            <w:pPr>
              <w:spacing w:after="0"/>
              <w:rPr>
                <w:sz w:val="1"/>
                <w:szCs w:val="1"/>
                <w:color w:val="auto"/>
              </w:rPr>
            </w:pPr>
          </w:p>
        </w:tc>
      </w:tr>
      <w:tr>
        <w:trPr>
          <w:trHeight w:val="124"/>
        </w:trPr>
        <w:tc>
          <w:tcPr>
            <w:tcW w:w="37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(e)</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118"/>
        </w:trPr>
        <w:tc>
          <w:tcPr>
            <w:tcW w:w="3700" w:type="dxa"/>
            <w:vAlign w:val="bottom"/>
            <w:tcBorders>
              <w:bottom w:val="single" w:sz="8" w:color="CCEEFF"/>
            </w:tcBorders>
          </w:tcPr>
          <w:p>
            <w:pPr>
              <w:ind w:left="460"/>
              <w:spacing w:after="0" w:line="107" w:lineRule="exact"/>
              <w:rPr>
                <w:sz w:val="20"/>
                <w:szCs w:val="20"/>
                <w:color w:val="auto"/>
              </w:rPr>
            </w:pPr>
            <w:r>
              <w:rPr>
                <w:rFonts w:ascii="Times New Roman" w:cs="Times New Roman" w:eastAsia="Times New Roman" w:hAnsi="Times New Roman"/>
                <w:sz w:val="10"/>
                <w:szCs w:val="10"/>
                <w:color w:val="auto"/>
              </w:rPr>
              <w:t>Total Natural Gas Revenues</w:t>
            </w: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857</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648</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32.3 %</w:t>
            </w:r>
          </w:p>
        </w:tc>
        <w:tc>
          <w:tcPr>
            <w:tcW w:w="0" w:type="dxa"/>
            <w:vAlign w:val="bottom"/>
          </w:tcPr>
          <w:p>
            <w:pPr>
              <w:spacing w:after="0"/>
              <w:rPr>
                <w:sz w:val="1"/>
                <w:szCs w:val="1"/>
                <w:color w:val="auto"/>
              </w:rPr>
            </w:pPr>
          </w:p>
        </w:tc>
      </w:tr>
      <w:tr>
        <w:trPr>
          <w:trHeight w:val="146"/>
        </w:trPr>
        <w:tc>
          <w:tcPr>
            <w:tcW w:w="3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Total Electric and Natural Gas Revenues</w:t>
            </w: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7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4,684</w:t>
            </w: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3,973</w:t>
            </w:r>
          </w:p>
        </w:tc>
        <w:tc>
          <w:tcPr>
            <w:tcW w:w="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17.9 %</w:t>
            </w:r>
          </w:p>
        </w:tc>
        <w:tc>
          <w:tcPr>
            <w:tcW w:w="0" w:type="dxa"/>
            <w:vAlign w:val="bottom"/>
          </w:tcPr>
          <w:p>
            <w:pPr>
              <w:spacing w:after="0"/>
              <w:rPr>
                <w:sz w:val="1"/>
                <w:szCs w:val="1"/>
                <w:color w:val="auto"/>
              </w:rPr>
            </w:pPr>
          </w:p>
        </w:tc>
      </w:tr>
      <w:tr>
        <w:trPr>
          <w:trHeight w:val="135"/>
        </w:trPr>
        <w:tc>
          <w:tcPr>
            <w:tcW w:w="37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Purchased Power and Fuel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1,733</w:t>
            </w:r>
          </w:p>
        </w:tc>
        <w:tc>
          <w:tcPr>
            <w:tcW w:w="10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1,477</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17.3 %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7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Heating and Cooling Degree-Days</w:t>
            </w:r>
          </w:p>
        </w:tc>
        <w:tc>
          <w:tcPr>
            <w:tcW w:w="960" w:type="dxa"/>
            <w:vAlign w:val="bottom"/>
            <w:gridSpan w:val="3"/>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ind w:left="360"/>
              <w:spacing w:after="0"/>
              <w:rPr>
                <w:sz w:val="20"/>
                <w:szCs w:val="20"/>
                <w:color w:val="auto"/>
              </w:rPr>
            </w:pPr>
            <w:r>
              <w:rPr>
                <w:rFonts w:ascii="Times New Roman" w:cs="Times New Roman" w:eastAsia="Times New Roman" w:hAnsi="Times New Roman"/>
                <w:sz w:val="10"/>
                <w:szCs w:val="10"/>
                <w:b w:val="1"/>
                <w:bCs w:val="1"/>
                <w:color w:val="auto"/>
              </w:rPr>
              <w:t>Normal</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From 2024</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From Normal</w:t>
            </w:r>
          </w:p>
        </w:tc>
        <w:tc>
          <w:tcPr>
            <w:tcW w:w="0" w:type="dxa"/>
            <w:vAlign w:val="bottom"/>
          </w:tcPr>
          <w:p>
            <w:pPr>
              <w:spacing w:after="0"/>
              <w:rPr>
                <w:sz w:val="1"/>
                <w:szCs w:val="1"/>
                <w:color w:val="auto"/>
              </w:rPr>
            </w:pPr>
          </w:p>
        </w:tc>
      </w:tr>
      <w:tr>
        <w:trPr>
          <w:trHeight w:val="129"/>
        </w:trPr>
        <w:tc>
          <w:tcPr>
            <w:tcW w:w="3700" w:type="dxa"/>
            <w:vAlign w:val="bottom"/>
            <w:tcBorders>
              <w:top w:val="single" w:sz="8" w:color="CCEEFF"/>
            </w:tcBorders>
            <w:shd w:val="clear" w:color="auto" w:fill="CCEEFF"/>
          </w:tcPr>
          <w:p>
            <w:pPr>
              <w:ind w:left="220"/>
              <w:spacing w:after="0" w:line="112" w:lineRule="exact"/>
              <w:rPr>
                <w:sz w:val="20"/>
                <w:szCs w:val="20"/>
                <w:color w:val="auto"/>
              </w:rPr>
            </w:pPr>
            <w:r>
              <w:rPr>
                <w:rFonts w:ascii="Times New Roman" w:cs="Times New Roman" w:eastAsia="Times New Roman" w:hAnsi="Times New Roman"/>
                <w:sz w:val="10"/>
                <w:szCs w:val="10"/>
                <w:color w:val="auto"/>
              </w:rPr>
              <w:t>Heating Degree-Days</w:t>
            </w: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88"/>
              </w:rPr>
              <w:t>4,274</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3,786</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4,348</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12.9 %</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0" w:type="dxa"/>
            <w:vAlign w:val="bottom"/>
          </w:tcPr>
          <w:p>
            <w:pPr>
              <w:spacing w:after="0"/>
              <w:rPr>
                <w:sz w:val="1"/>
                <w:szCs w:val="1"/>
                <w:color w:val="auto"/>
              </w:rPr>
            </w:pPr>
          </w:p>
        </w:tc>
      </w:tr>
      <w:tr>
        <w:trPr>
          <w:trHeight w:val="123"/>
        </w:trPr>
        <w:tc>
          <w:tcPr>
            <w:tcW w:w="37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Cooling Degree-Days</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88"/>
              </w:rPr>
              <w:t>1,547</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1,652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1,455</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6.3 %</w:t>
            </w:r>
          </w:p>
        </w:tc>
        <w:tc>
          <w:tcPr>
            <w:tcW w:w="0" w:type="dxa"/>
            <w:vAlign w:val="bottom"/>
          </w:tcPr>
          <w:p>
            <w:pPr>
              <w:spacing w:after="0"/>
              <w:rPr>
                <w:sz w:val="1"/>
                <w:szCs w:val="1"/>
                <w:color w:val="auto"/>
              </w:rPr>
            </w:pPr>
          </w:p>
        </w:tc>
      </w:tr>
      <w:tr>
        <w:trPr>
          <w:trHeight w:val="381"/>
        </w:trPr>
        <w:tc>
          <w:tcPr>
            <w:tcW w:w="37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Number of Electric Customers</w:t>
            </w:r>
          </w:p>
        </w:tc>
        <w:tc>
          <w:tcPr>
            <w:tcW w:w="960" w:type="dxa"/>
            <w:vAlign w:val="bottom"/>
            <w:gridSpan w:val="3"/>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3"/>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5"/>
          </w:tcPr>
          <w:p>
            <w:pPr>
              <w:ind w:left="100"/>
              <w:spacing w:after="0"/>
              <w:rPr>
                <w:sz w:val="20"/>
                <w:szCs w:val="20"/>
                <w:color w:val="auto"/>
              </w:rPr>
            </w:pPr>
            <w:r>
              <w:rPr>
                <w:rFonts w:ascii="Times New Roman" w:cs="Times New Roman" w:eastAsia="Times New Roman" w:hAnsi="Times New Roman"/>
                <w:sz w:val="10"/>
                <w:szCs w:val="10"/>
                <w:b w:val="1"/>
                <w:bCs w:val="1"/>
                <w:color w:val="auto"/>
              </w:rPr>
              <w:t>Number of Natural Gas Customers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2025</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2024</w:t>
            </w:r>
          </w:p>
        </w:tc>
        <w:tc>
          <w:tcPr>
            <w:tcW w:w="0" w:type="dxa"/>
            <w:vAlign w:val="bottom"/>
          </w:tcPr>
          <w:p>
            <w:pPr>
              <w:spacing w:after="0"/>
              <w:rPr>
                <w:sz w:val="1"/>
                <w:szCs w:val="1"/>
                <w:color w:val="auto"/>
              </w:rPr>
            </w:pPr>
          </w:p>
        </w:tc>
      </w:tr>
      <w:tr>
        <w:trPr>
          <w:trHeight w:val="133"/>
        </w:trPr>
        <w:tc>
          <w:tcPr>
            <w:tcW w:w="3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Residential</w:t>
            </w:r>
          </w:p>
        </w:tc>
        <w:tc>
          <w:tcPr>
            <w:tcW w:w="120" w:type="dxa"/>
            <w:vAlign w:val="bottom"/>
            <w:tcBorders>
              <w:top w:val="single" w:sz="8" w:color="CCEEFF"/>
            </w:tcBorders>
            <w:gridSpan w:val="2"/>
            <w:shd w:val="clear" w:color="auto" w:fill="CCEEFF"/>
          </w:tcPr>
          <w:p>
            <w:pPr>
              <w:spacing w:after="0"/>
              <w:rPr>
                <w:sz w:val="11"/>
                <w:szCs w:val="11"/>
                <w:color w:val="auto"/>
              </w:rPr>
            </w:pPr>
          </w:p>
        </w:tc>
        <w:tc>
          <w:tcPr>
            <w:tcW w:w="98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1,541,970</w:t>
            </w:r>
          </w:p>
        </w:tc>
        <w:tc>
          <w:tcPr>
            <w:tcW w:w="10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1,533,443</w:t>
            </w:r>
          </w:p>
        </w:tc>
        <w:tc>
          <w:tcPr>
            <w:tcW w:w="2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Residential</w:t>
            </w:r>
          </w:p>
        </w:tc>
        <w:tc>
          <w:tcPr>
            <w:tcW w:w="7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510,959</w:t>
            </w: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508,224</w:t>
            </w:r>
          </w:p>
        </w:tc>
        <w:tc>
          <w:tcPr>
            <w:tcW w:w="0" w:type="dxa"/>
            <w:vAlign w:val="bottom"/>
          </w:tcPr>
          <w:p>
            <w:pPr>
              <w:spacing w:after="0"/>
              <w:rPr>
                <w:sz w:val="1"/>
                <w:szCs w:val="1"/>
                <w:color w:val="auto"/>
              </w:rPr>
            </w:pPr>
          </w:p>
        </w:tc>
      </w:tr>
      <w:tr>
        <w:trPr>
          <w:trHeight w:val="129"/>
        </w:trPr>
        <w:tc>
          <w:tcPr>
            <w:tcW w:w="37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1100" w:type="dxa"/>
            <w:vAlign w:val="bottom"/>
            <w:gridSpan w:val="5"/>
          </w:tcPr>
          <w:p>
            <w:pPr>
              <w:jc w:val="right"/>
              <w:ind w:right="40"/>
              <w:spacing w:after="0"/>
              <w:rPr>
                <w:sz w:val="20"/>
                <w:szCs w:val="20"/>
                <w:color w:val="auto"/>
              </w:rPr>
            </w:pPr>
            <w:r>
              <w:rPr>
                <w:rFonts w:ascii="Times New Roman" w:cs="Times New Roman" w:eastAsia="Times New Roman" w:hAnsi="Times New Roman"/>
                <w:sz w:val="10"/>
                <w:szCs w:val="10"/>
                <w:color w:val="auto"/>
              </w:rPr>
              <w:t>154,841</w:t>
            </w:r>
          </w:p>
        </w:tc>
        <w:tc>
          <w:tcPr>
            <w:tcW w:w="100" w:type="dxa"/>
            <w:vAlign w:val="bottom"/>
          </w:tcPr>
          <w:p>
            <w:pPr>
              <w:spacing w:after="0"/>
              <w:rPr>
                <w:sz w:val="11"/>
                <w:szCs w:val="11"/>
                <w:color w:val="auto"/>
              </w:rPr>
            </w:pP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0"/>
                <w:szCs w:val="10"/>
                <w:color w:val="auto"/>
              </w:rPr>
              <w:t>155,164</w:t>
            </w:r>
          </w:p>
        </w:tc>
        <w:tc>
          <w:tcPr>
            <w:tcW w:w="20" w:type="dxa"/>
            <w:vAlign w:val="bottom"/>
          </w:tcPr>
          <w:p>
            <w:pPr>
              <w:spacing w:after="0"/>
              <w:rPr>
                <w:sz w:val="11"/>
                <w:szCs w:val="11"/>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0"/>
                <w:szCs w:val="10"/>
                <w:color w:val="auto"/>
              </w:rPr>
              <w:t>44,698</w:t>
            </w: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44,846</w:t>
            </w:r>
          </w:p>
        </w:tc>
        <w:tc>
          <w:tcPr>
            <w:tcW w:w="0" w:type="dxa"/>
            <w:vAlign w:val="bottom"/>
          </w:tcPr>
          <w:p>
            <w:pPr>
              <w:spacing w:after="0"/>
              <w:rPr>
                <w:sz w:val="1"/>
                <w:szCs w:val="1"/>
                <w:color w:val="auto"/>
              </w:rPr>
            </w:pPr>
          </w:p>
        </w:tc>
      </w:tr>
      <w:tr>
        <w:trPr>
          <w:trHeight w:val="141"/>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11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3,158</w:t>
            </w:r>
          </w:p>
        </w:tc>
        <w:tc>
          <w:tcPr>
            <w:tcW w:w="10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3,150</w:t>
            </w:r>
          </w:p>
        </w:tc>
        <w:tc>
          <w:tcPr>
            <w:tcW w:w="20" w:type="dxa"/>
            <w:vAlign w:val="bottom"/>
            <w:shd w:val="clear" w:color="auto" w:fill="CCEEFF"/>
          </w:tcPr>
          <w:p>
            <w:pPr>
              <w:spacing w:after="0"/>
              <w:rPr>
                <w:sz w:val="12"/>
                <w:szCs w:val="12"/>
                <w:color w:val="auto"/>
              </w:rPr>
            </w:pPr>
          </w:p>
        </w:tc>
        <w:tc>
          <w:tcPr>
            <w:tcW w:w="1820" w:type="dxa"/>
            <w:vAlign w:val="bottom"/>
            <w:gridSpan w:val="5"/>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7</w:t>
            </w: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0" w:type="dxa"/>
            <w:vAlign w:val="bottom"/>
          </w:tcPr>
          <w:p>
            <w:pPr>
              <w:spacing w:after="0"/>
              <w:rPr>
                <w:sz w:val="1"/>
                <w:szCs w:val="1"/>
                <w:color w:val="auto"/>
              </w:rPr>
            </w:pPr>
          </w:p>
        </w:tc>
      </w:tr>
      <w:tr>
        <w:trPr>
          <w:trHeight w:val="129"/>
        </w:trPr>
        <w:tc>
          <w:tcPr>
            <w:tcW w:w="37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1100" w:type="dxa"/>
            <w:vAlign w:val="bottom"/>
            <w:gridSpan w:val="5"/>
          </w:tcPr>
          <w:p>
            <w:pPr>
              <w:jc w:val="right"/>
              <w:ind w:right="40"/>
              <w:spacing w:after="0"/>
              <w:rPr>
                <w:sz w:val="20"/>
                <w:szCs w:val="20"/>
                <w:color w:val="auto"/>
              </w:rPr>
            </w:pPr>
            <w:r>
              <w:rPr>
                <w:rFonts w:ascii="Times New Roman" w:cs="Times New Roman" w:eastAsia="Times New Roman" w:hAnsi="Times New Roman"/>
                <w:sz w:val="10"/>
                <w:szCs w:val="10"/>
                <w:color w:val="auto"/>
              </w:rPr>
              <w:t>10,248</w:t>
            </w:r>
          </w:p>
        </w:tc>
        <w:tc>
          <w:tcPr>
            <w:tcW w:w="100" w:type="dxa"/>
            <w:vAlign w:val="bottom"/>
          </w:tcPr>
          <w:p>
            <w:pPr>
              <w:spacing w:after="0"/>
              <w:rPr>
                <w:sz w:val="11"/>
                <w:szCs w:val="11"/>
                <w:color w:val="auto"/>
              </w:rPr>
            </w:pPr>
          </w:p>
        </w:tc>
        <w:tc>
          <w:tcPr>
            <w:tcW w:w="960" w:type="dxa"/>
            <w:vAlign w:val="bottom"/>
            <w:gridSpan w:val="5"/>
          </w:tcPr>
          <w:p>
            <w:pPr>
              <w:jc w:val="right"/>
              <w:ind w:right="20"/>
              <w:spacing w:after="0"/>
              <w:rPr>
                <w:sz w:val="20"/>
                <w:szCs w:val="20"/>
                <w:color w:val="auto"/>
              </w:rPr>
            </w:pPr>
            <w:r>
              <w:rPr>
                <w:rFonts w:ascii="Times New Roman" w:cs="Times New Roman" w:eastAsia="Times New Roman" w:hAnsi="Times New Roman"/>
                <w:sz w:val="10"/>
                <w:szCs w:val="10"/>
                <w:color w:val="auto"/>
              </w:rPr>
              <w:t>10,708</w:t>
            </w:r>
          </w:p>
        </w:tc>
        <w:tc>
          <w:tcPr>
            <w:tcW w:w="20" w:type="dxa"/>
            <w:vAlign w:val="bottom"/>
          </w:tcPr>
          <w:p>
            <w:pPr>
              <w:spacing w:after="0"/>
              <w:rPr>
                <w:sz w:val="11"/>
                <w:szCs w:val="11"/>
                <w:color w:val="auto"/>
              </w:rPr>
            </w:pPr>
          </w:p>
        </w:tc>
        <w:tc>
          <w:tcPr>
            <w:tcW w:w="1060" w:type="dxa"/>
            <w:vAlign w:val="bottom"/>
            <w:gridSpan w:val="4"/>
          </w:tcPr>
          <w:p>
            <w:pPr>
              <w:ind w:left="320"/>
              <w:spacing w:after="0"/>
              <w:rPr>
                <w:sz w:val="20"/>
                <w:szCs w:val="20"/>
                <w:color w:val="auto"/>
              </w:rPr>
            </w:pPr>
            <w:r>
              <w:rPr>
                <w:rFonts w:ascii="Times New Roman" w:cs="Times New Roman" w:eastAsia="Times New Roman" w:hAnsi="Times New Roman"/>
                <w:sz w:val="10"/>
                <w:szCs w:val="10"/>
                <w:color w:val="auto"/>
              </w:rPr>
              <w:t>Transportation</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4"/>
          </w:tcPr>
          <w:p>
            <w:pPr>
              <w:jc w:val="right"/>
              <w:ind w:right="40"/>
              <w:spacing w:after="0"/>
              <w:rPr>
                <w:sz w:val="20"/>
                <w:szCs w:val="20"/>
                <w:color w:val="auto"/>
              </w:rPr>
            </w:pPr>
            <w:r>
              <w:rPr>
                <w:rFonts w:ascii="Times New Roman" w:cs="Times New Roman" w:eastAsia="Times New Roman" w:hAnsi="Times New Roman"/>
                <w:sz w:val="10"/>
                <w:szCs w:val="10"/>
                <w:color w:val="auto"/>
              </w:rPr>
              <w:t>617</w:t>
            </w: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644</w:t>
            </w:r>
          </w:p>
        </w:tc>
        <w:tc>
          <w:tcPr>
            <w:tcW w:w="0" w:type="dxa"/>
            <w:vAlign w:val="bottom"/>
          </w:tcPr>
          <w:p>
            <w:pPr>
              <w:spacing w:after="0"/>
              <w:rPr>
                <w:sz w:val="1"/>
                <w:szCs w:val="1"/>
                <w:color w:val="auto"/>
              </w:rPr>
            </w:pPr>
          </w:p>
        </w:tc>
      </w:tr>
      <w:tr>
        <w:trPr>
          <w:trHeight w:val="146"/>
        </w:trPr>
        <w:tc>
          <w:tcPr>
            <w:tcW w:w="37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Total</w:t>
            </w:r>
          </w:p>
        </w:tc>
        <w:tc>
          <w:tcPr>
            <w:tcW w:w="1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98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1,710,217</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1,702,465</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CCEEFF"/>
              <w:bottom w:val="single" w:sz="8" w:color="CCEEFF"/>
            </w:tcBorders>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0"/>
                <w:szCs w:val="10"/>
                <w:color w:val="auto"/>
              </w:rPr>
              <w:t>Total</w:t>
            </w: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556,281</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553,721</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w:t>
      </w:r>
    </w:p>
    <w:p>
      <w:pPr>
        <w:spacing w:after="0" w:line="8" w:lineRule="exact"/>
        <w:rPr>
          <w:sz w:val="20"/>
          <w:szCs w:val="20"/>
          <w:color w:val="auto"/>
        </w:rPr>
      </w:pPr>
    </w:p>
    <w:p>
      <w:pPr>
        <w:ind w:left="420" w:right="20" w:hanging="212"/>
        <w:spacing w:after="0" w:line="244" w:lineRule="auto"/>
        <w:tabs>
          <w:tab w:leader="none" w:pos="418"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delivery volumes and revenues from customers purchasing electricity directly from PECO and customers purchasing electricity from a competitive electric generation supplier as all customers are assessed distribution charges. For customers purchasing electricity from PECO, revenues also reflect the cost of energy and transmission.</w:t>
      </w:r>
    </w:p>
    <w:p>
      <w:pPr>
        <w:ind w:left="420" w:hanging="212"/>
        <w:spacing w:after="0" w:line="232" w:lineRule="auto"/>
        <w:tabs>
          <w:tab w:leader="none" w:pos="420"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transmission revenue from PJM, wholesale electric revenue, and mutual assistance revenue.</w:t>
      </w:r>
    </w:p>
    <w:p>
      <w:pPr>
        <w:ind w:left="420" w:hanging="212"/>
        <w:spacing w:after="0" w:line="236" w:lineRule="auto"/>
        <w:tabs>
          <w:tab w:leader="none" w:pos="420"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operating revenues from affiliates totaling $3 million and $2 million for the three months ended December 31, 2025 and 2024, respectively, and $9 million and $7 million for the twelve months ended December 31, 2025 and 2024, respectively.</w:t>
      </w:r>
    </w:p>
    <w:p>
      <w:pPr>
        <w:ind w:left="420" w:hanging="212"/>
        <w:spacing w:after="0"/>
        <w:tabs>
          <w:tab w:leader="none" w:pos="420"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Decrease due to the timing of delivered volumes.</w:t>
      </w:r>
    </w:p>
    <w:p>
      <w:pPr>
        <w:spacing w:after="0" w:line="2" w:lineRule="exact"/>
        <w:rPr>
          <w:rFonts w:ascii="Times New Roman" w:cs="Times New Roman" w:eastAsia="Times New Roman" w:hAnsi="Times New Roman"/>
          <w:sz w:val="10"/>
          <w:szCs w:val="10"/>
          <w:color w:val="auto"/>
        </w:rPr>
      </w:pPr>
    </w:p>
    <w:p>
      <w:pPr>
        <w:ind w:left="420" w:hanging="212"/>
        <w:spacing w:after="0"/>
        <w:tabs>
          <w:tab w:leader="none" w:pos="420"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alternative revenue programs and late payment charges.</w:t>
      </w:r>
    </w:p>
    <w:p>
      <w:pPr>
        <w:spacing w:after="0" w:line="2" w:lineRule="exact"/>
        <w:rPr>
          <w:rFonts w:ascii="Times New Roman" w:cs="Times New Roman" w:eastAsia="Times New Roman" w:hAnsi="Times New Roman"/>
          <w:sz w:val="10"/>
          <w:szCs w:val="10"/>
          <w:color w:val="auto"/>
        </w:rPr>
      </w:pPr>
    </w:p>
    <w:p>
      <w:pPr>
        <w:ind w:left="420" w:hanging="212"/>
        <w:spacing w:after="0" w:line="238" w:lineRule="auto"/>
        <w:tabs>
          <w:tab w:leader="none" w:pos="417"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delivery volumes and revenues from customers purchasing natural gas directly from PECO and customers purchasing natural gas from a competitive natural gas supplier as all customers are assessed distribution charges. For customers purchasing natural gas from PECO, revenue also reflects the cost of natural gas.</w:t>
      </w:r>
    </w:p>
    <w:p>
      <w:pPr>
        <w:ind w:left="420" w:hanging="212"/>
        <w:spacing w:after="0" w:line="236" w:lineRule="auto"/>
        <w:tabs>
          <w:tab w:leader="none" w:pos="420"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revenues primarily from off-system sales.</w:t>
      </w:r>
    </w:p>
    <w:p>
      <w:pPr>
        <w:ind w:left="420" w:hanging="212"/>
        <w:spacing w:after="0"/>
        <w:tabs>
          <w:tab w:leader="none" w:pos="420" w:val="left"/>
        </w:tabs>
        <w:numPr>
          <w:ilvl w:val="0"/>
          <w:numId w:val="1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operating revenues from affiliates totaling $1 million for both the three months ended December 31, 2025 and 2024, respectively, and $3 million for both the twelve months ended December 31, 2025 and 2024, respectively.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300"/>
          </w:cols>
          <w:pgMar w:left="300" w:top="129"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BGE Statistics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Three Months Ended December 31, 2025 and 2024</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0"/>
                <w:szCs w:val="10"/>
                <w:b w:val="1"/>
                <w:bCs w:val="1"/>
                <w:color w:val="auto"/>
              </w:rPr>
              <w:t>Electric and Natural Gas Deliveries</w:t>
            </w:r>
          </w:p>
        </w:tc>
        <w:tc>
          <w:tcPr>
            <w:tcW w:w="10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w w:val="94"/>
              </w:rPr>
              <w:t>Revenue (in millions)</w:t>
            </w: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3"/>
              </w:rPr>
              <w:t>Weather-</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3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0" w:type="dxa"/>
            <w:vAlign w:val="bottom"/>
            <w:gridSpan w:val="4"/>
            <w:vMerge w:val="restart"/>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140" w:type="dxa"/>
            <w:vAlign w:val="bottom"/>
            <w:gridSpan w:val="3"/>
          </w:tcPr>
          <w:p>
            <w:pPr>
              <w:jc w:val="center"/>
              <w:ind w:right="100"/>
              <w:spacing w:after="0" w:line="92" w:lineRule="exact"/>
              <w:rPr>
                <w:sz w:val="20"/>
                <w:szCs w:val="20"/>
                <w:color w:val="auto"/>
              </w:rPr>
            </w:pPr>
            <w:r>
              <w:rPr>
                <w:rFonts w:ascii="Times New Roman" w:cs="Times New Roman" w:eastAsia="Times New Roman" w:hAnsi="Times New Roman"/>
                <w:sz w:val="10"/>
                <w:szCs w:val="10"/>
                <w:b w:val="1"/>
                <w:bCs w:val="1"/>
                <w:color w:val="auto"/>
                <w:w w:val="97"/>
              </w:rPr>
              <w:t>Normal</w:t>
            </w: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7"/>
                <w:szCs w:val="7"/>
                <w:color w:val="auto"/>
              </w:rPr>
            </w:pPr>
          </w:p>
        </w:tc>
        <w:tc>
          <w:tcPr>
            <w:tcW w:w="1040" w:type="dxa"/>
            <w:vAlign w:val="bottom"/>
            <w:vMerge w:val="restart"/>
          </w:tcPr>
          <w:p>
            <w:pPr>
              <w:jc w:val="right"/>
              <w:ind w:right="252"/>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34"/>
        </w:trPr>
        <w:tc>
          <w:tcPr>
            <w:tcW w:w="3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820" w:type="dxa"/>
            <w:vAlign w:val="bottom"/>
            <w:tcBorders>
              <w:top w:val="single" w:sz="8" w:color="CCEEFF"/>
            </w:tcBorders>
            <w:gridSpan w:val="2"/>
            <w:shd w:val="clear" w:color="auto" w:fill="CCEEFF"/>
          </w:tcPr>
          <w:p>
            <w:pPr>
              <w:spacing w:after="0" w:line="114" w:lineRule="exact"/>
              <w:rPr>
                <w:sz w:val="20"/>
                <w:szCs w:val="20"/>
                <w:color w:val="auto"/>
              </w:rPr>
            </w:pPr>
            <w:r>
              <w:rPr>
                <w:rFonts w:ascii="Times New Roman" w:cs="Times New Roman" w:eastAsia="Times New Roman" w:hAnsi="Times New Roman"/>
                <w:sz w:val="10"/>
                <w:szCs w:val="10"/>
                <w:b w:val="1"/>
                <w:bCs w:val="1"/>
                <w:color w:val="auto"/>
              </w:rPr>
              <w:t>Electric (in GWhs)</w:t>
            </w:r>
          </w:p>
        </w:tc>
        <w:tc>
          <w:tcPr>
            <w:tcW w:w="9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20" w:type="dxa"/>
            <w:vAlign w:val="bottom"/>
            <w:gridSpan w:val="2"/>
          </w:tcPr>
          <w:p>
            <w:pPr>
              <w:spacing w:after="0" w:line="135" w:lineRule="exact"/>
              <w:rPr>
                <w:sz w:val="20"/>
                <w:szCs w:val="20"/>
                <w:color w:val="auto"/>
              </w:rPr>
            </w:pPr>
            <w:r>
              <w:rPr>
                <w:rFonts w:ascii="Times New Roman" w:cs="Times New Roman" w:eastAsia="Times New Roman" w:hAnsi="Times New Roman"/>
                <w:sz w:val="10"/>
                <w:szCs w:val="10"/>
                <w:b w:val="1"/>
                <w:bCs w:val="1"/>
                <w:color w:val="auto"/>
              </w:rPr>
              <w:t>Electric Deliveries and Revenues</w:t>
            </w:r>
            <w:r>
              <w:rPr>
                <w:rFonts w:ascii="Times New Roman" w:cs="Times New Roman" w:eastAsia="Times New Roman" w:hAnsi="Times New Roman"/>
                <w:sz w:val="12"/>
                <w:szCs w:val="12"/>
                <w:b w:val="1"/>
                <w:bCs w:val="1"/>
                <w:color w:val="auto"/>
                <w:vertAlign w:val="superscript"/>
              </w:rPr>
              <w:t>(a)</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Residential</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3,022</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2,927</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3.2 %</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482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39.8 %</w:t>
            </w:r>
          </w:p>
        </w:tc>
        <w:tc>
          <w:tcPr>
            <w:tcW w:w="0" w:type="dxa"/>
            <w:vAlign w:val="bottom"/>
          </w:tcPr>
          <w:p>
            <w:pPr>
              <w:spacing w:after="0"/>
              <w:rPr>
                <w:sz w:val="1"/>
                <w:szCs w:val="1"/>
                <w:color w:val="auto"/>
              </w:rPr>
            </w:pPr>
          </w:p>
        </w:tc>
      </w:tr>
      <w:tr>
        <w:trPr>
          <w:trHeight w:val="129"/>
        </w:trPr>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648</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638</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0"/>
                <w:szCs w:val="10"/>
                <w:color w:val="auto"/>
              </w:rPr>
              <w:t>1.6 %</w:t>
            </w:r>
          </w:p>
        </w:tc>
        <w:tc>
          <w:tcPr>
            <w:tcW w:w="1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85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20.0 %</w:t>
            </w:r>
          </w:p>
        </w:tc>
        <w:tc>
          <w:tcPr>
            <w:tcW w:w="0" w:type="dxa"/>
            <w:vAlign w:val="bottom"/>
          </w:tcPr>
          <w:p>
            <w:pPr>
              <w:spacing w:after="0"/>
              <w:rPr>
                <w:sz w:val="1"/>
                <w:szCs w:val="1"/>
                <w:color w:val="auto"/>
              </w:rPr>
            </w:pPr>
          </w:p>
        </w:tc>
      </w:tr>
      <w:tr>
        <w:trPr>
          <w:trHeight w:val="141"/>
        </w:trPr>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3,078</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3,109</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132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12.1 %</w:t>
            </w:r>
          </w:p>
        </w:tc>
        <w:tc>
          <w:tcPr>
            <w:tcW w:w="0" w:type="dxa"/>
            <w:vAlign w:val="bottom"/>
          </w:tcPr>
          <w:p>
            <w:pPr>
              <w:spacing w:after="0"/>
              <w:rPr>
                <w:sz w:val="1"/>
                <w:szCs w:val="1"/>
                <w:color w:val="auto"/>
              </w:rPr>
            </w:pPr>
          </w:p>
        </w:tc>
      </w:tr>
      <w:tr>
        <w:trPr>
          <w:trHeight w:val="129"/>
        </w:trPr>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49</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48</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0"/>
                <w:szCs w:val="10"/>
                <w:color w:val="auto"/>
              </w:rPr>
              <w:t>2.1 %</w:t>
            </w:r>
          </w:p>
        </w:tc>
        <w:tc>
          <w:tcPr>
            <w:tcW w:w="1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8</w:t>
            </w:r>
          </w:p>
        </w:tc>
        <w:tc>
          <w:tcPr>
            <w:tcW w:w="8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0" w:type="dxa"/>
            <w:vAlign w:val="bottom"/>
          </w:tcPr>
          <w:p>
            <w:pPr>
              <w:spacing w:after="0"/>
              <w:rPr>
                <w:sz w:val="1"/>
                <w:szCs w:val="1"/>
                <w:color w:val="auto"/>
              </w:rPr>
            </w:pPr>
          </w:p>
        </w:tc>
      </w:tr>
      <w:tr>
        <w:trPr>
          <w:trHeight w:val="141"/>
        </w:trPr>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(b)</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n/a</w:t>
            </w:r>
          </w:p>
        </w:tc>
        <w:tc>
          <w:tcPr>
            <w:tcW w:w="114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n/a</w:t>
            </w:r>
          </w:p>
        </w:tc>
        <w:tc>
          <w:tcPr>
            <w:tcW w:w="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124</w:t>
            </w:r>
          </w:p>
        </w:tc>
        <w:tc>
          <w:tcPr>
            <w:tcW w:w="1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112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10.7 %</w:t>
            </w:r>
          </w:p>
        </w:tc>
        <w:tc>
          <w:tcPr>
            <w:tcW w:w="0" w:type="dxa"/>
            <w:vAlign w:val="bottom"/>
          </w:tcPr>
          <w:p>
            <w:pPr>
              <w:spacing w:after="0"/>
              <w:rPr>
                <w:sz w:val="1"/>
                <w:szCs w:val="1"/>
                <w:color w:val="auto"/>
              </w:rPr>
            </w:pPr>
          </w:p>
        </w:tc>
      </w:tr>
      <w:tr>
        <w:trPr>
          <w:trHeight w:val="124"/>
        </w:trPr>
        <w:tc>
          <w:tcPr>
            <w:tcW w:w="3820" w:type="dxa"/>
            <w:vAlign w:val="bottom"/>
            <w:tcBorders>
              <w:bottom w:val="single" w:sz="8" w:color="CCEEFF"/>
            </w:tcBorders>
            <w:gridSpan w:val="2"/>
          </w:tcPr>
          <w:p>
            <w:pPr>
              <w:ind w:left="440"/>
              <w:spacing w:after="0" w:line="124" w:lineRule="exact"/>
              <w:rPr>
                <w:sz w:val="20"/>
                <w:szCs w:val="20"/>
                <w:color w:val="auto"/>
              </w:rPr>
            </w:pPr>
            <w:r>
              <w:rPr>
                <w:rFonts w:ascii="Times New Roman" w:cs="Times New Roman" w:eastAsia="Times New Roman" w:hAnsi="Times New Roman"/>
                <w:sz w:val="10"/>
                <w:szCs w:val="10"/>
                <w:color w:val="auto"/>
              </w:rPr>
              <w:t>Total electric revenues</w:t>
            </w:r>
            <w:r>
              <w:rPr>
                <w:rFonts w:ascii="Times New Roman" w:cs="Times New Roman" w:eastAsia="Times New Roman" w:hAnsi="Times New Roman"/>
                <w:sz w:val="12"/>
                <w:szCs w:val="12"/>
                <w:color w:val="auto"/>
                <w:vertAlign w:val="superscript"/>
              </w:rPr>
              <w:t>(c)</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6,797</w:t>
            </w:r>
          </w:p>
        </w:tc>
        <w:tc>
          <w:tcPr>
            <w:tcW w:w="80" w:type="dxa"/>
            <w:vAlign w:val="bottom"/>
            <w:tcBorders>
              <w:bottom w:val="single" w:sz="8" w:color="CCEEFF"/>
            </w:tcBorders>
          </w:tcPr>
          <w:p>
            <w:pPr>
              <w:spacing w:after="0"/>
              <w:rPr>
                <w:sz w:val="10"/>
                <w:szCs w:val="10"/>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6,722</w:t>
            </w:r>
          </w:p>
        </w:tc>
        <w:tc>
          <w:tcPr>
            <w:tcW w:w="40" w:type="dxa"/>
            <w:vAlign w:val="bottom"/>
            <w:tcBorders>
              <w:bottom w:val="single" w:sz="8" w:color="auto"/>
            </w:tcBorders>
          </w:tcPr>
          <w:p>
            <w:pPr>
              <w:spacing w:after="0"/>
              <w:rPr>
                <w:sz w:val="10"/>
                <w:szCs w:val="10"/>
                <w:color w:val="auto"/>
              </w:rPr>
            </w:pPr>
          </w:p>
        </w:tc>
        <w:tc>
          <w:tcPr>
            <w:tcW w:w="1120" w:type="dxa"/>
            <w:vAlign w:val="bottom"/>
            <w:tcBorders>
              <w:bottom w:val="single" w:sz="8" w:color="CCEEFF"/>
            </w:tcBorders>
            <w:gridSpan w:val="4"/>
          </w:tcPr>
          <w:p>
            <w:pPr>
              <w:jc w:val="right"/>
              <w:spacing w:after="0" w:line="107" w:lineRule="exact"/>
              <w:rPr>
                <w:sz w:val="20"/>
                <w:szCs w:val="20"/>
                <w:color w:val="auto"/>
              </w:rPr>
            </w:pPr>
            <w:r>
              <w:rPr>
                <w:rFonts w:ascii="Times New Roman" w:cs="Times New Roman" w:eastAsia="Times New Roman" w:hAnsi="Times New Roman"/>
                <w:sz w:val="10"/>
                <w:szCs w:val="10"/>
                <w:color w:val="auto"/>
              </w:rPr>
              <w:t>1.1 %</w:t>
            </w:r>
          </w:p>
        </w:tc>
        <w:tc>
          <w:tcPr>
            <w:tcW w:w="100" w:type="dxa"/>
            <w:vAlign w:val="bottom"/>
            <w:tcBorders>
              <w:bottom w:val="single" w:sz="8" w:color="CCEEFF"/>
            </w:tcBorders>
          </w:tcPr>
          <w:p>
            <w:pPr>
              <w:spacing w:after="0"/>
              <w:rPr>
                <w:sz w:val="10"/>
                <w:szCs w:val="10"/>
                <w:color w:val="auto"/>
              </w:rPr>
            </w:pPr>
          </w:p>
        </w:tc>
        <w:tc>
          <w:tcPr>
            <w:tcW w:w="1040" w:type="dxa"/>
            <w:vAlign w:val="bottom"/>
            <w:tcBorders>
              <w:bottom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(1.0)%</w:t>
            </w: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1,056</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819</w:t>
            </w:r>
          </w:p>
        </w:tc>
        <w:tc>
          <w:tcPr>
            <w:tcW w:w="112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28.9 %</w:t>
            </w:r>
          </w:p>
        </w:tc>
        <w:tc>
          <w:tcPr>
            <w:tcW w:w="0" w:type="dxa"/>
            <w:vAlign w:val="bottom"/>
          </w:tcPr>
          <w:p>
            <w:pPr>
              <w:spacing w:after="0"/>
              <w:rPr>
                <w:sz w:val="1"/>
                <w:szCs w:val="1"/>
                <w:color w:val="auto"/>
              </w:rPr>
            </w:pPr>
          </w:p>
        </w:tc>
      </w:tr>
      <w:tr>
        <w:trPr>
          <w:trHeight w:val="124"/>
        </w:trPr>
        <w:tc>
          <w:tcPr>
            <w:tcW w:w="382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(d)</w:t>
            </w: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28</w:t>
            </w:r>
          </w:p>
        </w:tc>
        <w:tc>
          <w:tcPr>
            <w:tcW w:w="11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(103.6)%</w:t>
            </w:r>
          </w:p>
        </w:tc>
        <w:tc>
          <w:tcPr>
            <w:tcW w:w="0" w:type="dxa"/>
            <w:vAlign w:val="bottom"/>
          </w:tcPr>
          <w:p>
            <w:pPr>
              <w:spacing w:after="0"/>
              <w:rPr>
                <w:sz w:val="1"/>
                <w:szCs w:val="1"/>
                <w:color w:val="auto"/>
              </w:rPr>
            </w:pPr>
          </w:p>
        </w:tc>
      </w:tr>
      <w:tr>
        <w:trPr>
          <w:trHeight w:val="118"/>
        </w:trPr>
        <w:tc>
          <w:tcPr>
            <w:tcW w:w="3820" w:type="dxa"/>
            <w:vAlign w:val="bottom"/>
            <w:tcBorders>
              <w:bottom w:val="single" w:sz="8" w:color="CCEEFF"/>
            </w:tcBorders>
            <w:gridSpan w:val="2"/>
          </w:tcPr>
          <w:p>
            <w:pPr>
              <w:ind w:left="440"/>
              <w:spacing w:after="0" w:line="104" w:lineRule="exact"/>
              <w:rPr>
                <w:sz w:val="20"/>
                <w:szCs w:val="20"/>
                <w:color w:val="auto"/>
              </w:rPr>
            </w:pPr>
            <w:r>
              <w:rPr>
                <w:rFonts w:ascii="Times New Roman" w:cs="Times New Roman" w:eastAsia="Times New Roman" w:hAnsi="Times New Roman"/>
                <w:sz w:val="10"/>
                <w:szCs w:val="10"/>
                <w:color w:val="auto"/>
              </w:rPr>
              <w:t>Total Electric Revenues</w:t>
            </w:r>
          </w:p>
        </w:tc>
        <w:tc>
          <w:tcPr>
            <w:tcW w:w="9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1,055</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847</w:t>
            </w:r>
          </w:p>
        </w:tc>
        <w:tc>
          <w:tcPr>
            <w:tcW w:w="112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24.6 %</w:t>
            </w:r>
          </w:p>
        </w:tc>
        <w:tc>
          <w:tcPr>
            <w:tcW w:w="0" w:type="dxa"/>
            <w:vAlign w:val="bottom"/>
          </w:tcPr>
          <w:p>
            <w:pPr>
              <w:spacing w:after="0"/>
              <w:rPr>
                <w:sz w:val="1"/>
                <w:szCs w:val="1"/>
                <w:color w:val="auto"/>
              </w:rPr>
            </w:pPr>
          </w:p>
        </w:tc>
      </w:tr>
      <w:tr>
        <w:trPr>
          <w:trHeight w:val="121"/>
        </w:trPr>
        <w:tc>
          <w:tcPr>
            <w:tcW w:w="382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Natural Gas (in mmcfs)</w:t>
            </w: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20" w:type="dxa"/>
            <w:vAlign w:val="bottom"/>
            <w:gridSpan w:val="2"/>
          </w:tcPr>
          <w:p>
            <w:pPr>
              <w:spacing w:after="0" w:line="135" w:lineRule="exact"/>
              <w:rPr>
                <w:sz w:val="20"/>
                <w:szCs w:val="20"/>
                <w:color w:val="auto"/>
              </w:rPr>
            </w:pPr>
            <w:r>
              <w:rPr>
                <w:rFonts w:ascii="Times New Roman" w:cs="Times New Roman" w:eastAsia="Times New Roman" w:hAnsi="Times New Roman"/>
                <w:sz w:val="10"/>
                <w:szCs w:val="10"/>
                <w:b w:val="1"/>
                <w:bCs w:val="1"/>
                <w:color w:val="auto"/>
              </w:rPr>
              <w:t>Natural Gas Deliveries and Revenues</w:t>
            </w:r>
            <w:r>
              <w:rPr>
                <w:rFonts w:ascii="Times New Roman" w:cs="Times New Roman" w:eastAsia="Times New Roman" w:hAnsi="Times New Roman"/>
                <w:sz w:val="12"/>
                <w:szCs w:val="12"/>
                <w:b w:val="1"/>
                <w:bCs w:val="1"/>
                <w:color w:val="auto"/>
                <w:vertAlign w:val="superscript"/>
              </w:rPr>
              <w:t>(e)</w:t>
            </w: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Residential</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14,208</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12,156</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16.9 %</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1.2 %</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207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29.5 %</w:t>
            </w:r>
          </w:p>
        </w:tc>
        <w:tc>
          <w:tcPr>
            <w:tcW w:w="0" w:type="dxa"/>
            <w:vAlign w:val="bottom"/>
          </w:tcPr>
          <w:p>
            <w:pPr>
              <w:spacing w:after="0"/>
              <w:rPr>
                <w:sz w:val="1"/>
                <w:szCs w:val="1"/>
                <w:color w:val="auto"/>
              </w:rPr>
            </w:pPr>
          </w:p>
        </w:tc>
      </w:tr>
      <w:tr>
        <w:trPr>
          <w:trHeight w:val="129"/>
        </w:trPr>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3,132</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2,689</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0"/>
                <w:szCs w:val="10"/>
                <w:color w:val="auto"/>
              </w:rPr>
              <w:t>16.5 %</w:t>
            </w:r>
          </w:p>
        </w:tc>
        <w:tc>
          <w:tcPr>
            <w:tcW w:w="1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6.4 %</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34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20.6 %</w:t>
            </w:r>
          </w:p>
        </w:tc>
        <w:tc>
          <w:tcPr>
            <w:tcW w:w="0" w:type="dxa"/>
            <w:vAlign w:val="bottom"/>
          </w:tcPr>
          <w:p>
            <w:pPr>
              <w:spacing w:after="0"/>
              <w:rPr>
                <w:sz w:val="1"/>
                <w:szCs w:val="1"/>
                <w:color w:val="auto"/>
              </w:rPr>
            </w:pPr>
          </w:p>
        </w:tc>
      </w:tr>
      <w:tr>
        <w:trPr>
          <w:trHeight w:val="141"/>
        </w:trPr>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11,839</w:t>
            </w:r>
          </w:p>
        </w:tc>
        <w:tc>
          <w:tcPr>
            <w:tcW w:w="10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10,727</w:t>
            </w:r>
          </w:p>
        </w:tc>
        <w:tc>
          <w:tcPr>
            <w:tcW w:w="11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10.4 %</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4.7 %</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61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14.8 %</w:t>
            </w:r>
          </w:p>
        </w:tc>
        <w:tc>
          <w:tcPr>
            <w:tcW w:w="0" w:type="dxa"/>
            <w:vAlign w:val="bottom"/>
          </w:tcPr>
          <w:p>
            <w:pPr>
              <w:spacing w:after="0"/>
              <w:rPr>
                <w:sz w:val="1"/>
                <w:szCs w:val="1"/>
                <w:color w:val="auto"/>
              </w:rPr>
            </w:pPr>
          </w:p>
        </w:tc>
      </w:tr>
      <w:tr>
        <w:trPr>
          <w:trHeight w:val="135"/>
        </w:trPr>
        <w:tc>
          <w:tcPr>
            <w:tcW w:w="382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(f)</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1,600</w:t>
            </w: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945</w:t>
            </w:r>
          </w:p>
        </w:tc>
        <w:tc>
          <w:tcPr>
            <w:tcW w:w="1160" w:type="dxa"/>
            <w:vAlign w:val="bottom"/>
            <w:gridSpan w:val="5"/>
          </w:tcPr>
          <w:p>
            <w:pPr>
              <w:jc w:val="right"/>
              <w:spacing w:after="0"/>
              <w:rPr>
                <w:sz w:val="20"/>
                <w:szCs w:val="20"/>
                <w:color w:val="auto"/>
              </w:rPr>
            </w:pPr>
            <w:r>
              <w:rPr>
                <w:rFonts w:ascii="Times New Roman" w:cs="Times New Roman" w:eastAsia="Times New Roman" w:hAnsi="Times New Roman"/>
                <w:sz w:val="10"/>
                <w:szCs w:val="10"/>
                <w:color w:val="auto"/>
              </w:rPr>
              <w:t>69.3 %</w:t>
            </w:r>
          </w:p>
        </w:tc>
        <w:tc>
          <w:tcPr>
            <w:tcW w:w="100" w:type="dxa"/>
            <w:vAlign w:val="bottom"/>
          </w:tcPr>
          <w:p>
            <w:pPr>
              <w:spacing w:after="0"/>
              <w:rPr>
                <w:sz w:val="11"/>
                <w:szCs w:val="11"/>
                <w:color w:val="auto"/>
              </w:rPr>
            </w:pPr>
          </w:p>
        </w:tc>
        <w:tc>
          <w:tcPr>
            <w:tcW w:w="1140" w:type="dxa"/>
            <w:vAlign w:val="bottom"/>
            <w:gridSpan w:val="3"/>
          </w:tcPr>
          <w:p>
            <w:pPr>
              <w:ind w:left="920"/>
              <w:spacing w:after="0"/>
              <w:rPr>
                <w:sz w:val="20"/>
                <w:szCs w:val="20"/>
                <w:color w:val="auto"/>
              </w:rPr>
            </w:pPr>
            <w:r>
              <w:rPr>
                <w:rFonts w:ascii="Times New Roman" w:cs="Times New Roman" w:eastAsia="Times New Roman" w:hAnsi="Times New Roman"/>
                <w:sz w:val="10"/>
                <w:szCs w:val="10"/>
                <w:color w:val="auto"/>
              </w:rPr>
              <w:t>n/a</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100.0 %</w:t>
            </w:r>
          </w:p>
        </w:tc>
        <w:tc>
          <w:tcPr>
            <w:tcW w:w="0" w:type="dxa"/>
            <w:vAlign w:val="bottom"/>
          </w:tcPr>
          <w:p>
            <w:pPr>
              <w:spacing w:after="0"/>
              <w:rPr>
                <w:sz w:val="1"/>
                <w:szCs w:val="1"/>
                <w:color w:val="auto"/>
              </w:rPr>
            </w:pPr>
          </w:p>
        </w:tc>
      </w:tr>
      <w:tr>
        <w:trPr>
          <w:trHeight w:val="124"/>
        </w:trPr>
        <w:tc>
          <w:tcPr>
            <w:tcW w:w="3820" w:type="dxa"/>
            <w:vAlign w:val="bottom"/>
            <w:tcBorders>
              <w:top w:val="single" w:sz="8" w:color="CCEEFF"/>
            </w:tcBorders>
            <w:gridSpan w:val="2"/>
            <w:shd w:val="clear" w:color="auto" w:fill="CCEEFF"/>
          </w:tcPr>
          <w:p>
            <w:pPr>
              <w:ind w:left="440"/>
              <w:spacing w:after="0" w:line="124" w:lineRule="exact"/>
              <w:rPr>
                <w:sz w:val="20"/>
                <w:szCs w:val="20"/>
                <w:color w:val="auto"/>
              </w:rPr>
            </w:pPr>
            <w:r>
              <w:rPr>
                <w:rFonts w:ascii="Times New Roman" w:cs="Times New Roman" w:eastAsia="Times New Roman" w:hAnsi="Times New Roman"/>
                <w:sz w:val="10"/>
                <w:szCs w:val="10"/>
                <w:color w:val="auto"/>
              </w:rPr>
              <w:t>Total natural gas revenues</w:t>
            </w:r>
            <w:r>
              <w:rPr>
                <w:rFonts w:ascii="Times New Roman" w:cs="Times New Roman" w:eastAsia="Times New Roman" w:hAnsi="Times New Roman"/>
                <w:sz w:val="12"/>
                <w:szCs w:val="12"/>
                <w:color w:val="auto"/>
                <w:vertAlign w:val="superscript"/>
              </w:rPr>
              <w:t>(g)</w:t>
            </w:r>
          </w:p>
        </w:tc>
        <w:tc>
          <w:tcPr>
            <w:tcW w:w="9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30,779</w:t>
            </w:r>
          </w:p>
        </w:tc>
        <w:tc>
          <w:tcPr>
            <w:tcW w:w="8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26,517</w:t>
            </w: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CCEEFF"/>
            </w:tcBorders>
            <w:gridSpan w:val="4"/>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16.1 %</w:t>
            </w:r>
          </w:p>
        </w:tc>
        <w:tc>
          <w:tcPr>
            <w:tcW w:w="10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3.2 %</w:t>
            </w: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393</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309</w:t>
            </w:r>
          </w:p>
        </w:tc>
        <w:tc>
          <w:tcPr>
            <w:tcW w:w="1120" w:type="dxa"/>
            <w:vAlign w:val="bottom"/>
            <w:tcBorders>
              <w:top w:val="single" w:sz="8" w:color="CCEEFF"/>
            </w:tcBorders>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27.2 %</w:t>
            </w:r>
          </w:p>
        </w:tc>
        <w:tc>
          <w:tcPr>
            <w:tcW w:w="0" w:type="dxa"/>
            <w:vAlign w:val="bottom"/>
          </w:tcPr>
          <w:p>
            <w:pPr>
              <w:spacing w:after="0"/>
              <w:rPr>
                <w:sz w:val="1"/>
                <w:szCs w:val="1"/>
                <w:color w:val="auto"/>
              </w:rPr>
            </w:pPr>
          </w:p>
        </w:tc>
      </w:tr>
      <w:tr>
        <w:trPr>
          <w:trHeight w:val="124"/>
        </w:trPr>
        <w:tc>
          <w:tcPr>
            <w:tcW w:w="3820" w:type="dxa"/>
            <w:vAlign w:val="bottom"/>
            <w:tcBorders>
              <w:bottom w:val="single" w:sz="8" w:color="CCEEFF"/>
            </w:tcBorders>
            <w:gridSpan w:val="2"/>
          </w:tcPr>
          <w:p>
            <w:pPr>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(d)</w:t>
            </w:r>
          </w:p>
        </w:tc>
        <w:tc>
          <w:tcPr>
            <w:tcW w:w="9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1</w:t>
            </w:r>
          </w:p>
        </w:tc>
        <w:tc>
          <w:tcPr>
            <w:tcW w:w="112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(1,800.0)%</w:t>
            </w:r>
          </w:p>
        </w:tc>
        <w:tc>
          <w:tcPr>
            <w:tcW w:w="0" w:type="dxa"/>
            <w:vAlign w:val="bottom"/>
          </w:tcPr>
          <w:p>
            <w:pPr>
              <w:spacing w:after="0"/>
              <w:rPr>
                <w:sz w:val="1"/>
                <w:szCs w:val="1"/>
                <w:color w:val="auto"/>
              </w:rPr>
            </w:pPr>
          </w:p>
        </w:tc>
      </w:tr>
      <w:tr>
        <w:trPr>
          <w:trHeight w:val="124"/>
        </w:trPr>
        <w:tc>
          <w:tcPr>
            <w:tcW w:w="3820" w:type="dxa"/>
            <w:vAlign w:val="bottom"/>
            <w:gridSpan w:val="2"/>
            <w:shd w:val="clear" w:color="auto" w:fill="CCEEFF"/>
          </w:tcPr>
          <w:p>
            <w:pPr>
              <w:ind w:left="440"/>
              <w:spacing w:after="0" w:line="104" w:lineRule="exact"/>
              <w:rPr>
                <w:sz w:val="20"/>
                <w:szCs w:val="20"/>
                <w:color w:val="auto"/>
              </w:rPr>
            </w:pPr>
            <w:r>
              <w:rPr>
                <w:rFonts w:ascii="Times New Roman" w:cs="Times New Roman" w:eastAsia="Times New Roman" w:hAnsi="Times New Roman"/>
                <w:sz w:val="10"/>
                <w:szCs w:val="10"/>
                <w:color w:val="auto"/>
              </w:rPr>
              <w:t>Total Natural Gas Revenues</w:t>
            </w: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376</w:t>
            </w:r>
          </w:p>
        </w:tc>
        <w:tc>
          <w:tcPr>
            <w:tcW w:w="10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310</w:t>
            </w:r>
          </w:p>
        </w:tc>
        <w:tc>
          <w:tcPr>
            <w:tcW w:w="11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21.3 %</w:t>
            </w:r>
          </w:p>
        </w:tc>
        <w:tc>
          <w:tcPr>
            <w:tcW w:w="0" w:type="dxa"/>
            <w:vAlign w:val="bottom"/>
          </w:tcPr>
          <w:p>
            <w:pPr>
              <w:spacing w:after="0"/>
              <w:rPr>
                <w:sz w:val="1"/>
                <w:szCs w:val="1"/>
                <w:color w:val="auto"/>
              </w:rPr>
            </w:pPr>
          </w:p>
        </w:tc>
      </w:tr>
      <w:tr>
        <w:trPr>
          <w:trHeight w:val="140"/>
        </w:trPr>
        <w:tc>
          <w:tcPr>
            <w:tcW w:w="3820" w:type="dxa"/>
            <w:vAlign w:val="bottom"/>
            <w:tcBorders>
              <w:bottom w:val="single" w:sz="8" w:color="CCEEFF"/>
            </w:tcBorders>
            <w:gridSpan w:val="2"/>
          </w:tcPr>
          <w:p>
            <w:pPr>
              <w:ind w:left="440"/>
              <w:spacing w:after="0" w:line="104" w:lineRule="exact"/>
              <w:rPr>
                <w:sz w:val="20"/>
                <w:szCs w:val="20"/>
                <w:color w:val="auto"/>
              </w:rPr>
            </w:pPr>
            <w:r>
              <w:rPr>
                <w:rFonts w:ascii="Times New Roman" w:cs="Times New Roman" w:eastAsia="Times New Roman" w:hAnsi="Times New Roman"/>
                <w:sz w:val="10"/>
                <w:szCs w:val="10"/>
                <w:color w:val="auto"/>
              </w:rPr>
              <w:t>Total Electric and Natural Gas Revenues</w:t>
            </w:r>
          </w:p>
        </w:tc>
        <w:tc>
          <w:tcPr>
            <w:tcW w:w="9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1,431</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0"/>
                <w:szCs w:val="10"/>
                <w:color w:val="auto"/>
              </w:rPr>
              <w:t>1,157</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0"/>
                <w:szCs w:val="10"/>
                <w:color w:val="auto"/>
              </w:rPr>
              <w:t>23.7 %</w:t>
            </w:r>
          </w:p>
        </w:tc>
        <w:tc>
          <w:tcPr>
            <w:tcW w:w="0" w:type="dxa"/>
            <w:vAlign w:val="bottom"/>
          </w:tcPr>
          <w:p>
            <w:pPr>
              <w:spacing w:after="0"/>
              <w:rPr>
                <w:sz w:val="1"/>
                <w:szCs w:val="1"/>
                <w:color w:val="auto"/>
              </w:rPr>
            </w:pPr>
          </w:p>
        </w:tc>
      </w:tr>
      <w:tr>
        <w:trPr>
          <w:trHeight w:val="151"/>
        </w:trPr>
        <w:tc>
          <w:tcPr>
            <w:tcW w:w="3820" w:type="dxa"/>
            <w:vAlign w:val="bottom"/>
            <w:tcBorders>
              <w:bottom w:val="single" w:sz="8" w:color="CCEEFF"/>
            </w:tcBorders>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b w:val="1"/>
                <w:bCs w:val="1"/>
                <w:color w:val="auto"/>
              </w:rPr>
              <w:t>Purchased Power and Fuel</w:t>
            </w:r>
          </w:p>
        </w:tc>
        <w:tc>
          <w:tcPr>
            <w:tcW w:w="9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638</w:t>
            </w: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423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50.8 %</w:t>
            </w:r>
          </w:p>
        </w:tc>
        <w:tc>
          <w:tcPr>
            <w:tcW w:w="0" w:type="dxa"/>
            <w:vAlign w:val="bottom"/>
          </w:tcPr>
          <w:p>
            <w:pPr>
              <w:spacing w:after="0"/>
              <w:rPr>
                <w:sz w:val="1"/>
                <w:szCs w:val="1"/>
                <w:color w:val="auto"/>
              </w:rPr>
            </w:pPr>
          </w:p>
        </w:tc>
      </w:tr>
      <w:tr>
        <w:trPr>
          <w:trHeight w:val="259"/>
        </w:trPr>
        <w:tc>
          <w:tcPr>
            <w:tcW w:w="3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38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Heating and Cooling Degree-Days</w:t>
            </w:r>
          </w:p>
        </w:tc>
        <w:tc>
          <w:tcPr>
            <w:tcW w:w="960" w:type="dxa"/>
            <w:vAlign w:val="bottom"/>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3"/>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3"/>
          </w:tcPr>
          <w:p>
            <w:pPr>
              <w:ind w:left="200"/>
              <w:spacing w:after="0"/>
              <w:rPr>
                <w:sz w:val="20"/>
                <w:szCs w:val="20"/>
                <w:color w:val="auto"/>
              </w:rPr>
            </w:pPr>
            <w:r>
              <w:rPr>
                <w:rFonts w:ascii="Times New Roman" w:cs="Times New Roman" w:eastAsia="Times New Roman" w:hAnsi="Times New Roman"/>
                <w:sz w:val="10"/>
                <w:szCs w:val="10"/>
                <w:b w:val="1"/>
                <w:bCs w:val="1"/>
                <w:color w:val="auto"/>
              </w:rPr>
              <w:t>Normal</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320"/>
              <w:spacing w:after="0"/>
              <w:rPr>
                <w:sz w:val="20"/>
                <w:szCs w:val="20"/>
                <w:color w:val="auto"/>
              </w:rPr>
            </w:pPr>
            <w:r>
              <w:rPr>
                <w:rFonts w:ascii="Times New Roman" w:cs="Times New Roman" w:eastAsia="Times New Roman" w:hAnsi="Times New Roman"/>
                <w:sz w:val="10"/>
                <w:szCs w:val="10"/>
                <w:b w:val="1"/>
                <w:bCs w:val="1"/>
                <w:color w:val="auto"/>
              </w:rPr>
              <w:t>From 2024</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jc w:val="right"/>
              <w:ind w:right="432"/>
              <w:spacing w:after="0"/>
              <w:rPr>
                <w:sz w:val="20"/>
                <w:szCs w:val="20"/>
                <w:color w:val="auto"/>
              </w:rPr>
            </w:pPr>
            <w:r>
              <w:rPr>
                <w:rFonts w:ascii="Times New Roman" w:cs="Times New Roman" w:eastAsia="Times New Roman" w:hAnsi="Times New Roman"/>
                <w:sz w:val="10"/>
                <w:szCs w:val="10"/>
                <w:b w:val="1"/>
                <w:bCs w:val="1"/>
                <w:color w:val="auto"/>
              </w:rPr>
              <w:t>From Normal</w:t>
            </w:r>
          </w:p>
        </w:tc>
        <w:tc>
          <w:tcPr>
            <w:tcW w:w="0" w:type="dxa"/>
            <w:vAlign w:val="bottom"/>
          </w:tcPr>
          <w:p>
            <w:pPr>
              <w:spacing w:after="0"/>
              <w:rPr>
                <w:sz w:val="1"/>
                <w:szCs w:val="1"/>
                <w:color w:val="auto"/>
              </w:rPr>
            </w:pPr>
          </w:p>
        </w:tc>
      </w:tr>
      <w:tr>
        <w:trPr>
          <w:trHeight w:val="129"/>
        </w:trPr>
        <w:tc>
          <w:tcPr>
            <w:tcW w:w="3700" w:type="dxa"/>
            <w:vAlign w:val="bottom"/>
            <w:tcBorders>
              <w:top w:val="single" w:sz="8" w:color="CCEEFF"/>
            </w:tcBorders>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Heating Degree-Days</w:t>
            </w:r>
          </w:p>
        </w:tc>
        <w:tc>
          <w:tcPr>
            <w:tcW w:w="1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1,729</w:t>
            </w:r>
          </w:p>
        </w:tc>
        <w:tc>
          <w:tcPr>
            <w:tcW w:w="1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1,544</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1,617</w:t>
            </w: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12.0 %</w:t>
            </w:r>
          </w:p>
        </w:tc>
        <w:tc>
          <w:tcPr>
            <w:tcW w:w="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6.9 %</w:t>
            </w:r>
          </w:p>
        </w:tc>
        <w:tc>
          <w:tcPr>
            <w:tcW w:w="0" w:type="dxa"/>
            <w:vAlign w:val="bottom"/>
          </w:tcPr>
          <w:p>
            <w:pPr>
              <w:spacing w:after="0"/>
              <w:rPr>
                <w:sz w:val="1"/>
                <w:szCs w:val="1"/>
                <w:color w:val="auto"/>
              </w:rPr>
            </w:pPr>
          </w:p>
        </w:tc>
      </w:tr>
      <w:tr>
        <w:trPr>
          <w:trHeight w:val="123"/>
        </w:trPr>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Cooling Degree-Days</w:t>
            </w:r>
          </w:p>
        </w:tc>
        <w:tc>
          <w:tcPr>
            <w:tcW w:w="960" w:type="dxa"/>
            <w:vAlign w:val="bottom"/>
          </w:tcPr>
          <w:p>
            <w:pPr>
              <w:spacing w:after="0"/>
              <w:rPr>
                <w:sz w:val="10"/>
                <w:szCs w:val="1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(40.7)%</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(48.4)%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300"/>
          </w:cols>
          <w:pgMar w:left="300" w:top="129"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Twelve Months Ended December 31, 2025 and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9"/>
          </w:tcPr>
          <w:p>
            <w:pPr>
              <w:ind w:left="60"/>
              <w:spacing w:after="0"/>
              <w:rPr>
                <w:sz w:val="20"/>
                <w:szCs w:val="20"/>
                <w:color w:val="auto"/>
              </w:rPr>
            </w:pPr>
            <w:r>
              <w:rPr>
                <w:rFonts w:ascii="Times New Roman" w:cs="Times New Roman" w:eastAsia="Times New Roman" w:hAnsi="Times New Roman"/>
                <w:sz w:val="10"/>
                <w:szCs w:val="10"/>
                <w:b w:val="1"/>
                <w:bCs w:val="1"/>
                <w:color w:val="auto"/>
              </w:rPr>
              <w:t>Electric and Natural Gas Deliveries</w:t>
            </w:r>
          </w:p>
        </w:tc>
        <w:tc>
          <w:tcPr>
            <w:tcW w:w="7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Revenue (in millions)</w:t>
            </w: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7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jc w:val="center"/>
              <w:ind w:left="252"/>
              <w:spacing w:after="0" w:line="89" w:lineRule="exact"/>
              <w:rPr>
                <w:sz w:val="20"/>
                <w:szCs w:val="20"/>
                <w:color w:val="auto"/>
              </w:rPr>
            </w:pPr>
            <w:r>
              <w:rPr>
                <w:rFonts w:ascii="Times New Roman" w:cs="Times New Roman" w:eastAsia="Times New Roman" w:hAnsi="Times New Roman"/>
                <w:sz w:val="10"/>
                <w:szCs w:val="10"/>
                <w:b w:val="1"/>
                <w:bCs w:val="1"/>
                <w:color w:val="auto"/>
                <w:w w:val="93"/>
              </w:rPr>
              <w:t>Weather-</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37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gridSpan w:val="4"/>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4"/>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760" w:type="dxa"/>
            <w:vAlign w:val="bottom"/>
          </w:tcPr>
          <w:p>
            <w:pPr>
              <w:jc w:val="center"/>
              <w:ind w:left="252"/>
              <w:spacing w:after="0" w:line="98" w:lineRule="exact"/>
              <w:rPr>
                <w:sz w:val="20"/>
                <w:szCs w:val="20"/>
                <w:color w:val="auto"/>
              </w:rPr>
            </w:pPr>
            <w:r>
              <w:rPr>
                <w:rFonts w:ascii="Times New Roman" w:cs="Times New Roman" w:eastAsia="Times New Roman" w:hAnsi="Times New Roman"/>
                <w:sz w:val="10"/>
                <w:szCs w:val="10"/>
                <w:b w:val="1"/>
                <w:bCs w:val="1"/>
                <w:color w:val="auto"/>
                <w:w w:val="91"/>
              </w:rPr>
              <w:t>Normal</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2024</w:t>
            </w: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30"/>
        </w:trPr>
        <w:tc>
          <w:tcPr>
            <w:tcW w:w="3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760" w:type="dxa"/>
            <w:vAlign w:val="bottom"/>
          </w:tcPr>
          <w:p>
            <w:pPr>
              <w:jc w:val="center"/>
              <w:ind w:left="252"/>
              <w:spacing w:after="0"/>
              <w:rPr>
                <w:sz w:val="20"/>
                <w:szCs w:val="20"/>
                <w:color w:val="auto"/>
              </w:rPr>
            </w:pPr>
            <w:r>
              <w:rPr>
                <w:rFonts w:ascii="Times New Roman" w:cs="Times New Roman" w:eastAsia="Times New Roman" w:hAnsi="Times New Roman"/>
                <w:sz w:val="10"/>
                <w:szCs w:val="10"/>
                <w:b w:val="1"/>
                <w:bCs w:val="1"/>
                <w:color w:val="auto"/>
                <w:w w:val="92"/>
              </w:rPr>
              <w:t>% Change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820" w:type="dxa"/>
            <w:vAlign w:val="bottom"/>
            <w:tcBorders>
              <w:top w:val="single" w:sz="8" w:color="CCEEFF"/>
            </w:tcBorders>
            <w:gridSpan w:val="2"/>
            <w:shd w:val="clear" w:color="auto" w:fill="CCEEFF"/>
          </w:tcPr>
          <w:p>
            <w:pPr>
              <w:spacing w:after="0" w:line="111" w:lineRule="exact"/>
              <w:rPr>
                <w:sz w:val="20"/>
                <w:szCs w:val="20"/>
                <w:color w:val="auto"/>
              </w:rPr>
            </w:pPr>
            <w:r>
              <w:rPr>
                <w:rFonts w:ascii="Times New Roman" w:cs="Times New Roman" w:eastAsia="Times New Roman" w:hAnsi="Times New Roman"/>
                <w:sz w:val="10"/>
                <w:szCs w:val="10"/>
                <w:b w:val="1"/>
                <w:bCs w:val="1"/>
                <w:color w:val="auto"/>
              </w:rPr>
              <w:t>Electric (in GWhs)</w:t>
            </w:r>
          </w:p>
        </w:tc>
        <w:tc>
          <w:tcPr>
            <w:tcW w:w="9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20" w:type="dxa"/>
            <w:vAlign w:val="bottom"/>
            <w:gridSpan w:val="2"/>
          </w:tcPr>
          <w:p>
            <w:pPr>
              <w:spacing w:after="0" w:line="135" w:lineRule="exact"/>
              <w:rPr>
                <w:sz w:val="20"/>
                <w:szCs w:val="20"/>
                <w:color w:val="auto"/>
              </w:rPr>
            </w:pPr>
            <w:r>
              <w:rPr>
                <w:rFonts w:ascii="Times New Roman" w:cs="Times New Roman" w:eastAsia="Times New Roman" w:hAnsi="Times New Roman"/>
                <w:sz w:val="10"/>
                <w:szCs w:val="10"/>
                <w:b w:val="1"/>
                <w:bCs w:val="1"/>
                <w:color w:val="auto"/>
              </w:rPr>
              <w:t>Electric Deliveries and Revenues</w:t>
            </w:r>
            <w:r>
              <w:rPr>
                <w:rFonts w:ascii="Times New Roman" w:cs="Times New Roman" w:eastAsia="Times New Roman" w:hAnsi="Times New Roman"/>
                <w:sz w:val="12"/>
                <w:szCs w:val="12"/>
                <w:b w:val="1"/>
                <w:bCs w:val="1"/>
                <w:color w:val="auto"/>
                <w:vertAlign w:val="superscript"/>
              </w:rPr>
              <w:t>(a)</w:t>
            </w: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Residential</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12,894</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12,682</w:t>
            </w:r>
          </w:p>
        </w:tc>
        <w:tc>
          <w:tcPr>
            <w:tcW w:w="40" w:type="dxa"/>
            <w:vAlign w:val="bottom"/>
            <w:shd w:val="clear" w:color="auto" w:fill="CCEEFF"/>
          </w:tcPr>
          <w:p>
            <w:pPr>
              <w:spacing w:after="0"/>
              <w:rPr>
                <w:sz w:val="11"/>
                <w:szCs w:val="11"/>
                <w:color w:val="auto"/>
              </w:rPr>
            </w:pPr>
          </w:p>
        </w:tc>
        <w:tc>
          <w:tcPr>
            <w:tcW w:w="1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1.7 %</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(0.9)%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2,503</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2,038</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22.8 %</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2,723</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2,716</w:t>
            </w:r>
          </w:p>
        </w:tc>
        <w:tc>
          <w:tcPr>
            <w:tcW w:w="40" w:type="dxa"/>
            <w:vAlign w:val="bottom"/>
          </w:tcPr>
          <w:p>
            <w:pPr>
              <w:spacing w:after="0"/>
              <w:rPr>
                <w:sz w:val="11"/>
                <w:szCs w:val="11"/>
                <w:color w:val="auto"/>
              </w:rPr>
            </w:pP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0"/>
                <w:szCs w:val="10"/>
                <w:color w:val="auto"/>
              </w:rPr>
              <w:t>0.3 %</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4"/>
              </w:rPr>
              <w:t>(0.3)%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360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15.0 %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13,060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13,170</w:t>
            </w:r>
          </w:p>
        </w:tc>
        <w:tc>
          <w:tcPr>
            <w:tcW w:w="4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(0.8)%</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(0.1)%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603</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557</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8.3 %</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195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198</w:t>
            </w:r>
          </w:p>
        </w:tc>
        <w:tc>
          <w:tcPr>
            <w:tcW w:w="40" w:type="dxa"/>
            <w:vAlign w:val="bottom"/>
          </w:tcPr>
          <w:p>
            <w:pPr>
              <w:spacing w:after="0"/>
              <w:rPr>
                <w:sz w:val="11"/>
                <w:szCs w:val="11"/>
                <w:color w:val="auto"/>
              </w:rPr>
            </w:pP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4"/>
              </w:rPr>
              <w:t>(1.5)%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31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6.5 %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(b)</w:t>
            </w:r>
          </w:p>
        </w:tc>
        <w:tc>
          <w:tcPr>
            <w:tcW w:w="10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0"/>
                <w:szCs w:val="10"/>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n/a</w:t>
            </w:r>
          </w:p>
        </w:tc>
        <w:tc>
          <w:tcPr>
            <w:tcW w:w="7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n/a</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476</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414</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15.0 %</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820" w:type="dxa"/>
            <w:vAlign w:val="bottom"/>
            <w:tcBorders>
              <w:bottom w:val="single" w:sz="8" w:color="CCEEFF"/>
            </w:tcBorders>
            <w:gridSpan w:val="2"/>
          </w:tcPr>
          <w:p>
            <w:pPr>
              <w:ind w:left="440"/>
              <w:spacing w:after="0" w:line="124" w:lineRule="exact"/>
              <w:rPr>
                <w:sz w:val="20"/>
                <w:szCs w:val="20"/>
                <w:color w:val="auto"/>
              </w:rPr>
            </w:pPr>
            <w:r>
              <w:rPr>
                <w:rFonts w:ascii="Times New Roman" w:cs="Times New Roman" w:eastAsia="Times New Roman" w:hAnsi="Times New Roman"/>
                <w:sz w:val="10"/>
                <w:szCs w:val="10"/>
                <w:color w:val="auto"/>
              </w:rPr>
              <w:t>Total electric revenues</w:t>
            </w:r>
            <w:r>
              <w:rPr>
                <w:rFonts w:ascii="Times New Roman" w:cs="Times New Roman" w:eastAsia="Times New Roman" w:hAnsi="Times New Roman"/>
                <w:sz w:val="12"/>
                <w:szCs w:val="12"/>
                <w:color w:val="auto"/>
                <w:vertAlign w:val="superscript"/>
              </w:rPr>
              <w:t>(c)</w:t>
            </w:r>
          </w:p>
        </w:tc>
        <w:tc>
          <w:tcPr>
            <w:tcW w:w="9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28,872</w:t>
            </w: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96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color w:val="auto"/>
              </w:rPr>
              <w:t>28,766</w:t>
            </w:r>
          </w:p>
        </w:tc>
        <w:tc>
          <w:tcPr>
            <w:tcW w:w="40" w:type="dxa"/>
            <w:vAlign w:val="bottom"/>
            <w:tcBorders>
              <w:bottom w:val="single" w:sz="8" w:color="CCEEFF"/>
            </w:tcBorders>
          </w:tcPr>
          <w:p>
            <w:pPr>
              <w:spacing w:after="0"/>
              <w:rPr>
                <w:sz w:val="10"/>
                <w:szCs w:val="10"/>
                <w:color w:val="auto"/>
              </w:rPr>
            </w:pPr>
          </w:p>
        </w:tc>
        <w:tc>
          <w:tcPr>
            <w:tcW w:w="1080" w:type="dxa"/>
            <w:vAlign w:val="bottom"/>
            <w:tcBorders>
              <w:bottom w:val="single" w:sz="8" w:color="CCEEFF"/>
            </w:tcBorders>
            <w:gridSpan w:val="5"/>
          </w:tcPr>
          <w:p>
            <w:pPr>
              <w:jc w:val="right"/>
              <w:spacing w:after="0" w:line="107" w:lineRule="exact"/>
              <w:rPr>
                <w:sz w:val="20"/>
                <w:szCs w:val="20"/>
                <w:color w:val="auto"/>
              </w:rPr>
            </w:pPr>
            <w:r>
              <w:rPr>
                <w:rFonts w:ascii="Times New Roman" w:cs="Times New Roman" w:eastAsia="Times New Roman" w:hAnsi="Times New Roman"/>
                <w:sz w:val="10"/>
                <w:szCs w:val="10"/>
                <w:color w:val="auto"/>
              </w:rPr>
              <w:t>0.4 %</w:t>
            </w:r>
          </w:p>
        </w:tc>
        <w:tc>
          <w:tcPr>
            <w:tcW w:w="8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w w:val="94"/>
              </w:rPr>
              <w:t>(0.5)%</w:t>
            </w:r>
          </w:p>
        </w:tc>
        <w:tc>
          <w:tcPr>
            <w:tcW w:w="80" w:type="dxa"/>
            <w:vAlign w:val="bottom"/>
            <w:tcBorders>
              <w:bottom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4,029</w:t>
            </w:r>
          </w:p>
        </w:tc>
        <w:tc>
          <w:tcPr>
            <w:tcW w:w="80" w:type="dxa"/>
            <w:vAlign w:val="bottom"/>
            <w:tcBorders>
              <w:bottom w:val="single" w:sz="8" w:color="CCEEFF"/>
            </w:tcBorders>
          </w:tcPr>
          <w:p>
            <w:pPr>
              <w:spacing w:after="0"/>
              <w:rPr>
                <w:sz w:val="10"/>
                <w:szCs w:val="10"/>
                <w:color w:val="auto"/>
              </w:rPr>
            </w:pPr>
          </w:p>
        </w:tc>
        <w:tc>
          <w:tcPr>
            <w:tcW w:w="20" w:type="dxa"/>
            <w:vAlign w:val="bottom"/>
            <w:tcBorders>
              <w:top w:val="single" w:sz="8" w:color="auto"/>
              <w:bottom w:val="single" w:sz="8" w:color="auto"/>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3,400</w:t>
            </w: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02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18.5 %</w:t>
            </w:r>
          </w:p>
        </w:tc>
        <w:tc>
          <w:tcPr>
            <w:tcW w:w="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20" w:type="dxa"/>
            <w:vAlign w:val="bottom"/>
            <w:gridSpan w:val="2"/>
            <w:shd w:val="clear" w:color="auto" w:fill="CCEEFF"/>
          </w:tcPr>
          <w:p>
            <w:pPr>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(d)</w:t>
            </w:r>
          </w:p>
        </w:tc>
        <w:tc>
          <w:tcPr>
            <w:tcW w:w="9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w:t>
            </w:r>
          </w:p>
        </w:tc>
        <w:tc>
          <w:tcPr>
            <w:tcW w:w="8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36</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(161.1)%</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820" w:type="dxa"/>
            <w:vAlign w:val="bottom"/>
            <w:tcBorders>
              <w:bottom w:val="single" w:sz="8" w:color="CCEEFF"/>
            </w:tcBorders>
            <w:gridSpan w:val="2"/>
          </w:tcPr>
          <w:p>
            <w:pPr>
              <w:ind w:left="440"/>
              <w:spacing w:after="0" w:line="107" w:lineRule="exact"/>
              <w:rPr>
                <w:sz w:val="20"/>
                <w:szCs w:val="20"/>
                <w:color w:val="auto"/>
              </w:rPr>
            </w:pPr>
            <w:r>
              <w:rPr>
                <w:rFonts w:ascii="Times New Roman" w:cs="Times New Roman" w:eastAsia="Times New Roman" w:hAnsi="Times New Roman"/>
                <w:sz w:val="10"/>
                <w:szCs w:val="10"/>
                <w:color w:val="auto"/>
              </w:rPr>
              <w:t>Total Electric Revenues</w:t>
            </w:r>
          </w:p>
        </w:tc>
        <w:tc>
          <w:tcPr>
            <w:tcW w:w="9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4,007</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3,436</w:t>
            </w: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02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16.6 %</w:t>
            </w:r>
          </w:p>
        </w:tc>
        <w:tc>
          <w:tcPr>
            <w:tcW w:w="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820" w:type="dxa"/>
            <w:vAlign w:val="bottom"/>
            <w:gridSpan w:val="2"/>
            <w:shd w:val="clear" w:color="auto" w:fill="CCEEFF"/>
          </w:tcPr>
          <w:p>
            <w:pPr>
              <w:spacing w:after="0" w:line="112" w:lineRule="exact"/>
              <w:rPr>
                <w:sz w:val="20"/>
                <w:szCs w:val="20"/>
                <w:color w:val="auto"/>
              </w:rPr>
            </w:pPr>
            <w:r>
              <w:rPr>
                <w:rFonts w:ascii="Times New Roman" w:cs="Times New Roman" w:eastAsia="Times New Roman" w:hAnsi="Times New Roman"/>
                <w:sz w:val="10"/>
                <w:szCs w:val="10"/>
                <w:b w:val="1"/>
                <w:bCs w:val="1"/>
                <w:color w:val="auto"/>
              </w:rPr>
              <w:t>Natural Gas (in mmcfs)</w:t>
            </w:r>
          </w:p>
        </w:tc>
        <w:tc>
          <w:tcPr>
            <w:tcW w:w="9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20" w:type="dxa"/>
            <w:vAlign w:val="bottom"/>
            <w:gridSpan w:val="2"/>
          </w:tcPr>
          <w:p>
            <w:pPr>
              <w:spacing w:after="0" w:line="135" w:lineRule="exact"/>
              <w:rPr>
                <w:sz w:val="20"/>
                <w:szCs w:val="20"/>
                <w:color w:val="auto"/>
              </w:rPr>
            </w:pPr>
            <w:r>
              <w:rPr>
                <w:rFonts w:ascii="Times New Roman" w:cs="Times New Roman" w:eastAsia="Times New Roman" w:hAnsi="Times New Roman"/>
                <w:sz w:val="10"/>
                <w:szCs w:val="10"/>
                <w:b w:val="1"/>
                <w:bCs w:val="1"/>
                <w:color w:val="auto"/>
              </w:rPr>
              <w:t>Natural Gas Deliveries and Revenues</w:t>
            </w:r>
            <w:r>
              <w:rPr>
                <w:rFonts w:ascii="Times New Roman" w:cs="Times New Roman" w:eastAsia="Times New Roman" w:hAnsi="Times New Roman"/>
                <w:sz w:val="12"/>
                <w:szCs w:val="12"/>
                <w:b w:val="1"/>
                <w:bCs w:val="1"/>
                <w:color w:val="auto"/>
                <w:vertAlign w:val="superscript"/>
              </w:rPr>
              <w:t>(e)</w:t>
            </w: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Residential</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41,633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36,645</w:t>
            </w:r>
          </w:p>
        </w:tc>
        <w:tc>
          <w:tcPr>
            <w:tcW w:w="40" w:type="dxa"/>
            <w:vAlign w:val="bottom"/>
            <w:shd w:val="clear" w:color="auto" w:fill="CCEEFF"/>
          </w:tcPr>
          <w:p>
            <w:pPr>
              <w:spacing w:after="0"/>
              <w:rPr>
                <w:sz w:val="11"/>
                <w:szCs w:val="11"/>
                <w:color w:val="auto"/>
              </w:rPr>
            </w:pPr>
          </w:p>
        </w:tc>
        <w:tc>
          <w:tcPr>
            <w:tcW w:w="1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13.6 %</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(1.5)%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823</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625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31.7 %</w:t>
            </w:r>
          </w:p>
        </w:tc>
        <w:tc>
          <w:tcPr>
            <w:tcW w:w="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9,860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8,682</w:t>
            </w:r>
          </w:p>
        </w:tc>
        <w:tc>
          <w:tcPr>
            <w:tcW w:w="40" w:type="dxa"/>
            <w:vAlign w:val="bottom"/>
          </w:tcPr>
          <w:p>
            <w:pPr>
              <w:spacing w:after="0"/>
              <w:rPr>
                <w:sz w:val="11"/>
                <w:szCs w:val="11"/>
                <w:color w:val="auto"/>
              </w:rPr>
            </w:pPr>
          </w:p>
        </w:tc>
        <w:tc>
          <w:tcPr>
            <w:tcW w:w="1080" w:type="dxa"/>
            <w:vAlign w:val="bottom"/>
            <w:gridSpan w:val="5"/>
          </w:tcPr>
          <w:p>
            <w:pPr>
              <w:jc w:val="right"/>
              <w:spacing w:after="0"/>
              <w:rPr>
                <w:sz w:val="20"/>
                <w:szCs w:val="20"/>
                <w:color w:val="auto"/>
              </w:rPr>
            </w:pPr>
            <w:r>
              <w:rPr>
                <w:rFonts w:ascii="Times New Roman" w:cs="Times New Roman" w:eastAsia="Times New Roman" w:hAnsi="Times New Roman"/>
                <w:sz w:val="10"/>
                <w:szCs w:val="10"/>
                <w:color w:val="auto"/>
              </w:rPr>
              <w:t>13.6 %</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110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27.3 %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9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41,343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39,618</w:t>
            </w:r>
          </w:p>
        </w:tc>
        <w:tc>
          <w:tcPr>
            <w:tcW w:w="40" w:type="dxa"/>
            <w:vAlign w:val="bottom"/>
            <w:shd w:val="clear" w:color="auto" w:fill="CCEEFF"/>
          </w:tcPr>
          <w:p>
            <w:pPr>
              <w:spacing w:after="0"/>
              <w:rPr>
                <w:sz w:val="12"/>
                <w:szCs w:val="12"/>
                <w:color w:val="auto"/>
              </w:rPr>
            </w:pPr>
          </w:p>
        </w:tc>
        <w:tc>
          <w:tcPr>
            <w:tcW w:w="10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4.4 %</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0.8 %</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248</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204</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21.6 %</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20" w:type="dxa"/>
            <w:vAlign w:val="bottom"/>
            <w:tcBorders>
              <w:bottom w:val="single" w:sz="8" w:color="CCEEFF"/>
            </w:tcBorders>
            <w:gridSpan w:val="2"/>
          </w:tcPr>
          <w:p>
            <w:pPr>
              <w:ind w:left="220"/>
              <w:spacing w:after="0" w:line="135" w:lineRule="exact"/>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(f)</w:t>
            </w:r>
          </w:p>
        </w:tc>
        <w:tc>
          <w:tcPr>
            <w:tcW w:w="9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color w:val="auto"/>
              </w:rPr>
              <w:t>6,643</w:t>
            </w: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color w:val="auto"/>
              </w:rPr>
              <w:t>2,268</w:t>
            </w:r>
          </w:p>
        </w:tc>
        <w:tc>
          <w:tcPr>
            <w:tcW w:w="40" w:type="dxa"/>
            <w:vAlign w:val="bottom"/>
            <w:tcBorders>
              <w:bottom w:val="single" w:sz="8" w:color="CCEEFF"/>
            </w:tcBorders>
          </w:tcPr>
          <w:p>
            <w:pPr>
              <w:spacing w:after="0"/>
              <w:rPr>
                <w:sz w:val="11"/>
                <w:szCs w:val="11"/>
                <w:color w:val="auto"/>
              </w:rPr>
            </w:pPr>
          </w:p>
        </w:tc>
        <w:tc>
          <w:tcPr>
            <w:tcW w:w="1080" w:type="dxa"/>
            <w:vAlign w:val="bottom"/>
            <w:tcBorders>
              <w:bottom w:val="single" w:sz="8" w:color="CCEEFF"/>
            </w:tcBorders>
            <w:gridSpan w:val="5"/>
          </w:tcPr>
          <w:p>
            <w:pPr>
              <w:jc w:val="right"/>
              <w:spacing w:after="0"/>
              <w:rPr>
                <w:sz w:val="20"/>
                <w:szCs w:val="20"/>
                <w:color w:val="auto"/>
              </w:rPr>
            </w:pPr>
            <w:r>
              <w:rPr>
                <w:rFonts w:ascii="Times New Roman" w:cs="Times New Roman" w:eastAsia="Times New Roman" w:hAnsi="Times New Roman"/>
                <w:sz w:val="10"/>
                <w:szCs w:val="10"/>
                <w:color w:val="auto"/>
              </w:rPr>
              <w:t>192.9 %</w:t>
            </w:r>
          </w:p>
        </w:tc>
        <w:tc>
          <w:tcPr>
            <w:tcW w:w="80" w:type="dxa"/>
            <w:vAlign w:val="bottom"/>
            <w:tcBorders>
              <w:bottom w:val="single" w:sz="8" w:color="CCEEFF"/>
            </w:tcBorders>
          </w:tcPr>
          <w:p>
            <w:pPr>
              <w:spacing w:after="0"/>
              <w:rPr>
                <w:sz w:val="11"/>
                <w:szCs w:val="11"/>
                <w:color w:val="auto"/>
              </w:rPr>
            </w:pPr>
          </w:p>
        </w:tc>
        <w:tc>
          <w:tcPr>
            <w:tcW w:w="76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n/a</w:t>
            </w: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51</w:t>
            </w: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18</w:t>
            </w: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0"/>
                <w:szCs w:val="10"/>
                <w:color w:val="auto"/>
              </w:rPr>
              <w:t>183.3 %</w:t>
            </w: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820" w:type="dxa"/>
            <w:vAlign w:val="bottom"/>
            <w:gridSpan w:val="2"/>
            <w:shd w:val="clear" w:color="auto" w:fill="CCEEFF"/>
          </w:tcPr>
          <w:p>
            <w:pPr>
              <w:ind w:left="440"/>
              <w:spacing w:after="0" w:line="124" w:lineRule="exact"/>
              <w:rPr>
                <w:sz w:val="20"/>
                <w:szCs w:val="20"/>
                <w:color w:val="auto"/>
              </w:rPr>
            </w:pPr>
            <w:r>
              <w:rPr>
                <w:rFonts w:ascii="Times New Roman" w:cs="Times New Roman" w:eastAsia="Times New Roman" w:hAnsi="Times New Roman"/>
                <w:sz w:val="10"/>
                <w:szCs w:val="10"/>
                <w:color w:val="auto"/>
              </w:rPr>
              <w:t>Total natural gas revenues</w:t>
            </w:r>
            <w:r>
              <w:rPr>
                <w:rFonts w:ascii="Times New Roman" w:cs="Times New Roman" w:eastAsia="Times New Roman" w:hAnsi="Times New Roman"/>
                <w:sz w:val="12"/>
                <w:szCs w:val="12"/>
                <w:color w:val="auto"/>
                <w:vertAlign w:val="superscript"/>
              </w:rPr>
              <w:t>(g)</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99,479</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87,213</w:t>
            </w:r>
          </w:p>
        </w:tc>
        <w:tc>
          <w:tcPr>
            <w:tcW w:w="40" w:type="dxa"/>
            <w:vAlign w:val="bottom"/>
            <w:shd w:val="clear" w:color="auto" w:fill="CCEEFF"/>
          </w:tcPr>
          <w:p>
            <w:pPr>
              <w:spacing w:after="0"/>
              <w:rPr>
                <w:sz w:val="10"/>
                <w:szCs w:val="10"/>
                <w:color w:val="auto"/>
              </w:rPr>
            </w:pPr>
          </w:p>
        </w:tc>
        <w:tc>
          <w:tcPr>
            <w:tcW w:w="1080" w:type="dxa"/>
            <w:vAlign w:val="bottom"/>
            <w:gridSpan w:val="5"/>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14.1 %</w:t>
            </w: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0.1 %</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1,262</w:t>
            </w:r>
          </w:p>
        </w:tc>
        <w:tc>
          <w:tcPr>
            <w:tcW w:w="8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957</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31.9 %</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820" w:type="dxa"/>
            <w:vAlign w:val="bottom"/>
            <w:tcBorders>
              <w:bottom w:val="single" w:sz="8" w:color="CCEEFF"/>
            </w:tcBorders>
            <w:gridSpan w:val="2"/>
          </w:tcPr>
          <w:p>
            <w:pPr>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(d)</w:t>
            </w:r>
          </w:p>
        </w:tc>
        <w:tc>
          <w:tcPr>
            <w:tcW w:w="9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(47)</w:t>
            </w:r>
          </w:p>
        </w:tc>
        <w:tc>
          <w:tcPr>
            <w:tcW w:w="8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33</w:t>
            </w:r>
          </w:p>
        </w:tc>
        <w:tc>
          <w:tcPr>
            <w:tcW w:w="6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102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(242.4)%</w:t>
            </w:r>
          </w:p>
        </w:tc>
        <w:tc>
          <w:tcPr>
            <w:tcW w:w="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820" w:type="dxa"/>
            <w:vAlign w:val="bottom"/>
            <w:gridSpan w:val="2"/>
            <w:shd w:val="clear" w:color="auto" w:fill="CCEEFF"/>
          </w:tcPr>
          <w:p>
            <w:pPr>
              <w:ind w:left="440"/>
              <w:spacing w:after="0" w:line="107" w:lineRule="exact"/>
              <w:rPr>
                <w:sz w:val="20"/>
                <w:szCs w:val="20"/>
                <w:color w:val="auto"/>
              </w:rPr>
            </w:pPr>
            <w:r>
              <w:rPr>
                <w:rFonts w:ascii="Times New Roman" w:cs="Times New Roman" w:eastAsia="Times New Roman" w:hAnsi="Times New Roman"/>
                <w:sz w:val="10"/>
                <w:szCs w:val="10"/>
                <w:color w:val="auto"/>
              </w:rPr>
              <w:t>Total Natural Gas Revenues</w:t>
            </w:r>
          </w:p>
        </w:tc>
        <w:tc>
          <w:tcPr>
            <w:tcW w:w="9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1,215</w:t>
            </w:r>
          </w:p>
        </w:tc>
        <w:tc>
          <w:tcPr>
            <w:tcW w:w="80" w:type="dxa"/>
            <w:vAlign w:val="bottom"/>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990</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22.7 %</w:t>
            </w:r>
          </w:p>
        </w:tc>
        <w:tc>
          <w:tcPr>
            <w:tcW w:w="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82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0"/>
                <w:szCs w:val="10"/>
                <w:color w:val="auto"/>
              </w:rPr>
              <w:t>Total Electric and Natural Gas Revenues</w:t>
            </w:r>
          </w:p>
        </w:tc>
        <w:tc>
          <w:tcPr>
            <w:tcW w:w="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5,222</w:t>
            </w: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4,426</w:t>
            </w: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0"/>
                <w:szCs w:val="10"/>
                <w:color w:val="auto"/>
              </w:rPr>
              <w:t>18.0 %</w:t>
            </w:r>
          </w:p>
        </w:tc>
        <w:tc>
          <w:tcPr>
            <w:tcW w:w="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0"/>
                <w:szCs w:val="10"/>
                <w:b w:val="1"/>
                <w:bCs w:val="1"/>
                <w:color w:val="auto"/>
              </w:rPr>
              <w:t>Purchased Power and Fuel</w:t>
            </w:r>
          </w:p>
        </w:tc>
        <w:tc>
          <w:tcPr>
            <w:tcW w:w="9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2,221</w:t>
            </w:r>
          </w:p>
        </w:tc>
        <w:tc>
          <w:tcPr>
            <w:tcW w:w="8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1,651</w:t>
            </w:r>
          </w:p>
        </w:tc>
        <w:tc>
          <w:tcPr>
            <w:tcW w:w="6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34.5 %</w:t>
            </w:r>
          </w:p>
        </w:tc>
        <w:tc>
          <w:tcPr>
            <w:tcW w:w="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67"/>
        </w:trPr>
        <w:tc>
          <w:tcPr>
            <w:tcW w:w="3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820" w:type="dxa"/>
            <w:vAlign w:val="bottom"/>
            <w:gridSpan w:val="2"/>
          </w:tcPr>
          <w:p>
            <w:pPr>
              <w:ind w:left="20"/>
              <w:spacing w:after="0"/>
              <w:rPr>
                <w:sz w:val="20"/>
                <w:szCs w:val="20"/>
                <w:color w:val="auto"/>
              </w:rPr>
            </w:pPr>
            <w:r>
              <w:rPr>
                <w:rFonts w:ascii="Times New Roman" w:cs="Times New Roman" w:eastAsia="Times New Roman" w:hAnsi="Times New Roman"/>
                <w:sz w:val="10"/>
                <w:szCs w:val="10"/>
                <w:b w:val="1"/>
                <w:bCs w:val="1"/>
                <w:color w:val="auto"/>
              </w:rPr>
              <w:t>Heating and Cooling Degree-Days</w:t>
            </w:r>
          </w:p>
        </w:tc>
        <w:tc>
          <w:tcPr>
            <w:tcW w:w="960" w:type="dxa"/>
            <w:vAlign w:val="bottom"/>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2025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w w:val="89"/>
              </w:rPr>
              <w:t>2024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ind w:left="280"/>
              <w:spacing w:after="0"/>
              <w:rPr>
                <w:sz w:val="20"/>
                <w:szCs w:val="20"/>
                <w:color w:val="auto"/>
              </w:rPr>
            </w:pPr>
            <w:r>
              <w:rPr>
                <w:rFonts w:ascii="Times New Roman" w:cs="Times New Roman" w:eastAsia="Times New Roman" w:hAnsi="Times New Roman"/>
                <w:sz w:val="10"/>
                <w:szCs w:val="10"/>
                <w:b w:val="1"/>
                <w:bCs w:val="1"/>
                <w:color w:val="auto"/>
              </w:rPr>
              <w:t>Normal</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ind w:left="500"/>
              <w:spacing w:after="0"/>
              <w:rPr>
                <w:sz w:val="20"/>
                <w:szCs w:val="20"/>
                <w:color w:val="auto"/>
              </w:rPr>
            </w:pPr>
            <w:r>
              <w:rPr>
                <w:rFonts w:ascii="Times New Roman" w:cs="Times New Roman" w:eastAsia="Times New Roman" w:hAnsi="Times New Roman"/>
                <w:sz w:val="10"/>
                <w:szCs w:val="10"/>
                <w:b w:val="1"/>
                <w:bCs w:val="1"/>
                <w:color w:val="auto"/>
                <w:w w:val="94"/>
              </w:rPr>
              <w:t>From 2024</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2"/>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w w:val="94"/>
              </w:rPr>
              <w:t>From Normal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40" w:type="dxa"/>
            <w:vAlign w:val="bottom"/>
            <w:tcBorders>
              <w:top w:val="single" w:sz="8" w:color="CCEEFF"/>
            </w:tcBorders>
            <w:shd w:val="clear" w:color="auto" w:fill="CCEEFF"/>
          </w:tcPr>
          <w:p>
            <w:pPr>
              <w:ind w:left="220"/>
              <w:spacing w:after="0" w:line="112" w:lineRule="exact"/>
              <w:rPr>
                <w:sz w:val="20"/>
                <w:szCs w:val="20"/>
                <w:color w:val="auto"/>
              </w:rPr>
            </w:pPr>
            <w:r>
              <w:rPr>
                <w:rFonts w:ascii="Times New Roman" w:cs="Times New Roman" w:eastAsia="Times New Roman" w:hAnsi="Times New Roman"/>
                <w:sz w:val="10"/>
                <w:szCs w:val="10"/>
                <w:color w:val="auto"/>
              </w:rPr>
              <w:t>Heating Degree-Days</w:t>
            </w:r>
          </w:p>
        </w:tc>
        <w:tc>
          <w:tcPr>
            <w:tcW w:w="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4,439</w:t>
            </w:r>
          </w:p>
        </w:tc>
        <w:tc>
          <w:tcPr>
            <w:tcW w:w="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3,973</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4,496</w:t>
            </w: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11.7 %</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Cooling Degree-Days</w:t>
            </w:r>
          </w:p>
        </w:tc>
        <w:tc>
          <w:tcPr>
            <w:tcW w:w="9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912</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1,066</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902</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2"/>
        </w:trPr>
        <w:tc>
          <w:tcPr>
            <w:tcW w:w="38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Number of Electric Customers</w:t>
            </w:r>
          </w:p>
        </w:tc>
        <w:tc>
          <w:tcPr>
            <w:tcW w:w="960" w:type="dxa"/>
            <w:vAlign w:val="bottom"/>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gridSpan w:val="4"/>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gridSpan w:val="5"/>
          </w:tcPr>
          <w:p>
            <w:pPr>
              <w:ind w:left="80"/>
              <w:spacing w:after="0"/>
              <w:rPr>
                <w:sz w:val="20"/>
                <w:szCs w:val="20"/>
                <w:color w:val="auto"/>
              </w:rPr>
            </w:pPr>
            <w:r>
              <w:rPr>
                <w:rFonts w:ascii="Times New Roman" w:cs="Times New Roman" w:eastAsia="Times New Roman" w:hAnsi="Times New Roman"/>
                <w:sz w:val="10"/>
                <w:szCs w:val="10"/>
                <w:b w:val="1"/>
                <w:bCs w:val="1"/>
                <w:color w:val="auto"/>
              </w:rPr>
              <w:t>Number of Natural Gas Customers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2025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gridSpan w:val="2"/>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820" w:type="dxa"/>
            <w:vAlign w:val="bottom"/>
            <w:tcBorders>
              <w:top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Residential</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1,222,397</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1,216,614</w:t>
            </w:r>
          </w:p>
        </w:tc>
        <w:tc>
          <w:tcPr>
            <w:tcW w:w="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Residential</w:t>
            </w:r>
          </w:p>
        </w:tc>
        <w:tc>
          <w:tcPr>
            <w:tcW w:w="7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660,986</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658,776</w:t>
            </w:r>
          </w:p>
        </w:tc>
        <w:tc>
          <w:tcPr>
            <w:tcW w:w="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115,197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0"/>
                <w:szCs w:val="10"/>
                <w:color w:val="auto"/>
              </w:rPr>
              <w:t>115,010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80" w:type="dxa"/>
            <w:vAlign w:val="bottom"/>
            <w:gridSpan w:val="5"/>
          </w:tcPr>
          <w:p>
            <w:pPr>
              <w:ind w:left="30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0"/>
                <w:szCs w:val="10"/>
                <w:color w:val="auto"/>
              </w:rPr>
              <w:t>37,759</w:t>
            </w:r>
          </w:p>
        </w:tc>
        <w:tc>
          <w:tcPr>
            <w:tcW w:w="40" w:type="dxa"/>
            <w:vAlign w:val="bottom"/>
          </w:tcPr>
          <w:p>
            <w:pPr>
              <w:spacing w:after="0"/>
              <w:rPr>
                <w:sz w:val="11"/>
                <w:szCs w:val="1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37,874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13,445</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13,266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80" w:type="dxa"/>
            <w:vAlign w:val="bottom"/>
            <w:gridSpan w:val="5"/>
            <w:shd w:val="clear" w:color="auto" w:fill="CCEEFF"/>
          </w:tcPr>
          <w:p>
            <w:pPr>
              <w:ind w:left="30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6,417</w:t>
            </w:r>
          </w:p>
        </w:tc>
        <w:tc>
          <w:tcPr>
            <w:tcW w:w="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6,369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820" w:type="dxa"/>
            <w:vAlign w:val="bottom"/>
            <w:gridSpan w:val="2"/>
          </w:tcPr>
          <w:p>
            <w:pPr>
              <w:ind w:left="22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9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0"/>
                <w:szCs w:val="10"/>
                <w:color w:val="auto"/>
              </w:rPr>
              <w:t>260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gridSpan w:val="4"/>
          </w:tcPr>
          <w:p>
            <w:pPr>
              <w:jc w:val="right"/>
              <w:ind w:right="400"/>
              <w:spacing w:after="0"/>
              <w:rPr>
                <w:sz w:val="20"/>
                <w:szCs w:val="20"/>
                <w:color w:val="auto"/>
              </w:rPr>
            </w:pPr>
            <w:r>
              <w:rPr>
                <w:rFonts w:ascii="Times New Roman" w:cs="Times New Roman" w:eastAsia="Times New Roman" w:hAnsi="Times New Roman"/>
                <w:sz w:val="10"/>
                <w:szCs w:val="10"/>
                <w:color w:val="auto"/>
              </w:rPr>
              <w:t>Total</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0"/>
                <w:szCs w:val="10"/>
                <w:color w:val="auto"/>
              </w:rPr>
              <w:t>705,162</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703,019</w:t>
            </w:r>
          </w:p>
        </w:tc>
        <w:tc>
          <w:tcPr>
            <w:tcW w:w="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820" w:type="dxa"/>
            <w:vAlign w:val="bottom"/>
            <w:tcBorders>
              <w:top w:val="single" w:sz="8" w:color="CCEEFF"/>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Total</w:t>
            </w:r>
          </w:p>
        </w:tc>
        <w:tc>
          <w:tcPr>
            <w:tcW w:w="960" w:type="dxa"/>
            <w:vAlign w:val="bottom"/>
            <w:tcBorders>
              <w:top w:val="single" w:sz="8" w:color="auto"/>
              <w:bottom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0"/>
                <w:szCs w:val="10"/>
                <w:color w:val="auto"/>
              </w:rPr>
              <w:t>1,351,291</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960" w:type="dxa"/>
            <w:vAlign w:val="bottom"/>
            <w:tcBorders>
              <w:top w:val="single" w:sz="8" w:color="auto"/>
              <w:bottom w:val="single" w:sz="8" w:color="auto"/>
            </w:tcBorders>
            <w:gridSpan w:val="4"/>
            <w:shd w:val="clear" w:color="auto" w:fill="CCEEFF"/>
          </w:tcPr>
          <w:p>
            <w:pPr>
              <w:jc w:val="right"/>
              <w:ind w:right="20"/>
              <w:spacing w:after="0" w:line="104" w:lineRule="exact"/>
              <w:rPr>
                <w:sz w:val="20"/>
                <w:szCs w:val="20"/>
                <w:color w:val="auto"/>
              </w:rPr>
            </w:pPr>
            <w:r>
              <w:rPr>
                <w:rFonts w:ascii="Times New Roman" w:cs="Times New Roman" w:eastAsia="Times New Roman" w:hAnsi="Times New Roman"/>
                <w:sz w:val="10"/>
                <w:szCs w:val="10"/>
                <w:color w:val="auto"/>
              </w:rPr>
              <w:t>1,345,150</w:t>
            </w:r>
          </w:p>
        </w:tc>
        <w:tc>
          <w:tcPr>
            <w:tcW w:w="20" w:type="dxa"/>
            <w:vAlign w:val="bottom"/>
            <w:tcBorders>
              <w:top w:val="single" w:sz="8" w:color="auto"/>
              <w:bottom w:val="single" w:sz="8" w:color="auto"/>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8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440" w:type="dxa"/>
            <w:vAlign w:val="bottom"/>
            <w:tcBorders>
              <w:top w:val="single" w:sz="8" w:color="auto"/>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980" w:type="dxa"/>
            <w:vAlign w:val="bottom"/>
            <w:tcBorders>
              <w:top w:val="single" w:sz="8" w:color="auto"/>
              <w:bottom w:val="single" w:sz="8" w:color="CCEEFF"/>
            </w:tcBorders>
            <w:shd w:val="clear" w:color="auto" w:fill="CCEEFF"/>
          </w:tcPr>
          <w:p>
            <w:pPr>
              <w:spacing w:after="0"/>
              <w:rPr>
                <w:sz w:val="11"/>
                <w:szCs w:val="11"/>
                <w:color w:val="auto"/>
              </w:rPr>
            </w:pPr>
          </w:p>
        </w:tc>
        <w:tc>
          <w:tcPr>
            <w:tcW w:w="20" w:type="dxa"/>
            <w:vAlign w:val="bottom"/>
            <w:tcBorders>
              <w:top w:val="single" w:sz="8" w:color="auto"/>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w:t>
      </w:r>
    </w:p>
    <w:p>
      <w:pPr>
        <w:spacing w:after="0" w:line="8" w:lineRule="exact"/>
        <w:rPr>
          <w:sz w:val="20"/>
          <w:szCs w:val="20"/>
          <w:color w:val="auto"/>
        </w:rPr>
      </w:pPr>
    </w:p>
    <w:p>
      <w:pPr>
        <w:ind w:left="380" w:hanging="226"/>
        <w:spacing w:after="0" w:line="238" w:lineRule="auto"/>
        <w:tabs>
          <w:tab w:leader="none" w:pos="378"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revenues from customers purchasing electricity directly from BGE and customers purchasing electricity from a competitive electric generation supplier as all customers are assessed distribution charges. For customers purchasing electricity from BGE, revenues also reflect the cost of energy and transmission.</w:t>
      </w:r>
    </w:p>
    <w:p>
      <w:pPr>
        <w:ind w:left="360" w:hanging="206"/>
        <w:spacing w:after="0" w:line="236" w:lineRule="auto"/>
        <w:tabs>
          <w:tab w:leader="none" w:pos="360"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transmission revenue from PJM, wholesale electric revenue, and mutual assistance revenue.</w:t>
      </w:r>
    </w:p>
    <w:p>
      <w:pPr>
        <w:ind w:left="360" w:hanging="206"/>
        <w:spacing w:after="0"/>
        <w:tabs>
          <w:tab w:leader="none" w:pos="360"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operating revenues from affiliates totaling $2 million for both the three months ended December 31, 2025 and 2024, respectively, and $6 million and $7 million for the twelve months ended December 31, 2025 and 2024, respectively.</w:t>
      </w:r>
    </w:p>
    <w:p>
      <w:pPr>
        <w:spacing w:after="0" w:line="2" w:lineRule="exact"/>
        <w:rPr>
          <w:rFonts w:ascii="Times New Roman" w:cs="Times New Roman" w:eastAsia="Times New Roman" w:hAnsi="Times New Roman"/>
          <w:sz w:val="10"/>
          <w:szCs w:val="10"/>
          <w:color w:val="auto"/>
        </w:rPr>
      </w:pPr>
    </w:p>
    <w:p>
      <w:pPr>
        <w:ind w:left="360" w:hanging="206"/>
        <w:spacing w:after="0"/>
        <w:tabs>
          <w:tab w:leader="none" w:pos="360"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alternative revenue programs and late payment charges.</w:t>
      </w:r>
    </w:p>
    <w:p>
      <w:pPr>
        <w:spacing w:after="0" w:line="2" w:lineRule="exact"/>
        <w:rPr>
          <w:rFonts w:ascii="Times New Roman" w:cs="Times New Roman" w:eastAsia="Times New Roman" w:hAnsi="Times New Roman"/>
          <w:sz w:val="10"/>
          <w:szCs w:val="10"/>
          <w:color w:val="auto"/>
        </w:rPr>
      </w:pPr>
    </w:p>
    <w:p>
      <w:pPr>
        <w:ind w:left="380" w:hanging="226"/>
        <w:spacing w:after="0" w:line="238" w:lineRule="auto"/>
        <w:tabs>
          <w:tab w:leader="none" w:pos="378"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delivery volumes and revenues from customers purchasing natural gas directly from BGE and customers purchasing natural gas from a competitive natural gas supplier as all customers are assessed distribution charges. For customers purchasing natural gas from BGE, revenue also reflects the cost of natural gas.</w:t>
      </w:r>
    </w:p>
    <w:p>
      <w:pPr>
        <w:ind w:left="360" w:hanging="206"/>
        <w:spacing w:after="0" w:line="236" w:lineRule="auto"/>
        <w:tabs>
          <w:tab w:leader="none" w:pos="360"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revenues primarily from off-system sales.</w:t>
      </w:r>
    </w:p>
    <w:p>
      <w:pPr>
        <w:ind w:left="360" w:hanging="206"/>
        <w:spacing w:after="0"/>
        <w:tabs>
          <w:tab w:leader="none" w:pos="360" w:val="left"/>
        </w:tabs>
        <w:numPr>
          <w:ilvl w:val="0"/>
          <w:numId w:val="1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operating revenues from affiliates totaling $1 million for both the three months ended December 31, 2025 and 2024, respectively, and $2 million and $3 million for the twelve months ended December 31, 2025 and 2024.</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300"/>
          </w:cols>
          <w:pgMar w:left="300" w:top="129"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Pepco Statistics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Three Months Ended December 31, 2025 and 2024</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0"/>
                <w:szCs w:val="10"/>
                <w:b w:val="1"/>
                <w:bCs w:val="1"/>
                <w:color w:val="auto"/>
              </w:rPr>
              <w:t>Electric Deliveries (in GWhs)</w:t>
            </w:r>
          </w:p>
        </w:tc>
        <w:tc>
          <w:tcPr>
            <w:tcW w:w="10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Revenue (in millions)</w:t>
            </w: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3"/>
              </w:rPr>
              <w:t>Weather-</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320" w:type="dxa"/>
            <w:vAlign w:val="bottom"/>
            <w:gridSpan w:val="3"/>
            <w:vMerge w:val="restart"/>
          </w:tcPr>
          <w:p>
            <w:pPr>
              <w:ind w:left="4100"/>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3"/>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7"/>
                <w:szCs w:val="7"/>
                <w:color w:val="auto"/>
              </w:rPr>
            </w:pPr>
          </w:p>
        </w:tc>
        <w:tc>
          <w:tcPr>
            <w:tcW w:w="11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060" w:type="dxa"/>
            <w:vAlign w:val="bottom"/>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w w:val="97"/>
              </w:rPr>
              <w:t>Normal</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2024</w:t>
            </w: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restart"/>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34"/>
        </w:trPr>
        <w:tc>
          <w:tcPr>
            <w:tcW w:w="432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700" w:type="dxa"/>
            <w:vAlign w:val="bottom"/>
            <w:tcBorders>
              <w:top w:val="single" w:sz="8" w:color="CCEEFF"/>
            </w:tcBorders>
            <w:shd w:val="clear" w:color="auto" w:fill="CCEEFF"/>
          </w:tcPr>
          <w:p>
            <w:pPr>
              <w:ind w:left="20"/>
              <w:spacing w:after="0" w:line="124" w:lineRule="exact"/>
              <w:rPr>
                <w:sz w:val="20"/>
                <w:szCs w:val="20"/>
                <w:color w:val="auto"/>
              </w:rPr>
            </w:pPr>
            <w:r>
              <w:rPr>
                <w:rFonts w:ascii="Times New Roman" w:cs="Times New Roman" w:eastAsia="Times New Roman" w:hAnsi="Times New Roman"/>
                <w:sz w:val="10"/>
                <w:szCs w:val="10"/>
                <w:b w:val="1"/>
                <w:bCs w:val="1"/>
                <w:color w:val="auto"/>
              </w:rPr>
              <w:t>Electric Deliveries and Revenues</w:t>
            </w:r>
            <w:r>
              <w:rPr>
                <w:rFonts w:ascii="Times New Roman" w:cs="Times New Roman" w:eastAsia="Times New Roman" w:hAnsi="Times New Roman"/>
                <w:sz w:val="12"/>
                <w:szCs w:val="12"/>
                <w:b w:val="1"/>
                <w:bCs w:val="1"/>
                <w:color w:val="auto"/>
                <w:vertAlign w:val="superscript"/>
              </w:rPr>
              <w:t>(a)</w:t>
            </w:r>
          </w:p>
        </w:tc>
        <w:tc>
          <w:tcPr>
            <w:tcW w:w="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Residential</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1,873</w:t>
            </w:r>
          </w:p>
        </w:tc>
        <w:tc>
          <w:tcPr>
            <w:tcW w:w="8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1,808</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3.6 %</w:t>
            </w:r>
          </w:p>
        </w:tc>
        <w:tc>
          <w:tcPr>
            <w:tcW w:w="1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396</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328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20.7 %</w:t>
            </w: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264</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263</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0.4 %</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44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13.6 %</w:t>
            </w:r>
          </w:p>
        </w:tc>
        <w:tc>
          <w:tcPr>
            <w:tcW w:w="0" w:type="dxa"/>
            <w:vAlign w:val="bottom"/>
          </w:tcPr>
          <w:p>
            <w:pPr>
              <w:spacing w:after="0"/>
              <w:rPr>
                <w:sz w:val="1"/>
                <w:szCs w:val="1"/>
                <w:color w:val="auto"/>
              </w:rPr>
            </w:pPr>
          </w:p>
        </w:tc>
      </w:tr>
      <w:tr>
        <w:trPr>
          <w:trHeight w:val="129"/>
        </w:trPr>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3,355</w:t>
            </w:r>
          </w:p>
        </w:tc>
        <w:tc>
          <w:tcPr>
            <w:tcW w:w="8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3,369</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(0.4)%</w:t>
            </w:r>
          </w:p>
        </w:tc>
        <w:tc>
          <w:tcPr>
            <w:tcW w:w="1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259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16.2 %</w:t>
            </w: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176</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4.8 %</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10.0 %</w:t>
            </w:r>
          </w:p>
        </w:tc>
        <w:tc>
          <w:tcPr>
            <w:tcW w:w="0" w:type="dxa"/>
            <w:vAlign w:val="bottom"/>
          </w:tcPr>
          <w:p>
            <w:pPr>
              <w:spacing w:after="0"/>
              <w:rPr>
                <w:sz w:val="1"/>
                <w:szCs w:val="1"/>
                <w:color w:val="auto"/>
              </w:rPr>
            </w:pPr>
          </w:p>
        </w:tc>
      </w:tr>
      <w:tr>
        <w:trPr>
          <w:trHeight w:val="135"/>
        </w:trPr>
        <w:tc>
          <w:tcPr>
            <w:tcW w:w="4320" w:type="dxa"/>
            <w:vAlign w:val="bottom"/>
            <w:gridSpan w:val="3"/>
          </w:tcPr>
          <w:p>
            <w:pPr>
              <w:ind w:left="240"/>
              <w:spacing w:after="0" w:line="135" w:lineRule="exact"/>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(b)</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0"/>
                <w:szCs w:val="10"/>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n/a</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103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(5.8)%</w:t>
            </w:r>
          </w:p>
        </w:tc>
        <w:tc>
          <w:tcPr>
            <w:tcW w:w="0" w:type="dxa"/>
            <w:vAlign w:val="bottom"/>
          </w:tcPr>
          <w:p>
            <w:pPr>
              <w:spacing w:after="0"/>
              <w:rPr>
                <w:sz w:val="1"/>
                <w:szCs w:val="1"/>
                <w:color w:val="auto"/>
              </w:rPr>
            </w:pPr>
          </w:p>
        </w:tc>
      </w:tr>
      <w:tr>
        <w:trPr>
          <w:trHeight w:val="124"/>
        </w:trPr>
        <w:tc>
          <w:tcPr>
            <w:tcW w:w="3700" w:type="dxa"/>
            <w:vAlign w:val="bottom"/>
            <w:tcBorders>
              <w:top w:val="single" w:sz="8" w:color="CCEEFF"/>
            </w:tcBorders>
            <w:shd w:val="clear" w:color="auto" w:fill="CCEEFF"/>
          </w:tcPr>
          <w:p>
            <w:pPr>
              <w:ind w:left="460"/>
              <w:spacing w:after="0" w:line="124" w:lineRule="exact"/>
              <w:rPr>
                <w:sz w:val="20"/>
                <w:szCs w:val="20"/>
                <w:color w:val="auto"/>
              </w:rPr>
            </w:pPr>
            <w:r>
              <w:rPr>
                <w:rFonts w:ascii="Times New Roman" w:cs="Times New Roman" w:eastAsia="Times New Roman" w:hAnsi="Times New Roman"/>
                <w:sz w:val="10"/>
                <w:szCs w:val="10"/>
                <w:color w:val="auto"/>
              </w:rPr>
              <w:t>Total electric revenues</w:t>
            </w:r>
            <w:r>
              <w:rPr>
                <w:rFonts w:ascii="Times New Roman" w:cs="Times New Roman" w:eastAsia="Times New Roman" w:hAnsi="Times New Roman"/>
                <w:sz w:val="12"/>
                <w:szCs w:val="12"/>
                <w:color w:val="auto"/>
                <w:vertAlign w:val="superscript"/>
              </w:rPr>
              <w:t>(c)</w:t>
            </w: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5,668</w:t>
            </w:r>
          </w:p>
        </w:tc>
        <w:tc>
          <w:tcPr>
            <w:tcW w:w="8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5,608</w:t>
            </w:r>
          </w:p>
        </w:tc>
        <w:tc>
          <w:tcPr>
            <w:tcW w:w="1140" w:type="dxa"/>
            <w:vAlign w:val="bottom"/>
            <w:tcBorders>
              <w:top w:val="single" w:sz="8" w:color="CCEEFF"/>
            </w:tcBorders>
            <w:gridSpan w:val="4"/>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1.1 %</w:t>
            </w: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(2.5)%</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855</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744</w:t>
            </w:r>
          </w:p>
        </w:tc>
        <w:tc>
          <w:tcPr>
            <w:tcW w:w="1160" w:type="dxa"/>
            <w:vAlign w:val="bottom"/>
            <w:tcBorders>
              <w:top w:val="single" w:sz="8" w:color="CCEEFF"/>
            </w:tcBorders>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14.9 %</w:t>
            </w:r>
          </w:p>
        </w:tc>
        <w:tc>
          <w:tcPr>
            <w:tcW w:w="0" w:type="dxa"/>
            <w:vAlign w:val="bottom"/>
          </w:tcPr>
          <w:p>
            <w:pPr>
              <w:spacing w:after="0"/>
              <w:rPr>
                <w:sz w:val="1"/>
                <w:szCs w:val="1"/>
                <w:color w:val="auto"/>
              </w:rPr>
            </w:pPr>
          </w:p>
        </w:tc>
      </w:tr>
      <w:tr>
        <w:trPr>
          <w:trHeight w:val="124"/>
        </w:trPr>
        <w:tc>
          <w:tcPr>
            <w:tcW w:w="3700" w:type="dxa"/>
            <w:vAlign w:val="bottom"/>
            <w:tcBorders>
              <w:bottom w:val="single" w:sz="8" w:color="CCEEFF"/>
            </w:tcBorders>
          </w:tcPr>
          <w:p>
            <w:pPr>
              <w:ind w:left="20"/>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(d)</w:t>
            </w:r>
          </w:p>
        </w:tc>
        <w:tc>
          <w:tcPr>
            <w:tcW w:w="4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3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(27)</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(24)</w:t>
            </w:r>
          </w:p>
        </w:tc>
        <w:tc>
          <w:tcPr>
            <w:tcW w:w="11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12.5 %</w:t>
            </w:r>
          </w:p>
        </w:tc>
        <w:tc>
          <w:tcPr>
            <w:tcW w:w="0" w:type="dxa"/>
            <w:vAlign w:val="bottom"/>
          </w:tcPr>
          <w:p>
            <w:pPr>
              <w:spacing w:after="0"/>
              <w:rPr>
                <w:sz w:val="1"/>
                <w:szCs w:val="1"/>
                <w:color w:val="auto"/>
              </w:rPr>
            </w:pPr>
          </w:p>
        </w:tc>
      </w:tr>
      <w:tr>
        <w:trPr>
          <w:trHeight w:val="144"/>
        </w:trPr>
        <w:tc>
          <w:tcPr>
            <w:tcW w:w="4320" w:type="dxa"/>
            <w:vAlign w:val="bottom"/>
            <w:tcBorders>
              <w:bottom w:val="single" w:sz="8" w:color="CCEEFF"/>
            </w:tcBorders>
            <w:gridSpan w:val="3"/>
            <w:shd w:val="clear" w:color="auto" w:fill="CCEEFF"/>
          </w:tcPr>
          <w:p>
            <w:pPr>
              <w:ind w:left="460"/>
              <w:spacing w:after="0" w:line="104" w:lineRule="exact"/>
              <w:rPr>
                <w:sz w:val="20"/>
                <w:szCs w:val="20"/>
                <w:color w:val="auto"/>
              </w:rPr>
            </w:pPr>
            <w:r>
              <w:rPr>
                <w:rFonts w:ascii="Times New Roman" w:cs="Times New Roman" w:eastAsia="Times New Roman" w:hAnsi="Times New Roman"/>
                <w:sz w:val="10"/>
                <w:szCs w:val="10"/>
                <w:color w:val="auto"/>
              </w:rPr>
              <w:t>Total Electric Revenues</w:t>
            </w:r>
          </w:p>
        </w:tc>
        <w:tc>
          <w:tcPr>
            <w:tcW w:w="3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828</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720</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15.0 %</w:t>
            </w:r>
          </w:p>
        </w:tc>
        <w:tc>
          <w:tcPr>
            <w:tcW w:w="0" w:type="dxa"/>
            <w:vAlign w:val="bottom"/>
          </w:tcPr>
          <w:p>
            <w:pPr>
              <w:spacing w:after="0"/>
              <w:rPr>
                <w:sz w:val="1"/>
                <w:szCs w:val="1"/>
                <w:color w:val="auto"/>
              </w:rPr>
            </w:pPr>
          </w:p>
        </w:tc>
      </w:tr>
      <w:tr>
        <w:trPr>
          <w:trHeight w:val="131"/>
        </w:trPr>
        <w:tc>
          <w:tcPr>
            <w:tcW w:w="4320" w:type="dxa"/>
            <w:vAlign w:val="bottom"/>
            <w:gridSpan w:val="3"/>
          </w:tcPr>
          <w:p>
            <w:pPr>
              <w:ind w:left="20"/>
              <w:spacing w:after="0" w:line="106" w:lineRule="exact"/>
              <w:rPr>
                <w:sz w:val="20"/>
                <w:szCs w:val="20"/>
                <w:color w:val="auto"/>
              </w:rPr>
            </w:pPr>
            <w:r>
              <w:rPr>
                <w:rFonts w:ascii="Times New Roman" w:cs="Times New Roman" w:eastAsia="Times New Roman" w:hAnsi="Times New Roman"/>
                <w:sz w:val="10"/>
                <w:szCs w:val="10"/>
                <w:b w:val="1"/>
                <w:bCs w:val="1"/>
                <w:color w:val="auto"/>
              </w:rPr>
              <w:t>Purchased Power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320</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247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29.6 %</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Heating and Cooling Degree-Days</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Normal</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From 2024</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From Normal</w:t>
            </w:r>
          </w:p>
        </w:tc>
        <w:tc>
          <w:tcPr>
            <w:tcW w:w="0" w:type="dxa"/>
            <w:vAlign w:val="bottom"/>
          </w:tcPr>
          <w:p>
            <w:pPr>
              <w:spacing w:after="0"/>
              <w:rPr>
                <w:sz w:val="1"/>
                <w:szCs w:val="1"/>
                <w:color w:val="auto"/>
              </w:rPr>
            </w:pPr>
          </w:p>
        </w:tc>
      </w:tr>
      <w:tr>
        <w:trPr>
          <w:trHeight w:val="129"/>
        </w:trPr>
        <w:tc>
          <w:tcPr>
            <w:tcW w:w="3740" w:type="dxa"/>
            <w:vAlign w:val="bottom"/>
            <w:tcBorders>
              <w:top w:val="single" w:sz="8" w:color="CCEEFF"/>
            </w:tcBorders>
            <w:gridSpan w:val="2"/>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Heating Degree-Days</w:t>
            </w:r>
          </w:p>
        </w:tc>
        <w:tc>
          <w:tcPr>
            <w:tcW w:w="5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1,457</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1,144</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1,305</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27.4 %</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11.6 %</w:t>
            </w:r>
          </w:p>
        </w:tc>
        <w:tc>
          <w:tcPr>
            <w:tcW w:w="0" w:type="dxa"/>
            <w:vAlign w:val="bottom"/>
          </w:tcPr>
          <w:p>
            <w:pPr>
              <w:spacing w:after="0"/>
              <w:rPr>
                <w:sz w:val="1"/>
                <w:szCs w:val="1"/>
                <w:color w:val="auto"/>
              </w:rPr>
            </w:pPr>
          </w:p>
        </w:tc>
      </w:tr>
      <w:tr>
        <w:trPr>
          <w:trHeight w:val="123"/>
        </w:trPr>
        <w:tc>
          <w:tcPr>
            <w:tcW w:w="4320" w:type="dxa"/>
            <w:vAlign w:val="bottom"/>
            <w:gridSpan w:val="3"/>
          </w:tcPr>
          <w:p>
            <w:pPr>
              <w:ind w:left="220"/>
              <w:spacing w:after="0"/>
              <w:rPr>
                <w:sz w:val="20"/>
                <w:szCs w:val="20"/>
                <w:color w:val="auto"/>
              </w:rPr>
            </w:pPr>
            <w:r>
              <w:rPr>
                <w:rFonts w:ascii="Times New Roman" w:cs="Times New Roman" w:eastAsia="Times New Roman" w:hAnsi="Times New Roman"/>
                <w:sz w:val="10"/>
                <w:szCs w:val="10"/>
                <w:color w:val="auto"/>
              </w:rPr>
              <w:t>Cooling Degree-Days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w w:val="79"/>
              </w:rPr>
              <w:t>57</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(70.5)%</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(59.6)%</w:t>
            </w:r>
          </w:p>
        </w:tc>
        <w:tc>
          <w:tcPr>
            <w:tcW w:w="0" w:type="dxa"/>
            <w:vAlign w:val="bottom"/>
          </w:tcPr>
          <w:p>
            <w:pPr>
              <w:spacing w:after="0"/>
              <w:rPr>
                <w:sz w:val="1"/>
                <w:szCs w:val="1"/>
                <w:color w:val="auto"/>
              </w:rPr>
            </w:pPr>
          </w:p>
        </w:tc>
      </w:tr>
    </w:tbl>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Twelve Months Ended December 31, 2025 and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0"/>
                <w:szCs w:val="10"/>
                <w:b w:val="1"/>
                <w:bCs w:val="1"/>
                <w:color w:val="auto"/>
              </w:rPr>
              <w:t>Electric Deliveries (in GWhs)</w:t>
            </w: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Revenue (in millions)</w:t>
            </w: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jc w:val="center"/>
              <w:spacing w:after="0" w:line="89" w:lineRule="exact"/>
              <w:rPr>
                <w:sz w:val="20"/>
                <w:szCs w:val="20"/>
                <w:color w:val="auto"/>
              </w:rPr>
            </w:pPr>
            <w:r>
              <w:rPr>
                <w:rFonts w:ascii="Times New Roman" w:cs="Times New Roman" w:eastAsia="Times New Roman" w:hAnsi="Times New Roman"/>
                <w:sz w:val="10"/>
                <w:szCs w:val="10"/>
                <w:b w:val="1"/>
                <w:bCs w:val="1"/>
                <w:color w:val="auto"/>
                <w:w w:val="93"/>
              </w:rPr>
              <w:t>Weather-</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4320" w:type="dxa"/>
            <w:vAlign w:val="bottom"/>
            <w:gridSpan w:val="3"/>
            <w:vMerge w:val="restart"/>
          </w:tcPr>
          <w:p>
            <w:pPr>
              <w:ind w:left="4080"/>
              <w:spacing w:after="0"/>
              <w:rPr>
                <w:sz w:val="20"/>
                <w:szCs w:val="20"/>
                <w:color w:val="auto"/>
              </w:rPr>
            </w:pPr>
            <w:r>
              <w:rPr>
                <w:rFonts w:ascii="Times New Roman" w:cs="Times New Roman" w:eastAsia="Times New Roman" w:hAnsi="Times New Roman"/>
                <w:sz w:val="10"/>
                <w:szCs w:val="10"/>
                <w:b w:val="1"/>
                <w:bCs w:val="1"/>
                <w:color w:val="auto"/>
              </w:rPr>
              <w:t>2025</w:t>
            </w: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3"/>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8"/>
                <w:szCs w:val="8"/>
                <w:color w:val="auto"/>
              </w:rPr>
            </w:pPr>
          </w:p>
        </w:tc>
        <w:tc>
          <w:tcPr>
            <w:tcW w:w="1140" w:type="dxa"/>
            <w:vAlign w:val="bottom"/>
            <w:gridSpan w:val="4"/>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320" w:type="dxa"/>
            <w:vAlign w:val="bottom"/>
            <w:gridSpan w:val="4"/>
          </w:tcPr>
          <w:p>
            <w:pPr>
              <w:jc w:val="center"/>
              <w:ind w:right="240"/>
              <w:spacing w:after="0" w:line="98" w:lineRule="exact"/>
              <w:rPr>
                <w:sz w:val="20"/>
                <w:szCs w:val="20"/>
                <w:color w:val="auto"/>
              </w:rPr>
            </w:pPr>
            <w:r>
              <w:rPr>
                <w:rFonts w:ascii="Times New Roman" w:cs="Times New Roman" w:eastAsia="Times New Roman" w:hAnsi="Times New Roman"/>
                <w:sz w:val="10"/>
                <w:szCs w:val="10"/>
                <w:b w:val="1"/>
                <w:bCs w:val="1"/>
                <w:color w:val="auto"/>
                <w:w w:val="97"/>
              </w:rPr>
              <w:t>Normal</w:t>
            </w:r>
          </w:p>
        </w:tc>
        <w:tc>
          <w:tcPr>
            <w:tcW w:w="800" w:type="dxa"/>
            <w:vAlign w:val="bottom"/>
            <w:gridSpan w:val="2"/>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vMerge w:val="restart"/>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32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1320" w:type="dxa"/>
            <w:vAlign w:val="bottom"/>
            <w:gridSpan w:val="4"/>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700" w:type="dxa"/>
            <w:vAlign w:val="bottom"/>
            <w:tcBorders>
              <w:top w:val="single" w:sz="8" w:color="CCEEFF"/>
            </w:tcBorders>
            <w:shd w:val="clear" w:color="auto" w:fill="CCEEFF"/>
          </w:tcPr>
          <w:p>
            <w:pPr>
              <w:ind w:left="20"/>
              <w:spacing w:after="0" w:line="120" w:lineRule="exact"/>
              <w:rPr>
                <w:sz w:val="20"/>
                <w:szCs w:val="20"/>
                <w:color w:val="auto"/>
              </w:rPr>
            </w:pPr>
            <w:r>
              <w:rPr>
                <w:rFonts w:ascii="Times New Roman" w:cs="Times New Roman" w:eastAsia="Times New Roman" w:hAnsi="Times New Roman"/>
                <w:sz w:val="10"/>
                <w:szCs w:val="10"/>
                <w:b w:val="1"/>
                <w:bCs w:val="1"/>
                <w:color w:val="auto"/>
              </w:rPr>
              <w:t>Electric Deliveries and Revenues</w:t>
            </w:r>
            <w:r>
              <w:rPr>
                <w:rFonts w:ascii="Times New Roman" w:cs="Times New Roman" w:eastAsia="Times New Roman" w:hAnsi="Times New Roman"/>
                <w:sz w:val="12"/>
                <w:szCs w:val="12"/>
                <w:b w:val="1"/>
                <w:bCs w:val="1"/>
                <w:color w:val="auto"/>
                <w:vertAlign w:val="superscript"/>
              </w:rPr>
              <w:t>(a)</w:t>
            </w:r>
          </w:p>
        </w:tc>
        <w:tc>
          <w:tcPr>
            <w:tcW w:w="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Residential</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8,269</w:t>
            </w:r>
          </w:p>
        </w:tc>
        <w:tc>
          <w:tcPr>
            <w:tcW w:w="10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8,108</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color w:val="auto"/>
              </w:rPr>
              <w:t>2.0 %</w:t>
            </w:r>
          </w:p>
        </w:tc>
        <w:tc>
          <w:tcPr>
            <w:tcW w:w="80" w:type="dxa"/>
            <w:vAlign w:val="bottom"/>
          </w:tcPr>
          <w:p>
            <w:pPr>
              <w:spacing w:after="0"/>
              <w:rPr>
                <w:sz w:val="11"/>
                <w:szCs w:val="1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1.5 %   $</w:t>
            </w:r>
          </w:p>
        </w:tc>
        <w:tc>
          <w:tcPr>
            <w:tcW w:w="10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1,669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0"/>
                <w:szCs w:val="10"/>
                <w:color w:val="auto"/>
              </w:rPr>
              <w:t>1,413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18.1 %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1,117</w:t>
            </w: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1,119</w:t>
            </w:r>
          </w:p>
        </w:tc>
        <w:tc>
          <w:tcPr>
            <w:tcW w:w="11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(0.2)%</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0.5 %</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184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11.4 %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13,979</w:t>
            </w:r>
          </w:p>
        </w:tc>
        <w:tc>
          <w:tcPr>
            <w:tcW w:w="10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13,904</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color w:val="auto"/>
              </w:rPr>
              <w:t>0.5 %</w:t>
            </w:r>
          </w:p>
        </w:tc>
        <w:tc>
          <w:tcPr>
            <w:tcW w:w="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1,212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0"/>
                <w:szCs w:val="10"/>
                <w:color w:val="auto"/>
              </w:rPr>
              <w:t>1,053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15.1 %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676</w:t>
            </w: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622</w:t>
            </w:r>
          </w:p>
        </w:tc>
        <w:tc>
          <w:tcPr>
            <w:tcW w:w="11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8.7 %</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8.1 %</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37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20" w:type="dxa"/>
            <w:vAlign w:val="bottom"/>
            <w:gridSpan w:val="3"/>
          </w:tcPr>
          <w:p>
            <w:pPr>
              <w:ind w:left="240"/>
              <w:spacing w:after="0" w:line="135" w:lineRule="exact"/>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(b)</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0"/>
                <w:szCs w:val="10"/>
                <w:color w:val="auto"/>
              </w:rPr>
              <w:t>n/a</w:t>
            </w:r>
          </w:p>
        </w:tc>
        <w:tc>
          <w:tcPr>
            <w:tcW w:w="1320" w:type="dxa"/>
            <w:vAlign w:val="bottom"/>
            <w:gridSpan w:val="4"/>
          </w:tcPr>
          <w:p>
            <w:pPr>
              <w:ind w:left="940"/>
              <w:spacing w:after="0"/>
              <w:rPr>
                <w:sz w:val="20"/>
                <w:szCs w:val="20"/>
                <w:color w:val="auto"/>
              </w:rPr>
            </w:pPr>
            <w:r>
              <w:rPr>
                <w:rFonts w:ascii="Times New Roman" w:cs="Times New Roman" w:eastAsia="Times New Roman" w:hAnsi="Times New Roman"/>
                <w:sz w:val="10"/>
                <w:szCs w:val="10"/>
                <w:color w:val="auto"/>
              </w:rPr>
              <w:t>n/a</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372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0"/>
                <w:szCs w:val="10"/>
                <w:color w:val="auto"/>
              </w:rPr>
              <w:t>327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13.8 %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700" w:type="dxa"/>
            <w:vAlign w:val="bottom"/>
            <w:tcBorders>
              <w:top w:val="single" w:sz="8" w:color="CCEEFF"/>
            </w:tcBorders>
            <w:shd w:val="clear" w:color="auto" w:fill="CCEEFF"/>
          </w:tcPr>
          <w:p>
            <w:pPr>
              <w:ind w:left="460"/>
              <w:spacing w:after="0" w:line="124" w:lineRule="exact"/>
              <w:rPr>
                <w:sz w:val="20"/>
                <w:szCs w:val="20"/>
                <w:color w:val="auto"/>
              </w:rPr>
            </w:pPr>
            <w:r>
              <w:rPr>
                <w:rFonts w:ascii="Times New Roman" w:cs="Times New Roman" w:eastAsia="Times New Roman" w:hAnsi="Times New Roman"/>
                <w:sz w:val="10"/>
                <w:szCs w:val="10"/>
                <w:color w:val="auto"/>
              </w:rPr>
              <w:t>Total electric revenues</w:t>
            </w:r>
            <w:r>
              <w:rPr>
                <w:rFonts w:ascii="Times New Roman" w:cs="Times New Roman" w:eastAsia="Times New Roman" w:hAnsi="Times New Roman"/>
                <w:sz w:val="12"/>
                <w:szCs w:val="12"/>
                <w:color w:val="auto"/>
                <w:vertAlign w:val="superscript"/>
              </w:rPr>
              <w:t>(c)</w:t>
            </w: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24,041</w:t>
            </w:r>
          </w:p>
        </w:tc>
        <w:tc>
          <w:tcPr>
            <w:tcW w:w="1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23,753</w:t>
            </w:r>
          </w:p>
        </w:tc>
        <w:tc>
          <w:tcPr>
            <w:tcW w:w="1140" w:type="dxa"/>
            <w:vAlign w:val="bottom"/>
            <w:tcBorders>
              <w:top w:val="single" w:sz="8" w:color="CCEEFF"/>
            </w:tcBorders>
            <w:gridSpan w:val="4"/>
            <w:shd w:val="clear" w:color="auto" w:fill="CCEEFF"/>
          </w:tcPr>
          <w:p>
            <w:pPr>
              <w:jc w:val="right"/>
              <w:ind w:right="20"/>
              <w:spacing w:after="0" w:line="107" w:lineRule="exact"/>
              <w:rPr>
                <w:sz w:val="20"/>
                <w:szCs w:val="20"/>
                <w:color w:val="auto"/>
              </w:rPr>
            </w:pPr>
            <w:r>
              <w:rPr>
                <w:rFonts w:ascii="Times New Roman" w:cs="Times New Roman" w:eastAsia="Times New Roman" w:hAnsi="Times New Roman"/>
                <w:sz w:val="10"/>
                <w:szCs w:val="10"/>
                <w:color w:val="auto"/>
              </w:rPr>
              <w:t>1.2 %</w:t>
            </w:r>
          </w:p>
        </w:tc>
        <w:tc>
          <w:tcPr>
            <w:tcW w:w="8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1.6 %</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3,497</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3,014</w:t>
            </w:r>
          </w:p>
        </w:tc>
        <w:tc>
          <w:tcPr>
            <w:tcW w:w="1160" w:type="dxa"/>
            <w:vAlign w:val="bottom"/>
            <w:tcBorders>
              <w:top w:val="single" w:sz="8" w:color="CCEEFF"/>
            </w:tcBorders>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16.0 %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tcBorders>
              <w:bottom w:val="single" w:sz="8" w:color="CCEEFF"/>
            </w:tcBorders>
          </w:tcPr>
          <w:p>
            <w:pPr>
              <w:ind w:left="20"/>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(d)</w:t>
            </w:r>
          </w:p>
        </w:tc>
        <w:tc>
          <w:tcPr>
            <w:tcW w:w="4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(43)</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0"/>
                <w:szCs w:val="10"/>
                <w:color w:val="auto"/>
              </w:rPr>
              <w:t>25</w:t>
            </w:r>
          </w:p>
        </w:tc>
        <w:tc>
          <w:tcPr>
            <w:tcW w:w="11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(272.0)%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32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Total Electric Revenues</w:t>
            </w:r>
          </w:p>
        </w:tc>
        <w:tc>
          <w:tcPr>
            <w:tcW w:w="3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3,454</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3,039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Purchased Power</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1,262</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0"/>
                <w:szCs w:val="10"/>
                <w:color w:val="auto"/>
              </w:rPr>
              <w:t>1,055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19.6 %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3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5"/>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Heating and Cooling Degree-Days</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tcPr>
          <w:p>
            <w:pPr>
              <w:ind w:left="360"/>
              <w:spacing w:after="0"/>
              <w:rPr>
                <w:sz w:val="20"/>
                <w:szCs w:val="20"/>
                <w:color w:val="auto"/>
              </w:rPr>
            </w:pPr>
            <w:r>
              <w:rPr>
                <w:rFonts w:ascii="Times New Roman" w:cs="Times New Roman" w:eastAsia="Times New Roman" w:hAnsi="Times New Roman"/>
                <w:sz w:val="10"/>
                <w:szCs w:val="10"/>
                <w:b w:val="1"/>
                <w:bCs w:val="1"/>
                <w:color w:val="auto"/>
              </w:rPr>
              <w:t>Normal</w:t>
            </w:r>
          </w:p>
        </w:tc>
        <w:tc>
          <w:tcPr>
            <w:tcW w:w="8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From 2024</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0"/>
                <w:szCs w:val="10"/>
                <w:b w:val="1"/>
                <w:bCs w:val="1"/>
                <w:color w:val="auto"/>
              </w:rPr>
              <w:t>From Normal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40" w:type="dxa"/>
            <w:vAlign w:val="bottom"/>
            <w:tcBorders>
              <w:top w:val="single" w:sz="8" w:color="CCEEFF"/>
            </w:tcBorders>
            <w:gridSpan w:val="2"/>
            <w:shd w:val="clear" w:color="auto" w:fill="CCEEFF"/>
          </w:tcPr>
          <w:p>
            <w:pPr>
              <w:ind w:left="220"/>
              <w:spacing w:after="0" w:line="112" w:lineRule="exact"/>
              <w:rPr>
                <w:sz w:val="20"/>
                <w:szCs w:val="20"/>
                <w:color w:val="auto"/>
              </w:rPr>
            </w:pPr>
            <w:r>
              <w:rPr>
                <w:rFonts w:ascii="Times New Roman" w:cs="Times New Roman" w:eastAsia="Times New Roman" w:hAnsi="Times New Roman"/>
                <w:sz w:val="10"/>
                <w:szCs w:val="10"/>
                <w:color w:val="auto"/>
              </w:rPr>
              <w:t>Heating Degree-Days</w:t>
            </w:r>
          </w:p>
        </w:tc>
        <w:tc>
          <w:tcPr>
            <w:tcW w:w="5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3,662</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3,150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3,655</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16.3 %</w:t>
            </w:r>
          </w:p>
        </w:tc>
        <w:tc>
          <w:tcPr>
            <w:tcW w:w="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0.2 %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4320" w:type="dxa"/>
            <w:vAlign w:val="bottom"/>
            <w:gridSpan w:val="3"/>
          </w:tcPr>
          <w:p>
            <w:pPr>
              <w:ind w:left="220"/>
              <w:spacing w:after="0"/>
              <w:rPr>
                <w:sz w:val="20"/>
                <w:szCs w:val="20"/>
                <w:color w:val="auto"/>
              </w:rPr>
            </w:pPr>
            <w:r>
              <w:rPr>
                <w:rFonts w:ascii="Times New Roman" w:cs="Times New Roman" w:eastAsia="Times New Roman" w:hAnsi="Times New Roman"/>
                <w:sz w:val="10"/>
                <w:szCs w:val="10"/>
                <w:color w:val="auto"/>
              </w:rPr>
              <w:t>Cooling Degree-Days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1,653</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1,957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1,783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(15.5)%</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(7.3)%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3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Number of Electric Customers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432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Residential</w:t>
            </w: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886,386</w:t>
            </w: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877,916</w:t>
            </w:r>
          </w:p>
        </w:tc>
        <w:tc>
          <w:tcPr>
            <w:tcW w:w="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20" w:type="dxa"/>
            <w:vAlign w:val="bottom"/>
            <w:gridSpan w:val="3"/>
          </w:tcPr>
          <w:p>
            <w:pPr>
              <w:ind w:left="22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54,038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54,036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23,194</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23,068</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3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207</w:t>
            </w: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207</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3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Total</w:t>
            </w:r>
          </w:p>
        </w:tc>
        <w:tc>
          <w:tcPr>
            <w:tcW w:w="3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963,825</w:t>
            </w: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955,227</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w:t>
      </w:r>
    </w:p>
    <w:p>
      <w:pPr>
        <w:spacing w:after="0" w:line="8" w:lineRule="exact"/>
        <w:rPr>
          <w:sz w:val="20"/>
          <w:szCs w:val="20"/>
          <w:color w:val="auto"/>
        </w:rPr>
      </w:pPr>
    </w:p>
    <w:p>
      <w:pPr>
        <w:ind w:left="380" w:right="20" w:hanging="226"/>
        <w:spacing w:after="0" w:line="238" w:lineRule="auto"/>
        <w:tabs>
          <w:tab w:leader="none" w:pos="378"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revenues from customers purchasing electricity directly from Pepco and customers purchasing electricity from a competitive electric generation supplier as all customers are assessed distribution charges. For customers purchasing electricity from Pepco, revenues also reflect the cost of energy and transmission.</w:t>
      </w:r>
    </w:p>
    <w:p>
      <w:pPr>
        <w:ind w:left="360" w:hanging="206"/>
        <w:spacing w:after="0" w:line="236" w:lineRule="auto"/>
        <w:tabs>
          <w:tab w:leader="none" w:pos="36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transmission revenue from PJM, wholesale electric revenue, and mutual assistance revenue.</w:t>
      </w:r>
    </w:p>
    <w:p>
      <w:pPr>
        <w:spacing w:after="0" w:line="20" w:lineRule="exact"/>
        <w:rPr>
          <w:rFonts w:ascii="Times New Roman" w:cs="Times New Roman" w:eastAsia="Times New Roman" w:hAnsi="Times New Roman"/>
          <w:sz w:val="10"/>
          <w:szCs w:val="10"/>
          <w:color w:val="auto"/>
        </w:rPr>
      </w:pPr>
    </w:p>
    <w:p>
      <w:pPr>
        <w:ind w:left="360" w:hanging="206"/>
        <w:spacing w:after="0"/>
        <w:tabs>
          <w:tab w:leader="none" w:pos="36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operating revenues from affiliates totaling $1 million and $2 million for the three months ended December 31, 2025 and 2024, respectively, and $6 million and $7 million for the twelve months ended December 31, 2025 and 2024, respectively.</w:t>
      </w:r>
    </w:p>
    <w:p>
      <w:pPr>
        <w:spacing w:after="0" w:line="8" w:lineRule="exact"/>
        <w:rPr>
          <w:rFonts w:ascii="Times New Roman" w:cs="Times New Roman" w:eastAsia="Times New Roman" w:hAnsi="Times New Roman"/>
          <w:sz w:val="10"/>
          <w:szCs w:val="10"/>
          <w:color w:val="auto"/>
        </w:rPr>
      </w:pPr>
    </w:p>
    <w:p>
      <w:pPr>
        <w:ind w:left="360" w:hanging="206"/>
        <w:spacing w:after="0"/>
        <w:tabs>
          <w:tab w:leader="none" w:pos="360" w:val="left"/>
        </w:tabs>
        <w:numPr>
          <w:ilvl w:val="0"/>
          <w:numId w:val="1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alternative revenue programs and late payment charge revenues.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300"/>
          </w:cols>
          <w:pgMar w:left="300" w:top="129"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DPL Statistics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Three Months Ended December 31, 2025 and 2024</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gridSpan w:val="8"/>
          </w:tcPr>
          <w:p>
            <w:pPr>
              <w:ind w:left="380"/>
              <w:spacing w:after="0"/>
              <w:rPr>
                <w:sz w:val="20"/>
                <w:szCs w:val="20"/>
                <w:color w:val="auto"/>
              </w:rPr>
            </w:pPr>
            <w:r>
              <w:rPr>
                <w:rFonts w:ascii="Times New Roman" w:cs="Times New Roman" w:eastAsia="Times New Roman" w:hAnsi="Times New Roman"/>
                <w:sz w:val="10"/>
                <w:szCs w:val="10"/>
                <w:b w:val="1"/>
                <w:bCs w:val="1"/>
                <w:color w:val="auto"/>
              </w:rPr>
              <w:t>Electric and Natural Gas Deliveries</w:t>
            </w:r>
          </w:p>
        </w:tc>
        <w:tc>
          <w:tcPr>
            <w:tcW w:w="10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Revenue (in millions)</w:t>
            </w: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7"/>
              </w:rPr>
              <w:t>Weather -</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320" w:type="dxa"/>
            <w:vAlign w:val="bottom"/>
            <w:gridSpan w:val="3"/>
            <w:vMerge w:val="restart"/>
          </w:tcPr>
          <w:p>
            <w:pPr>
              <w:ind w:left="4100"/>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gridSpan w:val="3"/>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7"/>
                <w:szCs w:val="7"/>
                <w:color w:val="auto"/>
              </w:rPr>
            </w:pPr>
          </w:p>
        </w:tc>
        <w:tc>
          <w:tcPr>
            <w:tcW w:w="11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300" w:type="dxa"/>
            <w:vAlign w:val="bottom"/>
            <w:gridSpan w:val="4"/>
          </w:tcPr>
          <w:p>
            <w:pPr>
              <w:jc w:val="center"/>
              <w:ind w:right="280"/>
              <w:spacing w:after="0" w:line="92" w:lineRule="exact"/>
              <w:rPr>
                <w:sz w:val="20"/>
                <w:szCs w:val="20"/>
                <w:color w:val="auto"/>
              </w:rPr>
            </w:pPr>
            <w:r>
              <w:rPr>
                <w:rFonts w:ascii="Times New Roman" w:cs="Times New Roman" w:eastAsia="Times New Roman" w:hAnsi="Times New Roman"/>
                <w:sz w:val="10"/>
                <w:szCs w:val="10"/>
                <w:b w:val="1"/>
                <w:bCs w:val="1"/>
                <w:color w:val="auto"/>
                <w:w w:val="91"/>
              </w:rPr>
              <w:t>Normal</w:t>
            </w:r>
          </w:p>
        </w:tc>
        <w:tc>
          <w:tcPr>
            <w:tcW w:w="80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34"/>
        </w:trPr>
        <w:tc>
          <w:tcPr>
            <w:tcW w:w="4320" w:type="dxa"/>
            <w:vAlign w:val="bottom"/>
            <w:gridSpan w:val="3"/>
            <w:vMerge w:val="continue"/>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1300" w:type="dxa"/>
            <w:vAlign w:val="bottom"/>
            <w:gridSpan w:val="4"/>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700" w:type="dxa"/>
            <w:vAlign w:val="bottom"/>
            <w:tcBorders>
              <w:top w:val="single" w:sz="8" w:color="CCEEFF"/>
            </w:tcBorders>
            <w:shd w:val="clear" w:color="auto" w:fill="CCEEFF"/>
          </w:tcPr>
          <w:p>
            <w:pPr>
              <w:ind w:left="20"/>
              <w:spacing w:after="0" w:line="114" w:lineRule="exact"/>
              <w:rPr>
                <w:sz w:val="20"/>
                <w:szCs w:val="20"/>
                <w:color w:val="auto"/>
              </w:rPr>
            </w:pPr>
            <w:r>
              <w:rPr>
                <w:rFonts w:ascii="Times New Roman" w:cs="Times New Roman" w:eastAsia="Times New Roman" w:hAnsi="Times New Roman"/>
                <w:sz w:val="10"/>
                <w:szCs w:val="10"/>
                <w:b w:val="1"/>
                <w:bCs w:val="1"/>
                <w:color w:val="auto"/>
              </w:rPr>
              <w:t>Electric (in GWhs)</w:t>
            </w:r>
          </w:p>
        </w:tc>
        <w:tc>
          <w:tcPr>
            <w:tcW w:w="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3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0"/>
                <w:szCs w:val="10"/>
                <w:b w:val="1"/>
                <w:bCs w:val="1"/>
                <w:color w:val="auto"/>
              </w:rPr>
              <w:t>Electric Deliveries and Revenues</w:t>
            </w:r>
            <w:r>
              <w:rPr>
                <w:rFonts w:ascii="Times New Roman" w:cs="Times New Roman" w:eastAsia="Times New Roman" w:hAnsi="Times New Roman"/>
                <w:sz w:val="12"/>
                <w:szCs w:val="12"/>
                <w:b w:val="1"/>
                <w:bCs w:val="1"/>
                <w:color w:val="auto"/>
                <w:vertAlign w:val="superscript"/>
              </w:rPr>
              <w:t>(a)</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Residential</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1,297</w:t>
            </w:r>
          </w:p>
        </w:tc>
        <w:tc>
          <w:tcPr>
            <w:tcW w:w="8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1,183</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9.6 %</w:t>
            </w:r>
          </w:p>
        </w:tc>
        <w:tc>
          <w:tcPr>
            <w:tcW w:w="100" w:type="dxa"/>
            <w:vAlign w:val="bottom"/>
            <w:shd w:val="clear" w:color="auto" w:fill="CCEEFF"/>
          </w:tcPr>
          <w:p>
            <w:pPr>
              <w:spacing w:after="0"/>
              <w:rPr>
                <w:sz w:val="11"/>
                <w:szCs w:val="11"/>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1.4 %   $</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218</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17.4 %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569</w:t>
            </w:r>
          </w:p>
        </w:tc>
        <w:tc>
          <w:tcPr>
            <w:tcW w:w="8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566</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0.5 %</w:t>
            </w:r>
          </w:p>
        </w:tc>
        <w:tc>
          <w:tcPr>
            <w:tcW w:w="1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62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3.2 %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996</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1,007</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8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13</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(15.4)%</w:t>
            </w:r>
          </w:p>
        </w:tc>
        <w:tc>
          <w:tcPr>
            <w:tcW w:w="1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(b)</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n/a</w:t>
            </w:r>
          </w:p>
        </w:tc>
        <w:tc>
          <w:tcPr>
            <w:tcW w:w="1300" w:type="dxa"/>
            <w:vAlign w:val="bottom"/>
            <w:gridSpan w:val="4"/>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n/a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8.3 %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700" w:type="dxa"/>
            <w:vAlign w:val="bottom"/>
            <w:tcBorders>
              <w:bottom w:val="single" w:sz="8" w:color="CCEEFF"/>
            </w:tcBorders>
          </w:tcPr>
          <w:p>
            <w:pPr>
              <w:ind w:left="460"/>
              <w:spacing w:after="0" w:line="124" w:lineRule="exact"/>
              <w:rPr>
                <w:sz w:val="20"/>
                <w:szCs w:val="20"/>
                <w:color w:val="auto"/>
              </w:rPr>
            </w:pPr>
            <w:r>
              <w:rPr>
                <w:rFonts w:ascii="Times New Roman" w:cs="Times New Roman" w:eastAsia="Times New Roman" w:hAnsi="Times New Roman"/>
                <w:sz w:val="10"/>
                <w:szCs w:val="10"/>
                <w:color w:val="auto"/>
              </w:rPr>
              <w:t>Total electric revenues</w:t>
            </w:r>
            <w:r>
              <w:rPr>
                <w:rFonts w:ascii="Times New Roman" w:cs="Times New Roman" w:eastAsia="Times New Roman" w:hAnsi="Times New Roman"/>
                <w:sz w:val="12"/>
                <w:szCs w:val="12"/>
                <w:color w:val="auto"/>
                <w:vertAlign w:val="superscript"/>
              </w:rPr>
              <w:t>(c)</w:t>
            </w:r>
          </w:p>
        </w:tc>
        <w:tc>
          <w:tcPr>
            <w:tcW w:w="4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2,873</w:t>
            </w:r>
          </w:p>
        </w:tc>
        <w:tc>
          <w:tcPr>
            <w:tcW w:w="80" w:type="dxa"/>
            <w:vAlign w:val="bottom"/>
            <w:tcBorders>
              <w:bottom w:val="single" w:sz="8" w:color="CCEEFF"/>
            </w:tcBorders>
          </w:tcPr>
          <w:p>
            <w:pPr>
              <w:spacing w:after="0"/>
              <w:rPr>
                <w:sz w:val="10"/>
                <w:szCs w:val="10"/>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2,769</w:t>
            </w:r>
          </w:p>
        </w:tc>
        <w:tc>
          <w:tcPr>
            <w:tcW w:w="1140" w:type="dxa"/>
            <w:vAlign w:val="bottom"/>
            <w:tcBorders>
              <w:bottom w:val="single" w:sz="8" w:color="CCEEFF"/>
            </w:tcBorders>
            <w:gridSpan w:val="4"/>
          </w:tcPr>
          <w:p>
            <w:pPr>
              <w:jc w:val="right"/>
              <w:spacing w:after="0" w:line="107" w:lineRule="exact"/>
              <w:rPr>
                <w:sz w:val="20"/>
                <w:szCs w:val="20"/>
                <w:color w:val="auto"/>
              </w:rPr>
            </w:pPr>
            <w:r>
              <w:rPr>
                <w:rFonts w:ascii="Times New Roman" w:cs="Times New Roman" w:eastAsia="Times New Roman" w:hAnsi="Times New Roman"/>
                <w:sz w:val="10"/>
                <w:szCs w:val="10"/>
                <w:color w:val="auto"/>
              </w:rPr>
              <w:t>3.8 %</w:t>
            </w:r>
          </w:p>
        </w:tc>
        <w:tc>
          <w:tcPr>
            <w:tcW w:w="10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(0.2)%</w:t>
            </w:r>
          </w:p>
        </w:tc>
        <w:tc>
          <w:tcPr>
            <w:tcW w:w="8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431</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389</w:t>
            </w:r>
          </w:p>
        </w:tc>
        <w:tc>
          <w:tcPr>
            <w:tcW w:w="11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10.8 %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(d)</w:t>
            </w:r>
          </w:p>
        </w:tc>
        <w:tc>
          <w:tcPr>
            <w:tcW w:w="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jc w:val="center"/>
              <w:ind w:left="612"/>
              <w:spacing w:after="0"/>
              <w:rPr>
                <w:sz w:val="20"/>
                <w:szCs w:val="20"/>
                <w:color w:val="auto"/>
              </w:rPr>
            </w:pPr>
            <w:r>
              <w:rPr>
                <w:rFonts w:ascii="Times New Roman" w:cs="Times New Roman" w:eastAsia="Times New Roman" w:hAnsi="Times New Roman"/>
                <w:sz w:val="10"/>
                <w:szCs w:val="10"/>
                <w:color w:val="auto"/>
                <w:w w:val="85"/>
              </w:rPr>
              <w:t>(5)</w:t>
            </w:r>
          </w:p>
        </w:tc>
        <w:tc>
          <w:tcPr>
            <w:tcW w:w="10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1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150.0 %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4320" w:type="dxa"/>
            <w:vAlign w:val="bottom"/>
            <w:tcBorders>
              <w:bottom w:val="single" w:sz="8" w:color="CCEEFF"/>
            </w:tcBorders>
            <w:gridSpan w:val="3"/>
          </w:tcPr>
          <w:p>
            <w:pPr>
              <w:ind w:left="460"/>
              <w:spacing w:after="0" w:line="104" w:lineRule="exact"/>
              <w:rPr>
                <w:sz w:val="20"/>
                <w:szCs w:val="20"/>
                <w:color w:val="auto"/>
              </w:rPr>
            </w:pPr>
            <w:r>
              <w:rPr>
                <w:rFonts w:ascii="Times New Roman" w:cs="Times New Roman" w:eastAsia="Times New Roman" w:hAnsi="Times New Roman"/>
                <w:sz w:val="10"/>
                <w:szCs w:val="10"/>
                <w:color w:val="auto"/>
              </w:rPr>
              <w:t>Total Electric Revenues</w:t>
            </w:r>
          </w:p>
        </w:tc>
        <w:tc>
          <w:tcPr>
            <w:tcW w:w="3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426</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387</w:t>
            </w:r>
          </w:p>
        </w:tc>
        <w:tc>
          <w:tcPr>
            <w:tcW w:w="11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10.1 %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4320" w:type="dxa"/>
            <w:vAlign w:val="bottom"/>
            <w:gridSpan w:val="3"/>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Natural Gas (in mmcfs)</w:t>
            </w: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32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0"/>
                <w:szCs w:val="10"/>
                <w:b w:val="1"/>
                <w:bCs w:val="1"/>
                <w:color w:val="auto"/>
              </w:rPr>
              <w:t>Natural Gas Deliveries and Revenues</w:t>
            </w:r>
            <w:r>
              <w:rPr>
                <w:rFonts w:ascii="Times New Roman" w:cs="Times New Roman" w:eastAsia="Times New Roman" w:hAnsi="Times New Roman"/>
                <w:sz w:val="12"/>
                <w:szCs w:val="12"/>
                <w:b w:val="1"/>
                <w:bCs w:val="1"/>
                <w:color w:val="auto"/>
                <w:vertAlign w:val="superscript"/>
              </w:rPr>
              <w:t>(e)</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Residential</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3,252</w:t>
            </w:r>
          </w:p>
        </w:tc>
        <w:tc>
          <w:tcPr>
            <w:tcW w:w="80" w:type="dxa"/>
            <w:vAlign w:val="bottom"/>
            <w:shd w:val="clear" w:color="auto" w:fill="CCEEFF"/>
          </w:tcPr>
          <w:p>
            <w:pPr>
              <w:spacing w:after="0"/>
              <w:rPr>
                <w:sz w:val="11"/>
                <w:szCs w:val="11"/>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2,649</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22.8 %</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8.8 %</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50.0 %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1,460</w:t>
            </w:r>
          </w:p>
        </w:tc>
        <w:tc>
          <w:tcPr>
            <w:tcW w:w="8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1,212</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20.5 %</w:t>
            </w:r>
          </w:p>
        </w:tc>
        <w:tc>
          <w:tcPr>
            <w:tcW w:w="1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5.1 %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42.9 %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441</w:t>
            </w:r>
          </w:p>
        </w:tc>
        <w:tc>
          <w:tcPr>
            <w:tcW w:w="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433</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1.8 %</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Transportation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1,728</w:t>
            </w:r>
          </w:p>
        </w:tc>
        <w:tc>
          <w:tcPr>
            <w:tcW w:w="8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1,715</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0.8 %</w:t>
            </w:r>
          </w:p>
        </w:tc>
        <w:tc>
          <w:tcPr>
            <w:tcW w:w="1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(g)</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n/a</w:t>
            </w:r>
          </w:p>
        </w:tc>
        <w:tc>
          <w:tcPr>
            <w:tcW w:w="1300" w:type="dxa"/>
            <w:vAlign w:val="bottom"/>
            <w:gridSpan w:val="4"/>
            <w:shd w:val="clear" w:color="auto" w:fill="CCEEFF"/>
          </w:tcPr>
          <w:p>
            <w:pPr>
              <w:ind w:left="920"/>
              <w:spacing w:after="0"/>
              <w:rPr>
                <w:sz w:val="20"/>
                <w:szCs w:val="20"/>
                <w:color w:val="auto"/>
              </w:rPr>
            </w:pPr>
            <w:r>
              <w:rPr>
                <w:rFonts w:ascii="Times New Roman" w:cs="Times New Roman" w:eastAsia="Times New Roman" w:hAnsi="Times New Roman"/>
                <w:sz w:val="10"/>
                <w:szCs w:val="10"/>
                <w:color w:val="auto"/>
              </w:rPr>
              <w:t>n/a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700" w:type="dxa"/>
            <w:vAlign w:val="bottom"/>
            <w:tcBorders>
              <w:bottom w:val="single" w:sz="8" w:color="CCEEFF"/>
            </w:tcBorders>
          </w:tcPr>
          <w:p>
            <w:pPr>
              <w:ind w:left="460"/>
              <w:spacing w:after="0" w:line="104" w:lineRule="exact"/>
              <w:rPr>
                <w:sz w:val="20"/>
                <w:szCs w:val="20"/>
                <w:color w:val="auto"/>
              </w:rPr>
            </w:pPr>
            <w:r>
              <w:rPr>
                <w:rFonts w:ascii="Times New Roman" w:cs="Times New Roman" w:eastAsia="Times New Roman" w:hAnsi="Times New Roman"/>
                <w:sz w:val="10"/>
                <w:szCs w:val="10"/>
                <w:color w:val="auto"/>
              </w:rPr>
              <w:t>Total natural gas revenues</w:t>
            </w:r>
          </w:p>
        </w:tc>
        <w:tc>
          <w:tcPr>
            <w:tcW w:w="4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6,881</w:t>
            </w:r>
          </w:p>
        </w:tc>
        <w:tc>
          <w:tcPr>
            <w:tcW w:w="80" w:type="dxa"/>
            <w:vAlign w:val="bottom"/>
            <w:tcBorders>
              <w:bottom w:val="single" w:sz="8" w:color="CCEEFF"/>
            </w:tcBorders>
          </w:tcPr>
          <w:p>
            <w:pPr>
              <w:spacing w:after="0"/>
              <w:rPr>
                <w:sz w:val="10"/>
                <w:szCs w:val="10"/>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6,009</w:t>
            </w:r>
          </w:p>
        </w:tc>
        <w:tc>
          <w:tcPr>
            <w:tcW w:w="1140" w:type="dxa"/>
            <w:vAlign w:val="bottom"/>
            <w:tcBorders>
              <w:bottom w:val="single" w:sz="8" w:color="CCEEFF"/>
            </w:tcBorders>
            <w:gridSpan w:val="4"/>
          </w:tcPr>
          <w:p>
            <w:pPr>
              <w:jc w:val="right"/>
              <w:spacing w:after="0" w:line="107" w:lineRule="exact"/>
              <w:rPr>
                <w:sz w:val="20"/>
                <w:szCs w:val="20"/>
                <w:color w:val="auto"/>
              </w:rPr>
            </w:pPr>
            <w:r>
              <w:rPr>
                <w:rFonts w:ascii="Times New Roman" w:cs="Times New Roman" w:eastAsia="Times New Roman" w:hAnsi="Times New Roman"/>
                <w:sz w:val="10"/>
                <w:szCs w:val="10"/>
                <w:color w:val="auto"/>
              </w:rPr>
              <w:t>14.5 %</w:t>
            </w:r>
          </w:p>
        </w:tc>
        <w:tc>
          <w:tcPr>
            <w:tcW w:w="10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3.8 %</w:t>
            </w:r>
          </w:p>
        </w:tc>
        <w:tc>
          <w:tcPr>
            <w:tcW w:w="8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84</w:t>
            </w:r>
          </w:p>
        </w:tc>
        <w:tc>
          <w:tcPr>
            <w:tcW w:w="100" w:type="dxa"/>
            <w:vAlign w:val="bottom"/>
            <w:tcBorders>
              <w:bottom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57</w:t>
            </w:r>
          </w:p>
        </w:tc>
        <w:tc>
          <w:tcPr>
            <w:tcW w:w="11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47.4 %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(f)</w:t>
            </w:r>
          </w:p>
        </w:tc>
        <w:tc>
          <w:tcPr>
            <w:tcW w:w="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n/a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4320" w:type="dxa"/>
            <w:vAlign w:val="bottom"/>
            <w:tcBorders>
              <w:bottom w:val="single" w:sz="8" w:color="CCEEFF"/>
            </w:tcBorders>
            <w:gridSpan w:val="3"/>
          </w:tcPr>
          <w:p>
            <w:pPr>
              <w:ind w:left="460"/>
              <w:spacing w:after="0" w:line="104" w:lineRule="exact"/>
              <w:rPr>
                <w:sz w:val="20"/>
                <w:szCs w:val="20"/>
                <w:color w:val="auto"/>
              </w:rPr>
            </w:pPr>
            <w:r>
              <w:rPr>
                <w:rFonts w:ascii="Times New Roman" w:cs="Times New Roman" w:eastAsia="Times New Roman" w:hAnsi="Times New Roman"/>
                <w:sz w:val="10"/>
                <w:szCs w:val="10"/>
                <w:color w:val="auto"/>
              </w:rPr>
              <w:t>Total Natural Gas Revenues</w:t>
            </w:r>
          </w:p>
        </w:tc>
        <w:tc>
          <w:tcPr>
            <w:tcW w:w="3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84</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57</w:t>
            </w:r>
          </w:p>
        </w:tc>
        <w:tc>
          <w:tcPr>
            <w:tcW w:w="11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47.4 %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4320" w:type="dxa"/>
            <w:vAlign w:val="bottom"/>
            <w:tcBorders>
              <w:bottom w:val="single" w:sz="8" w:color="CCEEFF"/>
            </w:tcBorders>
            <w:gridSpan w:val="3"/>
            <w:shd w:val="clear" w:color="auto" w:fill="CCEEFF"/>
          </w:tcPr>
          <w:p>
            <w:pPr>
              <w:ind w:left="460"/>
              <w:spacing w:after="0" w:line="110" w:lineRule="exact"/>
              <w:rPr>
                <w:sz w:val="20"/>
                <w:szCs w:val="20"/>
                <w:color w:val="auto"/>
              </w:rPr>
            </w:pPr>
            <w:r>
              <w:rPr>
                <w:rFonts w:ascii="Times New Roman" w:cs="Times New Roman" w:eastAsia="Times New Roman" w:hAnsi="Times New Roman"/>
                <w:sz w:val="10"/>
                <w:szCs w:val="10"/>
                <w:color w:val="auto"/>
              </w:rPr>
              <w:t>Total Electric and Natural Gas Revenues</w:t>
            </w:r>
          </w:p>
        </w:tc>
        <w:tc>
          <w:tcPr>
            <w:tcW w:w="3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510</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444</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14.9 %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320" w:type="dxa"/>
            <w:vAlign w:val="bottom"/>
            <w:gridSpan w:val="3"/>
          </w:tcPr>
          <w:p>
            <w:pPr>
              <w:ind w:left="20"/>
              <w:spacing w:after="0" w:line="106" w:lineRule="exact"/>
              <w:rPr>
                <w:sz w:val="20"/>
                <w:szCs w:val="20"/>
                <w:color w:val="auto"/>
              </w:rPr>
            </w:pPr>
            <w:r>
              <w:rPr>
                <w:rFonts w:ascii="Times New Roman" w:cs="Times New Roman" w:eastAsia="Times New Roman" w:hAnsi="Times New Roman"/>
                <w:sz w:val="10"/>
                <w:szCs w:val="10"/>
                <w:b w:val="1"/>
                <w:bCs w:val="1"/>
                <w:color w:val="auto"/>
              </w:rPr>
              <w:t>Purchased Power and Fuel</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223</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187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19.3 %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3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Electric Service Territory</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3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Heating and Cooling Degree-Days</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tcPr>
          <w:p>
            <w:pPr>
              <w:ind w:left="340"/>
              <w:spacing w:after="0"/>
              <w:rPr>
                <w:sz w:val="20"/>
                <w:szCs w:val="20"/>
                <w:color w:val="auto"/>
              </w:rPr>
            </w:pPr>
            <w:r>
              <w:rPr>
                <w:rFonts w:ascii="Times New Roman" w:cs="Times New Roman" w:eastAsia="Times New Roman" w:hAnsi="Times New Roman"/>
                <w:sz w:val="10"/>
                <w:szCs w:val="10"/>
                <w:b w:val="1"/>
                <w:bCs w:val="1"/>
                <w:color w:val="auto"/>
              </w:rPr>
              <w:t>Normal</w:t>
            </w:r>
          </w:p>
        </w:tc>
        <w:tc>
          <w:tcPr>
            <w:tcW w:w="980" w:type="dxa"/>
            <w:vAlign w:val="bottom"/>
            <w:gridSpan w:val="3"/>
          </w:tcPr>
          <w:p>
            <w:pPr>
              <w:jc w:val="center"/>
              <w:ind w:left="452"/>
              <w:spacing w:after="0"/>
              <w:rPr>
                <w:sz w:val="20"/>
                <w:szCs w:val="20"/>
                <w:color w:val="auto"/>
              </w:rPr>
            </w:pPr>
            <w:r>
              <w:rPr>
                <w:rFonts w:ascii="Times New Roman" w:cs="Times New Roman" w:eastAsia="Times New Roman" w:hAnsi="Times New Roman"/>
                <w:sz w:val="10"/>
                <w:szCs w:val="10"/>
                <w:b w:val="1"/>
                <w:bCs w:val="1"/>
                <w:color w:val="auto"/>
                <w:w w:val="94"/>
              </w:rPr>
              <w:t>From 2024</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From Normal</w:t>
            </w:r>
          </w:p>
        </w:tc>
        <w:tc>
          <w:tcPr>
            <w:tcW w:w="0" w:type="dxa"/>
            <w:vAlign w:val="bottom"/>
          </w:tcPr>
          <w:p>
            <w:pPr>
              <w:spacing w:after="0"/>
              <w:rPr>
                <w:sz w:val="1"/>
                <w:szCs w:val="1"/>
                <w:color w:val="auto"/>
              </w:rPr>
            </w:pPr>
          </w:p>
        </w:tc>
      </w:tr>
      <w:tr>
        <w:trPr>
          <w:trHeight w:val="129"/>
        </w:trPr>
        <w:tc>
          <w:tcPr>
            <w:tcW w:w="3740" w:type="dxa"/>
            <w:vAlign w:val="bottom"/>
            <w:tcBorders>
              <w:top w:val="single" w:sz="8" w:color="CCEEFF"/>
            </w:tcBorders>
            <w:gridSpan w:val="2"/>
            <w:shd w:val="clear" w:color="auto" w:fill="CCEEFF"/>
          </w:tcPr>
          <w:p>
            <w:pPr>
              <w:ind w:left="220"/>
              <w:spacing w:after="0" w:line="112" w:lineRule="exact"/>
              <w:rPr>
                <w:sz w:val="20"/>
                <w:szCs w:val="20"/>
                <w:color w:val="auto"/>
              </w:rPr>
            </w:pPr>
            <w:r>
              <w:rPr>
                <w:rFonts w:ascii="Times New Roman" w:cs="Times New Roman" w:eastAsia="Times New Roman" w:hAnsi="Times New Roman"/>
                <w:sz w:val="10"/>
                <w:szCs w:val="10"/>
                <w:color w:val="auto"/>
              </w:rPr>
              <w:t>Heating Degree-Days</w:t>
            </w:r>
          </w:p>
        </w:tc>
        <w:tc>
          <w:tcPr>
            <w:tcW w:w="5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1,708</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1,451</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1,520</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17.7 %</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12.4 %</w:t>
            </w:r>
          </w:p>
        </w:tc>
        <w:tc>
          <w:tcPr>
            <w:tcW w:w="0" w:type="dxa"/>
            <w:vAlign w:val="bottom"/>
          </w:tcPr>
          <w:p>
            <w:pPr>
              <w:spacing w:after="0"/>
              <w:rPr>
                <w:sz w:val="1"/>
                <w:szCs w:val="1"/>
                <w:color w:val="auto"/>
              </w:rPr>
            </w:pPr>
          </w:p>
        </w:tc>
      </w:tr>
      <w:tr>
        <w:trPr>
          <w:trHeight w:val="123"/>
        </w:trPr>
        <w:tc>
          <w:tcPr>
            <w:tcW w:w="4320" w:type="dxa"/>
            <w:vAlign w:val="bottom"/>
            <w:gridSpan w:val="3"/>
          </w:tcPr>
          <w:p>
            <w:pPr>
              <w:ind w:left="220"/>
              <w:spacing w:after="0"/>
              <w:rPr>
                <w:sz w:val="20"/>
                <w:szCs w:val="20"/>
                <w:color w:val="auto"/>
              </w:rPr>
            </w:pPr>
            <w:r>
              <w:rPr>
                <w:rFonts w:ascii="Times New Roman" w:cs="Times New Roman" w:eastAsia="Times New Roman" w:hAnsi="Times New Roman"/>
                <w:sz w:val="10"/>
                <w:szCs w:val="10"/>
                <w:color w:val="auto"/>
              </w:rPr>
              <w:t>Cooling Degree-Days</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36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(56.5)%</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(72.2)%</w:t>
            </w:r>
          </w:p>
        </w:tc>
        <w:tc>
          <w:tcPr>
            <w:tcW w:w="0" w:type="dxa"/>
            <w:vAlign w:val="bottom"/>
          </w:tcPr>
          <w:p>
            <w:pPr>
              <w:spacing w:after="0"/>
              <w:rPr>
                <w:sz w:val="1"/>
                <w:szCs w:val="1"/>
                <w:color w:val="auto"/>
              </w:rPr>
            </w:pPr>
          </w:p>
        </w:tc>
      </w:tr>
      <w:tr>
        <w:trPr>
          <w:trHeight w:val="379"/>
        </w:trPr>
        <w:tc>
          <w:tcPr>
            <w:tcW w:w="43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Natural Gas Service Territory</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3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Heating Degree-Days</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tcPr>
          <w:p>
            <w:pPr>
              <w:ind w:left="340"/>
              <w:spacing w:after="0"/>
              <w:rPr>
                <w:sz w:val="20"/>
                <w:szCs w:val="20"/>
                <w:color w:val="auto"/>
              </w:rPr>
            </w:pPr>
            <w:r>
              <w:rPr>
                <w:rFonts w:ascii="Times New Roman" w:cs="Times New Roman" w:eastAsia="Times New Roman" w:hAnsi="Times New Roman"/>
                <w:sz w:val="10"/>
                <w:szCs w:val="10"/>
                <w:b w:val="1"/>
                <w:bCs w:val="1"/>
                <w:color w:val="auto"/>
              </w:rPr>
              <w:t>Normal</w:t>
            </w:r>
          </w:p>
        </w:tc>
        <w:tc>
          <w:tcPr>
            <w:tcW w:w="980" w:type="dxa"/>
            <w:vAlign w:val="bottom"/>
            <w:gridSpan w:val="3"/>
          </w:tcPr>
          <w:p>
            <w:pPr>
              <w:jc w:val="center"/>
              <w:ind w:left="452"/>
              <w:spacing w:after="0"/>
              <w:rPr>
                <w:sz w:val="20"/>
                <w:szCs w:val="20"/>
                <w:color w:val="auto"/>
              </w:rPr>
            </w:pPr>
            <w:r>
              <w:rPr>
                <w:rFonts w:ascii="Times New Roman" w:cs="Times New Roman" w:eastAsia="Times New Roman" w:hAnsi="Times New Roman"/>
                <w:sz w:val="10"/>
                <w:szCs w:val="10"/>
                <w:b w:val="1"/>
                <w:bCs w:val="1"/>
                <w:color w:val="auto"/>
                <w:w w:val="94"/>
              </w:rPr>
              <w:t>From 2024</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From Normal</w:t>
            </w:r>
          </w:p>
        </w:tc>
        <w:tc>
          <w:tcPr>
            <w:tcW w:w="0" w:type="dxa"/>
            <w:vAlign w:val="bottom"/>
          </w:tcPr>
          <w:p>
            <w:pPr>
              <w:spacing w:after="0"/>
              <w:rPr>
                <w:sz w:val="1"/>
                <w:szCs w:val="1"/>
                <w:color w:val="auto"/>
              </w:rPr>
            </w:pPr>
          </w:p>
        </w:tc>
      </w:tr>
      <w:tr>
        <w:trPr>
          <w:trHeight w:val="129"/>
        </w:trPr>
        <w:tc>
          <w:tcPr>
            <w:tcW w:w="3740" w:type="dxa"/>
            <w:vAlign w:val="bottom"/>
            <w:tcBorders>
              <w:top w:val="single" w:sz="8" w:color="CCEEFF"/>
            </w:tcBorders>
            <w:gridSpan w:val="2"/>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Heating Degree-Days</w:t>
            </w:r>
          </w:p>
        </w:tc>
        <w:tc>
          <w:tcPr>
            <w:tcW w:w="5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1,727</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1,480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1,635</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16.7 %</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5.6 %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300"/>
          </w:cols>
          <w:pgMar w:left="300" w:top="129"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Twelve Months Ended December 31, 2025 and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11"/>
          </w:tcPr>
          <w:p>
            <w:pPr>
              <w:ind w:left="240"/>
              <w:spacing w:after="0"/>
              <w:rPr>
                <w:sz w:val="20"/>
                <w:szCs w:val="20"/>
                <w:color w:val="auto"/>
              </w:rPr>
            </w:pPr>
            <w:r>
              <w:rPr>
                <w:rFonts w:ascii="Times New Roman" w:cs="Times New Roman" w:eastAsia="Times New Roman" w:hAnsi="Times New Roman"/>
                <w:sz w:val="10"/>
                <w:szCs w:val="10"/>
                <w:b w:val="1"/>
                <w:bCs w:val="1"/>
                <w:color w:val="auto"/>
              </w:rPr>
              <w:t>Electric and Natural Gas Deliveries</w:t>
            </w:r>
          </w:p>
        </w:tc>
        <w:tc>
          <w:tcPr>
            <w:tcW w:w="7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Revenue (in millions)</w:t>
            </w:r>
          </w:p>
        </w:tc>
        <w:tc>
          <w:tcPr>
            <w:tcW w:w="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center"/>
              <w:ind w:left="212"/>
              <w:spacing w:after="0" w:line="89" w:lineRule="exact"/>
              <w:rPr>
                <w:sz w:val="20"/>
                <w:szCs w:val="20"/>
                <w:color w:val="auto"/>
              </w:rPr>
            </w:pPr>
            <w:r>
              <w:rPr>
                <w:rFonts w:ascii="Times New Roman" w:cs="Times New Roman" w:eastAsia="Times New Roman" w:hAnsi="Times New Roman"/>
                <w:sz w:val="10"/>
                <w:szCs w:val="10"/>
                <w:b w:val="1"/>
                <w:bCs w:val="1"/>
                <w:color w:val="auto"/>
                <w:w w:val="97"/>
              </w:rPr>
              <w:t>Weather -</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3700" w:type="dxa"/>
            <w:vAlign w:val="bottom"/>
          </w:tcPr>
          <w:p>
            <w:pPr>
              <w:spacing w:after="0"/>
              <w:rPr>
                <w:sz w:val="8"/>
                <w:szCs w:val="8"/>
                <w:color w:val="auto"/>
              </w:rPr>
            </w:pPr>
          </w:p>
        </w:tc>
        <w:tc>
          <w:tcPr>
            <w:tcW w:w="960" w:type="dxa"/>
            <w:vAlign w:val="bottom"/>
            <w:gridSpan w:val="3"/>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gridSpan w:val="3"/>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gridSpan w:val="4"/>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760" w:type="dxa"/>
            <w:vAlign w:val="bottom"/>
          </w:tcPr>
          <w:p>
            <w:pPr>
              <w:jc w:val="center"/>
              <w:ind w:left="212"/>
              <w:spacing w:after="0" w:line="98" w:lineRule="exact"/>
              <w:rPr>
                <w:sz w:val="20"/>
                <w:szCs w:val="20"/>
                <w:color w:val="auto"/>
              </w:rPr>
            </w:pPr>
            <w:r>
              <w:rPr>
                <w:rFonts w:ascii="Times New Roman" w:cs="Times New Roman" w:eastAsia="Times New Roman" w:hAnsi="Times New Roman"/>
                <w:sz w:val="10"/>
                <w:szCs w:val="10"/>
                <w:b w:val="1"/>
                <w:bCs w:val="1"/>
                <w:color w:val="auto"/>
                <w:w w:val="91"/>
              </w:rPr>
              <w:t>Normal</w:t>
            </w: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restart"/>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30"/>
        </w:trPr>
        <w:tc>
          <w:tcPr>
            <w:tcW w:w="370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4"/>
            <w:vMerge w:val="continue"/>
          </w:tcPr>
          <w:p>
            <w:pPr>
              <w:spacing w:after="0"/>
              <w:rPr>
                <w:sz w:val="11"/>
                <w:szCs w:val="11"/>
                <w:color w:val="auto"/>
              </w:rPr>
            </w:pPr>
          </w:p>
        </w:tc>
        <w:tc>
          <w:tcPr>
            <w:tcW w:w="760" w:type="dxa"/>
            <w:vAlign w:val="bottom"/>
          </w:tcPr>
          <w:p>
            <w:pPr>
              <w:jc w:val="center"/>
              <w:ind w:left="232"/>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700" w:type="dxa"/>
            <w:vAlign w:val="bottom"/>
            <w:tcBorders>
              <w:top w:val="single" w:sz="8" w:color="CCEEFF"/>
            </w:tcBorders>
            <w:shd w:val="clear" w:color="auto" w:fill="CCEEFF"/>
          </w:tcPr>
          <w:p>
            <w:pPr>
              <w:ind w:left="20"/>
              <w:spacing w:after="0" w:line="111" w:lineRule="exact"/>
              <w:rPr>
                <w:sz w:val="20"/>
                <w:szCs w:val="20"/>
                <w:color w:val="auto"/>
              </w:rPr>
            </w:pPr>
            <w:r>
              <w:rPr>
                <w:rFonts w:ascii="Times New Roman" w:cs="Times New Roman" w:eastAsia="Times New Roman" w:hAnsi="Times New Roman"/>
                <w:sz w:val="10"/>
                <w:szCs w:val="10"/>
                <w:b w:val="1"/>
                <w:bCs w:val="1"/>
                <w:color w:val="auto"/>
              </w:rPr>
              <w:t>Electric (in GWhs)</w:t>
            </w:r>
          </w:p>
        </w:tc>
        <w:tc>
          <w:tcPr>
            <w:tcW w:w="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00" w:type="dxa"/>
            <w:vAlign w:val="bottom"/>
          </w:tcPr>
          <w:p>
            <w:pPr>
              <w:ind w:left="20"/>
              <w:spacing w:after="0" w:line="135" w:lineRule="exact"/>
              <w:rPr>
                <w:sz w:val="20"/>
                <w:szCs w:val="20"/>
                <w:color w:val="auto"/>
              </w:rPr>
            </w:pPr>
            <w:r>
              <w:rPr>
                <w:rFonts w:ascii="Times New Roman" w:cs="Times New Roman" w:eastAsia="Times New Roman" w:hAnsi="Times New Roman"/>
                <w:sz w:val="10"/>
                <w:szCs w:val="10"/>
                <w:b w:val="1"/>
                <w:bCs w:val="1"/>
                <w:color w:val="auto"/>
              </w:rPr>
              <w:t>Electric Deliveries and Revenues</w:t>
            </w:r>
            <w:r>
              <w:rPr>
                <w:rFonts w:ascii="Times New Roman" w:cs="Times New Roman" w:eastAsia="Times New Roman" w:hAnsi="Times New Roman"/>
                <w:sz w:val="12"/>
                <w:szCs w:val="12"/>
                <w:b w:val="1"/>
                <w:bCs w:val="1"/>
                <w:color w:val="auto"/>
                <w:vertAlign w:val="superscript"/>
              </w:rPr>
              <w:t>(a)</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Residential</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5,542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5,371</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3.2 %</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(1.0)%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1,049</w:t>
            </w:r>
          </w:p>
        </w:tc>
        <w:tc>
          <w:tcPr>
            <w:tcW w:w="80" w:type="dxa"/>
            <w:vAlign w:val="bottom"/>
            <w:shd w:val="clear" w:color="auto" w:fill="CCEEFF"/>
          </w:tcPr>
          <w:p>
            <w:pPr>
              <w:spacing w:after="0"/>
              <w:rPr>
                <w:sz w:val="11"/>
                <w:szCs w:val="11"/>
                <w:color w:val="auto"/>
              </w:rPr>
            </w:pPr>
          </w:p>
        </w:tc>
        <w:tc>
          <w:tcPr>
            <w:tcW w:w="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943</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0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2,392</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2,359</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1.4 %</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0.9 %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253</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4.3 %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4,129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4,122</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0.2 %</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4"/>
              </w:rPr>
              <w:t>(0.3)%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123</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70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42</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43</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(2.3)%</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4"/>
              </w:rPr>
              <w:t>(2.6)%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(b)</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n/a</w:t>
            </w:r>
          </w:p>
        </w:tc>
        <w:tc>
          <w:tcPr>
            <w:tcW w:w="7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n/a</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303</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270</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700" w:type="dxa"/>
            <w:vAlign w:val="bottom"/>
            <w:tcBorders>
              <w:bottom w:val="single" w:sz="8" w:color="CCEEFF"/>
            </w:tcBorders>
          </w:tcPr>
          <w:p>
            <w:pPr>
              <w:ind w:left="460"/>
              <w:spacing w:after="0" w:line="124" w:lineRule="exact"/>
              <w:rPr>
                <w:sz w:val="20"/>
                <w:szCs w:val="20"/>
                <w:color w:val="auto"/>
              </w:rPr>
            </w:pPr>
            <w:r>
              <w:rPr>
                <w:rFonts w:ascii="Times New Roman" w:cs="Times New Roman" w:eastAsia="Times New Roman" w:hAnsi="Times New Roman"/>
                <w:sz w:val="10"/>
                <w:szCs w:val="10"/>
                <w:color w:val="auto"/>
              </w:rPr>
              <w:t>Total rate-regulated electric revenues</w:t>
            </w:r>
            <w:r>
              <w:rPr>
                <w:rFonts w:ascii="Times New Roman" w:cs="Times New Roman" w:eastAsia="Times New Roman" w:hAnsi="Times New Roman"/>
                <w:sz w:val="12"/>
                <w:szCs w:val="12"/>
                <w:color w:val="auto"/>
                <w:vertAlign w:val="superscript"/>
              </w:rPr>
              <w:t>(c)</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12,105</w:t>
            </w:r>
          </w:p>
        </w:tc>
        <w:tc>
          <w:tcPr>
            <w:tcW w:w="100" w:type="dxa"/>
            <w:vAlign w:val="bottom"/>
            <w:tcBorders>
              <w:bottom w:val="single" w:sz="8" w:color="CCEEFF"/>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11,895</w:t>
            </w: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gridSpan w:val="3"/>
          </w:tcPr>
          <w:p>
            <w:pPr>
              <w:jc w:val="right"/>
              <w:spacing w:after="0" w:line="107" w:lineRule="exact"/>
              <w:rPr>
                <w:sz w:val="20"/>
                <w:szCs w:val="20"/>
                <w:color w:val="auto"/>
              </w:rPr>
            </w:pPr>
            <w:r>
              <w:rPr>
                <w:rFonts w:ascii="Times New Roman" w:cs="Times New Roman" w:eastAsia="Times New Roman" w:hAnsi="Times New Roman"/>
                <w:sz w:val="10"/>
                <w:szCs w:val="10"/>
                <w:color w:val="auto"/>
              </w:rPr>
              <w:t>1.8 %</w:t>
            </w:r>
          </w:p>
        </w:tc>
        <w:tc>
          <w:tcPr>
            <w:tcW w:w="10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w w:val="94"/>
              </w:rPr>
              <w:t>(0.4)%</w:t>
            </w:r>
          </w:p>
        </w:tc>
        <w:tc>
          <w:tcPr>
            <w:tcW w:w="8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1,754</w:t>
            </w:r>
          </w:p>
        </w:tc>
        <w:tc>
          <w:tcPr>
            <w:tcW w:w="80" w:type="dxa"/>
            <w:vAlign w:val="bottom"/>
            <w:tcBorders>
              <w:bottom w:val="single" w:sz="8" w:color="CCEEFF"/>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1,606</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9.2 %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(d)</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80" w:type="dxa"/>
            <w:vAlign w:val="bottom"/>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(1,500.0)%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3700" w:type="dxa"/>
            <w:vAlign w:val="bottom"/>
            <w:tcBorders>
              <w:bottom w:val="single" w:sz="8" w:color="CCEEFF"/>
            </w:tcBorders>
          </w:tcPr>
          <w:p>
            <w:pPr>
              <w:ind w:left="460"/>
              <w:spacing w:after="0" w:line="107" w:lineRule="exact"/>
              <w:rPr>
                <w:sz w:val="20"/>
                <w:szCs w:val="20"/>
                <w:color w:val="auto"/>
              </w:rPr>
            </w:pPr>
            <w:r>
              <w:rPr>
                <w:rFonts w:ascii="Times New Roman" w:cs="Times New Roman" w:eastAsia="Times New Roman" w:hAnsi="Times New Roman"/>
                <w:sz w:val="10"/>
                <w:szCs w:val="10"/>
                <w:color w:val="auto"/>
              </w:rPr>
              <w:t>Total Electric Revenues</w:t>
            </w: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1,740</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1,607</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8.3 %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00" w:type="dxa"/>
            <w:vAlign w:val="bottom"/>
            <w:shd w:val="clear" w:color="auto" w:fill="CCEEFF"/>
          </w:tcPr>
          <w:p>
            <w:pPr>
              <w:ind w:left="20"/>
              <w:spacing w:after="0" w:line="112" w:lineRule="exact"/>
              <w:rPr>
                <w:sz w:val="20"/>
                <w:szCs w:val="20"/>
                <w:color w:val="auto"/>
              </w:rPr>
            </w:pPr>
            <w:r>
              <w:rPr>
                <w:rFonts w:ascii="Times New Roman" w:cs="Times New Roman" w:eastAsia="Times New Roman" w:hAnsi="Times New Roman"/>
                <w:sz w:val="10"/>
                <w:szCs w:val="10"/>
                <w:b w:val="1"/>
                <w:bCs w:val="1"/>
                <w:color w:val="auto"/>
              </w:rPr>
              <w:t>Natural Gas (in mmcfs)</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700" w:type="dxa"/>
            <w:vAlign w:val="bottom"/>
          </w:tcPr>
          <w:p>
            <w:pPr>
              <w:ind w:left="20"/>
              <w:spacing w:after="0" w:line="135" w:lineRule="exact"/>
              <w:rPr>
                <w:sz w:val="20"/>
                <w:szCs w:val="20"/>
                <w:color w:val="auto"/>
              </w:rPr>
            </w:pPr>
            <w:r>
              <w:rPr>
                <w:rFonts w:ascii="Times New Roman" w:cs="Times New Roman" w:eastAsia="Times New Roman" w:hAnsi="Times New Roman"/>
                <w:sz w:val="10"/>
                <w:szCs w:val="10"/>
                <w:b w:val="1"/>
                <w:bCs w:val="1"/>
                <w:color w:val="auto"/>
              </w:rPr>
              <w:t>Natural Gas Deliveries and Revenues</w:t>
            </w:r>
            <w:r>
              <w:rPr>
                <w:rFonts w:ascii="Times New Roman" w:cs="Times New Roman" w:eastAsia="Times New Roman" w:hAnsi="Times New Roman"/>
                <w:sz w:val="12"/>
                <w:szCs w:val="12"/>
                <w:b w:val="1"/>
                <w:bCs w:val="1"/>
                <w:color w:val="auto"/>
                <w:vertAlign w:val="superscript"/>
              </w:rPr>
              <w:t>(e)</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Residential</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9,052</w:t>
            </w: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7,810</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15.9 %</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7.5 %</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108</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28.7 %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0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4,339</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3,801</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14.2 %</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5.5 %</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43</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27.9 %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1,674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0.4 %</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0.4 %</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700" w:type="dxa"/>
            <w:vAlign w:val="bottom"/>
          </w:tcPr>
          <w:p>
            <w:pPr>
              <w:ind w:left="240"/>
              <w:spacing w:after="0"/>
              <w:rPr>
                <w:sz w:val="20"/>
                <w:szCs w:val="20"/>
                <w:color w:val="auto"/>
              </w:rPr>
            </w:pPr>
            <w:r>
              <w:rPr>
                <w:rFonts w:ascii="Times New Roman" w:cs="Times New Roman" w:eastAsia="Times New Roman" w:hAnsi="Times New Roman"/>
                <w:sz w:val="10"/>
                <w:szCs w:val="10"/>
                <w:color w:val="auto"/>
              </w:rPr>
              <w:t>Transportation</w:t>
            </w: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6,355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6,206</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2.4 %</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4"/>
              </w:rPr>
              <w:t>(0.3)%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17</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11.8 %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(f)</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n/a</w:t>
            </w:r>
          </w:p>
        </w:tc>
        <w:tc>
          <w:tcPr>
            <w:tcW w:w="76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0"/>
                <w:szCs w:val="10"/>
                <w:color w:val="auto"/>
              </w:rPr>
              <w:t>n/a</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700" w:type="dxa"/>
            <w:vAlign w:val="bottom"/>
            <w:tcBorders>
              <w:bottom w:val="single" w:sz="8" w:color="CCEEFF"/>
            </w:tcBorders>
          </w:tcPr>
          <w:p>
            <w:pPr>
              <w:ind w:left="460"/>
              <w:spacing w:after="0" w:line="107" w:lineRule="exact"/>
              <w:rPr>
                <w:sz w:val="20"/>
                <w:szCs w:val="20"/>
                <w:color w:val="auto"/>
              </w:rPr>
            </w:pPr>
            <w:r>
              <w:rPr>
                <w:rFonts w:ascii="Times New Roman" w:cs="Times New Roman" w:eastAsia="Times New Roman" w:hAnsi="Times New Roman"/>
                <w:sz w:val="10"/>
                <w:szCs w:val="10"/>
                <w:color w:val="auto"/>
              </w:rPr>
              <w:t>Total rate-regulated natural gas revenues</w:t>
            </w: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21,426</w:t>
            </w:r>
          </w:p>
        </w:tc>
        <w:tc>
          <w:tcPr>
            <w:tcW w:w="100" w:type="dxa"/>
            <w:vAlign w:val="bottom"/>
            <w:tcBorders>
              <w:bottom w:val="single" w:sz="8" w:color="CCEEFF"/>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19,491</w:t>
            </w: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780" w:type="dxa"/>
            <w:vAlign w:val="bottom"/>
            <w:tcBorders>
              <w:bottom w:val="single" w:sz="8" w:color="CCEEFF"/>
            </w:tcBorders>
            <w:gridSpan w:val="3"/>
          </w:tcPr>
          <w:p>
            <w:pPr>
              <w:jc w:val="right"/>
              <w:spacing w:after="0" w:line="107" w:lineRule="exact"/>
              <w:rPr>
                <w:sz w:val="20"/>
                <w:szCs w:val="20"/>
                <w:color w:val="auto"/>
              </w:rPr>
            </w:pPr>
            <w:r>
              <w:rPr>
                <w:rFonts w:ascii="Times New Roman" w:cs="Times New Roman" w:eastAsia="Times New Roman" w:hAnsi="Times New Roman"/>
                <w:sz w:val="10"/>
                <w:szCs w:val="10"/>
                <w:color w:val="auto"/>
              </w:rPr>
              <w:t>9.9 %</w:t>
            </w:r>
          </w:p>
        </w:tc>
        <w:tc>
          <w:tcPr>
            <w:tcW w:w="10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4.1 %</w:t>
            </w:r>
          </w:p>
        </w:tc>
        <w:tc>
          <w:tcPr>
            <w:tcW w:w="80" w:type="dxa"/>
            <w:vAlign w:val="bottom"/>
            <w:tcBorders>
              <w:bottom w:val="single" w:sz="8" w:color="CCEEFF"/>
            </w:tcBorders>
          </w:tcPr>
          <w:p>
            <w:pPr>
              <w:spacing w:after="0"/>
              <w:rPr>
                <w:sz w:val="10"/>
                <w:szCs w:val="10"/>
                <w:color w:val="auto"/>
              </w:rPr>
            </w:pPr>
          </w:p>
        </w:tc>
        <w:tc>
          <w:tcPr>
            <w:tcW w:w="60" w:type="dxa"/>
            <w:vAlign w:val="bottom"/>
            <w:tcBorders>
              <w:top w:val="single" w:sz="8" w:color="auto"/>
              <w:bottom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231</w:t>
            </w:r>
          </w:p>
        </w:tc>
        <w:tc>
          <w:tcPr>
            <w:tcW w:w="80" w:type="dxa"/>
            <w:vAlign w:val="bottom"/>
            <w:tcBorders>
              <w:bottom w:val="single" w:sz="8" w:color="CCEEFF"/>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28.3 %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370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(d)</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13" w:lineRule="exact"/>
              <w:rPr>
                <w:sz w:val="20"/>
                <w:szCs w:val="20"/>
                <w:color w:val="auto"/>
              </w:rPr>
            </w:pPr>
            <w:r>
              <w:rPr>
                <w:rFonts w:ascii="Times New Roman" w:cs="Times New Roman" w:eastAsia="Times New Roman" w:hAnsi="Times New Roman"/>
                <w:sz w:val="10"/>
                <w:szCs w:val="10"/>
                <w:color w:val="auto"/>
              </w:rPr>
              <w:t>n/a</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3700" w:type="dxa"/>
            <w:vAlign w:val="bottom"/>
            <w:tcBorders>
              <w:bottom w:val="single" w:sz="8" w:color="CCEEFF"/>
            </w:tcBorders>
          </w:tcPr>
          <w:p>
            <w:pPr>
              <w:ind w:left="460"/>
              <w:spacing w:after="0" w:line="107" w:lineRule="exact"/>
              <w:rPr>
                <w:sz w:val="20"/>
                <w:szCs w:val="20"/>
                <w:color w:val="auto"/>
              </w:rPr>
            </w:pPr>
            <w:r>
              <w:rPr>
                <w:rFonts w:ascii="Times New Roman" w:cs="Times New Roman" w:eastAsia="Times New Roman" w:hAnsi="Times New Roman"/>
                <w:sz w:val="10"/>
                <w:szCs w:val="10"/>
                <w:color w:val="auto"/>
              </w:rPr>
              <w:t>Total Natural Gas Revenues</w:t>
            </w: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60" w:type="dxa"/>
            <w:vAlign w:val="bottom"/>
            <w:tcBorders>
              <w:bottom w:val="single" w:sz="8" w:color="CCEEFF"/>
            </w:tcBorders>
          </w:tcPr>
          <w:p>
            <w:pPr>
              <w:spacing w:after="0"/>
              <w:rPr>
                <w:sz w:val="10"/>
                <w:szCs w:val="10"/>
                <w:color w:val="auto"/>
              </w:rPr>
            </w:pPr>
          </w:p>
        </w:tc>
        <w:tc>
          <w:tcPr>
            <w:tcW w:w="3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231</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28.3 %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Total Electric and Natural Gas Revenues</w:t>
            </w: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1,971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1,787</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Purchased Power and Fuel</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861</w:t>
            </w:r>
          </w:p>
        </w:tc>
        <w:tc>
          <w:tcPr>
            <w:tcW w:w="80" w:type="dxa"/>
            <w:vAlign w:val="bottom"/>
          </w:tcPr>
          <w:p>
            <w:pPr>
              <w:spacing w:after="0"/>
              <w:rPr>
                <w:sz w:val="11"/>
                <w:szCs w:val="11"/>
                <w:color w:val="auto"/>
              </w:rPr>
            </w:pPr>
          </w:p>
        </w:tc>
        <w:tc>
          <w:tcPr>
            <w:tcW w:w="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color w:val="auto"/>
              </w:rPr>
              <w:t>760</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13.3 %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37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Electric Service Territory</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7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Heating and Cooling Degree-Days</w:t>
            </w:r>
          </w:p>
        </w:tc>
        <w:tc>
          <w:tcPr>
            <w:tcW w:w="960" w:type="dxa"/>
            <w:vAlign w:val="bottom"/>
            <w:gridSpan w:val="3"/>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0"/>
                <w:szCs w:val="10"/>
                <w:b w:val="1"/>
                <w:bCs w:val="1"/>
                <w:color w:val="auto"/>
              </w:rPr>
              <w:t>Normal</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From 2024</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From Normal</w:t>
            </w:r>
          </w:p>
        </w:tc>
        <w:tc>
          <w:tcPr>
            <w:tcW w:w="0" w:type="dxa"/>
            <w:vAlign w:val="bottom"/>
          </w:tcPr>
          <w:p>
            <w:pPr>
              <w:spacing w:after="0"/>
              <w:rPr>
                <w:sz w:val="1"/>
                <w:szCs w:val="1"/>
                <w:color w:val="auto"/>
              </w:rPr>
            </w:pPr>
          </w:p>
        </w:tc>
      </w:tr>
      <w:tr>
        <w:trPr>
          <w:trHeight w:val="129"/>
        </w:trPr>
        <w:tc>
          <w:tcPr>
            <w:tcW w:w="3700" w:type="dxa"/>
            <w:vAlign w:val="bottom"/>
            <w:tcBorders>
              <w:top w:val="single" w:sz="8" w:color="CCEEFF"/>
            </w:tcBorders>
            <w:shd w:val="clear" w:color="auto" w:fill="CCEEFF"/>
          </w:tcPr>
          <w:p>
            <w:pPr>
              <w:ind w:left="220"/>
              <w:spacing w:after="0" w:line="112" w:lineRule="exact"/>
              <w:rPr>
                <w:sz w:val="20"/>
                <w:szCs w:val="20"/>
                <w:color w:val="auto"/>
              </w:rPr>
            </w:pPr>
            <w:r>
              <w:rPr>
                <w:rFonts w:ascii="Times New Roman" w:cs="Times New Roman" w:eastAsia="Times New Roman" w:hAnsi="Times New Roman"/>
                <w:sz w:val="10"/>
                <w:szCs w:val="10"/>
                <w:color w:val="auto"/>
              </w:rPr>
              <w:t>Heating Degree-Days</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4,434</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3,968</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4,320</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11.7 %</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2.6 %</w:t>
            </w:r>
          </w:p>
        </w:tc>
        <w:tc>
          <w:tcPr>
            <w:tcW w:w="0" w:type="dxa"/>
            <w:vAlign w:val="bottom"/>
          </w:tcPr>
          <w:p>
            <w:pPr>
              <w:spacing w:after="0"/>
              <w:rPr>
                <w:sz w:val="1"/>
                <w:szCs w:val="1"/>
                <w:color w:val="auto"/>
              </w:rPr>
            </w:pPr>
          </w:p>
        </w:tc>
      </w:tr>
      <w:tr>
        <w:trPr>
          <w:trHeight w:val="123"/>
        </w:trPr>
        <w:tc>
          <w:tcPr>
            <w:tcW w:w="37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Cooling Degree-Days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97"/>
              </w:rPr>
              <w:t>1,288</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ind w:left="320"/>
              <w:spacing w:after="0"/>
              <w:rPr>
                <w:sz w:val="20"/>
                <w:szCs w:val="20"/>
                <w:color w:val="auto"/>
              </w:rPr>
            </w:pPr>
            <w:r>
              <w:rPr>
                <w:rFonts w:ascii="Times New Roman" w:cs="Times New Roman" w:eastAsia="Times New Roman" w:hAnsi="Times New Roman"/>
                <w:sz w:val="10"/>
                <w:szCs w:val="10"/>
                <w:color w:val="auto"/>
              </w:rPr>
              <w:t>1,279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1,314</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0.7 %</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(2.0)%</w:t>
            </w:r>
          </w:p>
        </w:tc>
        <w:tc>
          <w:tcPr>
            <w:tcW w:w="0" w:type="dxa"/>
            <w:vAlign w:val="bottom"/>
          </w:tcPr>
          <w:p>
            <w:pPr>
              <w:spacing w:after="0"/>
              <w:rPr>
                <w:sz w:val="1"/>
                <w:szCs w:val="1"/>
                <w:color w:val="auto"/>
              </w:rPr>
            </w:pPr>
          </w:p>
        </w:tc>
      </w:tr>
      <w:tr>
        <w:trPr>
          <w:trHeight w:val="370"/>
        </w:trPr>
        <w:tc>
          <w:tcPr>
            <w:tcW w:w="37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Natural Gas Service Territory</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7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Heating Degree-Days</w:t>
            </w:r>
          </w:p>
        </w:tc>
        <w:tc>
          <w:tcPr>
            <w:tcW w:w="960" w:type="dxa"/>
            <w:vAlign w:val="bottom"/>
            <w:gridSpan w:val="3"/>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9"/>
              </w:rPr>
              <w:t>2024</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ind w:left="340"/>
              <w:spacing w:after="0"/>
              <w:rPr>
                <w:sz w:val="20"/>
                <w:szCs w:val="20"/>
                <w:color w:val="auto"/>
              </w:rPr>
            </w:pPr>
            <w:r>
              <w:rPr>
                <w:rFonts w:ascii="Times New Roman" w:cs="Times New Roman" w:eastAsia="Times New Roman" w:hAnsi="Times New Roman"/>
                <w:sz w:val="10"/>
                <w:szCs w:val="10"/>
                <w:b w:val="1"/>
                <w:bCs w:val="1"/>
                <w:color w:val="auto"/>
              </w:rPr>
              <w:t>Normal</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From 2024</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3"/>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From Normal</w:t>
            </w:r>
          </w:p>
        </w:tc>
        <w:tc>
          <w:tcPr>
            <w:tcW w:w="0" w:type="dxa"/>
            <w:vAlign w:val="bottom"/>
          </w:tcPr>
          <w:p>
            <w:pPr>
              <w:spacing w:after="0"/>
              <w:rPr>
                <w:sz w:val="1"/>
                <w:szCs w:val="1"/>
                <w:color w:val="auto"/>
              </w:rPr>
            </w:pPr>
          </w:p>
        </w:tc>
      </w:tr>
      <w:tr>
        <w:trPr>
          <w:trHeight w:val="129"/>
        </w:trPr>
        <w:tc>
          <w:tcPr>
            <w:tcW w:w="3700" w:type="dxa"/>
            <w:vAlign w:val="bottom"/>
            <w:tcBorders>
              <w:top w:val="single" w:sz="8" w:color="CCEEFF"/>
            </w:tcBorders>
            <w:shd w:val="clear" w:color="auto" w:fill="CCEEFF"/>
          </w:tcPr>
          <w:p>
            <w:pPr>
              <w:ind w:left="220"/>
              <w:spacing w:after="0" w:line="112" w:lineRule="exact"/>
              <w:rPr>
                <w:sz w:val="20"/>
                <w:szCs w:val="20"/>
                <w:color w:val="auto"/>
              </w:rPr>
            </w:pPr>
            <w:r>
              <w:rPr>
                <w:rFonts w:ascii="Times New Roman" w:cs="Times New Roman" w:eastAsia="Times New Roman" w:hAnsi="Times New Roman"/>
                <w:sz w:val="10"/>
                <w:szCs w:val="10"/>
                <w:color w:val="auto"/>
              </w:rPr>
              <w:t>Heating Degree-Days</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97"/>
              </w:rPr>
              <w:t>4,500</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0"/>
                <w:szCs w:val="10"/>
                <w:color w:val="auto"/>
              </w:rPr>
              <w:t>4,100</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4,605</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9.8 %</w:t>
            </w: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(2.3)%</w:t>
            </w:r>
          </w:p>
        </w:tc>
        <w:tc>
          <w:tcPr>
            <w:tcW w:w="0" w:type="dxa"/>
            <w:vAlign w:val="bottom"/>
          </w:tcPr>
          <w:p>
            <w:pPr>
              <w:spacing w:after="0"/>
              <w:rPr>
                <w:sz w:val="1"/>
                <w:szCs w:val="1"/>
                <w:color w:val="auto"/>
              </w:rPr>
            </w:pPr>
          </w:p>
        </w:tc>
      </w:tr>
      <w:tr>
        <w:trPr>
          <w:trHeight w:val="370"/>
        </w:trPr>
        <w:tc>
          <w:tcPr>
            <w:tcW w:w="370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Number of Electric Customers</w:t>
            </w:r>
          </w:p>
        </w:tc>
        <w:tc>
          <w:tcPr>
            <w:tcW w:w="960" w:type="dxa"/>
            <w:vAlign w:val="bottom"/>
            <w:gridSpan w:val="3"/>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gridSpan w:val="6"/>
          </w:tcPr>
          <w:p>
            <w:pPr>
              <w:ind w:left="100"/>
              <w:spacing w:after="0"/>
              <w:rPr>
                <w:sz w:val="20"/>
                <w:szCs w:val="20"/>
                <w:color w:val="auto"/>
              </w:rPr>
            </w:pPr>
            <w:r>
              <w:rPr>
                <w:rFonts w:ascii="Times New Roman" w:cs="Times New Roman" w:eastAsia="Times New Roman" w:hAnsi="Times New Roman"/>
                <w:sz w:val="10"/>
                <w:szCs w:val="10"/>
                <w:b w:val="1"/>
                <w:bCs w:val="1"/>
                <w:color w:val="auto"/>
              </w:rPr>
              <w:t>Number of Natural Gas Customers</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2025</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2"/>
          </w:tcPr>
          <w:p>
            <w:pPr>
              <w:jc w:val="right"/>
              <w:ind w:right="352"/>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7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Residential</w:t>
            </w:r>
          </w:p>
        </w:tc>
        <w:tc>
          <w:tcPr>
            <w:tcW w:w="100" w:type="dxa"/>
            <w:vAlign w:val="bottom"/>
            <w:tcBorders>
              <w:top w:val="single" w:sz="8" w:color="CCEEFF"/>
            </w:tcBorders>
            <w:gridSpan w:val="2"/>
            <w:shd w:val="clear" w:color="auto" w:fill="CCEEFF"/>
          </w:tcPr>
          <w:p>
            <w:pPr>
              <w:spacing w:after="0"/>
              <w:rPr>
                <w:sz w:val="11"/>
                <w:szCs w:val="11"/>
                <w:color w:val="auto"/>
              </w:rPr>
            </w:pPr>
          </w:p>
        </w:tc>
        <w:tc>
          <w:tcPr>
            <w:tcW w:w="100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495,254</w:t>
            </w:r>
          </w:p>
        </w:tc>
        <w:tc>
          <w:tcPr>
            <w:tcW w:w="8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490,626</w:t>
            </w:r>
          </w:p>
        </w:tc>
        <w:tc>
          <w:tcPr>
            <w:tcW w:w="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gridSpan w:val="4"/>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Residential</w:t>
            </w:r>
          </w:p>
        </w:tc>
        <w:tc>
          <w:tcPr>
            <w:tcW w:w="7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132,148</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131,392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1100" w:type="dxa"/>
            <w:vAlign w:val="bottom"/>
            <w:gridSpan w:val="5"/>
          </w:tcPr>
          <w:p>
            <w:pPr>
              <w:jc w:val="right"/>
              <w:ind w:right="40"/>
              <w:spacing w:after="0"/>
              <w:rPr>
                <w:sz w:val="20"/>
                <w:szCs w:val="20"/>
                <w:color w:val="auto"/>
              </w:rPr>
            </w:pPr>
            <w:r>
              <w:rPr>
                <w:rFonts w:ascii="Times New Roman" w:cs="Times New Roman" w:eastAsia="Times New Roman" w:hAnsi="Times New Roman"/>
                <w:sz w:val="10"/>
                <w:szCs w:val="10"/>
                <w:color w:val="auto"/>
              </w:rPr>
              <w:t>65,500</w:t>
            </w:r>
          </w:p>
        </w:tc>
        <w:tc>
          <w:tcPr>
            <w:tcW w:w="80" w:type="dxa"/>
            <w:vAlign w:val="bottom"/>
          </w:tcPr>
          <w:p>
            <w:pPr>
              <w:spacing w:after="0"/>
              <w:rPr>
                <w:sz w:val="11"/>
                <w:szCs w:val="11"/>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0"/>
                <w:szCs w:val="10"/>
                <w:color w:val="auto"/>
              </w:rPr>
              <w:t>64,813</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gridSpan w:val="5"/>
          </w:tcPr>
          <w:p>
            <w:pPr>
              <w:ind w:left="12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0"/>
                <w:szCs w:val="10"/>
                <w:color w:val="auto"/>
              </w:rPr>
              <w:t>10,255</w:t>
            </w: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10,218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110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1,273</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1,255</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gridSpan w:val="5"/>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14</w:t>
            </w:r>
          </w:p>
        </w:tc>
        <w:tc>
          <w:tcPr>
            <w:tcW w:w="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700" w:type="dxa"/>
            <w:vAlign w:val="bottom"/>
          </w:tcPr>
          <w:p>
            <w:pPr>
              <w:ind w:left="22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1100" w:type="dxa"/>
            <w:vAlign w:val="bottom"/>
            <w:gridSpan w:val="5"/>
          </w:tcPr>
          <w:p>
            <w:pPr>
              <w:jc w:val="right"/>
              <w:ind w:right="40"/>
              <w:spacing w:after="0"/>
              <w:rPr>
                <w:sz w:val="20"/>
                <w:szCs w:val="20"/>
                <w:color w:val="auto"/>
              </w:rPr>
            </w:pPr>
            <w:r>
              <w:rPr>
                <w:rFonts w:ascii="Times New Roman" w:cs="Times New Roman" w:eastAsia="Times New Roman" w:hAnsi="Times New Roman"/>
                <w:sz w:val="10"/>
                <w:szCs w:val="10"/>
                <w:color w:val="auto"/>
              </w:rPr>
              <w:t>634</w:t>
            </w:r>
          </w:p>
        </w:tc>
        <w:tc>
          <w:tcPr>
            <w:tcW w:w="80" w:type="dxa"/>
            <w:vAlign w:val="bottom"/>
          </w:tcPr>
          <w:p>
            <w:pPr>
              <w:spacing w:after="0"/>
              <w:rPr>
                <w:sz w:val="11"/>
                <w:szCs w:val="11"/>
                <w:color w:val="auto"/>
              </w:rPr>
            </w:pP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0"/>
                <w:szCs w:val="10"/>
                <w:color w:val="auto"/>
              </w:rPr>
              <w:t>606</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4"/>
          </w:tcPr>
          <w:p>
            <w:pPr>
              <w:ind w:left="120"/>
              <w:spacing w:after="0"/>
              <w:rPr>
                <w:sz w:val="20"/>
                <w:szCs w:val="20"/>
                <w:color w:val="auto"/>
              </w:rPr>
            </w:pPr>
            <w:r>
              <w:rPr>
                <w:rFonts w:ascii="Times New Roman" w:cs="Times New Roman" w:eastAsia="Times New Roman" w:hAnsi="Times New Roman"/>
                <w:sz w:val="10"/>
                <w:szCs w:val="10"/>
                <w:color w:val="auto"/>
              </w:rPr>
              <w:t>Transportation</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0"/>
                <w:szCs w:val="10"/>
                <w:color w:val="auto"/>
              </w:rPr>
              <w:t>160</w:t>
            </w:r>
          </w:p>
        </w:tc>
        <w:tc>
          <w:tcPr>
            <w:tcW w:w="20" w:type="dxa"/>
            <w:vAlign w:val="bottom"/>
          </w:tcPr>
          <w:p>
            <w:pPr>
              <w:spacing w:after="0"/>
              <w:rPr>
                <w:sz w:val="11"/>
                <w:szCs w:val="1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7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Total</w:t>
            </w:r>
          </w:p>
        </w:tc>
        <w:tc>
          <w:tcPr>
            <w:tcW w:w="10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00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562,661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557,300</w:t>
            </w: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CCEEFF"/>
              <w:bottom w:val="single" w:sz="8" w:color="CCEEFF"/>
            </w:tcBorders>
            <w:gridSpan w:val="4"/>
            <w:shd w:val="clear" w:color="auto" w:fill="CCEEFF"/>
          </w:tcPr>
          <w:p>
            <w:pPr>
              <w:ind w:left="340"/>
              <w:spacing w:after="0"/>
              <w:rPr>
                <w:sz w:val="20"/>
                <w:szCs w:val="20"/>
                <w:color w:val="auto"/>
              </w:rPr>
            </w:pPr>
            <w:r>
              <w:rPr>
                <w:rFonts w:ascii="Times New Roman" w:cs="Times New Roman" w:eastAsia="Times New Roman" w:hAnsi="Times New Roman"/>
                <w:sz w:val="10"/>
                <w:szCs w:val="10"/>
                <w:color w:val="auto"/>
              </w:rPr>
              <w:t>Total</w:t>
            </w:r>
          </w:p>
        </w:tc>
        <w:tc>
          <w:tcPr>
            <w:tcW w:w="760" w:type="dxa"/>
            <w:vAlign w:val="bottom"/>
            <w:tcBorders>
              <w:top w:val="single" w:sz="8" w:color="CCEEFF"/>
              <w:bottom w:val="single" w:sz="8" w:color="CCEEFF"/>
            </w:tcBorders>
            <w:shd w:val="clear" w:color="auto" w:fill="CCEEFF"/>
          </w:tcPr>
          <w:p>
            <w:pPr>
              <w:spacing w:after="0"/>
              <w:rPr>
                <w:sz w:val="12"/>
                <w:szCs w:val="12"/>
                <w:color w:val="auto"/>
              </w:rPr>
            </w:pPr>
          </w:p>
        </w:tc>
        <w:tc>
          <w:tcPr>
            <w:tcW w:w="3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142,577</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141,786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w:t>
      </w:r>
    </w:p>
    <w:p>
      <w:pPr>
        <w:spacing w:after="0" w:line="3" w:lineRule="exact"/>
        <w:rPr>
          <w:sz w:val="20"/>
          <w:szCs w:val="20"/>
          <w:color w:val="auto"/>
        </w:rPr>
      </w:pPr>
    </w:p>
    <w:p>
      <w:pPr>
        <w:ind w:left="380" w:hanging="226"/>
        <w:spacing w:after="0"/>
        <w:tabs>
          <w:tab w:leader="none" w:pos="378" w:val="left"/>
        </w:tabs>
        <w:numPr>
          <w:ilvl w:val="0"/>
          <w:numId w:val="1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delivery volumes and revenues from customers purchasing electricity directly from DPL and customers purchasing electricity from a competitive electric generation supplier as all customers are assessed distribution charges. For customers purchasing electricity from DPL, revenues also reflect the cost of energy and transmission.</w:t>
      </w:r>
    </w:p>
    <w:p>
      <w:pPr>
        <w:ind w:left="360" w:hanging="206"/>
        <w:spacing w:after="0"/>
        <w:tabs>
          <w:tab w:leader="none" w:pos="360" w:val="left"/>
        </w:tabs>
        <w:numPr>
          <w:ilvl w:val="0"/>
          <w:numId w:val="1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transmission revenue from PJM, wholesale electric revenue, and mutual assistance revenue.</w:t>
      </w:r>
    </w:p>
    <w:p>
      <w:pPr>
        <w:spacing w:after="0" w:line="2" w:lineRule="exact"/>
        <w:rPr>
          <w:rFonts w:ascii="Times New Roman" w:cs="Times New Roman" w:eastAsia="Times New Roman" w:hAnsi="Times New Roman"/>
          <w:sz w:val="10"/>
          <w:szCs w:val="10"/>
          <w:color w:val="auto"/>
        </w:rPr>
      </w:pPr>
    </w:p>
    <w:p>
      <w:pPr>
        <w:ind w:left="360" w:hanging="206"/>
        <w:spacing w:after="0"/>
        <w:tabs>
          <w:tab w:leader="none" w:pos="360" w:val="left"/>
        </w:tabs>
        <w:numPr>
          <w:ilvl w:val="0"/>
          <w:numId w:val="1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operating revenues from affiliates totaling $2 million for both the three months ended December 31, 2025 and 2024, and $9 million and $7 million for the twelve months ended December 31, 2025 and 2024, respectively.</w:t>
      </w:r>
    </w:p>
    <w:p>
      <w:pPr>
        <w:spacing w:after="0" w:line="2" w:lineRule="exact"/>
        <w:rPr>
          <w:rFonts w:ascii="Times New Roman" w:cs="Times New Roman" w:eastAsia="Times New Roman" w:hAnsi="Times New Roman"/>
          <w:sz w:val="10"/>
          <w:szCs w:val="10"/>
          <w:color w:val="auto"/>
        </w:rPr>
      </w:pPr>
    </w:p>
    <w:p>
      <w:pPr>
        <w:ind w:left="360" w:hanging="206"/>
        <w:spacing w:after="0" w:line="232" w:lineRule="auto"/>
        <w:tabs>
          <w:tab w:leader="none" w:pos="360" w:val="left"/>
        </w:tabs>
        <w:numPr>
          <w:ilvl w:val="0"/>
          <w:numId w:val="1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alternative revenue programs and late payment charges.</w:t>
      </w:r>
    </w:p>
    <w:p>
      <w:pPr>
        <w:ind w:left="380" w:hanging="226"/>
        <w:spacing w:after="0"/>
        <w:tabs>
          <w:tab w:leader="none" w:pos="378" w:val="left"/>
        </w:tabs>
        <w:numPr>
          <w:ilvl w:val="0"/>
          <w:numId w:val="1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delivery volumes and revenues from customers purchasing natural gas directly from DPL and customers purchasing natural gas from a competitive natural gas supplier as all customers are assessed distribution charges. For customers purchasing natural gas from DPL, revenue also reflects the cost of natural gas.</w:t>
      </w:r>
    </w:p>
    <w:p>
      <w:pPr>
        <w:ind w:left="360" w:hanging="206"/>
        <w:spacing w:after="0"/>
        <w:tabs>
          <w:tab w:leader="none" w:pos="360" w:val="left"/>
        </w:tabs>
        <w:numPr>
          <w:ilvl w:val="0"/>
          <w:numId w:val="1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revenues primarily from off-system sales.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1300"/>
          </w:cols>
          <w:pgMar w:left="300" w:top="129"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ACE Statistics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Three Months Ended December 31, 2025 and 2024</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0"/>
                <w:szCs w:val="10"/>
                <w:b w:val="1"/>
                <w:bCs w:val="1"/>
                <w:color w:val="auto"/>
              </w:rPr>
              <w:t>Electric Deliveries (in GWhs)</w:t>
            </w:r>
          </w:p>
        </w:tc>
        <w:tc>
          <w:tcPr>
            <w:tcW w:w="10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Revenue (in millions)</w:t>
            </w: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7"/>
              </w:rPr>
              <w:t>Weather -</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320" w:type="dxa"/>
            <w:vAlign w:val="bottom"/>
            <w:gridSpan w:val="3"/>
            <w:vMerge w:val="restart"/>
          </w:tcPr>
          <w:p>
            <w:pPr>
              <w:ind w:left="4100"/>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1080" w:type="dxa"/>
            <w:vAlign w:val="bottom"/>
            <w:gridSpan w:val="5"/>
            <w:vMerge w:val="restart"/>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2024</w:t>
            </w: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300" w:type="dxa"/>
            <w:vAlign w:val="bottom"/>
            <w:gridSpan w:val="4"/>
          </w:tcPr>
          <w:p>
            <w:pPr>
              <w:jc w:val="center"/>
              <w:ind w:right="280"/>
              <w:spacing w:after="0" w:line="92" w:lineRule="exact"/>
              <w:rPr>
                <w:sz w:val="20"/>
                <w:szCs w:val="20"/>
                <w:color w:val="auto"/>
              </w:rPr>
            </w:pPr>
            <w:r>
              <w:rPr>
                <w:rFonts w:ascii="Times New Roman" w:cs="Times New Roman" w:eastAsia="Times New Roman" w:hAnsi="Times New Roman"/>
                <w:sz w:val="10"/>
                <w:szCs w:val="10"/>
                <w:b w:val="1"/>
                <w:bCs w:val="1"/>
                <w:color w:val="auto"/>
                <w:w w:val="91"/>
              </w:rPr>
              <w:t>Normal</w:t>
            </w:r>
          </w:p>
        </w:tc>
        <w:tc>
          <w:tcPr>
            <w:tcW w:w="800" w:type="dxa"/>
            <w:vAlign w:val="bottom"/>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34"/>
        </w:trPr>
        <w:tc>
          <w:tcPr>
            <w:tcW w:w="4320" w:type="dxa"/>
            <w:vAlign w:val="bottom"/>
            <w:gridSpan w:val="3"/>
            <w:vMerge w:val="continue"/>
          </w:tcPr>
          <w:p>
            <w:pPr>
              <w:spacing w:after="0"/>
              <w:rPr>
                <w:sz w:val="11"/>
                <w:szCs w:val="11"/>
                <w:color w:val="auto"/>
              </w:rPr>
            </w:pPr>
          </w:p>
        </w:tc>
        <w:tc>
          <w:tcPr>
            <w:tcW w:w="1080" w:type="dxa"/>
            <w:vAlign w:val="bottom"/>
            <w:gridSpan w:val="5"/>
            <w:vMerge w:val="continue"/>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1300" w:type="dxa"/>
            <w:vAlign w:val="bottom"/>
            <w:gridSpan w:val="4"/>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700" w:type="dxa"/>
            <w:vAlign w:val="bottom"/>
            <w:tcBorders>
              <w:top w:val="single" w:sz="8" w:color="CCEEFF"/>
            </w:tcBorders>
            <w:shd w:val="clear" w:color="auto" w:fill="CCEEFF"/>
          </w:tcPr>
          <w:p>
            <w:pPr>
              <w:ind w:left="20"/>
              <w:spacing w:after="0" w:line="124" w:lineRule="exact"/>
              <w:rPr>
                <w:sz w:val="20"/>
                <w:szCs w:val="20"/>
                <w:color w:val="auto"/>
              </w:rPr>
            </w:pPr>
            <w:r>
              <w:rPr>
                <w:rFonts w:ascii="Times New Roman" w:cs="Times New Roman" w:eastAsia="Times New Roman" w:hAnsi="Times New Roman"/>
                <w:sz w:val="10"/>
                <w:szCs w:val="10"/>
                <w:b w:val="1"/>
                <w:bCs w:val="1"/>
                <w:color w:val="auto"/>
              </w:rPr>
              <w:t>Electric Deliveries and Revenues</w:t>
            </w:r>
            <w:r>
              <w:rPr>
                <w:rFonts w:ascii="Times New Roman" w:cs="Times New Roman" w:eastAsia="Times New Roman" w:hAnsi="Times New Roman"/>
                <w:sz w:val="12"/>
                <w:szCs w:val="12"/>
                <w:b w:val="1"/>
                <w:bCs w:val="1"/>
                <w:color w:val="auto"/>
                <w:vertAlign w:val="superscript"/>
              </w:rPr>
              <w:t>(a)</w:t>
            </w:r>
          </w:p>
        </w:tc>
        <w:tc>
          <w:tcPr>
            <w:tcW w:w="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Residential</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875</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790</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10.8 %</w:t>
            </w:r>
          </w:p>
        </w:tc>
        <w:tc>
          <w:tcPr>
            <w:tcW w:w="100" w:type="dxa"/>
            <w:vAlign w:val="bottom"/>
          </w:tcPr>
          <w:p>
            <w:pPr>
              <w:spacing w:after="0"/>
              <w:rPr>
                <w:sz w:val="11"/>
                <w:szCs w:val="11"/>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5.8 %   $</w:t>
            </w: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233</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174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33.9 %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405</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57</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695</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819</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rPr>
              <w:t>(15.1)%</w:t>
            </w:r>
          </w:p>
        </w:tc>
        <w:tc>
          <w:tcPr>
            <w:tcW w:w="10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48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20" w:type="dxa"/>
            <w:vAlign w:val="bottom"/>
            <w:gridSpan w:val="3"/>
          </w:tcPr>
          <w:p>
            <w:pPr>
              <w:ind w:left="240"/>
              <w:spacing w:after="0" w:line="135" w:lineRule="exact"/>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(b)</w:t>
            </w:r>
          </w:p>
        </w:tc>
        <w:tc>
          <w:tcPr>
            <w:tcW w:w="1080" w:type="dxa"/>
            <w:vAlign w:val="bottom"/>
            <w:gridSpan w:val="5"/>
          </w:tcPr>
          <w:p>
            <w:pPr>
              <w:jc w:val="right"/>
              <w:ind w:right="712"/>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0"/>
                <w:szCs w:val="10"/>
                <w:color w:val="auto"/>
              </w:rPr>
              <w:t>n/a</w:t>
            </w:r>
          </w:p>
        </w:tc>
        <w:tc>
          <w:tcPr>
            <w:tcW w:w="1300" w:type="dxa"/>
            <w:vAlign w:val="bottom"/>
            <w:gridSpan w:val="4"/>
          </w:tcPr>
          <w:p>
            <w:pPr>
              <w:ind w:left="920"/>
              <w:spacing w:after="0"/>
              <w:rPr>
                <w:sz w:val="20"/>
                <w:szCs w:val="20"/>
                <w:color w:val="auto"/>
              </w:rPr>
            </w:pPr>
            <w:r>
              <w:rPr>
                <w:rFonts w:ascii="Times New Roman" w:cs="Times New Roman" w:eastAsia="Times New Roman" w:hAnsi="Times New Roman"/>
                <w:sz w:val="10"/>
                <w:szCs w:val="10"/>
                <w:color w:val="auto"/>
              </w:rPr>
              <w:t>n/a</w:t>
            </w:r>
          </w:p>
        </w:tc>
        <w:tc>
          <w:tcPr>
            <w:tcW w:w="8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73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700" w:type="dxa"/>
            <w:vAlign w:val="bottom"/>
            <w:tcBorders>
              <w:top w:val="single" w:sz="8" w:color="CCEEFF"/>
            </w:tcBorders>
            <w:shd w:val="clear" w:color="auto" w:fill="CCEEFF"/>
          </w:tcPr>
          <w:p>
            <w:pPr>
              <w:ind w:left="460"/>
              <w:spacing w:after="0" w:line="124" w:lineRule="exact"/>
              <w:rPr>
                <w:sz w:val="20"/>
                <w:szCs w:val="20"/>
                <w:color w:val="auto"/>
              </w:rPr>
            </w:pPr>
            <w:r>
              <w:rPr>
                <w:rFonts w:ascii="Times New Roman" w:cs="Times New Roman" w:eastAsia="Times New Roman" w:hAnsi="Times New Roman"/>
                <w:sz w:val="10"/>
                <w:szCs w:val="10"/>
                <w:color w:val="auto"/>
              </w:rPr>
              <w:t>Total electric revenues</w:t>
            </w:r>
            <w:r>
              <w:rPr>
                <w:rFonts w:ascii="Times New Roman" w:cs="Times New Roman" w:eastAsia="Times New Roman" w:hAnsi="Times New Roman"/>
                <w:sz w:val="12"/>
                <w:szCs w:val="12"/>
                <w:color w:val="auto"/>
                <w:vertAlign w:val="superscript"/>
              </w:rPr>
              <w:t>(c)</w:t>
            </w: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1,975</w:t>
            </w:r>
          </w:p>
        </w:tc>
        <w:tc>
          <w:tcPr>
            <w:tcW w:w="8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2,029</w:t>
            </w:r>
          </w:p>
        </w:tc>
        <w:tc>
          <w:tcPr>
            <w:tcW w:w="1140" w:type="dxa"/>
            <w:vAlign w:val="bottom"/>
            <w:tcBorders>
              <w:top w:val="single" w:sz="8" w:color="CCEEFF"/>
            </w:tcBorders>
            <w:gridSpan w:val="4"/>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(2.7)%</w:t>
            </w: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(4.9)%</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390</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357</w:t>
            </w:r>
          </w:p>
        </w:tc>
        <w:tc>
          <w:tcPr>
            <w:tcW w:w="1160" w:type="dxa"/>
            <w:vAlign w:val="bottom"/>
            <w:tcBorders>
              <w:top w:val="single" w:sz="8" w:color="CCEEFF"/>
            </w:tcBorders>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9.2 %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tcBorders>
              <w:bottom w:val="single" w:sz="8" w:color="CCEEFF"/>
            </w:tcBorders>
          </w:tcPr>
          <w:p>
            <w:pPr>
              <w:ind w:left="20"/>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(d)</w:t>
            </w:r>
          </w:p>
        </w:tc>
        <w:tc>
          <w:tcPr>
            <w:tcW w:w="4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3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(9)</w:t>
            </w:r>
          </w:p>
        </w:tc>
        <w:tc>
          <w:tcPr>
            <w:tcW w:w="11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4320" w:type="dxa"/>
            <w:vAlign w:val="bottom"/>
            <w:tcBorders>
              <w:bottom w:val="single" w:sz="8" w:color="CCEEFF"/>
            </w:tcBorders>
            <w:gridSpan w:val="3"/>
            <w:shd w:val="clear" w:color="auto" w:fill="CCEEFF"/>
          </w:tcPr>
          <w:p>
            <w:pPr>
              <w:ind w:left="460"/>
              <w:spacing w:after="0" w:line="104" w:lineRule="exact"/>
              <w:rPr>
                <w:sz w:val="20"/>
                <w:szCs w:val="20"/>
                <w:color w:val="auto"/>
              </w:rPr>
            </w:pPr>
            <w:r>
              <w:rPr>
                <w:rFonts w:ascii="Times New Roman" w:cs="Times New Roman" w:eastAsia="Times New Roman" w:hAnsi="Times New Roman"/>
                <w:sz w:val="10"/>
                <w:szCs w:val="10"/>
                <w:color w:val="auto"/>
              </w:rPr>
              <w:t>Total Electric Revenues</w:t>
            </w:r>
          </w:p>
        </w:tc>
        <w:tc>
          <w:tcPr>
            <w:tcW w:w="3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348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320" w:type="dxa"/>
            <w:vAlign w:val="bottom"/>
            <w:gridSpan w:val="3"/>
          </w:tcPr>
          <w:p>
            <w:pPr>
              <w:ind w:left="20"/>
              <w:spacing w:after="0" w:line="106" w:lineRule="exact"/>
              <w:rPr>
                <w:sz w:val="20"/>
                <w:szCs w:val="20"/>
                <w:color w:val="auto"/>
              </w:rPr>
            </w:pPr>
            <w:r>
              <w:rPr>
                <w:rFonts w:ascii="Times New Roman" w:cs="Times New Roman" w:eastAsia="Times New Roman" w:hAnsi="Times New Roman"/>
                <w:sz w:val="10"/>
                <w:szCs w:val="10"/>
                <w:b w:val="1"/>
                <w:bCs w:val="1"/>
                <w:color w:val="auto"/>
              </w:rPr>
              <w:t>Purchased Power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192</w:t>
            </w:r>
          </w:p>
        </w:tc>
        <w:tc>
          <w:tcPr>
            <w:tcW w:w="10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140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37.1 %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43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Heating and Cooling Degree-Days</w:t>
            </w:r>
          </w:p>
        </w:tc>
        <w:tc>
          <w:tcPr>
            <w:tcW w:w="360" w:type="dxa"/>
            <w:vAlign w:val="bottom"/>
          </w:tcPr>
          <w:p>
            <w:pPr>
              <w:jc w:val="right"/>
              <w:ind w:right="92"/>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gridSpan w:val="2"/>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tcPr>
          <w:p>
            <w:pPr>
              <w:ind w:left="340"/>
              <w:spacing w:after="0"/>
              <w:rPr>
                <w:sz w:val="20"/>
                <w:szCs w:val="20"/>
                <w:color w:val="auto"/>
              </w:rPr>
            </w:pPr>
            <w:r>
              <w:rPr>
                <w:rFonts w:ascii="Times New Roman" w:cs="Times New Roman" w:eastAsia="Times New Roman" w:hAnsi="Times New Roman"/>
                <w:sz w:val="10"/>
                <w:szCs w:val="10"/>
                <w:b w:val="1"/>
                <w:bCs w:val="1"/>
                <w:color w:val="auto"/>
              </w:rPr>
              <w:t>Normal</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From 2024</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From Normal</w:t>
            </w:r>
          </w:p>
        </w:tc>
        <w:tc>
          <w:tcPr>
            <w:tcW w:w="0" w:type="dxa"/>
            <w:vAlign w:val="bottom"/>
          </w:tcPr>
          <w:p>
            <w:pPr>
              <w:spacing w:after="0"/>
              <w:rPr>
                <w:sz w:val="1"/>
                <w:szCs w:val="1"/>
                <w:color w:val="auto"/>
              </w:rPr>
            </w:pPr>
          </w:p>
        </w:tc>
      </w:tr>
      <w:tr>
        <w:trPr>
          <w:trHeight w:val="129"/>
        </w:trPr>
        <w:tc>
          <w:tcPr>
            <w:tcW w:w="3740" w:type="dxa"/>
            <w:vAlign w:val="bottom"/>
            <w:tcBorders>
              <w:top w:val="single" w:sz="8" w:color="CCEEFF"/>
            </w:tcBorders>
            <w:gridSpan w:val="2"/>
            <w:shd w:val="clear" w:color="auto" w:fill="CCEEFF"/>
          </w:tcPr>
          <w:p>
            <w:pPr>
              <w:ind w:left="220"/>
              <w:spacing w:after="0" w:line="108" w:lineRule="exact"/>
              <w:rPr>
                <w:sz w:val="20"/>
                <w:szCs w:val="20"/>
                <w:color w:val="auto"/>
              </w:rPr>
            </w:pPr>
            <w:r>
              <w:rPr>
                <w:rFonts w:ascii="Times New Roman" w:cs="Times New Roman" w:eastAsia="Times New Roman" w:hAnsi="Times New Roman"/>
                <w:sz w:val="10"/>
                <w:szCs w:val="10"/>
                <w:color w:val="auto"/>
              </w:rPr>
              <w:t>Heating Degree-Days</w:t>
            </w:r>
          </w:p>
        </w:tc>
        <w:tc>
          <w:tcPr>
            <w:tcW w:w="58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1,716</w:t>
            </w: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1,483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1,534</w:t>
            </w: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15.7 %</w:t>
            </w: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11.9 %</w:t>
            </w:r>
          </w:p>
        </w:tc>
        <w:tc>
          <w:tcPr>
            <w:tcW w:w="0" w:type="dxa"/>
            <w:vAlign w:val="bottom"/>
          </w:tcPr>
          <w:p>
            <w:pPr>
              <w:spacing w:after="0"/>
              <w:rPr>
                <w:sz w:val="1"/>
                <w:szCs w:val="1"/>
                <w:color w:val="auto"/>
              </w:rPr>
            </w:pPr>
          </w:p>
        </w:tc>
      </w:tr>
      <w:tr>
        <w:trPr>
          <w:trHeight w:val="123"/>
        </w:trPr>
        <w:tc>
          <w:tcPr>
            <w:tcW w:w="4320" w:type="dxa"/>
            <w:vAlign w:val="bottom"/>
            <w:gridSpan w:val="3"/>
          </w:tcPr>
          <w:p>
            <w:pPr>
              <w:ind w:left="220"/>
              <w:spacing w:after="0"/>
              <w:rPr>
                <w:sz w:val="20"/>
                <w:szCs w:val="20"/>
                <w:color w:val="auto"/>
              </w:rPr>
            </w:pPr>
            <w:r>
              <w:rPr>
                <w:rFonts w:ascii="Times New Roman" w:cs="Times New Roman" w:eastAsia="Times New Roman" w:hAnsi="Times New Roman"/>
                <w:sz w:val="10"/>
                <w:szCs w:val="10"/>
                <w:color w:val="auto"/>
              </w:rPr>
              <w:t>Cooling Degree-Days</w:t>
            </w: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0"/>
                <w:szCs w:val="10"/>
                <w:color w:val="auto"/>
              </w:rPr>
              <w:t>10</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32</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(68.8)%</w:t>
            </w:r>
          </w:p>
        </w:tc>
        <w:tc>
          <w:tcPr>
            <w:tcW w:w="0" w:type="dxa"/>
            <w:vAlign w:val="bottom"/>
          </w:tcPr>
          <w:p>
            <w:pPr>
              <w:spacing w:after="0"/>
              <w:rPr>
                <w:sz w:val="1"/>
                <w:szCs w:val="1"/>
                <w:color w:val="auto"/>
              </w:rPr>
            </w:pPr>
          </w:p>
        </w:tc>
      </w:tr>
    </w:tbl>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Twelve Months Ended December 31, 2025 and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70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0"/>
                <w:szCs w:val="10"/>
                <w:b w:val="1"/>
                <w:bCs w:val="1"/>
                <w:color w:val="auto"/>
              </w:rPr>
              <w:t>Electric Deliveries (in GWhs)</w:t>
            </w: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w w:val="94"/>
              </w:rPr>
              <w:t>Revenue (in millions)</w:t>
            </w: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37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jc w:val="center"/>
              <w:spacing w:after="0" w:line="88" w:lineRule="exact"/>
              <w:rPr>
                <w:sz w:val="20"/>
                <w:szCs w:val="20"/>
                <w:color w:val="auto"/>
              </w:rPr>
            </w:pPr>
            <w:r>
              <w:rPr>
                <w:rFonts w:ascii="Times New Roman" w:cs="Times New Roman" w:eastAsia="Times New Roman" w:hAnsi="Times New Roman"/>
                <w:sz w:val="10"/>
                <w:szCs w:val="10"/>
                <w:b w:val="1"/>
                <w:bCs w:val="1"/>
                <w:color w:val="auto"/>
                <w:w w:val="92"/>
              </w:rPr>
              <w:t>Weather -</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320" w:type="dxa"/>
            <w:vAlign w:val="bottom"/>
            <w:gridSpan w:val="3"/>
            <w:vMerge w:val="restart"/>
          </w:tcPr>
          <w:p>
            <w:pPr>
              <w:ind w:left="4080"/>
              <w:spacing w:after="0"/>
              <w:rPr>
                <w:sz w:val="20"/>
                <w:szCs w:val="20"/>
                <w:color w:val="auto"/>
              </w:rPr>
            </w:pPr>
            <w:r>
              <w:rPr>
                <w:rFonts w:ascii="Times New Roman" w:cs="Times New Roman" w:eastAsia="Times New Roman" w:hAnsi="Times New Roman"/>
                <w:sz w:val="10"/>
                <w:szCs w:val="10"/>
                <w:b w:val="1"/>
                <w:bCs w:val="1"/>
                <w:color w:val="auto"/>
              </w:rPr>
              <w:t>2025</w:t>
            </w: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gridSpan w:val="3"/>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Pr>
          <w:p>
            <w:pPr>
              <w:spacing w:after="0"/>
              <w:rPr>
                <w:sz w:val="7"/>
                <w:szCs w:val="7"/>
                <w:color w:val="auto"/>
              </w:rPr>
            </w:pPr>
          </w:p>
        </w:tc>
        <w:tc>
          <w:tcPr>
            <w:tcW w:w="1140" w:type="dxa"/>
            <w:vAlign w:val="bottom"/>
            <w:gridSpan w:val="4"/>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320" w:type="dxa"/>
            <w:vAlign w:val="bottom"/>
            <w:gridSpan w:val="4"/>
          </w:tcPr>
          <w:p>
            <w:pPr>
              <w:jc w:val="center"/>
              <w:ind w:right="280"/>
              <w:spacing w:after="0" w:line="92" w:lineRule="exact"/>
              <w:rPr>
                <w:sz w:val="20"/>
                <w:szCs w:val="20"/>
                <w:color w:val="auto"/>
              </w:rPr>
            </w:pPr>
            <w:r>
              <w:rPr>
                <w:rFonts w:ascii="Times New Roman" w:cs="Times New Roman" w:eastAsia="Times New Roman" w:hAnsi="Times New Roman"/>
                <w:sz w:val="10"/>
                <w:szCs w:val="10"/>
                <w:b w:val="1"/>
                <w:bCs w:val="1"/>
                <w:color w:val="auto"/>
                <w:w w:val="97"/>
              </w:rPr>
              <w:t>Normal</w:t>
            </w:r>
          </w:p>
        </w:tc>
        <w:tc>
          <w:tcPr>
            <w:tcW w:w="800" w:type="dxa"/>
            <w:vAlign w:val="bottom"/>
            <w:gridSpan w:val="2"/>
            <w:vMerge w:val="restart"/>
          </w:tcPr>
          <w:p>
            <w:pPr>
              <w:jc w:val="right"/>
              <w:ind w:right="33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2024</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34"/>
        </w:trPr>
        <w:tc>
          <w:tcPr>
            <w:tcW w:w="4320" w:type="dxa"/>
            <w:vAlign w:val="bottom"/>
            <w:gridSpan w:val="3"/>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4"/>
            <w:vMerge w:val="continue"/>
          </w:tcPr>
          <w:p>
            <w:pPr>
              <w:spacing w:after="0"/>
              <w:rPr>
                <w:sz w:val="11"/>
                <w:szCs w:val="11"/>
                <w:color w:val="auto"/>
              </w:rPr>
            </w:pPr>
          </w:p>
        </w:tc>
        <w:tc>
          <w:tcPr>
            <w:tcW w:w="1320" w:type="dxa"/>
            <w:vAlign w:val="bottom"/>
            <w:gridSpan w:val="4"/>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7"/>
              </w:rPr>
              <w:t>% Change</w:t>
            </w:r>
          </w:p>
        </w:tc>
        <w:tc>
          <w:tcPr>
            <w:tcW w:w="8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700" w:type="dxa"/>
            <w:vAlign w:val="bottom"/>
            <w:tcBorders>
              <w:top w:val="single" w:sz="8" w:color="CCEEFF"/>
            </w:tcBorders>
            <w:shd w:val="clear" w:color="auto" w:fill="CCEEFF"/>
          </w:tcPr>
          <w:p>
            <w:pPr>
              <w:ind w:left="20"/>
              <w:spacing w:after="0" w:line="124" w:lineRule="exact"/>
              <w:rPr>
                <w:sz w:val="20"/>
                <w:szCs w:val="20"/>
                <w:color w:val="auto"/>
              </w:rPr>
            </w:pPr>
            <w:r>
              <w:rPr>
                <w:rFonts w:ascii="Times New Roman" w:cs="Times New Roman" w:eastAsia="Times New Roman" w:hAnsi="Times New Roman"/>
                <w:sz w:val="10"/>
                <w:szCs w:val="10"/>
                <w:b w:val="1"/>
                <w:bCs w:val="1"/>
                <w:color w:val="auto"/>
              </w:rPr>
              <w:t>Electric Deliveries and Revenues</w:t>
            </w:r>
            <w:r>
              <w:rPr>
                <w:rFonts w:ascii="Times New Roman" w:cs="Times New Roman" w:eastAsia="Times New Roman" w:hAnsi="Times New Roman"/>
                <w:sz w:val="12"/>
                <w:szCs w:val="12"/>
                <w:b w:val="1"/>
                <w:bCs w:val="1"/>
                <w:color w:val="auto"/>
                <w:vertAlign w:val="superscript"/>
              </w:rPr>
              <w:t>(a)</w:t>
            </w:r>
          </w:p>
        </w:tc>
        <w:tc>
          <w:tcPr>
            <w:tcW w:w="4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Residential</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4,055</w:t>
            </w:r>
          </w:p>
        </w:tc>
        <w:tc>
          <w:tcPr>
            <w:tcW w:w="10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4,022</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color w:val="auto"/>
              </w:rPr>
              <w:t>0.8 %</w:t>
            </w:r>
          </w:p>
        </w:tc>
        <w:tc>
          <w:tcPr>
            <w:tcW w:w="80" w:type="dxa"/>
            <w:vAlign w:val="bottom"/>
          </w:tcPr>
          <w:p>
            <w:pPr>
              <w:spacing w:after="0"/>
              <w:rPr>
                <w:sz w:val="11"/>
                <w:szCs w:val="1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1.9 %   $</w:t>
            </w:r>
          </w:p>
        </w:tc>
        <w:tc>
          <w:tcPr>
            <w:tcW w:w="10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1,015</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0"/>
                <w:szCs w:val="10"/>
                <w:color w:val="auto"/>
              </w:rPr>
              <w:t>900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12.8 %</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1,646</w:t>
            </w: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1,651</w:t>
            </w:r>
          </w:p>
        </w:tc>
        <w:tc>
          <w:tcPr>
            <w:tcW w:w="11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(0.3)%</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0.5 %</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244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2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3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2,932</w:t>
            </w:r>
          </w:p>
        </w:tc>
        <w:tc>
          <w:tcPr>
            <w:tcW w:w="10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3,167</w:t>
            </w: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0"/>
                <w:szCs w:val="10"/>
                <w:color w:val="auto"/>
              </w:rPr>
              <w:t>(7.4)%</w:t>
            </w:r>
          </w:p>
        </w:tc>
        <w:tc>
          <w:tcPr>
            <w:tcW w:w="8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0"/>
                <w:szCs w:val="10"/>
                <w:color w:val="auto"/>
              </w:rPr>
              <w:t>196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w:t>
            </w: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w:t>
            </w:r>
          </w:p>
        </w:tc>
        <w:tc>
          <w:tcPr>
            <w:tcW w:w="11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(6.4)%</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20" w:type="dxa"/>
            <w:vAlign w:val="bottom"/>
            <w:gridSpan w:val="3"/>
          </w:tcPr>
          <w:p>
            <w:pPr>
              <w:ind w:left="240"/>
              <w:spacing w:after="0" w:line="135" w:lineRule="exact"/>
              <w:rPr>
                <w:sz w:val="20"/>
                <w:szCs w:val="20"/>
                <w:color w:val="auto"/>
              </w:rPr>
            </w:pPr>
            <w:r>
              <w:rPr>
                <w:rFonts w:ascii="Times New Roman" w:cs="Times New Roman" w:eastAsia="Times New Roman" w:hAnsi="Times New Roman"/>
                <w:sz w:val="10"/>
                <w:szCs w:val="10"/>
                <w:color w:val="auto"/>
              </w:rPr>
              <w:t>Other</w:t>
            </w:r>
            <w:r>
              <w:rPr>
                <w:rFonts w:ascii="Times New Roman" w:cs="Times New Roman" w:eastAsia="Times New Roman" w:hAnsi="Times New Roman"/>
                <w:sz w:val="12"/>
                <w:szCs w:val="12"/>
                <w:color w:val="auto"/>
                <w:vertAlign w:val="superscript"/>
              </w:rPr>
              <w:t>(b)</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0"/>
                <w:szCs w:val="10"/>
                <w:color w:val="auto"/>
              </w:rPr>
              <w:t>n/a</w:t>
            </w:r>
          </w:p>
        </w:tc>
        <w:tc>
          <w:tcPr>
            <w:tcW w:w="1320" w:type="dxa"/>
            <w:vAlign w:val="bottom"/>
            <w:gridSpan w:val="4"/>
          </w:tcPr>
          <w:p>
            <w:pPr>
              <w:ind w:left="940"/>
              <w:spacing w:after="0"/>
              <w:rPr>
                <w:sz w:val="20"/>
                <w:szCs w:val="20"/>
                <w:color w:val="auto"/>
              </w:rPr>
            </w:pPr>
            <w:r>
              <w:rPr>
                <w:rFonts w:ascii="Times New Roman" w:cs="Times New Roman" w:eastAsia="Times New Roman" w:hAnsi="Times New Roman"/>
                <w:sz w:val="10"/>
                <w:szCs w:val="10"/>
                <w:color w:val="auto"/>
              </w:rPr>
              <w:t>n/a</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250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0"/>
                <w:szCs w:val="10"/>
                <w:color w:val="auto"/>
              </w:rPr>
              <w:t>280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700" w:type="dxa"/>
            <w:vAlign w:val="bottom"/>
            <w:tcBorders>
              <w:top w:val="single" w:sz="8" w:color="CCEEFF"/>
            </w:tcBorders>
            <w:shd w:val="clear" w:color="auto" w:fill="CCEEFF"/>
          </w:tcPr>
          <w:p>
            <w:pPr>
              <w:ind w:left="460"/>
              <w:spacing w:after="0" w:line="124" w:lineRule="exact"/>
              <w:rPr>
                <w:sz w:val="20"/>
                <w:szCs w:val="20"/>
                <w:color w:val="auto"/>
              </w:rPr>
            </w:pPr>
            <w:r>
              <w:rPr>
                <w:rFonts w:ascii="Times New Roman" w:cs="Times New Roman" w:eastAsia="Times New Roman" w:hAnsi="Times New Roman"/>
                <w:sz w:val="10"/>
                <w:szCs w:val="10"/>
                <w:color w:val="auto"/>
              </w:rPr>
              <w:t>Total electric revenues</w:t>
            </w:r>
            <w:r>
              <w:rPr>
                <w:rFonts w:ascii="Times New Roman" w:cs="Times New Roman" w:eastAsia="Times New Roman" w:hAnsi="Times New Roman"/>
                <w:sz w:val="12"/>
                <w:szCs w:val="12"/>
                <w:color w:val="auto"/>
                <w:vertAlign w:val="superscript"/>
              </w:rPr>
              <w:t>(c)</w:t>
            </w: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8,677</w:t>
            </w:r>
          </w:p>
        </w:tc>
        <w:tc>
          <w:tcPr>
            <w:tcW w:w="1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8,887</w:t>
            </w:r>
          </w:p>
        </w:tc>
        <w:tc>
          <w:tcPr>
            <w:tcW w:w="1140" w:type="dxa"/>
            <w:vAlign w:val="bottom"/>
            <w:tcBorders>
              <w:top w:val="single" w:sz="8" w:color="CCEEFF"/>
            </w:tcBorders>
            <w:gridSpan w:val="4"/>
            <w:shd w:val="clear" w:color="auto" w:fill="CCEEFF"/>
          </w:tcPr>
          <w:p>
            <w:pPr>
              <w:jc w:val="right"/>
              <w:ind w:right="20"/>
              <w:spacing w:after="0" w:line="107" w:lineRule="exact"/>
              <w:rPr>
                <w:sz w:val="20"/>
                <w:szCs w:val="20"/>
                <w:color w:val="auto"/>
              </w:rPr>
            </w:pPr>
            <w:r>
              <w:rPr>
                <w:rFonts w:ascii="Times New Roman" w:cs="Times New Roman" w:eastAsia="Times New Roman" w:hAnsi="Times New Roman"/>
                <w:sz w:val="10"/>
                <w:szCs w:val="10"/>
                <w:color w:val="auto"/>
              </w:rPr>
              <w:t>(2.4)%</w:t>
            </w:r>
          </w:p>
        </w:tc>
        <w:tc>
          <w:tcPr>
            <w:tcW w:w="8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(1.4)%</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rPr>
                <w:sz w:val="10"/>
                <w:szCs w:val="10"/>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1,716</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1,640</w:t>
            </w:r>
          </w:p>
        </w:tc>
        <w:tc>
          <w:tcPr>
            <w:tcW w:w="1160" w:type="dxa"/>
            <w:vAlign w:val="bottom"/>
            <w:tcBorders>
              <w:top w:val="single" w:sz="8" w:color="CCEEFF"/>
            </w:tcBorders>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4.6 %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700" w:type="dxa"/>
            <w:vAlign w:val="bottom"/>
            <w:tcBorders>
              <w:bottom w:val="single" w:sz="8" w:color="CCEEFF"/>
            </w:tcBorders>
          </w:tcPr>
          <w:p>
            <w:pPr>
              <w:ind w:left="20"/>
              <w:spacing w:after="0" w:line="124" w:lineRule="exact"/>
              <w:rPr>
                <w:sz w:val="20"/>
                <w:szCs w:val="20"/>
                <w:color w:val="auto"/>
              </w:rPr>
            </w:pPr>
            <w:r>
              <w:rPr>
                <w:rFonts w:ascii="Times New Roman" w:cs="Times New Roman" w:eastAsia="Times New Roman" w:hAnsi="Times New Roman"/>
                <w:sz w:val="10"/>
                <w:szCs w:val="10"/>
                <w:b w:val="1"/>
                <w:bCs w:val="1"/>
                <w:color w:val="auto"/>
              </w:rPr>
              <w:t>Other Revenues</w:t>
            </w:r>
            <w:r>
              <w:rPr>
                <w:rFonts w:ascii="Times New Roman" w:cs="Times New Roman" w:eastAsia="Times New Roman" w:hAnsi="Times New Roman"/>
                <w:sz w:val="12"/>
                <w:szCs w:val="12"/>
                <w:b w:val="1"/>
                <w:bCs w:val="1"/>
                <w:color w:val="auto"/>
                <w:vertAlign w:val="superscript"/>
              </w:rPr>
              <w:t>(d)</w:t>
            </w:r>
          </w:p>
        </w:tc>
        <w:tc>
          <w:tcPr>
            <w:tcW w:w="4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3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06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2</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0"/>
                <w:szCs w:val="10"/>
                <w:color w:val="auto"/>
              </w:rPr>
              <w:t>(12)</w:t>
            </w:r>
          </w:p>
        </w:tc>
        <w:tc>
          <w:tcPr>
            <w:tcW w:w="1160" w:type="dxa"/>
            <w:vAlign w:val="bottom"/>
            <w:tcBorders>
              <w:bottom w:val="single" w:sz="8" w:color="CCEEFF"/>
            </w:tcBorders>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(116.7)%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320" w:type="dxa"/>
            <w:vAlign w:val="bottom"/>
            <w:tcBorders>
              <w:bottom w:val="single" w:sz="8" w:color="CCEEFF"/>
            </w:tcBorders>
            <w:gridSpan w:val="3"/>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Total Electric Revenues</w:t>
            </w:r>
          </w:p>
        </w:tc>
        <w:tc>
          <w:tcPr>
            <w:tcW w:w="3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1,718</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bottom w:val="single" w:sz="8" w:color="auto"/>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1,628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432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Purchased Power</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00" w:type="dxa"/>
            <w:vAlign w:val="bottom"/>
            <w:tcBorders>
              <w:top w:val="single" w:sz="8" w:color="auto"/>
              <w:bottom w:val="single" w:sz="8" w:color="auto"/>
            </w:tcBorders>
          </w:tcPr>
          <w:p>
            <w:pPr>
              <w:spacing w:after="0"/>
              <w:rPr>
                <w:sz w:val="10"/>
                <w:szCs w:val="1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808</w:t>
            </w:r>
          </w:p>
        </w:tc>
        <w:tc>
          <w:tcPr>
            <w:tcW w:w="10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0"/>
                <w:szCs w:val="10"/>
                <w:color w:val="auto"/>
              </w:rPr>
              <w:t>698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15.8 %</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43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Heating and Cooling Degree-Days</w:t>
            </w:r>
          </w:p>
        </w:tc>
        <w:tc>
          <w:tcPr>
            <w:tcW w:w="340" w:type="dxa"/>
            <w:vAlign w:val="bottom"/>
          </w:tcPr>
          <w:p>
            <w:pPr>
              <w:jc w:val="right"/>
              <w:ind w:right="72"/>
              <w:spacing w:after="0"/>
              <w:rPr>
                <w:sz w:val="20"/>
                <w:szCs w:val="20"/>
                <w:color w:val="auto"/>
              </w:rPr>
            </w:pPr>
            <w:r>
              <w:rPr>
                <w:rFonts w:ascii="Times New Roman" w:cs="Times New Roman" w:eastAsia="Times New Roman" w:hAnsi="Times New Roman"/>
                <w:sz w:val="10"/>
                <w:szCs w:val="10"/>
                <w:b w:val="1"/>
                <w:bCs w:val="1"/>
                <w:color w:val="auto"/>
                <w:w w:val="99"/>
              </w:rPr>
              <w:t>2025</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7"/>
              </w:rPr>
              <w:t>Normal</w:t>
            </w:r>
          </w:p>
        </w:tc>
        <w:tc>
          <w:tcPr>
            <w:tcW w:w="80" w:type="dxa"/>
            <w:vAlign w:val="bottom"/>
          </w:tcPr>
          <w:p>
            <w:pPr>
              <w:spacing w:after="0"/>
              <w:rPr>
                <w:sz w:val="11"/>
                <w:szCs w:val="1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From 2024</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From Normal</w:t>
            </w:r>
          </w:p>
        </w:tc>
        <w:tc>
          <w:tcPr>
            <w:tcW w:w="0" w:type="dxa"/>
            <w:vAlign w:val="bottom"/>
          </w:tcPr>
          <w:p>
            <w:pPr>
              <w:spacing w:after="0"/>
              <w:rPr>
                <w:sz w:val="1"/>
                <w:szCs w:val="1"/>
                <w:color w:val="auto"/>
              </w:rPr>
            </w:pPr>
          </w:p>
        </w:tc>
      </w:tr>
      <w:tr>
        <w:trPr>
          <w:trHeight w:val="129"/>
        </w:trPr>
        <w:tc>
          <w:tcPr>
            <w:tcW w:w="3740" w:type="dxa"/>
            <w:vAlign w:val="bottom"/>
            <w:tcBorders>
              <w:top w:val="single" w:sz="8" w:color="CCEEFF"/>
            </w:tcBorders>
            <w:gridSpan w:val="2"/>
            <w:shd w:val="clear" w:color="auto" w:fill="CCEEFF"/>
          </w:tcPr>
          <w:p>
            <w:pPr>
              <w:ind w:left="220"/>
              <w:spacing w:after="0" w:line="112" w:lineRule="exact"/>
              <w:rPr>
                <w:sz w:val="20"/>
                <w:szCs w:val="20"/>
                <w:color w:val="auto"/>
              </w:rPr>
            </w:pPr>
            <w:r>
              <w:rPr>
                <w:rFonts w:ascii="Times New Roman" w:cs="Times New Roman" w:eastAsia="Times New Roman" w:hAnsi="Times New Roman"/>
                <w:sz w:val="10"/>
                <w:szCs w:val="10"/>
                <w:color w:val="auto"/>
              </w:rPr>
              <w:t>Heating Degree-Days</w:t>
            </w:r>
          </w:p>
        </w:tc>
        <w:tc>
          <w:tcPr>
            <w:tcW w:w="5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4,567</w:t>
            </w: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4,168</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4,489</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9.6 %</w:t>
            </w: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180" w:type="dxa"/>
            <w:vAlign w:val="bottom"/>
            <w:tcBorders>
              <w:top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1.7 %</w:t>
            </w:r>
          </w:p>
        </w:tc>
        <w:tc>
          <w:tcPr>
            <w:tcW w:w="0" w:type="dxa"/>
            <w:vAlign w:val="bottom"/>
          </w:tcPr>
          <w:p>
            <w:pPr>
              <w:spacing w:after="0"/>
              <w:rPr>
                <w:sz w:val="1"/>
                <w:szCs w:val="1"/>
                <w:color w:val="auto"/>
              </w:rPr>
            </w:pPr>
          </w:p>
        </w:tc>
      </w:tr>
      <w:tr>
        <w:trPr>
          <w:trHeight w:val="123"/>
        </w:trPr>
        <w:tc>
          <w:tcPr>
            <w:tcW w:w="4320" w:type="dxa"/>
            <w:vAlign w:val="bottom"/>
            <w:gridSpan w:val="3"/>
          </w:tcPr>
          <w:p>
            <w:pPr>
              <w:ind w:left="220"/>
              <w:spacing w:after="0"/>
              <w:rPr>
                <w:sz w:val="20"/>
                <w:szCs w:val="20"/>
                <w:color w:val="auto"/>
              </w:rPr>
            </w:pPr>
            <w:r>
              <w:rPr>
                <w:rFonts w:ascii="Times New Roman" w:cs="Times New Roman" w:eastAsia="Times New Roman" w:hAnsi="Times New Roman"/>
                <w:sz w:val="10"/>
                <w:szCs w:val="10"/>
                <w:color w:val="auto"/>
              </w:rPr>
              <w:t>Cooling Degree-Days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1,102</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1,262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0"/>
                <w:szCs w:val="10"/>
                <w:color w:val="auto"/>
              </w:rPr>
              <w:t>1,229</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(12.7)%</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color w:val="auto"/>
              </w:rPr>
              <w:t>(10.3)%</w:t>
            </w:r>
          </w:p>
        </w:tc>
        <w:tc>
          <w:tcPr>
            <w:tcW w:w="0" w:type="dxa"/>
            <w:vAlign w:val="bottom"/>
          </w:tcPr>
          <w:p>
            <w:pPr>
              <w:spacing w:after="0"/>
              <w:rPr>
                <w:sz w:val="1"/>
                <w:szCs w:val="1"/>
                <w:color w:val="auto"/>
              </w:rPr>
            </w:pPr>
          </w:p>
        </w:tc>
      </w:tr>
      <w:tr>
        <w:trPr>
          <w:trHeight w:val="381"/>
        </w:trPr>
        <w:tc>
          <w:tcPr>
            <w:tcW w:w="432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Number of Electric Customers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2025</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552"/>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320" w:type="dxa"/>
            <w:vAlign w:val="bottom"/>
            <w:tcBorders>
              <w:top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Residential</w:t>
            </w:r>
          </w:p>
        </w:tc>
        <w:tc>
          <w:tcPr>
            <w:tcW w:w="3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510,005</w:t>
            </w:r>
          </w:p>
        </w:tc>
        <w:tc>
          <w:tcPr>
            <w:tcW w:w="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507,483</w:t>
            </w:r>
          </w:p>
        </w:tc>
        <w:tc>
          <w:tcPr>
            <w:tcW w:w="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320" w:type="dxa"/>
            <w:vAlign w:val="bottom"/>
            <w:gridSpan w:val="3"/>
          </w:tcPr>
          <w:p>
            <w:pPr>
              <w:ind w:left="220"/>
              <w:spacing w:after="0"/>
              <w:rPr>
                <w:sz w:val="20"/>
                <w:szCs w:val="20"/>
                <w:color w:val="auto"/>
              </w:rPr>
            </w:pPr>
            <w:r>
              <w:rPr>
                <w:rFonts w:ascii="Times New Roman" w:cs="Times New Roman" w:eastAsia="Times New Roman" w:hAnsi="Times New Roman"/>
                <w:sz w:val="10"/>
                <w:szCs w:val="10"/>
                <w:color w:val="auto"/>
              </w:rPr>
              <w:t>Small commercial &amp; industrial</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63,154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62,739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432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0"/>
                <w:szCs w:val="10"/>
                <w:color w:val="auto"/>
              </w:rPr>
              <w:t>Large commercial &amp; industrial</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2,682</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2,843</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32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0"/>
                <w:szCs w:val="10"/>
                <w:color w:val="auto"/>
              </w:rPr>
              <w:t>Public authorities &amp; electric railroads</w:t>
            </w:r>
          </w:p>
        </w:tc>
        <w:tc>
          <w:tcPr>
            <w:tcW w:w="3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rPr>
              <w:t>754</w:t>
            </w: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color w:val="auto"/>
              </w:rPr>
              <w:t>714</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32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0"/>
                <w:szCs w:val="10"/>
                <w:color w:val="auto"/>
              </w:rPr>
              <w:t>Total</w:t>
            </w:r>
          </w:p>
        </w:tc>
        <w:tc>
          <w:tcPr>
            <w:tcW w:w="3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576,595</w:t>
            </w:r>
          </w:p>
        </w:tc>
        <w:tc>
          <w:tcPr>
            <w:tcW w:w="4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573,779</w:t>
            </w:r>
          </w:p>
        </w:tc>
        <w:tc>
          <w:tcPr>
            <w:tcW w:w="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w:t>
      </w:r>
    </w:p>
    <w:p>
      <w:pPr>
        <w:spacing w:after="0" w:line="3" w:lineRule="exact"/>
        <w:rPr>
          <w:sz w:val="20"/>
          <w:szCs w:val="20"/>
          <w:color w:val="auto"/>
        </w:rPr>
      </w:pPr>
    </w:p>
    <w:p>
      <w:pPr>
        <w:ind w:left="380" w:hanging="226"/>
        <w:spacing w:after="0"/>
        <w:tabs>
          <w:tab w:leader="none" w:pos="378" w:val="left"/>
        </w:tabs>
        <w:numPr>
          <w:ilvl w:val="0"/>
          <w:numId w:val="1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delivery volumes and revenues from customers purchasing electricity directly from ACE and customers purchasing electricity from a competitive electric generation supplier as all customers are assessed distribution charges. For customers purchasing electricity from ACE, revenues also reflect the cost of energy and transmission.</w:t>
      </w:r>
    </w:p>
    <w:p>
      <w:pPr>
        <w:ind w:left="360" w:hanging="206"/>
        <w:spacing w:after="0"/>
        <w:tabs>
          <w:tab w:leader="none" w:pos="360" w:val="left"/>
        </w:tabs>
        <w:numPr>
          <w:ilvl w:val="0"/>
          <w:numId w:val="1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transmission revenue from PJM, wholesale electric revenue, and mutual assistance revenue.</w:t>
      </w:r>
    </w:p>
    <w:p>
      <w:pPr>
        <w:spacing w:after="0" w:line="2" w:lineRule="exact"/>
        <w:rPr>
          <w:rFonts w:ascii="Times New Roman" w:cs="Times New Roman" w:eastAsia="Times New Roman" w:hAnsi="Times New Roman"/>
          <w:sz w:val="10"/>
          <w:szCs w:val="10"/>
          <w:color w:val="auto"/>
        </w:rPr>
      </w:pPr>
    </w:p>
    <w:p>
      <w:pPr>
        <w:ind w:left="360" w:hanging="206"/>
        <w:spacing w:after="0"/>
        <w:tabs>
          <w:tab w:leader="none" w:pos="360" w:val="left"/>
        </w:tabs>
        <w:numPr>
          <w:ilvl w:val="0"/>
          <w:numId w:val="1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operating revenues from affiliates totaling $1 million and less than $1 million for both the three months ended December 31, 2025 and 2024, respectively, and $4 million and $2 million for the twelve months ended December 31, 2025 and 2024, respectively.</w:t>
      </w:r>
    </w:p>
    <w:p>
      <w:pPr>
        <w:spacing w:after="0" w:line="2" w:lineRule="exact"/>
        <w:rPr>
          <w:rFonts w:ascii="Times New Roman" w:cs="Times New Roman" w:eastAsia="Times New Roman" w:hAnsi="Times New Roman"/>
          <w:sz w:val="10"/>
          <w:szCs w:val="10"/>
          <w:color w:val="auto"/>
        </w:rPr>
      </w:pPr>
    </w:p>
    <w:p>
      <w:pPr>
        <w:ind w:left="360" w:hanging="206"/>
        <w:spacing w:after="0"/>
        <w:tabs>
          <w:tab w:leader="none" w:pos="360" w:val="left"/>
        </w:tabs>
        <w:numPr>
          <w:ilvl w:val="0"/>
          <w:numId w:val="1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alternative revenue programs.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1300"/>
          </w:cols>
          <w:pgMar w:left="300" w:top="129" w:right="299" w:bottom="1440"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Letter"/>
      <w:start w:val="4"/>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lvl w:ilvl="1">
      <w:lvlJc w:val="left"/>
      <w:lvlText w:val="◦"/>
      <w:numFmt w:val="bullet"/>
      <w:start w:val="1"/>
    </w:lvl>
  </w:abstractNum>
  <w:abstractNum w:abstractNumId="6">
    <w:nsid w:val="140E0F76"/>
    <w:multiLevelType w:val="hybridMultilevel"/>
    <w:lvl w:ilvl="0">
      <w:lvlJc w:val="left"/>
      <w:lvlText w:val="&amp;"/>
      <w:numFmt w:val="bullet"/>
      <w:start w:val="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2026-02-12T06:11:14Z</dcterms:created>
  <dcterms:modified xsi:type="dcterms:W3CDTF">2026-02-12T06:11:14Z</dcterms:modified>
</cp:coreProperties>
</file>