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540" w:type="dxa"/>
            <w:vAlign w:val="bottom"/>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380" w:type="dxa"/>
            <w:vAlign w:val="bottom"/>
            <w:tcBorders>
              <w:top w:val="single" w:sz="8" w:color="auto"/>
              <w:bottom w:val="single" w:sz="8" w:color="auto"/>
            </w:tcBorders>
            <w:gridSpan w:val="2"/>
          </w:tcPr>
          <w:p>
            <w:pPr>
              <w:ind w:left="2420"/>
              <w:spacing w:after="0"/>
              <w:rPr>
                <w:sz w:val="20"/>
                <w:szCs w:val="20"/>
                <w:color w:val="auto"/>
              </w:rPr>
            </w:pPr>
            <w:r>
              <w:rPr>
                <w:rFonts w:ascii="Arial" w:cs="Arial" w:eastAsia="Arial" w:hAnsi="Arial"/>
                <w:sz w:val="22"/>
                <w:szCs w:val="22"/>
                <w:b w:val="1"/>
                <w:bCs w:val="1"/>
                <w:color w:val="auto"/>
              </w:rPr>
              <w:t>FORM 8-K</w:t>
            </w:r>
          </w:p>
        </w:tc>
        <w:tc>
          <w:tcPr>
            <w:tcW w:w="780" w:type="dxa"/>
            <w:vAlign w:val="bottom"/>
            <w:tcBorders>
              <w:top w:val="single" w:sz="8" w:color="auto"/>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CURRENT REPORT</w:t>
            </w:r>
          </w:p>
        </w:tc>
        <w:tc>
          <w:tcPr>
            <w:tcW w:w="7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Pursuant to Section 13 or 15(d) of the Securities Exchange Act of 1934</w:t>
            </w: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8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7"/>
              </w:rPr>
              <w:t>June 2, 2021</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Date of Report (Date of earliest event reported)</w:t>
            </w:r>
          </w:p>
        </w:tc>
        <w:tc>
          <w:tcPr>
            <w:tcW w:w="78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540" w:type="dxa"/>
            <w:vAlign w:val="bottom"/>
          </w:tcPr>
          <w:p>
            <w:pPr>
              <w:ind w:left="20"/>
              <w:spacing w:after="0"/>
              <w:rPr>
                <w:sz w:val="20"/>
                <w:szCs w:val="20"/>
                <w:color w:val="auto"/>
              </w:rPr>
            </w:pPr>
            <w:r>
              <w:rPr>
                <w:rFonts w:ascii="Arial" w:cs="Arial" w:eastAsia="Arial" w:hAnsi="Arial"/>
                <w:sz w:val="13"/>
                <w:szCs w:val="13"/>
                <w:b w:val="1"/>
                <w:bCs w:val="1"/>
                <w:color w:val="auto"/>
              </w:rPr>
              <w:t>Commission</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80" w:type="dxa"/>
            <w:vAlign w:val="bottom"/>
            <w:gridSpan w:val="2"/>
          </w:tcPr>
          <w:p>
            <w:pPr>
              <w:ind w:left="20"/>
              <w:spacing w:after="0"/>
              <w:rPr>
                <w:sz w:val="20"/>
                <w:szCs w:val="20"/>
                <w:color w:val="auto"/>
              </w:rPr>
            </w:pPr>
            <w:r>
              <w:rPr>
                <w:rFonts w:ascii="Arial" w:cs="Arial" w:eastAsia="Arial" w:hAnsi="Arial"/>
                <w:sz w:val="13"/>
                <w:szCs w:val="13"/>
                <w:b w:val="1"/>
                <w:bCs w:val="1"/>
                <w:color w:val="auto"/>
              </w:rPr>
              <w:t>Name of Registrant; State or Other Jurisdiction of Incorporation; Address of Principal Executive</w:t>
            </w:r>
          </w:p>
        </w:tc>
        <w:tc>
          <w:tcPr>
            <w:tcW w:w="23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6"/>
              </w:rPr>
              <w:t>IRS Employer Identification Number</w:t>
            </w:r>
          </w:p>
        </w:tc>
        <w:tc>
          <w:tcPr>
            <w:tcW w:w="0" w:type="dxa"/>
            <w:vAlign w:val="bottom"/>
          </w:tcPr>
          <w:p>
            <w:pPr>
              <w:spacing w:after="0"/>
              <w:rPr>
                <w:sz w:val="1"/>
                <w:szCs w:val="1"/>
                <w:color w:val="auto"/>
              </w:rPr>
            </w:pPr>
          </w:p>
        </w:tc>
      </w:tr>
      <w:tr>
        <w:trPr>
          <w:trHeight w:val="172"/>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File Number</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Offices; and Telephone Number</w:t>
            </w:r>
          </w:p>
        </w:tc>
        <w:tc>
          <w:tcPr>
            <w:tcW w:w="100" w:type="dxa"/>
            <w:vAlign w:val="bottom"/>
          </w:tcPr>
          <w:p>
            <w:pPr>
              <w:spacing w:after="0"/>
              <w:rPr>
                <w:sz w:val="14"/>
                <w:szCs w:val="14"/>
                <w:color w:val="auto"/>
              </w:rPr>
            </w:pPr>
          </w:p>
        </w:tc>
        <w:tc>
          <w:tcPr>
            <w:tcW w:w="2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540" w:type="dxa"/>
            <w:vAlign w:val="bottom"/>
          </w:tcPr>
          <w:p>
            <w:pPr>
              <w:ind w:left="20"/>
              <w:spacing w:after="0"/>
              <w:rPr>
                <w:sz w:val="20"/>
                <w:szCs w:val="20"/>
                <w:color w:val="auto"/>
              </w:rPr>
            </w:pPr>
            <w:r>
              <w:rPr>
                <w:rFonts w:ascii="Arial" w:cs="Arial" w:eastAsia="Arial" w:hAnsi="Arial"/>
                <w:sz w:val="16"/>
                <w:szCs w:val="16"/>
                <w:color w:val="auto"/>
              </w:rPr>
              <w:t>001-16169</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EXELON CORPORATION</w:t>
            </w:r>
          </w:p>
        </w:tc>
        <w:tc>
          <w:tcPr>
            <w:tcW w:w="2320" w:type="dxa"/>
            <w:vAlign w:val="bottom"/>
            <w:gridSpan w:val="2"/>
          </w:tcPr>
          <w:p>
            <w:pPr>
              <w:jc w:val="right"/>
              <w:ind w:right="20"/>
              <w:spacing w:after="0"/>
              <w:rPr>
                <w:sz w:val="20"/>
                <w:szCs w:val="20"/>
                <w:color w:val="auto"/>
              </w:rPr>
            </w:pPr>
            <w:r>
              <w:rPr>
                <w:rFonts w:ascii="Arial" w:cs="Arial" w:eastAsia="Arial" w:hAnsi="Arial"/>
                <w:sz w:val="16"/>
                <w:szCs w:val="16"/>
                <w:color w:val="auto"/>
              </w:rPr>
              <w:t>23-2990190</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(a Pennsylvania corporation)</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10 South Dearborn Street</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P.O. Box 805379</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Chicago, Illinois 60680-5379</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7280" w:type="dxa"/>
            <w:vAlign w:val="bottom"/>
            <w:gridSpan w:val="3"/>
          </w:tcPr>
          <w:p>
            <w:pPr>
              <w:ind w:left="1020"/>
              <w:spacing w:after="0"/>
              <w:rPr>
                <w:sz w:val="20"/>
                <w:szCs w:val="20"/>
                <w:color w:val="auto"/>
              </w:rPr>
            </w:pPr>
            <w:r>
              <w:rPr>
                <w:rFonts w:ascii="Arial" w:cs="Arial" w:eastAsia="Arial" w:hAnsi="Arial"/>
                <w:sz w:val="16"/>
                <w:szCs w:val="16"/>
                <w:color w:val="auto"/>
              </w:rPr>
              <w:t>(800) 483-3220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540" w:type="dxa"/>
            <w:vAlign w:val="bottom"/>
          </w:tcPr>
          <w:p>
            <w:pPr>
              <w:ind w:left="20"/>
              <w:spacing w:after="0"/>
              <w:rPr>
                <w:sz w:val="20"/>
                <w:szCs w:val="20"/>
                <w:color w:val="auto"/>
              </w:rPr>
            </w:pPr>
            <w:r>
              <w:rPr>
                <w:rFonts w:ascii="Arial" w:cs="Arial" w:eastAsia="Arial" w:hAnsi="Arial"/>
                <w:sz w:val="16"/>
                <w:szCs w:val="16"/>
                <w:color w:val="auto"/>
              </w:rPr>
              <w:t>333-85496</w:t>
            </w: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EXELON GENERATION COMPANY, LLC</w:t>
            </w:r>
          </w:p>
        </w:tc>
        <w:tc>
          <w:tcPr>
            <w:tcW w:w="2320" w:type="dxa"/>
            <w:vAlign w:val="bottom"/>
            <w:gridSpan w:val="2"/>
          </w:tcPr>
          <w:p>
            <w:pPr>
              <w:jc w:val="right"/>
              <w:ind w:right="20"/>
              <w:spacing w:after="0"/>
              <w:rPr>
                <w:sz w:val="20"/>
                <w:szCs w:val="20"/>
                <w:color w:val="auto"/>
              </w:rPr>
            </w:pPr>
            <w:r>
              <w:rPr>
                <w:rFonts w:ascii="Arial" w:cs="Arial" w:eastAsia="Arial" w:hAnsi="Arial"/>
                <w:sz w:val="16"/>
                <w:szCs w:val="16"/>
                <w:color w:val="auto"/>
              </w:rPr>
              <w:t>23-3064219</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80" w:type="dxa"/>
            <w:vAlign w:val="bottom"/>
            <w:gridSpan w:val="2"/>
          </w:tcPr>
          <w:p>
            <w:pPr>
              <w:ind w:left="20"/>
              <w:spacing w:after="0"/>
              <w:rPr>
                <w:sz w:val="20"/>
                <w:szCs w:val="20"/>
                <w:color w:val="auto"/>
              </w:rPr>
            </w:pPr>
            <w:r>
              <w:rPr>
                <w:rFonts w:ascii="Arial" w:cs="Arial" w:eastAsia="Arial" w:hAnsi="Arial"/>
                <w:sz w:val="16"/>
                <w:szCs w:val="16"/>
                <w:color w:val="auto"/>
              </w:rPr>
              <w:t>(a Pennsylvania limited liability company)</w:t>
            </w:r>
          </w:p>
        </w:tc>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300 Exelon Way</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Kennett Square, Pennsylvania 19348-2473</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7280" w:type="dxa"/>
            <w:vAlign w:val="bottom"/>
            <w:gridSpan w:val="3"/>
          </w:tcPr>
          <w:p>
            <w:pPr>
              <w:ind w:left="1020"/>
              <w:spacing w:after="0"/>
              <w:rPr>
                <w:sz w:val="20"/>
                <w:szCs w:val="20"/>
                <w:color w:val="auto"/>
              </w:rPr>
            </w:pPr>
            <w:r>
              <w:rPr>
                <w:rFonts w:ascii="Arial" w:cs="Arial" w:eastAsia="Arial" w:hAnsi="Arial"/>
                <w:sz w:val="16"/>
                <w:szCs w:val="16"/>
                <w:color w:val="auto"/>
              </w:rPr>
              <w:t>(610) 765-5959</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20" w:right="280"/>
        <w:spacing w:after="0" w:line="2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4"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020" w:type="dxa"/>
            <w:vAlign w:val="bottom"/>
            <w:gridSpan w:val="2"/>
          </w:tcPr>
          <w:p>
            <w:pPr>
              <w:ind w:left="20"/>
              <w:spacing w:after="0"/>
              <w:rPr>
                <w:sz w:val="20"/>
                <w:szCs w:val="20"/>
                <w:color w:val="auto"/>
              </w:rPr>
            </w:pPr>
            <w:r>
              <w:rPr>
                <w:rFonts w:ascii="Arial" w:cs="Arial" w:eastAsia="Arial" w:hAnsi="Arial"/>
                <w:sz w:val="13"/>
                <w:szCs w:val="13"/>
                <w:b w:val="1"/>
                <w:bCs w:val="1"/>
                <w:color w:val="auto"/>
              </w:rPr>
              <w:t>Title of each class</w:t>
            </w: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Trading Symbol(s)</w:t>
            </w:r>
          </w:p>
        </w:tc>
        <w:tc>
          <w:tcPr>
            <w:tcW w:w="492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15"/>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EXELON CORPORATION:</w:t>
            </w: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r>
      <w:tr>
        <w:trPr>
          <w:trHeight w:val="211"/>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Common Stock, without par value</w:t>
            </w: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color w:val="auto"/>
              </w:rPr>
              <w:t>EXC</w:t>
            </w:r>
          </w:p>
        </w:tc>
        <w:tc>
          <w:tcPr>
            <w:tcW w:w="492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43" w:lineRule="exact"/>
        <w:rPr>
          <w:sz w:val="24"/>
          <w:szCs w:val="24"/>
          <w:color w:val="auto"/>
        </w:rPr>
      </w:pPr>
    </w:p>
    <w:p>
      <w:pPr>
        <w:ind w:left="20" w:right="40"/>
        <w:spacing w:after="0" w:line="188" w:lineRule="exact"/>
        <w:rPr>
          <w:sz w:val="20"/>
          <w:szCs w:val="20"/>
          <w:color w:val="auto"/>
        </w:rPr>
      </w:pPr>
      <w:r>
        <w:rPr>
          <w:rFonts w:ascii="Arial" w:cs="Arial" w:eastAsia="Arial" w:hAnsi="Arial"/>
          <w:sz w:val="16"/>
          <w:szCs w:val="16"/>
          <w:color w:val="auto"/>
        </w:rPr>
        <w:t xml:space="preserve">Indicate by check mark whether any of the registrants are emerging growth companies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12" w:lineRule="exact"/>
        <w:rPr>
          <w:sz w:val="24"/>
          <w:szCs w:val="24"/>
          <w:color w:val="auto"/>
        </w:rPr>
      </w:pPr>
    </w:p>
    <w:p>
      <w:pPr>
        <w:ind w:left="20" w:right="300"/>
        <w:spacing w:after="0" w:line="188" w:lineRule="exact"/>
        <w:rPr>
          <w:sz w:val="20"/>
          <w:szCs w:val="20"/>
          <w:color w:val="auto"/>
        </w:rPr>
      </w:pPr>
      <w:r>
        <w:rPr>
          <w:rFonts w:ascii="Arial" w:cs="Arial" w:eastAsia="Arial" w:hAnsi="Arial"/>
          <w:sz w:val="16"/>
          <w:szCs w:val="16"/>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Section 8 - Other Events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2, 2021, Exelon Corporation (Exelon) learned the results of the first PJM capacity auction held since 2018 for the 2022-2023 planning year. Exelon Generation Company, LLC’s (Generation’s) Byron, Dresden and Quad Cities nuclear plants did not clear in the auction.</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Byron Generating Station, located just outside Byron, Illinois, and Dresden Generating Station, located in Morris, Illinois, are currently scheduled to retire prematurely this fall. The Braidwood and LaSalle nuclear plants cleared in the auction for the upcoming year but, like Byron and Dresden, they face premature retirement due to unfavorable market rules that favor emitting generation. Committing Braidwood and LaSalle to operate through May 2023 will provide time for the significant logistical and technical planning necessary to ensure a safe and orderly retirement in the event policy changes are not enacted.</w:t>
      </w:r>
    </w:p>
    <w:p>
      <w:pPr>
        <w:spacing w:after="0" w:line="200" w:lineRule="exact"/>
        <w:rPr>
          <w:sz w:val="20"/>
          <w:szCs w:val="20"/>
          <w:color w:val="auto"/>
        </w:rPr>
      </w:pP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Despite also not clearing in the auction, Generation’s Quad Cities plant will continue to operate with support provided under the Illinois Future Energy Jobs Act, a clean energy law that took effect in 2017. The Minimum Offer Price Rule (MOPR) recently implemented by PJM Interconnection, L.L.C. prevented Quad Cities from clearing in the capacity auction. The result is that customers in Northern Illinois and throughout PJM will pay for more capacity from polluting generation instead of securing carbon-free megawatts from Quad Cities, at what would have been a lower cost absent the MOPR. At the direction of the PJM Board of Managers, PJM and its stakeholders are considering MOPR reforms to ensure that the capacity market rules respect and accommodate state resource preferences.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of Generation’s other nuclear and fossil generation power plants located in the PJM market cleared in the auction. The auction results take effect June 1, 2022.</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lists Generation’s cleared nuclear and fossil capacity volumes for the 2022-2023 capacity auction by zone.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Cleared Volumes at Ownership</w:t>
            </w:r>
          </w:p>
        </w:tc>
        <w:tc>
          <w:tcPr>
            <w:tcW w:w="19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Capacity Performance</w:t>
            </w:r>
          </w:p>
        </w:tc>
        <w:tc>
          <w:tcPr>
            <w:tcW w:w="1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MW</w:t>
            </w:r>
          </w:p>
        </w:tc>
        <w:tc>
          <w:tcPr>
            <w:tcW w:w="68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Price</w:t>
            </w:r>
          </w:p>
        </w:tc>
      </w:tr>
      <w:tr>
        <w:trPr>
          <w:trHeight w:val="195"/>
        </w:trPr>
        <w:tc>
          <w:tcPr>
            <w:tcW w:w="20" w:type="dxa"/>
            <w:vAlign w:val="bottom"/>
          </w:tcPr>
          <w:p>
            <w:pPr>
              <w:spacing w:after="0"/>
              <w:rPr>
                <w:sz w:val="16"/>
                <w:szCs w:val="16"/>
                <w:color w:val="auto"/>
              </w:rPr>
            </w:pPr>
          </w:p>
        </w:tc>
        <w:tc>
          <w:tcPr>
            <w:tcW w:w="6720" w:type="dxa"/>
            <w:vAlign w:val="bottom"/>
            <w:gridSpan w:val="2"/>
          </w:tcPr>
          <w:p>
            <w:pPr>
              <w:spacing w:after="0"/>
              <w:rPr>
                <w:sz w:val="20"/>
                <w:szCs w:val="20"/>
                <w:color w:val="auto"/>
              </w:rPr>
            </w:pPr>
            <w:r>
              <w:rPr>
                <w:rFonts w:ascii="Arial" w:cs="Arial" w:eastAsia="Arial" w:hAnsi="Arial"/>
                <w:sz w:val="16"/>
                <w:szCs w:val="16"/>
                <w:b w:val="1"/>
                <w:bCs w:val="1"/>
                <w:color w:val="auto"/>
              </w:rPr>
              <w:t>COMED</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color w:val="auto"/>
              </w:rPr>
              <w:t>Nuclear</w:t>
            </w:r>
          </w:p>
        </w:tc>
        <w:tc>
          <w:tcPr>
            <w:tcW w:w="680" w:type="dxa"/>
            <w:vAlign w:val="bottom"/>
          </w:tcPr>
          <w:p>
            <w:pPr>
              <w:jc w:val="right"/>
              <w:spacing w:after="0"/>
              <w:rPr>
                <w:sz w:val="20"/>
                <w:szCs w:val="20"/>
                <w:color w:val="auto"/>
              </w:rPr>
            </w:pPr>
            <w:r>
              <w:rPr>
                <w:rFonts w:ascii="Arial" w:cs="Arial" w:eastAsia="Arial" w:hAnsi="Arial"/>
                <w:sz w:val="16"/>
                <w:szCs w:val="16"/>
                <w:color w:val="auto"/>
              </w:rPr>
              <w:t>4,600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color w:val="auto"/>
              </w:rPr>
              <w:t>Fossil/Others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b w:val="1"/>
                <w:bCs w:val="1"/>
                <w:color w:val="auto"/>
              </w:rPr>
              <w:t>Sub Total</w:t>
            </w: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4,600</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EMAAC</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color w:val="auto"/>
              </w:rPr>
              <w:t>Nuclear</w:t>
            </w:r>
          </w:p>
        </w:tc>
        <w:tc>
          <w:tcPr>
            <w:tcW w:w="680" w:type="dxa"/>
            <w:vAlign w:val="bottom"/>
          </w:tcPr>
          <w:p>
            <w:pPr>
              <w:jc w:val="right"/>
              <w:spacing w:after="0"/>
              <w:rPr>
                <w:sz w:val="20"/>
                <w:szCs w:val="20"/>
                <w:color w:val="auto"/>
              </w:rPr>
            </w:pPr>
            <w:r>
              <w:rPr>
                <w:rFonts w:ascii="Arial" w:cs="Arial" w:eastAsia="Arial" w:hAnsi="Arial"/>
                <w:sz w:val="16"/>
                <w:szCs w:val="16"/>
                <w:color w:val="auto"/>
              </w:rPr>
              <w:t>4,450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color w:val="auto"/>
              </w:rPr>
              <w:t>Fossil/Others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b w:val="1"/>
                <w:bCs w:val="1"/>
                <w:color w:val="auto"/>
              </w:rPr>
              <w:t>Sub Total</w:t>
            </w: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6,900</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SWMAAC</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color w:val="auto"/>
              </w:rPr>
              <w:t>Nuclear</w:t>
            </w:r>
          </w:p>
        </w:tc>
        <w:tc>
          <w:tcPr>
            <w:tcW w:w="680" w:type="dxa"/>
            <w:vAlign w:val="bottom"/>
          </w:tcPr>
          <w:p>
            <w:pPr>
              <w:jc w:val="right"/>
              <w:spacing w:after="0"/>
              <w:rPr>
                <w:sz w:val="20"/>
                <w:szCs w:val="20"/>
                <w:color w:val="auto"/>
              </w:rPr>
            </w:pPr>
            <w:r>
              <w:rPr>
                <w:rFonts w:ascii="Arial" w:cs="Arial" w:eastAsia="Arial" w:hAnsi="Arial"/>
                <w:sz w:val="16"/>
                <w:szCs w:val="16"/>
                <w:color w:val="auto"/>
              </w:rPr>
              <w:t>850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color w:val="auto"/>
              </w:rPr>
              <w:t>Fossil/Others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b w:val="1"/>
                <w:bCs w:val="1"/>
                <w:color w:val="auto"/>
              </w:rPr>
              <w:t>Sub Total</w:t>
            </w: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MAAC</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color w:val="auto"/>
              </w:rPr>
              <w:t>Nuclear</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color w:val="auto"/>
              </w:rPr>
              <w:t>Fossil/Others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20" w:type="dxa"/>
            <w:vAlign w:val="bottom"/>
          </w:tcPr>
          <w:p>
            <w:pPr>
              <w:spacing w:after="0"/>
              <w:rPr>
                <w:sz w:val="18"/>
                <w:szCs w:val="18"/>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b w:val="1"/>
                <w:bCs w:val="1"/>
                <w:color w:val="auto"/>
              </w:rPr>
              <w:t>Sub Total</w:t>
            </w:r>
          </w:p>
        </w:tc>
        <w:tc>
          <w:tcPr>
            <w:tcW w:w="1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6"/>
                <w:szCs w:val="16"/>
                <w:b w:val="1"/>
                <w:bCs w:val="1"/>
                <w:color w:val="auto"/>
              </w:rPr>
              <w:t>BGE</w:t>
            </w: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color w:val="auto"/>
              </w:rPr>
              <w:t>Nuclear</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20" w:type="dxa"/>
            <w:vAlign w:val="bottom"/>
          </w:tcPr>
          <w:p>
            <w:pPr>
              <w:spacing w:after="0"/>
              <w:rPr>
                <w:sz w:val="19"/>
                <w:szCs w:val="19"/>
                <w:color w:val="auto"/>
              </w:rPr>
            </w:pPr>
          </w:p>
        </w:tc>
        <w:tc>
          <w:tcPr>
            <w:tcW w:w="6720" w:type="dxa"/>
            <w:vAlign w:val="bottom"/>
            <w:gridSpan w:val="2"/>
          </w:tcPr>
          <w:p>
            <w:pPr>
              <w:ind w:left="340"/>
              <w:spacing w:after="0"/>
              <w:rPr>
                <w:sz w:val="20"/>
                <w:szCs w:val="20"/>
                <w:color w:val="auto"/>
              </w:rPr>
            </w:pPr>
            <w:r>
              <w:rPr>
                <w:rFonts w:ascii="Arial" w:cs="Arial" w:eastAsia="Arial" w:hAnsi="Arial"/>
                <w:sz w:val="16"/>
                <w:szCs w:val="16"/>
                <w:color w:val="auto"/>
              </w:rPr>
              <w:t>Fossil/Others</w:t>
            </w:r>
          </w:p>
        </w:tc>
        <w:tc>
          <w:tcPr>
            <w:tcW w:w="1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20" w:type="dxa"/>
            <w:vAlign w:val="bottom"/>
          </w:tcPr>
          <w:p>
            <w:pPr>
              <w:spacing w:after="0"/>
              <w:rPr>
                <w:sz w:val="18"/>
                <w:szCs w:val="18"/>
                <w:color w:val="auto"/>
              </w:rPr>
            </w:pPr>
          </w:p>
        </w:tc>
        <w:tc>
          <w:tcPr>
            <w:tcW w:w="7980" w:type="dxa"/>
            <w:vAlign w:val="bottom"/>
            <w:gridSpan w:val="3"/>
          </w:tcPr>
          <w:p>
            <w:pPr>
              <w:ind w:left="340"/>
              <w:spacing w:after="0"/>
              <w:rPr>
                <w:sz w:val="20"/>
                <w:szCs w:val="20"/>
                <w:color w:val="auto"/>
              </w:rPr>
            </w:pPr>
            <w:r>
              <w:rPr>
                <w:rFonts w:ascii="Arial" w:cs="Arial" w:eastAsia="Arial" w:hAnsi="Arial"/>
                <w:sz w:val="16"/>
                <w:szCs w:val="16"/>
                <w:b w:val="1"/>
                <w:bCs w:val="1"/>
                <w:color w:val="auto"/>
              </w:rPr>
              <w:t>Sub Total</w:t>
            </w:r>
          </w:p>
        </w:tc>
        <w:tc>
          <w:tcPr>
            <w:tcW w:w="680" w:type="dxa"/>
            <w:vAlign w:val="bottom"/>
          </w:tcPr>
          <w:p>
            <w:pPr>
              <w:jc w:val="right"/>
              <w:spacing w:after="0"/>
              <w:rPr>
                <w:sz w:val="20"/>
                <w:szCs w:val="20"/>
                <w:color w:val="auto"/>
              </w:rPr>
            </w:pPr>
            <w:r>
              <w:rPr>
                <w:rFonts w:ascii="Arial" w:cs="Arial" w:eastAsia="Arial" w:hAnsi="Arial"/>
                <w:sz w:val="16"/>
                <w:szCs w:val="16"/>
                <w:color w:val="auto"/>
              </w:rPr>
              <w:t>425</w:t>
            </w: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526"/>
        </w:trPr>
        <w:tc>
          <w:tcPr>
            <w:tcW w:w="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720" w:type="dxa"/>
            <w:vAlign w:val="bottom"/>
          </w:tcPr>
          <w:p>
            <w:pPr>
              <w:spacing w:after="0"/>
              <w:rPr>
                <w:sz w:val="20"/>
                <w:szCs w:val="20"/>
                <w:color w:val="auto"/>
              </w:rPr>
            </w:pPr>
            <w:r>
              <w:rPr>
                <w:rFonts w:ascii="Arial" w:cs="Arial" w:eastAsia="Arial" w:hAnsi="Arial"/>
                <w:sz w:val="16"/>
                <w:szCs w:val="16"/>
                <w:b w:val="1"/>
                <w:bCs w:val="1"/>
                <w:color w:val="auto"/>
              </w:rPr>
              <w:t>RTO</w:t>
            </w:r>
          </w:p>
        </w:tc>
        <w:tc>
          <w:tcPr>
            <w:tcW w:w="1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Nuclear</w:t>
            </w:r>
          </w:p>
        </w:tc>
        <w:tc>
          <w:tcPr>
            <w:tcW w:w="1940" w:type="dxa"/>
            <w:vAlign w:val="bottom"/>
          </w:tcPr>
          <w:p>
            <w:pPr>
              <w:jc w:val="right"/>
              <w:spacing w:after="0"/>
              <w:rPr>
                <w:sz w:val="20"/>
                <w:szCs w:val="20"/>
                <w:color w:val="auto"/>
              </w:rPr>
            </w:pPr>
            <w:r>
              <w:rPr>
                <w:rFonts w:ascii="Arial" w:cs="Arial" w:eastAsia="Arial" w:hAnsi="Arial"/>
                <w:sz w:val="16"/>
                <w:szCs w:val="16"/>
                <w:color w:val="auto"/>
              </w:rPr>
              <w:t>0</w:t>
            </w:r>
          </w:p>
        </w:tc>
        <w:tc>
          <w:tcPr>
            <w:tcW w:w="15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6720" w:type="dxa"/>
            <w:vAlign w:val="bottom"/>
          </w:tcPr>
          <w:p>
            <w:pPr>
              <w:ind w:left="340"/>
              <w:spacing w:after="0"/>
              <w:rPr>
                <w:sz w:val="20"/>
                <w:szCs w:val="20"/>
                <w:color w:val="auto"/>
              </w:rPr>
            </w:pPr>
            <w:r>
              <w:rPr>
                <w:rFonts w:ascii="Arial" w:cs="Arial" w:eastAsia="Arial" w:hAnsi="Arial"/>
                <w:sz w:val="16"/>
                <w:szCs w:val="16"/>
                <w:color w:val="auto"/>
              </w:rPr>
              <w:t>Fossil/Others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5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3"/>
        </w:trPr>
        <w:tc>
          <w:tcPr>
            <w:tcW w:w="6720" w:type="dxa"/>
            <w:vAlign w:val="bottom"/>
          </w:tcPr>
          <w:p>
            <w:pPr>
              <w:ind w:left="340"/>
              <w:spacing w:after="0"/>
              <w:rPr>
                <w:sz w:val="20"/>
                <w:szCs w:val="20"/>
                <w:color w:val="auto"/>
              </w:rPr>
            </w:pPr>
            <w:r>
              <w:rPr>
                <w:rFonts w:ascii="Arial" w:cs="Arial" w:eastAsia="Arial" w:hAnsi="Arial"/>
                <w:sz w:val="16"/>
                <w:szCs w:val="16"/>
                <w:b w:val="1"/>
                <w:bCs w:val="1"/>
                <w:color w:val="auto"/>
              </w:rPr>
              <w:t>Sub 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6"/>
                <w:szCs w:val="16"/>
                <w:b w:val="1"/>
                <w:bCs w:val="1"/>
                <w:color w:val="auto"/>
              </w:rPr>
              <w:t>PJM Portfolio</w:t>
            </w:r>
          </w:p>
        </w:tc>
        <w:tc>
          <w:tcPr>
            <w:tcW w:w="19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6720" w:type="dxa"/>
            <w:vAlign w:val="bottom"/>
            <w:vMerge w:val="continue"/>
          </w:tcPr>
          <w:p>
            <w:pPr>
              <w:spacing w:after="0"/>
              <w:rPr>
                <w:sz w:val="20"/>
                <w:szCs w:val="20"/>
                <w:color w:val="auto"/>
              </w:rPr>
            </w:pPr>
          </w:p>
        </w:tc>
        <w:tc>
          <w:tcPr>
            <w:tcW w:w="1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340"/>
              <w:spacing w:after="0"/>
              <w:rPr>
                <w:sz w:val="20"/>
                <w:szCs w:val="20"/>
                <w:color w:val="auto"/>
              </w:rPr>
            </w:pPr>
            <w:r>
              <w:rPr>
                <w:rFonts w:ascii="Arial" w:cs="Arial" w:eastAsia="Arial" w:hAnsi="Arial"/>
                <w:sz w:val="16"/>
                <w:szCs w:val="16"/>
                <w:color w:val="auto"/>
              </w:rPr>
              <w:t>Nuclear</w:t>
            </w:r>
          </w:p>
        </w:tc>
        <w:tc>
          <w:tcPr>
            <w:tcW w:w="1940" w:type="dxa"/>
            <w:vAlign w:val="bottom"/>
          </w:tcPr>
          <w:p>
            <w:pPr>
              <w:jc w:val="right"/>
              <w:spacing w:after="0"/>
              <w:rPr>
                <w:sz w:val="20"/>
                <w:szCs w:val="20"/>
                <w:color w:val="auto"/>
              </w:rPr>
            </w:pPr>
            <w:r>
              <w:rPr>
                <w:rFonts w:ascii="Arial" w:cs="Arial" w:eastAsia="Arial" w:hAnsi="Arial"/>
                <w:sz w:val="16"/>
                <w:szCs w:val="16"/>
                <w:color w:val="auto"/>
              </w:rPr>
              <w:t>9,900</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20" w:type="dxa"/>
            <w:vAlign w:val="bottom"/>
          </w:tcPr>
          <w:p>
            <w:pPr>
              <w:ind w:left="340"/>
              <w:spacing w:after="0"/>
              <w:rPr>
                <w:sz w:val="20"/>
                <w:szCs w:val="20"/>
                <w:color w:val="auto"/>
              </w:rPr>
            </w:pPr>
            <w:r>
              <w:rPr>
                <w:rFonts w:ascii="Arial" w:cs="Arial" w:eastAsia="Arial" w:hAnsi="Arial"/>
                <w:sz w:val="16"/>
                <w:szCs w:val="16"/>
                <w:color w:val="auto"/>
              </w:rPr>
              <w:t>Fossil/Others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w:t>
            </w: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20" w:type="dxa"/>
            <w:vAlign w:val="bottom"/>
          </w:tcPr>
          <w:p>
            <w:pPr>
              <w:ind w:left="340"/>
              <w:spacing w:after="0"/>
              <w:rPr>
                <w:sz w:val="20"/>
                <w:szCs w:val="20"/>
                <w:color w:val="auto"/>
              </w:rPr>
            </w:pPr>
            <w:r>
              <w:rPr>
                <w:rFonts w:ascii="Arial" w:cs="Arial" w:eastAsia="Arial" w:hAnsi="Arial"/>
                <w:sz w:val="16"/>
                <w:szCs w:val="16"/>
                <w:b w:val="1"/>
                <w:bCs w:val="1"/>
                <w:color w:val="auto"/>
              </w:rPr>
              <w:t>Grand 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13,050</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9 - Financial Statements and Exhibits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32"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Exhibits.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790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6"/>
                <w:szCs w:val="16"/>
                <w:color w:val="auto"/>
              </w:rPr>
              <w:t>101</w:t>
            </w:r>
          </w:p>
        </w:tc>
        <w:tc>
          <w:tcPr>
            <w:tcW w:w="600" w:type="dxa"/>
            <w:vAlign w:val="bottom"/>
          </w:tcPr>
          <w:p>
            <w:pPr>
              <w:spacing w:after="0"/>
              <w:rPr>
                <w:sz w:val="20"/>
                <w:szCs w:val="20"/>
                <w:color w:val="auto"/>
              </w:rPr>
            </w:pPr>
          </w:p>
        </w:tc>
        <w:tc>
          <w:tcPr>
            <w:tcW w:w="7900" w:type="dxa"/>
            <w:vAlign w:val="bottom"/>
            <w:gridSpan w:val="2"/>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600" w:type="dxa"/>
            <w:vAlign w:val="bottom"/>
          </w:tcPr>
          <w:p>
            <w:pPr>
              <w:spacing w:after="0"/>
              <w:rPr>
                <w:sz w:val="18"/>
                <w:szCs w:val="18"/>
                <w:color w:val="auto"/>
              </w:rPr>
            </w:pPr>
          </w:p>
        </w:tc>
        <w:tc>
          <w:tcPr>
            <w:tcW w:w="7900" w:type="dxa"/>
            <w:vAlign w:val="bottom"/>
            <w:gridSpan w:val="2"/>
          </w:tcPr>
          <w:p>
            <w:pPr>
              <w:spacing w:after="0"/>
              <w:rPr>
                <w:sz w:val="20"/>
                <w:szCs w:val="20"/>
                <w:color w:val="auto"/>
              </w:rPr>
            </w:pPr>
            <w:r>
              <w:rPr>
                <w:rFonts w:ascii="Arial" w:cs="Arial" w:eastAsia="Arial" w:hAnsi="Arial"/>
                <w:sz w:val="16"/>
                <w:szCs w:val="16"/>
                <w:color w:val="auto"/>
              </w:rPr>
              <w:t>The cover page from this Current Report on Form 8-K, formatted as Inline XBRL.</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combined Current Report on Form 8-K is being filed separately by Exelon Corporation and Exelon Generation Company, LLC (Registrants). Information contained herein relating to any individual Registrant has been furnished by such Registrant on its own behalf. Neither Registrant makes any representation as to information relating to the other Registrant.</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report contains certain forward-looking statements within the meaning of the Private Securities Litigation Reform Act of 1995 that are subject to risks and uncertainties including, among others, those related to the timing, manner, tax-free nature and expected benefits associated with the potential separation of Exelon’s competitive power generation and customer-facing energy business from its six regulated electric and gas utilities.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w:t>
      </w:r>
    </w:p>
    <w:p>
      <w:pPr>
        <w:spacing w:after="0" w:line="23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factors that could cause actual results to differ materially from the forward-looking statements made by the Registrants include those factors discussed herein, as well as items discussed in (1) the Registrants’ 2020 Annual Report on Form 10-K in (a) Part I, ITEM 1A. Risk Factors, (b) Part II, ITEM 7. Management’s Discussion and Analysis of Financial Condition and Results of Operations, and (c) Part II, ITEM 8. Financial Statements and Supplementary Data: Note 19, Commitments and Contingencies; (2) the Registrants’ First Quarter 2021 Quarterly Report on Form 10-Q in (a) Part II, ITEM 1A. Risk Factors, (b) Part I, ITEM 2. Management’s Discussion and Analysis of Financial Condition and Results of Operations, and (c) Part I, ITEM 1. Financial Statements: Note 14, Commitments and Contingencies; and (3) other factors discussed in filings with the Securities and Exchange Commission by the Registrants.</w:t>
      </w:r>
    </w:p>
    <w:p>
      <w:pPr>
        <w:spacing w:after="0" w:line="200" w:lineRule="exact"/>
        <w:rPr>
          <w:sz w:val="20"/>
          <w:szCs w:val="20"/>
          <w:color w:val="auto"/>
        </w:rPr>
      </w:pP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Investors are cautioned not to place undue reliance on these forward-looking statements, whether written or oral, which apply only as of the date of this report. Neither Registrant undertakes any obligation to publicly release any revision to its forward-looking statements to reflect events or circumstances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EXELON CORPORATION</w:t>
      </w: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Joseph Nigro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Joseph Nigro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Senior 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Exelon Corporation</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EXELON GENERATION COMPANY, LLC</w:t>
      </w: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Bryan P.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Bryan P. Wright</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Senior Vice President and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Exelon Generation Company, LLC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June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1172210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80" w:type="dxa"/>
            <w:vAlign w:val="bottom"/>
          </w:tcPr>
          <w:p>
            <w:pPr>
              <w:ind w:left="2700"/>
              <w:spacing w:after="0"/>
              <w:rPr>
                <w:sz w:val="20"/>
                <w:szCs w:val="20"/>
                <w:color w:val="auto"/>
              </w:rPr>
            </w:pPr>
            <w:r>
              <w:rPr>
                <w:rFonts w:ascii="Arial" w:cs="Arial" w:eastAsia="Arial" w:hAnsi="Arial"/>
                <w:sz w:val="18"/>
                <w:szCs w:val="18"/>
                <w:b w:val="1"/>
                <w:bCs w:val="1"/>
                <w:color w:val="auto"/>
              </w:rPr>
              <w:t>EXHIBIT INDEX</w:t>
            </w:r>
          </w:p>
        </w:tc>
      </w:tr>
      <w:tr>
        <w:trPr>
          <w:trHeight w:val="256"/>
        </w:trPr>
        <w:tc>
          <w:tcPr>
            <w:tcW w:w="138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788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231"/>
        </w:trPr>
        <w:tc>
          <w:tcPr>
            <w:tcW w:w="780" w:type="dxa"/>
            <w:vAlign w:val="bottom"/>
          </w:tcPr>
          <w:p>
            <w:pPr>
              <w:spacing w:after="0"/>
              <w:rPr>
                <w:sz w:val="20"/>
                <w:szCs w:val="20"/>
                <w:color w:val="auto"/>
              </w:rPr>
            </w:pPr>
            <w:r>
              <w:rPr>
                <w:rFonts w:ascii="Arial" w:cs="Arial" w:eastAsia="Arial" w:hAnsi="Arial"/>
                <w:sz w:val="16"/>
                <w:szCs w:val="16"/>
                <w:color w:val="auto"/>
              </w:rPr>
              <w:t>101</w:t>
            </w:r>
          </w:p>
        </w:tc>
        <w:tc>
          <w:tcPr>
            <w:tcW w:w="600" w:type="dxa"/>
            <w:vAlign w:val="bottom"/>
          </w:tcPr>
          <w:p>
            <w:pPr>
              <w:spacing w:after="0"/>
              <w:rPr>
                <w:sz w:val="20"/>
                <w:szCs w:val="20"/>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r>
        <w:trPr>
          <w:trHeight w:val="216"/>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60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6"/>
                <w:szCs w:val="16"/>
                <w:color w:val="auto"/>
              </w:rPr>
              <w:t>The cover page from this Current Report on Form 8-K, formatted as Inline XBRL.</w:t>
            </w:r>
          </w:p>
        </w:tc>
      </w:tr>
    </w:tbl>
    <w:p>
      <w:pPr>
        <w:spacing w:after="0" w:line="1" w:lineRule="exact"/>
        <w:rPr>
          <w:sz w:val="20"/>
          <w:szCs w:val="20"/>
          <w:color w:val="auto"/>
        </w:rPr>
      </w:pPr>
    </w:p>
    <w:sectPr>
      <w:pgSz w:w="11900" w:h="16838" w:orient="portrait"/>
      <w:cols w:equalWidth="0" w:num="1">
        <w:col w:w="10059"/>
      </w:cols>
      <w:pgMar w:left="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2021-06-03T05:08:28Z</dcterms:created>
  <dcterms:modified xsi:type="dcterms:W3CDTF">2021-06-03T05:08:28Z</dcterms:modified>
</cp:coreProperties>
</file>